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theme/themeOverride1.xml" ContentType="application/vnd.openxmlformats-officedocument.themeOverride+xml"/>
  <Override PartName="/word/charts/chart94.xml" ContentType="application/vnd.openxmlformats-officedocument.drawingml.chart+xml"/>
  <Override PartName="/word/theme/themeOverride2.xml" ContentType="application/vnd.openxmlformats-officedocument.themeOverride+xml"/>
  <Override PartName="/word/charts/chart95.xml" ContentType="application/vnd.openxmlformats-officedocument.drawingml.chart+xml"/>
  <Override PartName="/word/theme/themeOverride3.xml" ContentType="application/vnd.openxmlformats-officedocument.themeOverride+xml"/>
  <Override PartName="/word/charts/chart96.xml" ContentType="application/vnd.openxmlformats-officedocument.drawingml.chart+xml"/>
  <Override PartName="/word/theme/themeOverride4.xml" ContentType="application/vnd.openxmlformats-officedocument.themeOverride+xml"/>
  <Override PartName="/word/charts/chart97.xml" ContentType="application/vnd.openxmlformats-officedocument.drawingml.chart+xml"/>
  <Override PartName="/word/theme/themeOverride5.xml" ContentType="application/vnd.openxmlformats-officedocument.themeOverride+xml"/>
  <Override PartName="/word/charts/chart98.xml" ContentType="application/vnd.openxmlformats-officedocument.drawingml.chart+xml"/>
  <Override PartName="/word/theme/themeOverride6.xml" ContentType="application/vnd.openxmlformats-officedocument.themeOverride+xml"/>
  <Override PartName="/word/charts/chart99.xml" ContentType="application/vnd.openxmlformats-officedocument.drawingml.chart+xml"/>
  <Override PartName="/word/charts/chart100.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charts/chart14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53512679"/>
        <w:docPartObj>
          <w:docPartGallery w:val="Cover Pages"/>
          <w:docPartUnique/>
        </w:docPartObj>
      </w:sdtPr>
      <w:sdtEndPr>
        <w:rPr>
          <w:szCs w:val="26"/>
          <w:lang w:eastAsia="en-US"/>
        </w:rPr>
      </w:sdtEndPr>
      <w:sdtContent>
        <w:p w:rsidR="00B2101F" w:rsidRDefault="00311FE6">
          <w:pPr>
            <w:rPr>
              <w:szCs w:val="26"/>
              <w:lang w:eastAsia="en-US"/>
            </w:rPr>
          </w:pPr>
          <w:r>
            <w:rPr>
              <w:noProof/>
            </w:rPr>
            <mc:AlternateContent>
              <mc:Choice Requires="wps">
                <w:drawing>
                  <wp:anchor distT="0" distB="0" distL="114300" distR="114300" simplePos="0" relativeHeight="251662336" behindDoc="0" locked="1" layoutInCell="0" allowOverlap="1">
                    <wp:simplePos x="0" y="0"/>
                    <wp:positionH relativeFrom="page">
                      <wp:posOffset>276225</wp:posOffset>
                    </wp:positionH>
                    <wp:positionV relativeFrom="page">
                      <wp:posOffset>457200</wp:posOffset>
                    </wp:positionV>
                    <wp:extent cx="7013575" cy="219710"/>
                    <wp:effectExtent l="0" t="0" r="0" b="8890"/>
                    <wp:wrapNone/>
                    <wp:docPr id="7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575" cy="219710"/>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1.75pt;margin-top:36pt;width:552.25pt;height:17.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" o:allowincell="f" fillcolor="#8db3e2 [1311]" stroked="f" strokecolor="#4a7ebb" strokeweight="1.5pt">
                    <v:shadow color="black" opacity="22938f" offset="0,.74833mm"/>
                    <v:textbox inset=",7.2pt,,7.2pt"/>
                    <w10:wrap anchorx="page" anchory="page"/>
                    <w10:anchorlock/>
                  </v:rect>
                </w:pict>
              </mc:Fallback>
            </mc:AlternateContent>
          </w:r>
          <w:r>
            <w:rPr>
              <w:noProof/>
            </w:rPr>
            <mc:AlternateContent>
              <mc:Choice Requires="wps">
                <w:drawing>
                  <wp:anchor distT="0" distB="0" distL="114300" distR="114300" simplePos="0" relativeHeight="251660288" behindDoc="0" locked="1" layoutInCell="0" allowOverlap="1">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9E4" w:rsidRDefault="007909E4">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НАЦИОНАЛЬНЫЙ ИССЛЕДОВАТЕЛЬСКИЙ УНИВЕРСИТЕТ «ВЫСШАЯ ШКОЛА ЭКОНОМИКИ»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3.75pt;margin-top:766.5pt;width:525.6pt;height:30.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" o:allowincell="f" filled="f" stroked="f">
                    <v:textbox>
                      <w:txbxContent>
                        <w:p w:rsidR="007909E4" w:rsidRDefault="007909E4">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НАЦИОНАЛЬНЫЙ ИССЛЕДОВАТЕЛЬСКИЙ УНИВЕРСИТЕТ «ВЫСШАЯ ШКОЛА ЭКОНОМИКИ»</w:t>
                          </w:r>
                        </w:p>
                      </w:txbxContent>
                    </v:textbox>
                    <w10:wrap anchorx="page" anchory="page"/>
                    <w10:anchorlock/>
                  </v:rect>
                </w:pict>
              </mc:Fallback>
            </mc:AlternateContent>
          </w:r>
          <w:r>
            <w:rPr>
              <w:noProof/>
            </w:rPr>
            <mc:AlternateContent>
              <mc:Choice Requires="wpg">
                <w:drawing>
                  <wp:anchor distT="0" distB="0" distL="114300" distR="114300" simplePos="0" relativeHeight="251659264" behindDoc="1" locked="1" layoutInCell="0" allowOverlap="1">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14"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1.75pt;margin-top:751.5pt;width:552.25pt;height:54pt;z-index:-25165721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WYmsUAAADcAAAADwAAAGRycy9kb3ducmV2LnhtbESPQWvCQBSE74X+h+UVvNVNQqklugYJ&#10;FEoRiolCj4/dZxLMvk2zW43/3i0UPA4z8w2zKibbizONvnOsIJ0nIIi1Mx03Cvb1+/MbCB+QDfaO&#10;ScGVPBTrx4cV5sZdeEfnKjQiQtjnqKANYcil9Loli37uBuLoHd1oMUQ5NtKMeIlw28ssSV6lxY7j&#10;QosDlS3pU/VrFUyH70zLbXrQXTZ86q+fspa7SqnZ07RZggg0hXv4v/1hFCzSF/g7E4+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WYmsUAAADcAAAADwAAAAAAAAAA&#10;AAAAAAChAgAAZHJzL2Rvd25yZXYueG1sUEsFBgAAAAAEAAQA+QAAAJMDAAAAAA==&#10;" strokecolor="gray"/>
                    <w10:wrap anchorx="page" anchory="page"/>
                    <w10:anchorlock/>
                  </v:group>
                </w:pict>
              </mc:Fallback>
            </mc:AlternateContent>
          </w:r>
        </w:p>
      </w:sdtContent>
    </w:sdt>
    <w:p w:rsidR="003A3A7F" w:rsidRPr="004F4F46" w:rsidRDefault="003A3A7F" w:rsidP="003A3A7F">
      <w:pPr>
        <w:spacing w:line="360" w:lineRule="auto"/>
        <w:jc w:val="right"/>
      </w:pPr>
    </w:p>
    <w:p w:rsidR="003A3A7F" w:rsidRPr="004F4F46" w:rsidRDefault="003A3A7F" w:rsidP="003A3A7F">
      <w:pPr>
        <w:spacing w:line="360" w:lineRule="auto"/>
        <w:jc w:val="right"/>
      </w:pPr>
    </w:p>
    <w:p w:rsidR="003A3A7F" w:rsidRPr="004F4F46" w:rsidRDefault="003A3A7F" w:rsidP="003A3A7F">
      <w:pPr>
        <w:spacing w:line="360" w:lineRule="auto"/>
        <w:jc w:val="right"/>
      </w:pPr>
    </w:p>
    <w:p w:rsidR="003A3A7F" w:rsidRPr="004F4F46" w:rsidRDefault="003A3A7F" w:rsidP="003A3A7F">
      <w:pPr>
        <w:spacing w:line="360" w:lineRule="auto"/>
        <w:jc w:val="right"/>
      </w:pPr>
    </w:p>
    <w:p w:rsidR="003A3A7F" w:rsidRPr="004F4F46" w:rsidRDefault="003A3A7F" w:rsidP="003A3A7F">
      <w:pPr>
        <w:spacing w:line="360" w:lineRule="auto"/>
        <w:jc w:val="right"/>
      </w:pPr>
    </w:p>
    <w:p w:rsidR="003A3A7F" w:rsidRPr="004F4F46" w:rsidRDefault="003A3A7F" w:rsidP="003A3A7F">
      <w:pPr>
        <w:spacing w:line="360" w:lineRule="auto"/>
        <w:jc w:val="right"/>
      </w:pPr>
    </w:p>
    <w:p w:rsidR="003A3A7F" w:rsidRPr="004F4F46" w:rsidRDefault="003A3A7F" w:rsidP="003A3A7F">
      <w:pPr>
        <w:spacing w:line="360" w:lineRule="auto"/>
        <w:jc w:val="right"/>
      </w:pPr>
    </w:p>
    <w:p w:rsidR="003A3A7F" w:rsidRPr="004F4F46" w:rsidRDefault="003A3A7F" w:rsidP="003A3A7F">
      <w:pPr>
        <w:spacing w:line="360" w:lineRule="auto"/>
        <w:jc w:val="right"/>
      </w:pPr>
    </w:p>
    <w:tbl>
      <w:tblPr>
        <w:tblW w:w="5000" w:type="pct"/>
        <w:jc w:val="center"/>
        <w:tblLook w:val="00A0" w:firstRow="1" w:lastRow="0" w:firstColumn="1" w:lastColumn="0" w:noHBand="0" w:noVBand="0"/>
      </w:tblPr>
      <w:tblGrid>
        <w:gridCol w:w="9565"/>
      </w:tblGrid>
      <w:tr w:rsidR="003A3A7F" w:rsidRPr="004F4F46" w:rsidTr="00A112F1">
        <w:trPr>
          <w:trHeight w:val="1440"/>
          <w:jc w:val="center"/>
        </w:trPr>
        <w:tc>
          <w:tcPr>
            <w:tcW w:w="5000" w:type="pct"/>
            <w:tcBorders>
              <w:bottom w:val="single" w:sz="4" w:space="0" w:color="4F81BD"/>
            </w:tcBorders>
            <w:vAlign w:val="center"/>
          </w:tcPr>
          <w:p w:rsidR="003A3A7F" w:rsidRPr="00334829" w:rsidRDefault="003A3A7F" w:rsidP="006F661B">
            <w:pPr>
              <w:rPr>
                <w:b/>
                <w:sz w:val="52"/>
                <w:szCs w:val="52"/>
                <w:lang w:eastAsia="en-US"/>
              </w:rPr>
            </w:pPr>
            <w:r w:rsidRPr="00334829">
              <w:rPr>
                <w:b/>
                <w:sz w:val="52"/>
                <w:szCs w:val="52"/>
                <w:lang w:eastAsia="en-US"/>
              </w:rPr>
              <w:t xml:space="preserve">Отчет </w:t>
            </w:r>
          </w:p>
          <w:p w:rsidR="00B2101F" w:rsidRDefault="003A3A7F" w:rsidP="006F661B">
            <w:pPr>
              <w:rPr>
                <w:b/>
                <w:sz w:val="36"/>
                <w:szCs w:val="36"/>
                <w:lang w:eastAsia="en-US"/>
              </w:rPr>
            </w:pPr>
            <w:r w:rsidRPr="00334829">
              <w:rPr>
                <w:b/>
                <w:sz w:val="52"/>
                <w:szCs w:val="52"/>
                <w:lang w:eastAsia="en-US"/>
              </w:rPr>
              <w:t>об итогах учебно-методической деятельности НИУ ВШЭ</w:t>
            </w:r>
            <w:r w:rsidRPr="004F4F46">
              <w:rPr>
                <w:b/>
                <w:sz w:val="36"/>
                <w:szCs w:val="36"/>
                <w:lang w:eastAsia="en-US"/>
              </w:rPr>
              <w:t xml:space="preserve"> </w:t>
            </w:r>
          </w:p>
          <w:p w:rsidR="003A3A7F" w:rsidRPr="004F4F46" w:rsidRDefault="00B2101F" w:rsidP="006F661B">
            <w:pPr>
              <w:rPr>
                <w:b/>
                <w:sz w:val="36"/>
                <w:szCs w:val="36"/>
                <w:lang w:eastAsia="en-US"/>
              </w:rPr>
            </w:pPr>
            <w:r w:rsidRPr="00B2101F">
              <w:rPr>
                <w:b/>
                <w:sz w:val="52"/>
                <w:szCs w:val="52"/>
                <w:lang w:eastAsia="en-US"/>
              </w:rPr>
              <w:t>в 2012/2013 учебном году</w:t>
            </w:r>
          </w:p>
        </w:tc>
      </w:tr>
      <w:tr w:rsidR="003A3A7F" w:rsidRPr="004F4F46" w:rsidTr="00A112F1">
        <w:trPr>
          <w:trHeight w:val="720"/>
          <w:jc w:val="center"/>
        </w:trPr>
        <w:tc>
          <w:tcPr>
            <w:tcW w:w="5000" w:type="pct"/>
            <w:tcBorders>
              <w:top w:val="single" w:sz="4" w:space="0" w:color="4F81BD"/>
            </w:tcBorders>
            <w:vAlign w:val="center"/>
          </w:tcPr>
          <w:p w:rsidR="003A3A7F" w:rsidRPr="004F4F46" w:rsidRDefault="003A3A7F" w:rsidP="00A112F1">
            <w:pPr>
              <w:spacing w:line="360" w:lineRule="auto"/>
              <w:jc w:val="center"/>
              <w:rPr>
                <w:lang w:eastAsia="en-US"/>
              </w:rPr>
            </w:pPr>
          </w:p>
        </w:tc>
      </w:tr>
      <w:tr w:rsidR="003A3A7F" w:rsidRPr="004F4F46" w:rsidTr="00A112F1">
        <w:trPr>
          <w:trHeight w:val="360"/>
          <w:jc w:val="center"/>
        </w:trPr>
        <w:tc>
          <w:tcPr>
            <w:tcW w:w="5000" w:type="pct"/>
            <w:vAlign w:val="center"/>
          </w:tcPr>
          <w:p w:rsidR="003A3A7F" w:rsidRPr="004F4F46" w:rsidRDefault="003A3A7F" w:rsidP="00A112F1">
            <w:pPr>
              <w:spacing w:line="360" w:lineRule="auto"/>
              <w:jc w:val="center"/>
              <w:rPr>
                <w:lang w:eastAsia="en-US"/>
              </w:rPr>
            </w:pPr>
          </w:p>
        </w:tc>
      </w:tr>
      <w:tr w:rsidR="003A3A7F" w:rsidRPr="004F4F46" w:rsidTr="00A112F1">
        <w:trPr>
          <w:trHeight w:val="360"/>
          <w:jc w:val="center"/>
        </w:trPr>
        <w:tc>
          <w:tcPr>
            <w:tcW w:w="5000" w:type="pct"/>
            <w:vAlign w:val="center"/>
          </w:tcPr>
          <w:p w:rsidR="003A3A7F" w:rsidRPr="004F4F46" w:rsidRDefault="003A3A7F" w:rsidP="00A112F1">
            <w:pPr>
              <w:spacing w:line="360" w:lineRule="auto"/>
              <w:jc w:val="center"/>
              <w:rPr>
                <w:b/>
                <w:bCs/>
                <w:lang w:eastAsia="en-US"/>
              </w:rPr>
            </w:pPr>
          </w:p>
        </w:tc>
      </w:tr>
      <w:tr w:rsidR="003A3A7F" w:rsidRPr="004F4F46" w:rsidTr="00A112F1">
        <w:trPr>
          <w:trHeight w:val="360"/>
          <w:jc w:val="center"/>
        </w:trPr>
        <w:tc>
          <w:tcPr>
            <w:tcW w:w="5000" w:type="pct"/>
            <w:vAlign w:val="center"/>
          </w:tcPr>
          <w:p w:rsidR="003A3A7F" w:rsidRPr="004F4F46" w:rsidRDefault="00157421" w:rsidP="00A112F1">
            <w:pPr>
              <w:spacing w:line="360" w:lineRule="auto"/>
              <w:jc w:val="center"/>
              <w:rPr>
                <w:b/>
                <w:bCs/>
                <w:lang w:eastAsia="en-US"/>
              </w:rPr>
            </w:pPr>
            <w:r>
              <w:rPr>
                <w:b/>
                <w:bCs/>
                <w:sz w:val="36"/>
                <w:lang w:eastAsia="en-US"/>
              </w:rPr>
              <w:t>Декабрь</w:t>
            </w:r>
            <w:r w:rsidR="003A3A7F">
              <w:rPr>
                <w:b/>
                <w:bCs/>
                <w:sz w:val="36"/>
                <w:lang w:eastAsia="en-US"/>
              </w:rPr>
              <w:t xml:space="preserve">, </w:t>
            </w:r>
            <w:r w:rsidR="003A3A7F" w:rsidRPr="00B50F36">
              <w:rPr>
                <w:b/>
                <w:bCs/>
                <w:sz w:val="36"/>
                <w:lang w:eastAsia="en-US"/>
              </w:rPr>
              <w:t>201</w:t>
            </w:r>
            <w:r w:rsidR="003A3A7F">
              <w:rPr>
                <w:b/>
                <w:bCs/>
                <w:sz w:val="36"/>
                <w:lang w:eastAsia="en-US"/>
              </w:rPr>
              <w:t>3</w:t>
            </w:r>
          </w:p>
        </w:tc>
      </w:tr>
    </w:tbl>
    <w:p w:rsidR="003A3A7F" w:rsidRPr="004F4F46" w:rsidRDefault="003A3A7F" w:rsidP="003A3A7F">
      <w:pPr>
        <w:spacing w:line="360" w:lineRule="auto"/>
        <w:jc w:val="right"/>
      </w:pPr>
    </w:p>
    <w:p w:rsidR="00A8331C" w:rsidRDefault="00A8331C">
      <w:pPr>
        <w:rPr>
          <w:rFonts w:ascii="Cambria" w:eastAsia="MS Gothic" w:hAnsi="Cambria"/>
          <w:b/>
          <w:bCs/>
          <w:color w:val="8DB3E2" w:themeColor="text2" w:themeTint="66"/>
          <w:sz w:val="28"/>
          <w:szCs w:val="28"/>
          <w:lang w:eastAsia="en-US"/>
        </w:rPr>
      </w:pPr>
      <w:r>
        <w:rPr>
          <w:color w:val="8DB3E2" w:themeColor="text2" w:themeTint="66"/>
        </w:rPr>
        <w:br w:type="page"/>
      </w:r>
    </w:p>
    <w:p w:rsidR="003A3A7F" w:rsidRPr="007458DE" w:rsidRDefault="003A3A7F" w:rsidP="001B2140">
      <w:pPr>
        <w:pStyle w:val="a6"/>
        <w:numPr>
          <w:ilvl w:val="0"/>
          <w:numId w:val="0"/>
        </w:numPr>
        <w:rPr>
          <w:color w:val="8DB3E2" w:themeColor="text2" w:themeTint="66"/>
          <w:highlight w:val="cyan"/>
        </w:rPr>
      </w:pPr>
      <w:r w:rsidRPr="007458DE">
        <w:rPr>
          <w:color w:val="8DB3E2" w:themeColor="text2" w:themeTint="66"/>
        </w:rPr>
        <w:lastRenderedPageBreak/>
        <w:t>Оглавление</w:t>
      </w:r>
    </w:p>
    <w:p w:rsidR="00A92FA1" w:rsidRDefault="004416A2">
      <w:pPr>
        <w:pStyle w:val="11"/>
        <w:tabs>
          <w:tab w:val="left" w:pos="480"/>
          <w:tab w:val="right" w:leader="dot" w:pos="9339"/>
        </w:tabs>
        <w:rPr>
          <w:rFonts w:asciiTheme="minorHAnsi" w:eastAsiaTheme="minorEastAsia" w:hAnsiTheme="minorHAnsi" w:cstheme="minorBidi"/>
          <w:noProof/>
          <w:sz w:val="22"/>
          <w:szCs w:val="22"/>
        </w:rPr>
      </w:pPr>
      <w:r>
        <w:rPr>
          <w:highlight w:val="cyan"/>
        </w:rPr>
        <w:fldChar w:fldCharType="begin"/>
      </w:r>
      <w:r w:rsidR="003A6DCC">
        <w:rPr>
          <w:highlight w:val="cyan"/>
        </w:rPr>
        <w:instrText xml:space="preserve"> TOC \o "1-2" </w:instrText>
      </w:r>
      <w:r>
        <w:rPr>
          <w:highlight w:val="cyan"/>
        </w:rPr>
        <w:fldChar w:fldCharType="separate"/>
      </w:r>
      <w:r w:rsidR="00A92FA1" w:rsidRPr="002E2B46">
        <w:rPr>
          <w:noProof/>
        </w:rPr>
        <w:t>1.</w:t>
      </w:r>
      <w:r w:rsidR="00A92FA1">
        <w:rPr>
          <w:rFonts w:asciiTheme="minorHAnsi" w:eastAsiaTheme="minorEastAsia" w:hAnsiTheme="minorHAnsi" w:cstheme="minorBidi"/>
          <w:noProof/>
          <w:sz w:val="22"/>
          <w:szCs w:val="22"/>
        </w:rPr>
        <w:tab/>
      </w:r>
      <w:r w:rsidR="00A92FA1">
        <w:rPr>
          <w:noProof/>
        </w:rPr>
        <w:t>Введение</w:t>
      </w:r>
      <w:r w:rsidR="00A92FA1">
        <w:rPr>
          <w:noProof/>
        </w:rPr>
        <w:tab/>
      </w:r>
      <w:r w:rsidR="00A92FA1">
        <w:rPr>
          <w:noProof/>
        </w:rPr>
        <w:fldChar w:fldCharType="begin"/>
      </w:r>
      <w:r w:rsidR="00A92FA1">
        <w:rPr>
          <w:noProof/>
        </w:rPr>
        <w:instrText xml:space="preserve"> PAGEREF _Toc374030038 \h </w:instrText>
      </w:r>
      <w:r w:rsidR="00A92FA1">
        <w:rPr>
          <w:noProof/>
        </w:rPr>
      </w:r>
      <w:r w:rsidR="00A92FA1">
        <w:rPr>
          <w:noProof/>
        </w:rPr>
        <w:fldChar w:fldCharType="separate"/>
      </w:r>
      <w:r w:rsidR="00A92FA1">
        <w:rPr>
          <w:noProof/>
        </w:rPr>
        <w:t>4</w:t>
      </w:r>
      <w:r w:rsidR="00A92FA1">
        <w:rPr>
          <w:noProof/>
        </w:rPr>
        <w:fldChar w:fldCharType="end"/>
      </w:r>
    </w:p>
    <w:p w:rsidR="00A92FA1" w:rsidRDefault="00A92FA1">
      <w:pPr>
        <w:pStyle w:val="11"/>
        <w:tabs>
          <w:tab w:val="left" w:pos="480"/>
          <w:tab w:val="right" w:leader="dot" w:pos="9339"/>
        </w:tabs>
        <w:rPr>
          <w:rFonts w:asciiTheme="minorHAnsi" w:eastAsiaTheme="minorEastAsia" w:hAnsiTheme="minorHAnsi" w:cstheme="minorBidi"/>
          <w:noProof/>
          <w:sz w:val="22"/>
          <w:szCs w:val="22"/>
        </w:rPr>
      </w:pPr>
      <w:r w:rsidRPr="002E2B46">
        <w:rPr>
          <w:noProof/>
        </w:rPr>
        <w:t>2.</w:t>
      </w:r>
      <w:r>
        <w:rPr>
          <w:rFonts w:asciiTheme="minorHAnsi" w:eastAsiaTheme="minorEastAsia" w:hAnsiTheme="minorHAnsi" w:cstheme="minorBidi"/>
          <w:noProof/>
          <w:sz w:val="22"/>
          <w:szCs w:val="22"/>
        </w:rPr>
        <w:tab/>
      </w:r>
      <w:r>
        <w:rPr>
          <w:noProof/>
        </w:rPr>
        <w:t>Анализ выполнения задач, поставленных на 2012/13 учебный год</w:t>
      </w:r>
      <w:r>
        <w:rPr>
          <w:noProof/>
        </w:rPr>
        <w:tab/>
      </w:r>
      <w:r>
        <w:rPr>
          <w:noProof/>
        </w:rPr>
        <w:fldChar w:fldCharType="begin"/>
      </w:r>
      <w:r>
        <w:rPr>
          <w:noProof/>
        </w:rPr>
        <w:instrText xml:space="preserve"> PAGEREF _Toc374030039 \h </w:instrText>
      </w:r>
      <w:r>
        <w:rPr>
          <w:noProof/>
        </w:rPr>
      </w:r>
      <w:r>
        <w:rPr>
          <w:noProof/>
        </w:rPr>
        <w:fldChar w:fldCharType="separate"/>
      </w:r>
      <w:r>
        <w:rPr>
          <w:noProof/>
        </w:rPr>
        <w:t>6</w:t>
      </w:r>
      <w:r>
        <w:rPr>
          <w:noProof/>
        </w:rPr>
        <w:fldChar w:fldCharType="end"/>
      </w:r>
    </w:p>
    <w:p w:rsidR="00A92FA1" w:rsidRDefault="00A92FA1">
      <w:pPr>
        <w:pStyle w:val="11"/>
        <w:tabs>
          <w:tab w:val="left" w:pos="480"/>
          <w:tab w:val="right" w:leader="dot" w:pos="9339"/>
        </w:tabs>
        <w:rPr>
          <w:rFonts w:asciiTheme="minorHAnsi" w:eastAsiaTheme="minorEastAsia" w:hAnsiTheme="minorHAnsi" w:cstheme="minorBidi"/>
          <w:noProof/>
          <w:sz w:val="22"/>
          <w:szCs w:val="22"/>
        </w:rPr>
      </w:pPr>
      <w:r w:rsidRPr="002E2B46">
        <w:rPr>
          <w:noProof/>
        </w:rPr>
        <w:t>3.</w:t>
      </w:r>
      <w:r>
        <w:rPr>
          <w:rFonts w:asciiTheme="minorHAnsi" w:eastAsiaTheme="minorEastAsia" w:hAnsiTheme="minorHAnsi" w:cstheme="minorBidi"/>
          <w:noProof/>
          <w:sz w:val="22"/>
          <w:szCs w:val="22"/>
        </w:rPr>
        <w:tab/>
      </w:r>
      <w:r>
        <w:rPr>
          <w:noProof/>
        </w:rPr>
        <w:t>Структура и содержание образовательных программ</w:t>
      </w:r>
      <w:r>
        <w:rPr>
          <w:noProof/>
        </w:rPr>
        <w:tab/>
      </w:r>
      <w:r>
        <w:rPr>
          <w:noProof/>
        </w:rPr>
        <w:fldChar w:fldCharType="begin"/>
      </w:r>
      <w:r>
        <w:rPr>
          <w:noProof/>
        </w:rPr>
        <w:instrText xml:space="preserve"> PAGEREF _Toc374030040 \h </w:instrText>
      </w:r>
      <w:r>
        <w:rPr>
          <w:noProof/>
        </w:rPr>
      </w:r>
      <w:r>
        <w:rPr>
          <w:noProof/>
        </w:rPr>
        <w:fldChar w:fldCharType="separate"/>
      </w:r>
      <w:r>
        <w:rPr>
          <w:noProof/>
        </w:rPr>
        <w:t>10</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3.1</w:t>
      </w:r>
      <w:r>
        <w:rPr>
          <w:rFonts w:asciiTheme="minorHAnsi" w:eastAsiaTheme="minorEastAsia" w:hAnsiTheme="minorHAnsi" w:cstheme="minorBidi"/>
          <w:noProof/>
          <w:sz w:val="22"/>
          <w:szCs w:val="22"/>
        </w:rPr>
        <w:tab/>
      </w:r>
      <w:r>
        <w:rPr>
          <w:noProof/>
        </w:rPr>
        <w:t>Динамика количества образовательных программ в НИУ ВШЭ</w:t>
      </w:r>
      <w:r>
        <w:rPr>
          <w:noProof/>
        </w:rPr>
        <w:tab/>
      </w:r>
      <w:r>
        <w:rPr>
          <w:noProof/>
        </w:rPr>
        <w:fldChar w:fldCharType="begin"/>
      </w:r>
      <w:r>
        <w:rPr>
          <w:noProof/>
        </w:rPr>
        <w:instrText xml:space="preserve"> PAGEREF _Toc374030041 \h </w:instrText>
      </w:r>
      <w:r>
        <w:rPr>
          <w:noProof/>
        </w:rPr>
      </w:r>
      <w:r>
        <w:rPr>
          <w:noProof/>
        </w:rPr>
        <w:fldChar w:fldCharType="separate"/>
      </w:r>
      <w:r>
        <w:rPr>
          <w:noProof/>
        </w:rPr>
        <w:t>10</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3.2</w:t>
      </w:r>
      <w:r>
        <w:rPr>
          <w:rFonts w:asciiTheme="minorHAnsi" w:eastAsiaTheme="minorEastAsia" w:hAnsiTheme="minorHAnsi" w:cstheme="minorBidi"/>
          <w:noProof/>
          <w:sz w:val="22"/>
          <w:szCs w:val="22"/>
        </w:rPr>
        <w:tab/>
      </w:r>
      <w:r>
        <w:rPr>
          <w:noProof/>
        </w:rPr>
        <w:t>Развитие образовательных программ высшего образования</w:t>
      </w:r>
      <w:r>
        <w:rPr>
          <w:noProof/>
        </w:rPr>
        <w:tab/>
      </w:r>
      <w:r>
        <w:rPr>
          <w:noProof/>
        </w:rPr>
        <w:fldChar w:fldCharType="begin"/>
      </w:r>
      <w:r>
        <w:rPr>
          <w:noProof/>
        </w:rPr>
        <w:instrText xml:space="preserve"> PAGEREF _Toc374030042 \h </w:instrText>
      </w:r>
      <w:r>
        <w:rPr>
          <w:noProof/>
        </w:rPr>
      </w:r>
      <w:r>
        <w:rPr>
          <w:noProof/>
        </w:rPr>
        <w:fldChar w:fldCharType="separate"/>
      </w:r>
      <w:r>
        <w:rPr>
          <w:noProof/>
        </w:rPr>
        <w:t>14</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3.3</w:t>
      </w:r>
      <w:r>
        <w:rPr>
          <w:rFonts w:asciiTheme="minorHAnsi" w:eastAsiaTheme="minorEastAsia" w:hAnsiTheme="minorHAnsi" w:cstheme="minorBidi"/>
          <w:noProof/>
          <w:sz w:val="22"/>
          <w:szCs w:val="22"/>
        </w:rPr>
        <w:tab/>
      </w:r>
      <w:r>
        <w:rPr>
          <w:noProof/>
        </w:rPr>
        <w:t>Анализ учебных планов образовательных программ</w:t>
      </w:r>
      <w:r>
        <w:rPr>
          <w:noProof/>
        </w:rPr>
        <w:tab/>
      </w:r>
      <w:r>
        <w:rPr>
          <w:noProof/>
        </w:rPr>
        <w:fldChar w:fldCharType="begin"/>
      </w:r>
      <w:r>
        <w:rPr>
          <w:noProof/>
        </w:rPr>
        <w:instrText xml:space="preserve"> PAGEREF _Toc374030043 \h </w:instrText>
      </w:r>
      <w:r>
        <w:rPr>
          <w:noProof/>
        </w:rPr>
      </w:r>
      <w:r>
        <w:rPr>
          <w:noProof/>
        </w:rPr>
        <w:fldChar w:fldCharType="separate"/>
      </w:r>
      <w:r>
        <w:rPr>
          <w:noProof/>
        </w:rPr>
        <w:t>19</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3.4</w:t>
      </w:r>
      <w:r>
        <w:rPr>
          <w:rFonts w:asciiTheme="minorHAnsi" w:eastAsiaTheme="minorEastAsia" w:hAnsiTheme="minorHAnsi" w:cstheme="minorBidi"/>
          <w:noProof/>
          <w:sz w:val="22"/>
          <w:szCs w:val="22"/>
        </w:rPr>
        <w:tab/>
      </w:r>
      <w:r>
        <w:rPr>
          <w:noProof/>
        </w:rPr>
        <w:t>Динамика численности студентов</w:t>
      </w:r>
      <w:r>
        <w:rPr>
          <w:noProof/>
        </w:rPr>
        <w:tab/>
      </w:r>
      <w:r>
        <w:rPr>
          <w:noProof/>
        </w:rPr>
        <w:fldChar w:fldCharType="begin"/>
      </w:r>
      <w:r>
        <w:rPr>
          <w:noProof/>
        </w:rPr>
        <w:instrText xml:space="preserve"> PAGEREF _Toc374030044 \h </w:instrText>
      </w:r>
      <w:r>
        <w:rPr>
          <w:noProof/>
        </w:rPr>
      </w:r>
      <w:r>
        <w:rPr>
          <w:noProof/>
        </w:rPr>
        <w:fldChar w:fldCharType="separate"/>
      </w:r>
      <w:r>
        <w:rPr>
          <w:noProof/>
        </w:rPr>
        <w:t>28</w:t>
      </w:r>
      <w:r>
        <w:rPr>
          <w:noProof/>
        </w:rPr>
        <w:fldChar w:fldCharType="end"/>
      </w:r>
    </w:p>
    <w:p w:rsidR="00A92FA1" w:rsidRDefault="00A92FA1">
      <w:pPr>
        <w:pStyle w:val="11"/>
        <w:tabs>
          <w:tab w:val="left" w:pos="480"/>
          <w:tab w:val="right" w:leader="dot" w:pos="9339"/>
        </w:tabs>
        <w:rPr>
          <w:rFonts w:asciiTheme="minorHAnsi" w:eastAsiaTheme="minorEastAsia" w:hAnsiTheme="minorHAnsi" w:cstheme="minorBidi"/>
          <w:noProof/>
          <w:sz w:val="22"/>
          <w:szCs w:val="22"/>
        </w:rPr>
      </w:pPr>
      <w:r w:rsidRPr="002E2B46">
        <w:rPr>
          <w:noProof/>
        </w:rPr>
        <w:t>4.</w:t>
      </w:r>
      <w:r>
        <w:rPr>
          <w:rFonts w:asciiTheme="minorHAnsi" w:eastAsiaTheme="minorEastAsia" w:hAnsiTheme="minorHAnsi" w:cstheme="minorBidi"/>
          <w:noProof/>
          <w:sz w:val="22"/>
          <w:szCs w:val="22"/>
        </w:rPr>
        <w:tab/>
      </w:r>
      <w:r>
        <w:rPr>
          <w:noProof/>
        </w:rPr>
        <w:t>Методическое обеспечение образовательного процесса</w:t>
      </w:r>
      <w:r>
        <w:rPr>
          <w:noProof/>
        </w:rPr>
        <w:tab/>
      </w:r>
      <w:r>
        <w:rPr>
          <w:noProof/>
        </w:rPr>
        <w:fldChar w:fldCharType="begin"/>
      </w:r>
      <w:r>
        <w:rPr>
          <w:noProof/>
        </w:rPr>
        <w:instrText xml:space="preserve"> PAGEREF _Toc374030045 \h </w:instrText>
      </w:r>
      <w:r>
        <w:rPr>
          <w:noProof/>
        </w:rPr>
      </w:r>
      <w:r>
        <w:rPr>
          <w:noProof/>
        </w:rPr>
        <w:fldChar w:fldCharType="separate"/>
      </w:r>
      <w:r>
        <w:rPr>
          <w:noProof/>
        </w:rPr>
        <w:t>36</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4.1</w:t>
      </w:r>
      <w:r>
        <w:rPr>
          <w:rFonts w:asciiTheme="minorHAnsi" w:eastAsiaTheme="minorEastAsia" w:hAnsiTheme="minorHAnsi" w:cstheme="minorBidi"/>
          <w:noProof/>
          <w:sz w:val="22"/>
          <w:szCs w:val="22"/>
        </w:rPr>
        <w:tab/>
      </w:r>
      <w:r>
        <w:rPr>
          <w:noProof/>
        </w:rPr>
        <w:t>Опыт ВШЭ  в развитии лучших практик высшего образования</w:t>
      </w:r>
      <w:r>
        <w:rPr>
          <w:noProof/>
        </w:rPr>
        <w:tab/>
      </w:r>
      <w:r>
        <w:rPr>
          <w:noProof/>
        </w:rPr>
        <w:fldChar w:fldCharType="begin"/>
      </w:r>
      <w:r>
        <w:rPr>
          <w:noProof/>
        </w:rPr>
        <w:instrText xml:space="preserve"> PAGEREF _Toc374030046 \h </w:instrText>
      </w:r>
      <w:r>
        <w:rPr>
          <w:noProof/>
        </w:rPr>
      </w:r>
      <w:r>
        <w:rPr>
          <w:noProof/>
        </w:rPr>
        <w:fldChar w:fldCharType="separate"/>
      </w:r>
      <w:r>
        <w:rPr>
          <w:noProof/>
        </w:rPr>
        <w:t>36</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4.2</w:t>
      </w:r>
      <w:r>
        <w:rPr>
          <w:rFonts w:asciiTheme="minorHAnsi" w:eastAsiaTheme="minorEastAsia" w:hAnsiTheme="minorHAnsi" w:cstheme="minorBidi"/>
          <w:noProof/>
          <w:sz w:val="22"/>
          <w:szCs w:val="22"/>
        </w:rPr>
        <w:tab/>
      </w:r>
      <w:r>
        <w:rPr>
          <w:noProof/>
        </w:rPr>
        <w:t>Реализация компетентностного подхода</w:t>
      </w:r>
      <w:r>
        <w:rPr>
          <w:noProof/>
        </w:rPr>
        <w:tab/>
      </w:r>
      <w:r>
        <w:rPr>
          <w:noProof/>
        </w:rPr>
        <w:fldChar w:fldCharType="begin"/>
      </w:r>
      <w:r>
        <w:rPr>
          <w:noProof/>
        </w:rPr>
        <w:instrText xml:space="preserve"> PAGEREF _Toc374030047 \h </w:instrText>
      </w:r>
      <w:r>
        <w:rPr>
          <w:noProof/>
        </w:rPr>
      </w:r>
      <w:r>
        <w:rPr>
          <w:noProof/>
        </w:rPr>
        <w:fldChar w:fldCharType="separate"/>
      </w:r>
      <w:r>
        <w:rPr>
          <w:noProof/>
        </w:rPr>
        <w:t>37</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4.3</w:t>
      </w:r>
      <w:r>
        <w:rPr>
          <w:rFonts w:asciiTheme="minorHAnsi" w:eastAsiaTheme="minorEastAsia" w:hAnsiTheme="minorHAnsi" w:cstheme="minorBidi"/>
          <w:noProof/>
          <w:sz w:val="22"/>
          <w:szCs w:val="22"/>
        </w:rPr>
        <w:tab/>
      </w:r>
      <w:r>
        <w:rPr>
          <w:noProof/>
        </w:rPr>
        <w:t>Контрольно-измерительные материалы нового поколения</w:t>
      </w:r>
      <w:r>
        <w:rPr>
          <w:noProof/>
        </w:rPr>
        <w:tab/>
      </w:r>
      <w:r>
        <w:rPr>
          <w:noProof/>
        </w:rPr>
        <w:fldChar w:fldCharType="begin"/>
      </w:r>
      <w:r>
        <w:rPr>
          <w:noProof/>
        </w:rPr>
        <w:instrText xml:space="preserve"> PAGEREF _Toc374030048 \h </w:instrText>
      </w:r>
      <w:r>
        <w:rPr>
          <w:noProof/>
        </w:rPr>
      </w:r>
      <w:r>
        <w:rPr>
          <w:noProof/>
        </w:rPr>
        <w:fldChar w:fldCharType="separate"/>
      </w:r>
      <w:r>
        <w:rPr>
          <w:noProof/>
        </w:rPr>
        <w:t>40</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4.4</w:t>
      </w:r>
      <w:r>
        <w:rPr>
          <w:rFonts w:asciiTheme="minorHAnsi" w:eastAsiaTheme="minorEastAsia" w:hAnsiTheme="minorHAnsi" w:cstheme="minorBidi"/>
          <w:noProof/>
          <w:sz w:val="22"/>
          <w:szCs w:val="22"/>
        </w:rPr>
        <w:tab/>
      </w:r>
      <w:r>
        <w:rPr>
          <w:noProof/>
        </w:rPr>
        <w:t>Анализ размещения программ учебных дисциплин  на портале, выборочный анализ качества программ дисциплин</w:t>
      </w:r>
      <w:r>
        <w:rPr>
          <w:noProof/>
        </w:rPr>
        <w:tab/>
      </w:r>
      <w:r>
        <w:rPr>
          <w:noProof/>
        </w:rPr>
        <w:fldChar w:fldCharType="begin"/>
      </w:r>
      <w:r>
        <w:rPr>
          <w:noProof/>
        </w:rPr>
        <w:instrText xml:space="preserve"> PAGEREF _Toc374030049 \h </w:instrText>
      </w:r>
      <w:r>
        <w:rPr>
          <w:noProof/>
        </w:rPr>
      </w:r>
      <w:r>
        <w:rPr>
          <w:noProof/>
        </w:rPr>
        <w:fldChar w:fldCharType="separate"/>
      </w:r>
      <w:r>
        <w:rPr>
          <w:noProof/>
        </w:rPr>
        <w:t>42</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4.5</w:t>
      </w:r>
      <w:r>
        <w:rPr>
          <w:rFonts w:asciiTheme="minorHAnsi" w:eastAsiaTheme="minorEastAsia" w:hAnsiTheme="minorHAnsi" w:cstheme="minorBidi"/>
          <w:noProof/>
          <w:sz w:val="22"/>
          <w:szCs w:val="22"/>
        </w:rPr>
        <w:tab/>
      </w:r>
      <w:r>
        <w:rPr>
          <w:noProof/>
        </w:rPr>
        <w:t>Семинары по методической поддержке преподавателей и административного персонала</w:t>
      </w:r>
      <w:r>
        <w:rPr>
          <w:noProof/>
        </w:rPr>
        <w:tab/>
      </w:r>
      <w:r>
        <w:rPr>
          <w:noProof/>
        </w:rPr>
        <w:fldChar w:fldCharType="begin"/>
      </w:r>
      <w:r>
        <w:rPr>
          <w:noProof/>
        </w:rPr>
        <w:instrText xml:space="preserve"> PAGEREF _Toc374030050 \h </w:instrText>
      </w:r>
      <w:r>
        <w:rPr>
          <w:noProof/>
        </w:rPr>
      </w:r>
      <w:r>
        <w:rPr>
          <w:noProof/>
        </w:rPr>
        <w:fldChar w:fldCharType="separate"/>
      </w:r>
      <w:r>
        <w:rPr>
          <w:noProof/>
        </w:rPr>
        <w:t>46</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4.6</w:t>
      </w:r>
      <w:r>
        <w:rPr>
          <w:rFonts w:asciiTheme="minorHAnsi" w:eastAsiaTheme="minorEastAsia" w:hAnsiTheme="minorHAnsi" w:cstheme="minorBidi"/>
          <w:noProof/>
          <w:sz w:val="22"/>
          <w:szCs w:val="22"/>
        </w:rPr>
        <w:tab/>
      </w:r>
      <w:r>
        <w:rPr>
          <w:noProof/>
        </w:rPr>
        <w:t>Поддержка образовательных проектов через фонд образовательных инноваций</w:t>
      </w:r>
      <w:r>
        <w:rPr>
          <w:noProof/>
        </w:rPr>
        <w:tab/>
      </w:r>
      <w:r>
        <w:rPr>
          <w:noProof/>
        </w:rPr>
        <w:fldChar w:fldCharType="begin"/>
      </w:r>
      <w:r>
        <w:rPr>
          <w:noProof/>
        </w:rPr>
        <w:instrText xml:space="preserve"> PAGEREF _Toc374030051 \h </w:instrText>
      </w:r>
      <w:r>
        <w:rPr>
          <w:noProof/>
        </w:rPr>
      </w:r>
      <w:r>
        <w:rPr>
          <w:noProof/>
        </w:rPr>
        <w:fldChar w:fldCharType="separate"/>
      </w:r>
      <w:r>
        <w:rPr>
          <w:noProof/>
        </w:rPr>
        <w:t>48</w:t>
      </w:r>
      <w:r>
        <w:rPr>
          <w:noProof/>
        </w:rPr>
        <w:fldChar w:fldCharType="end"/>
      </w:r>
    </w:p>
    <w:p w:rsidR="00A92FA1" w:rsidRDefault="00A92FA1">
      <w:pPr>
        <w:pStyle w:val="11"/>
        <w:tabs>
          <w:tab w:val="left" w:pos="480"/>
          <w:tab w:val="right" w:leader="dot" w:pos="9339"/>
        </w:tabs>
        <w:rPr>
          <w:rFonts w:asciiTheme="minorHAnsi" w:eastAsiaTheme="minorEastAsia" w:hAnsiTheme="minorHAnsi" w:cstheme="minorBidi"/>
          <w:noProof/>
          <w:sz w:val="22"/>
          <w:szCs w:val="22"/>
        </w:rPr>
      </w:pPr>
      <w:r w:rsidRPr="002E2B46">
        <w:rPr>
          <w:noProof/>
        </w:rPr>
        <w:t>5.</w:t>
      </w:r>
      <w:r>
        <w:rPr>
          <w:rFonts w:asciiTheme="minorHAnsi" w:eastAsiaTheme="minorEastAsia" w:hAnsiTheme="minorHAnsi" w:cstheme="minorBidi"/>
          <w:noProof/>
          <w:sz w:val="22"/>
          <w:szCs w:val="22"/>
        </w:rPr>
        <w:tab/>
      </w:r>
      <w:r>
        <w:rPr>
          <w:noProof/>
        </w:rPr>
        <w:t>Образовательные результаты студентов</w:t>
      </w:r>
      <w:r>
        <w:rPr>
          <w:noProof/>
        </w:rPr>
        <w:tab/>
      </w:r>
      <w:r>
        <w:rPr>
          <w:noProof/>
        </w:rPr>
        <w:fldChar w:fldCharType="begin"/>
      </w:r>
      <w:r>
        <w:rPr>
          <w:noProof/>
        </w:rPr>
        <w:instrText xml:space="preserve"> PAGEREF _Toc374030052 \h </w:instrText>
      </w:r>
      <w:r>
        <w:rPr>
          <w:noProof/>
        </w:rPr>
      </w:r>
      <w:r>
        <w:rPr>
          <w:noProof/>
        </w:rPr>
        <w:fldChar w:fldCharType="separate"/>
      </w:r>
      <w:r>
        <w:rPr>
          <w:noProof/>
        </w:rPr>
        <w:t>50</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5.1</w:t>
      </w:r>
      <w:r>
        <w:rPr>
          <w:rFonts w:asciiTheme="minorHAnsi" w:eastAsiaTheme="minorEastAsia" w:hAnsiTheme="minorHAnsi" w:cstheme="minorBidi"/>
          <w:noProof/>
          <w:sz w:val="22"/>
          <w:szCs w:val="22"/>
        </w:rPr>
        <w:tab/>
      </w:r>
      <w:r>
        <w:rPr>
          <w:noProof/>
        </w:rPr>
        <w:t>Анализ успеваемости студентов</w:t>
      </w:r>
      <w:r>
        <w:rPr>
          <w:noProof/>
        </w:rPr>
        <w:tab/>
      </w:r>
      <w:r>
        <w:rPr>
          <w:noProof/>
        </w:rPr>
        <w:fldChar w:fldCharType="begin"/>
      </w:r>
      <w:r>
        <w:rPr>
          <w:noProof/>
        </w:rPr>
        <w:instrText xml:space="preserve"> PAGEREF _Toc374030053 \h </w:instrText>
      </w:r>
      <w:r>
        <w:rPr>
          <w:noProof/>
        </w:rPr>
      </w:r>
      <w:r>
        <w:rPr>
          <w:noProof/>
        </w:rPr>
        <w:fldChar w:fldCharType="separate"/>
      </w:r>
      <w:r>
        <w:rPr>
          <w:noProof/>
        </w:rPr>
        <w:t>50</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5.2</w:t>
      </w:r>
      <w:r>
        <w:rPr>
          <w:rFonts w:asciiTheme="minorHAnsi" w:eastAsiaTheme="minorEastAsia" w:hAnsiTheme="minorHAnsi" w:cstheme="minorBidi"/>
          <w:noProof/>
          <w:sz w:val="22"/>
          <w:szCs w:val="22"/>
        </w:rPr>
        <w:tab/>
      </w:r>
      <w:r>
        <w:rPr>
          <w:noProof/>
        </w:rPr>
        <w:t>Сравнение успеваемости студентов, поступивших по результатам олимпиад, и студентов, поступивших по ЕГЭ, в динамике за 3 года</w:t>
      </w:r>
      <w:r>
        <w:rPr>
          <w:noProof/>
        </w:rPr>
        <w:tab/>
      </w:r>
      <w:r>
        <w:rPr>
          <w:noProof/>
        </w:rPr>
        <w:fldChar w:fldCharType="begin"/>
      </w:r>
      <w:r>
        <w:rPr>
          <w:noProof/>
        </w:rPr>
        <w:instrText xml:space="preserve"> PAGEREF _Toc374030054 \h </w:instrText>
      </w:r>
      <w:r>
        <w:rPr>
          <w:noProof/>
        </w:rPr>
      </w:r>
      <w:r>
        <w:rPr>
          <w:noProof/>
        </w:rPr>
        <w:fldChar w:fldCharType="separate"/>
      </w:r>
      <w:r>
        <w:rPr>
          <w:noProof/>
        </w:rPr>
        <w:t>52</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5.3</w:t>
      </w:r>
      <w:r>
        <w:rPr>
          <w:rFonts w:asciiTheme="minorHAnsi" w:eastAsiaTheme="minorEastAsia" w:hAnsiTheme="minorHAnsi" w:cstheme="minorBidi"/>
          <w:noProof/>
          <w:sz w:val="22"/>
          <w:szCs w:val="22"/>
        </w:rPr>
        <w:tab/>
      </w:r>
      <w:r>
        <w:rPr>
          <w:noProof/>
        </w:rPr>
        <w:t>Динамика отчислений студентов по курсам, по причинам отчисления, по признаку Бюджет/коммерция</w:t>
      </w:r>
      <w:r>
        <w:rPr>
          <w:noProof/>
        </w:rPr>
        <w:tab/>
      </w:r>
      <w:r>
        <w:rPr>
          <w:noProof/>
        </w:rPr>
        <w:fldChar w:fldCharType="begin"/>
      </w:r>
      <w:r>
        <w:rPr>
          <w:noProof/>
        </w:rPr>
        <w:instrText xml:space="preserve"> PAGEREF _Toc374030055 \h </w:instrText>
      </w:r>
      <w:r>
        <w:rPr>
          <w:noProof/>
        </w:rPr>
      </w:r>
      <w:r>
        <w:rPr>
          <w:noProof/>
        </w:rPr>
        <w:fldChar w:fldCharType="separate"/>
      </w:r>
      <w:r>
        <w:rPr>
          <w:noProof/>
        </w:rPr>
        <w:t>59</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5.4</w:t>
      </w:r>
      <w:r>
        <w:rPr>
          <w:rFonts w:asciiTheme="minorHAnsi" w:eastAsiaTheme="minorEastAsia" w:hAnsiTheme="minorHAnsi" w:cstheme="minorBidi"/>
          <w:noProof/>
          <w:sz w:val="22"/>
          <w:szCs w:val="22"/>
        </w:rPr>
        <w:tab/>
      </w:r>
      <w:r>
        <w:rPr>
          <w:noProof/>
        </w:rPr>
        <w:t>Анализ предоставления студентам индивидуальных учебных планов по различным основаниям</w:t>
      </w:r>
      <w:r>
        <w:rPr>
          <w:noProof/>
        </w:rPr>
        <w:tab/>
      </w:r>
      <w:r>
        <w:rPr>
          <w:noProof/>
        </w:rPr>
        <w:fldChar w:fldCharType="begin"/>
      </w:r>
      <w:r>
        <w:rPr>
          <w:noProof/>
        </w:rPr>
        <w:instrText xml:space="preserve"> PAGEREF _Toc374030056 \h </w:instrText>
      </w:r>
      <w:r>
        <w:rPr>
          <w:noProof/>
        </w:rPr>
      </w:r>
      <w:r>
        <w:rPr>
          <w:noProof/>
        </w:rPr>
        <w:fldChar w:fldCharType="separate"/>
      </w:r>
      <w:r>
        <w:rPr>
          <w:noProof/>
        </w:rPr>
        <w:t>77</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5.5</w:t>
      </w:r>
      <w:r>
        <w:rPr>
          <w:rFonts w:asciiTheme="minorHAnsi" w:eastAsiaTheme="minorEastAsia" w:hAnsiTheme="minorHAnsi" w:cstheme="minorBidi"/>
          <w:noProof/>
          <w:sz w:val="22"/>
          <w:szCs w:val="22"/>
        </w:rPr>
        <w:tab/>
      </w:r>
      <w:r>
        <w:rPr>
          <w:noProof/>
        </w:rPr>
        <w:t>Перевод студентов с платных мест обучения на бесплатные</w:t>
      </w:r>
      <w:r>
        <w:rPr>
          <w:noProof/>
        </w:rPr>
        <w:tab/>
      </w:r>
      <w:r>
        <w:rPr>
          <w:noProof/>
        </w:rPr>
        <w:fldChar w:fldCharType="begin"/>
      </w:r>
      <w:r>
        <w:rPr>
          <w:noProof/>
        </w:rPr>
        <w:instrText xml:space="preserve"> PAGEREF _Toc374030057 \h </w:instrText>
      </w:r>
      <w:r>
        <w:rPr>
          <w:noProof/>
        </w:rPr>
      </w:r>
      <w:r>
        <w:rPr>
          <w:noProof/>
        </w:rPr>
        <w:fldChar w:fldCharType="separate"/>
      </w:r>
      <w:r>
        <w:rPr>
          <w:noProof/>
        </w:rPr>
        <w:t>83</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5.6</w:t>
      </w:r>
      <w:r>
        <w:rPr>
          <w:rFonts w:asciiTheme="minorHAnsi" w:eastAsiaTheme="minorEastAsia" w:hAnsiTheme="minorHAnsi" w:cstheme="minorBidi"/>
          <w:noProof/>
          <w:sz w:val="22"/>
          <w:szCs w:val="22"/>
        </w:rPr>
        <w:tab/>
      </w:r>
      <w:r>
        <w:rPr>
          <w:noProof/>
        </w:rPr>
        <w:t>Анализ перевода студентов внутри НИУ ВШЭ</w:t>
      </w:r>
      <w:r>
        <w:rPr>
          <w:noProof/>
        </w:rPr>
        <w:tab/>
      </w:r>
      <w:r>
        <w:rPr>
          <w:noProof/>
        </w:rPr>
        <w:fldChar w:fldCharType="begin"/>
      </w:r>
      <w:r>
        <w:rPr>
          <w:noProof/>
        </w:rPr>
        <w:instrText xml:space="preserve"> PAGEREF _Toc374030058 \h </w:instrText>
      </w:r>
      <w:r>
        <w:rPr>
          <w:noProof/>
        </w:rPr>
      </w:r>
      <w:r>
        <w:rPr>
          <w:noProof/>
        </w:rPr>
        <w:fldChar w:fldCharType="separate"/>
      </w:r>
      <w:r>
        <w:rPr>
          <w:noProof/>
        </w:rPr>
        <w:t>86</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5.7</w:t>
      </w:r>
      <w:r>
        <w:rPr>
          <w:rFonts w:asciiTheme="minorHAnsi" w:eastAsiaTheme="minorEastAsia" w:hAnsiTheme="minorHAnsi" w:cstheme="minorBidi"/>
          <w:noProof/>
          <w:sz w:val="22"/>
          <w:szCs w:val="22"/>
        </w:rPr>
        <w:tab/>
      </w:r>
      <w:r>
        <w:rPr>
          <w:noProof/>
        </w:rPr>
        <w:t>Выживаемость контингента студентов на первоначальном  факультете (в сравнении за три последних года) (graduation rate)</w:t>
      </w:r>
      <w:r>
        <w:rPr>
          <w:noProof/>
        </w:rPr>
        <w:tab/>
      </w:r>
      <w:r>
        <w:rPr>
          <w:noProof/>
        </w:rPr>
        <w:fldChar w:fldCharType="begin"/>
      </w:r>
      <w:r>
        <w:rPr>
          <w:noProof/>
        </w:rPr>
        <w:instrText xml:space="preserve"> PAGEREF _Toc374030059 \h </w:instrText>
      </w:r>
      <w:r>
        <w:rPr>
          <w:noProof/>
        </w:rPr>
      </w:r>
      <w:r>
        <w:rPr>
          <w:noProof/>
        </w:rPr>
        <w:fldChar w:fldCharType="separate"/>
      </w:r>
      <w:r>
        <w:rPr>
          <w:noProof/>
        </w:rPr>
        <w:t>87</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5.8</w:t>
      </w:r>
      <w:r>
        <w:rPr>
          <w:rFonts w:asciiTheme="minorHAnsi" w:eastAsiaTheme="minorEastAsia" w:hAnsiTheme="minorHAnsi" w:cstheme="minorBidi"/>
          <w:noProof/>
          <w:sz w:val="22"/>
          <w:szCs w:val="22"/>
        </w:rPr>
        <w:tab/>
      </w:r>
      <w:r>
        <w:rPr>
          <w:noProof/>
        </w:rPr>
        <w:t>Внешняя оценка знаний студентов по английскому языку</w:t>
      </w:r>
      <w:r>
        <w:rPr>
          <w:noProof/>
        </w:rPr>
        <w:tab/>
      </w:r>
      <w:r>
        <w:rPr>
          <w:noProof/>
        </w:rPr>
        <w:fldChar w:fldCharType="begin"/>
      </w:r>
      <w:r>
        <w:rPr>
          <w:noProof/>
        </w:rPr>
        <w:instrText xml:space="preserve"> PAGEREF _Toc374030060 \h </w:instrText>
      </w:r>
      <w:r>
        <w:rPr>
          <w:noProof/>
        </w:rPr>
      </w:r>
      <w:r>
        <w:rPr>
          <w:noProof/>
        </w:rPr>
        <w:fldChar w:fldCharType="separate"/>
      </w:r>
      <w:r>
        <w:rPr>
          <w:noProof/>
        </w:rPr>
        <w:t>94</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5.8.1</w:t>
      </w:r>
      <w:r>
        <w:rPr>
          <w:rFonts w:asciiTheme="minorHAnsi" w:eastAsiaTheme="minorEastAsia" w:hAnsiTheme="minorHAnsi" w:cstheme="minorBidi"/>
          <w:noProof/>
          <w:sz w:val="22"/>
          <w:szCs w:val="22"/>
        </w:rPr>
        <w:tab/>
      </w:r>
      <w:r>
        <w:rPr>
          <w:noProof/>
        </w:rPr>
        <w:t>Итоги проведения экзамена по английскому языку по правилам международных экзаменов IELTS и BEC</w:t>
      </w:r>
      <w:r>
        <w:rPr>
          <w:noProof/>
        </w:rPr>
        <w:tab/>
      </w:r>
      <w:r>
        <w:rPr>
          <w:noProof/>
        </w:rPr>
        <w:fldChar w:fldCharType="begin"/>
      </w:r>
      <w:r>
        <w:rPr>
          <w:noProof/>
        </w:rPr>
        <w:instrText xml:space="preserve"> PAGEREF _Toc374030061 \h </w:instrText>
      </w:r>
      <w:r>
        <w:rPr>
          <w:noProof/>
        </w:rPr>
      </w:r>
      <w:r>
        <w:rPr>
          <w:noProof/>
        </w:rPr>
        <w:fldChar w:fldCharType="separate"/>
      </w:r>
      <w:r>
        <w:rPr>
          <w:noProof/>
        </w:rPr>
        <w:t>94</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5.8.2</w:t>
      </w:r>
      <w:r>
        <w:rPr>
          <w:rFonts w:asciiTheme="minorHAnsi" w:eastAsiaTheme="minorEastAsia" w:hAnsiTheme="minorHAnsi" w:cstheme="minorBidi"/>
          <w:noProof/>
          <w:sz w:val="22"/>
          <w:szCs w:val="22"/>
        </w:rPr>
        <w:tab/>
      </w:r>
      <w:r>
        <w:rPr>
          <w:noProof/>
        </w:rPr>
        <w:t>О зачете результатов международных экзаменов по английскому языку   в качестве оценки по дисциплине “Иностранный язык”</w:t>
      </w:r>
      <w:r>
        <w:rPr>
          <w:noProof/>
        </w:rPr>
        <w:tab/>
      </w:r>
      <w:r>
        <w:rPr>
          <w:noProof/>
        </w:rPr>
        <w:fldChar w:fldCharType="begin"/>
      </w:r>
      <w:r>
        <w:rPr>
          <w:noProof/>
        </w:rPr>
        <w:instrText xml:space="preserve"> PAGEREF _Toc374030062 \h </w:instrText>
      </w:r>
      <w:r>
        <w:rPr>
          <w:noProof/>
        </w:rPr>
      </w:r>
      <w:r>
        <w:rPr>
          <w:noProof/>
        </w:rPr>
        <w:fldChar w:fldCharType="separate"/>
      </w:r>
      <w:r>
        <w:rPr>
          <w:noProof/>
        </w:rPr>
        <w:t>103</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5.9</w:t>
      </w:r>
      <w:r>
        <w:rPr>
          <w:rFonts w:asciiTheme="minorHAnsi" w:eastAsiaTheme="minorEastAsia" w:hAnsiTheme="minorHAnsi" w:cstheme="minorBidi"/>
          <w:noProof/>
          <w:sz w:val="22"/>
          <w:szCs w:val="22"/>
        </w:rPr>
        <w:tab/>
      </w:r>
      <w:r>
        <w:rPr>
          <w:noProof/>
        </w:rPr>
        <w:t>Результаты итоговой государственной аттестации</w:t>
      </w:r>
      <w:r>
        <w:rPr>
          <w:noProof/>
        </w:rPr>
        <w:tab/>
      </w:r>
      <w:r>
        <w:rPr>
          <w:noProof/>
        </w:rPr>
        <w:fldChar w:fldCharType="begin"/>
      </w:r>
      <w:r>
        <w:rPr>
          <w:noProof/>
        </w:rPr>
        <w:instrText xml:space="preserve"> PAGEREF _Toc374030063 \h </w:instrText>
      </w:r>
      <w:r>
        <w:rPr>
          <w:noProof/>
        </w:rPr>
      </w:r>
      <w:r>
        <w:rPr>
          <w:noProof/>
        </w:rPr>
        <w:fldChar w:fldCharType="separate"/>
      </w:r>
      <w:r>
        <w:rPr>
          <w:noProof/>
        </w:rPr>
        <w:t>106</w:t>
      </w:r>
      <w:r>
        <w:rPr>
          <w:noProof/>
        </w:rPr>
        <w:fldChar w:fldCharType="end"/>
      </w:r>
    </w:p>
    <w:p w:rsidR="00A92FA1" w:rsidRDefault="00A92FA1">
      <w:pPr>
        <w:pStyle w:val="11"/>
        <w:tabs>
          <w:tab w:val="left" w:pos="480"/>
          <w:tab w:val="right" w:leader="dot" w:pos="9339"/>
        </w:tabs>
        <w:rPr>
          <w:rFonts w:asciiTheme="minorHAnsi" w:eastAsiaTheme="minorEastAsia" w:hAnsiTheme="minorHAnsi" w:cstheme="minorBidi"/>
          <w:noProof/>
          <w:sz w:val="22"/>
          <w:szCs w:val="22"/>
        </w:rPr>
      </w:pPr>
      <w:r w:rsidRPr="002E2B46">
        <w:rPr>
          <w:noProof/>
        </w:rPr>
        <w:t>6.</w:t>
      </w:r>
      <w:r>
        <w:rPr>
          <w:rFonts w:asciiTheme="minorHAnsi" w:eastAsiaTheme="minorEastAsia" w:hAnsiTheme="minorHAnsi" w:cstheme="minorBidi"/>
          <w:noProof/>
          <w:sz w:val="22"/>
          <w:szCs w:val="22"/>
        </w:rPr>
        <w:tab/>
      </w:r>
      <w:r>
        <w:rPr>
          <w:noProof/>
        </w:rPr>
        <w:t>Академическая мобильность студентов НИУ ВШЭ</w:t>
      </w:r>
      <w:r>
        <w:rPr>
          <w:noProof/>
        </w:rPr>
        <w:tab/>
      </w:r>
      <w:r>
        <w:rPr>
          <w:noProof/>
        </w:rPr>
        <w:fldChar w:fldCharType="begin"/>
      </w:r>
      <w:r>
        <w:rPr>
          <w:noProof/>
        </w:rPr>
        <w:instrText xml:space="preserve"> PAGEREF _Toc374030064 \h </w:instrText>
      </w:r>
      <w:r>
        <w:rPr>
          <w:noProof/>
        </w:rPr>
      </w:r>
      <w:r>
        <w:rPr>
          <w:noProof/>
        </w:rPr>
        <w:fldChar w:fldCharType="separate"/>
      </w:r>
      <w:r>
        <w:rPr>
          <w:noProof/>
        </w:rPr>
        <w:t>114</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6.1</w:t>
      </w:r>
      <w:r>
        <w:rPr>
          <w:rFonts w:asciiTheme="minorHAnsi" w:eastAsiaTheme="minorEastAsia" w:hAnsiTheme="minorHAnsi" w:cstheme="minorBidi"/>
          <w:noProof/>
          <w:sz w:val="22"/>
          <w:szCs w:val="22"/>
        </w:rPr>
        <w:tab/>
      </w:r>
      <w:r>
        <w:rPr>
          <w:noProof/>
        </w:rPr>
        <w:t>Новые возможности академической мобильности студентов НИУ ВШЭ</w:t>
      </w:r>
      <w:r>
        <w:rPr>
          <w:noProof/>
        </w:rPr>
        <w:tab/>
      </w:r>
      <w:r>
        <w:rPr>
          <w:noProof/>
        </w:rPr>
        <w:fldChar w:fldCharType="begin"/>
      </w:r>
      <w:r>
        <w:rPr>
          <w:noProof/>
        </w:rPr>
        <w:instrText xml:space="preserve"> PAGEREF _Toc374030065 \h </w:instrText>
      </w:r>
      <w:r>
        <w:rPr>
          <w:noProof/>
        </w:rPr>
      </w:r>
      <w:r>
        <w:rPr>
          <w:noProof/>
        </w:rPr>
        <w:fldChar w:fldCharType="separate"/>
      </w:r>
      <w:r>
        <w:rPr>
          <w:noProof/>
        </w:rPr>
        <w:t>114</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6.2</w:t>
      </w:r>
      <w:r>
        <w:rPr>
          <w:rFonts w:asciiTheme="minorHAnsi" w:eastAsiaTheme="minorEastAsia" w:hAnsiTheme="minorHAnsi" w:cstheme="minorBidi"/>
          <w:noProof/>
          <w:sz w:val="22"/>
          <w:szCs w:val="22"/>
        </w:rPr>
        <w:tab/>
      </w:r>
      <w:r>
        <w:rPr>
          <w:noProof/>
        </w:rPr>
        <w:t>Смена направлений подготовки студентами при поступлении в магистратуру</w:t>
      </w:r>
      <w:r>
        <w:rPr>
          <w:noProof/>
        </w:rPr>
        <w:tab/>
      </w:r>
      <w:r>
        <w:rPr>
          <w:noProof/>
        </w:rPr>
        <w:fldChar w:fldCharType="begin"/>
      </w:r>
      <w:r>
        <w:rPr>
          <w:noProof/>
        </w:rPr>
        <w:instrText xml:space="preserve"> PAGEREF _Toc374030066 \h </w:instrText>
      </w:r>
      <w:r>
        <w:rPr>
          <w:noProof/>
        </w:rPr>
      </w:r>
      <w:r>
        <w:rPr>
          <w:noProof/>
        </w:rPr>
        <w:fldChar w:fldCharType="separate"/>
      </w:r>
      <w:r>
        <w:rPr>
          <w:noProof/>
        </w:rPr>
        <w:t>116</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lastRenderedPageBreak/>
        <w:t>6.3</w:t>
      </w:r>
      <w:r>
        <w:rPr>
          <w:rFonts w:asciiTheme="minorHAnsi" w:eastAsiaTheme="minorEastAsia" w:hAnsiTheme="minorHAnsi" w:cstheme="minorBidi"/>
          <w:noProof/>
          <w:sz w:val="22"/>
          <w:szCs w:val="22"/>
        </w:rPr>
        <w:tab/>
      </w:r>
      <w:r>
        <w:rPr>
          <w:noProof/>
        </w:rPr>
        <w:t>Международная  академическая мобильность студентов НИУ ВШЭ</w:t>
      </w:r>
      <w:r>
        <w:rPr>
          <w:noProof/>
        </w:rPr>
        <w:tab/>
      </w:r>
      <w:r>
        <w:rPr>
          <w:noProof/>
        </w:rPr>
        <w:fldChar w:fldCharType="begin"/>
      </w:r>
      <w:r>
        <w:rPr>
          <w:noProof/>
        </w:rPr>
        <w:instrText xml:space="preserve"> PAGEREF _Toc374030067 \h </w:instrText>
      </w:r>
      <w:r>
        <w:rPr>
          <w:noProof/>
        </w:rPr>
      </w:r>
      <w:r>
        <w:rPr>
          <w:noProof/>
        </w:rPr>
        <w:fldChar w:fldCharType="separate"/>
      </w:r>
      <w:r>
        <w:rPr>
          <w:noProof/>
        </w:rPr>
        <w:t>119</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rFonts w:asciiTheme="minorHAnsi" w:hAnsiTheme="minorHAnsi"/>
          <w:noProof/>
        </w:rPr>
        <w:t>6.4</w:t>
      </w:r>
      <w:r>
        <w:rPr>
          <w:rFonts w:asciiTheme="minorHAnsi" w:eastAsiaTheme="minorEastAsia" w:hAnsiTheme="minorHAnsi" w:cstheme="minorBidi"/>
          <w:noProof/>
          <w:sz w:val="22"/>
          <w:szCs w:val="22"/>
        </w:rPr>
        <w:tab/>
      </w:r>
      <w:r>
        <w:rPr>
          <w:noProof/>
        </w:rPr>
        <w:t>Обучение студентов МИЭФ на международных образовательных программах</w:t>
      </w:r>
      <w:r>
        <w:rPr>
          <w:noProof/>
        </w:rPr>
        <w:tab/>
      </w:r>
      <w:r>
        <w:rPr>
          <w:noProof/>
        </w:rPr>
        <w:fldChar w:fldCharType="begin"/>
      </w:r>
      <w:r>
        <w:rPr>
          <w:noProof/>
        </w:rPr>
        <w:instrText xml:space="preserve"> PAGEREF _Toc374030068 \h </w:instrText>
      </w:r>
      <w:r>
        <w:rPr>
          <w:noProof/>
        </w:rPr>
      </w:r>
      <w:r>
        <w:rPr>
          <w:noProof/>
        </w:rPr>
        <w:fldChar w:fldCharType="separate"/>
      </w:r>
      <w:r>
        <w:rPr>
          <w:noProof/>
        </w:rPr>
        <w:t>126</w:t>
      </w:r>
      <w:r>
        <w:rPr>
          <w:noProof/>
        </w:rPr>
        <w:fldChar w:fldCharType="end"/>
      </w:r>
    </w:p>
    <w:p w:rsidR="00A92FA1" w:rsidRDefault="00A92FA1">
      <w:pPr>
        <w:pStyle w:val="11"/>
        <w:tabs>
          <w:tab w:val="left" w:pos="480"/>
          <w:tab w:val="right" w:leader="dot" w:pos="9339"/>
        </w:tabs>
        <w:rPr>
          <w:rFonts w:asciiTheme="minorHAnsi" w:eastAsiaTheme="minorEastAsia" w:hAnsiTheme="minorHAnsi" w:cstheme="minorBidi"/>
          <w:noProof/>
          <w:sz w:val="22"/>
          <w:szCs w:val="22"/>
        </w:rPr>
      </w:pPr>
      <w:r w:rsidRPr="002E2B46">
        <w:rPr>
          <w:noProof/>
        </w:rPr>
        <w:t>7.</w:t>
      </w:r>
      <w:r>
        <w:rPr>
          <w:rFonts w:asciiTheme="minorHAnsi" w:eastAsiaTheme="minorEastAsia" w:hAnsiTheme="minorHAnsi" w:cstheme="minorBidi"/>
          <w:noProof/>
          <w:sz w:val="22"/>
          <w:szCs w:val="22"/>
        </w:rPr>
        <w:tab/>
      </w:r>
      <w:r>
        <w:rPr>
          <w:noProof/>
        </w:rPr>
        <w:t>Интернационализация образовательной среды НИУ ВШЭ</w:t>
      </w:r>
      <w:r>
        <w:rPr>
          <w:noProof/>
        </w:rPr>
        <w:tab/>
      </w:r>
      <w:r>
        <w:rPr>
          <w:noProof/>
        </w:rPr>
        <w:fldChar w:fldCharType="begin"/>
      </w:r>
      <w:r>
        <w:rPr>
          <w:noProof/>
        </w:rPr>
        <w:instrText xml:space="preserve"> PAGEREF _Toc374030069 \h </w:instrText>
      </w:r>
      <w:r>
        <w:rPr>
          <w:noProof/>
        </w:rPr>
      </w:r>
      <w:r>
        <w:rPr>
          <w:noProof/>
        </w:rPr>
        <w:fldChar w:fldCharType="separate"/>
      </w:r>
      <w:r>
        <w:rPr>
          <w:noProof/>
        </w:rPr>
        <w:t>129</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7.1</w:t>
      </w:r>
      <w:r>
        <w:rPr>
          <w:rFonts w:asciiTheme="minorHAnsi" w:eastAsiaTheme="minorEastAsia" w:hAnsiTheme="minorHAnsi" w:cstheme="minorBidi"/>
          <w:noProof/>
          <w:sz w:val="22"/>
          <w:szCs w:val="22"/>
        </w:rPr>
        <w:tab/>
      </w:r>
      <w:r>
        <w:rPr>
          <w:noProof/>
        </w:rPr>
        <w:t>Обучение иностранных студентов по программам высшего профессионального обучения</w:t>
      </w:r>
      <w:r>
        <w:rPr>
          <w:noProof/>
        </w:rPr>
        <w:tab/>
      </w:r>
      <w:r>
        <w:rPr>
          <w:noProof/>
        </w:rPr>
        <w:fldChar w:fldCharType="begin"/>
      </w:r>
      <w:r>
        <w:rPr>
          <w:noProof/>
        </w:rPr>
        <w:instrText xml:space="preserve"> PAGEREF _Toc374030070 \h </w:instrText>
      </w:r>
      <w:r>
        <w:rPr>
          <w:noProof/>
        </w:rPr>
      </w:r>
      <w:r>
        <w:rPr>
          <w:noProof/>
        </w:rPr>
        <w:fldChar w:fldCharType="separate"/>
      </w:r>
      <w:r>
        <w:rPr>
          <w:noProof/>
        </w:rPr>
        <w:t>129</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7.2</w:t>
      </w:r>
      <w:r>
        <w:rPr>
          <w:rFonts w:asciiTheme="minorHAnsi" w:eastAsiaTheme="minorEastAsia" w:hAnsiTheme="minorHAnsi" w:cstheme="minorBidi"/>
          <w:noProof/>
          <w:sz w:val="22"/>
          <w:szCs w:val="22"/>
        </w:rPr>
        <w:tab/>
      </w:r>
      <w:r>
        <w:rPr>
          <w:noProof/>
        </w:rPr>
        <w:t>Программы включенного обучения (обменные и индивидуальные) и краткосрочные образовательные программы</w:t>
      </w:r>
      <w:r>
        <w:rPr>
          <w:noProof/>
        </w:rPr>
        <w:tab/>
      </w:r>
      <w:r>
        <w:rPr>
          <w:noProof/>
        </w:rPr>
        <w:fldChar w:fldCharType="begin"/>
      </w:r>
      <w:r>
        <w:rPr>
          <w:noProof/>
        </w:rPr>
        <w:instrText xml:space="preserve"> PAGEREF _Toc374030071 \h </w:instrText>
      </w:r>
      <w:r>
        <w:rPr>
          <w:noProof/>
        </w:rPr>
      </w:r>
      <w:r>
        <w:rPr>
          <w:noProof/>
        </w:rPr>
        <w:fldChar w:fldCharType="separate"/>
      </w:r>
      <w:r>
        <w:rPr>
          <w:noProof/>
        </w:rPr>
        <w:t>136</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7.3</w:t>
      </w:r>
      <w:r>
        <w:rPr>
          <w:rFonts w:asciiTheme="minorHAnsi" w:eastAsiaTheme="minorEastAsia" w:hAnsiTheme="minorHAnsi" w:cstheme="minorBidi"/>
          <w:noProof/>
          <w:sz w:val="22"/>
          <w:szCs w:val="22"/>
        </w:rPr>
        <w:tab/>
      </w:r>
      <w:r>
        <w:rPr>
          <w:noProof/>
        </w:rPr>
        <w:t>Участие штатных иностранных преподавателей в реализации образовательных программ</w:t>
      </w:r>
      <w:r>
        <w:rPr>
          <w:noProof/>
        </w:rPr>
        <w:tab/>
      </w:r>
      <w:r>
        <w:rPr>
          <w:noProof/>
        </w:rPr>
        <w:fldChar w:fldCharType="begin"/>
      </w:r>
      <w:r>
        <w:rPr>
          <w:noProof/>
        </w:rPr>
        <w:instrText xml:space="preserve"> PAGEREF _Toc374030072 \h </w:instrText>
      </w:r>
      <w:r>
        <w:rPr>
          <w:noProof/>
        </w:rPr>
      </w:r>
      <w:r>
        <w:rPr>
          <w:noProof/>
        </w:rPr>
        <w:fldChar w:fldCharType="separate"/>
      </w:r>
      <w:r>
        <w:rPr>
          <w:noProof/>
        </w:rPr>
        <w:t>140</w:t>
      </w:r>
      <w:r>
        <w:rPr>
          <w:noProof/>
        </w:rPr>
        <w:fldChar w:fldCharType="end"/>
      </w:r>
    </w:p>
    <w:p w:rsidR="00A92FA1" w:rsidRDefault="00A92FA1">
      <w:pPr>
        <w:pStyle w:val="11"/>
        <w:tabs>
          <w:tab w:val="left" w:pos="480"/>
          <w:tab w:val="right" w:leader="dot" w:pos="9339"/>
        </w:tabs>
        <w:rPr>
          <w:rFonts w:asciiTheme="minorHAnsi" w:eastAsiaTheme="minorEastAsia" w:hAnsiTheme="minorHAnsi" w:cstheme="minorBidi"/>
          <w:noProof/>
          <w:sz w:val="22"/>
          <w:szCs w:val="22"/>
        </w:rPr>
      </w:pPr>
      <w:r w:rsidRPr="002E2B46">
        <w:rPr>
          <w:noProof/>
        </w:rPr>
        <w:t>8.</w:t>
      </w:r>
      <w:r>
        <w:rPr>
          <w:rFonts w:asciiTheme="minorHAnsi" w:eastAsiaTheme="minorEastAsia" w:hAnsiTheme="minorHAnsi" w:cstheme="minorBidi"/>
          <w:noProof/>
          <w:sz w:val="22"/>
          <w:szCs w:val="22"/>
        </w:rPr>
        <w:tab/>
      </w:r>
      <w:r>
        <w:rPr>
          <w:noProof/>
        </w:rPr>
        <w:t>Профессорско-преподавательский состав (ППС) НИУ ВШЭ</w:t>
      </w:r>
      <w:r>
        <w:rPr>
          <w:noProof/>
        </w:rPr>
        <w:tab/>
      </w:r>
      <w:r>
        <w:rPr>
          <w:noProof/>
        </w:rPr>
        <w:fldChar w:fldCharType="begin"/>
      </w:r>
      <w:r>
        <w:rPr>
          <w:noProof/>
        </w:rPr>
        <w:instrText xml:space="preserve"> PAGEREF _Toc374030073 \h </w:instrText>
      </w:r>
      <w:r>
        <w:rPr>
          <w:noProof/>
        </w:rPr>
      </w:r>
      <w:r>
        <w:rPr>
          <w:noProof/>
        </w:rPr>
        <w:fldChar w:fldCharType="separate"/>
      </w:r>
      <w:r>
        <w:rPr>
          <w:noProof/>
        </w:rPr>
        <w:t>143</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8.1</w:t>
      </w:r>
      <w:r>
        <w:rPr>
          <w:rFonts w:asciiTheme="minorHAnsi" w:eastAsiaTheme="minorEastAsia" w:hAnsiTheme="minorHAnsi" w:cstheme="minorBidi"/>
          <w:noProof/>
          <w:sz w:val="22"/>
          <w:szCs w:val="22"/>
        </w:rPr>
        <w:tab/>
      </w:r>
      <w:r>
        <w:rPr>
          <w:noProof/>
        </w:rPr>
        <w:t>Количественная и качественная характеристика ППС</w:t>
      </w:r>
      <w:r>
        <w:rPr>
          <w:noProof/>
        </w:rPr>
        <w:tab/>
      </w:r>
      <w:r>
        <w:rPr>
          <w:noProof/>
        </w:rPr>
        <w:fldChar w:fldCharType="begin"/>
      </w:r>
      <w:r>
        <w:rPr>
          <w:noProof/>
        </w:rPr>
        <w:instrText xml:space="preserve"> PAGEREF _Toc374030074 \h </w:instrText>
      </w:r>
      <w:r>
        <w:rPr>
          <w:noProof/>
        </w:rPr>
      </w:r>
      <w:r>
        <w:rPr>
          <w:noProof/>
        </w:rPr>
        <w:fldChar w:fldCharType="separate"/>
      </w:r>
      <w:r>
        <w:rPr>
          <w:noProof/>
        </w:rPr>
        <w:t>143</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8.2</w:t>
      </w:r>
      <w:r>
        <w:rPr>
          <w:rFonts w:asciiTheme="minorHAnsi" w:eastAsiaTheme="minorEastAsia" w:hAnsiTheme="minorHAnsi" w:cstheme="minorBidi"/>
          <w:noProof/>
          <w:sz w:val="22"/>
          <w:szCs w:val="22"/>
        </w:rPr>
        <w:tab/>
      </w:r>
      <w:r>
        <w:rPr>
          <w:noProof/>
        </w:rPr>
        <w:t>Анализ выполнения аудиторной нагрузки  по категориям преподавателей</w:t>
      </w:r>
      <w:r>
        <w:rPr>
          <w:noProof/>
        </w:rPr>
        <w:tab/>
      </w:r>
      <w:r>
        <w:rPr>
          <w:noProof/>
        </w:rPr>
        <w:fldChar w:fldCharType="begin"/>
      </w:r>
      <w:r>
        <w:rPr>
          <w:noProof/>
        </w:rPr>
        <w:instrText xml:space="preserve"> PAGEREF _Toc374030075 \h </w:instrText>
      </w:r>
      <w:r>
        <w:rPr>
          <w:noProof/>
        </w:rPr>
      </w:r>
      <w:r>
        <w:rPr>
          <w:noProof/>
        </w:rPr>
        <w:fldChar w:fldCharType="separate"/>
      </w:r>
      <w:r>
        <w:rPr>
          <w:noProof/>
        </w:rPr>
        <w:t>155</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8.3</w:t>
      </w:r>
      <w:r>
        <w:rPr>
          <w:rFonts w:asciiTheme="minorHAnsi" w:eastAsiaTheme="minorEastAsia" w:hAnsiTheme="minorHAnsi" w:cstheme="minorBidi"/>
          <w:noProof/>
          <w:sz w:val="22"/>
          <w:szCs w:val="22"/>
        </w:rPr>
        <w:tab/>
      </w:r>
      <w:r>
        <w:rPr>
          <w:noProof/>
        </w:rPr>
        <w:t>Проект “Учебные ассистенты”, количественный и качественный анализ данных об  участниках проекта</w:t>
      </w:r>
      <w:r>
        <w:rPr>
          <w:noProof/>
        </w:rPr>
        <w:tab/>
      </w:r>
      <w:r>
        <w:rPr>
          <w:noProof/>
        </w:rPr>
        <w:fldChar w:fldCharType="begin"/>
      </w:r>
      <w:r>
        <w:rPr>
          <w:noProof/>
        </w:rPr>
        <w:instrText xml:space="preserve"> PAGEREF _Toc374030076 \h </w:instrText>
      </w:r>
      <w:r>
        <w:rPr>
          <w:noProof/>
        </w:rPr>
      </w:r>
      <w:r>
        <w:rPr>
          <w:noProof/>
        </w:rPr>
        <w:fldChar w:fldCharType="separate"/>
      </w:r>
      <w:r>
        <w:rPr>
          <w:noProof/>
        </w:rPr>
        <w:t>161</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8.4</w:t>
      </w:r>
      <w:r>
        <w:rPr>
          <w:rFonts w:asciiTheme="minorHAnsi" w:eastAsiaTheme="minorEastAsia" w:hAnsiTheme="minorHAnsi" w:cstheme="minorBidi"/>
          <w:noProof/>
          <w:sz w:val="22"/>
          <w:szCs w:val="22"/>
        </w:rPr>
        <w:tab/>
      </w:r>
      <w:r>
        <w:rPr>
          <w:noProof/>
        </w:rPr>
        <w:t>Повышение квалификации преподавателей НИУ ВШЭ</w:t>
      </w:r>
      <w:r>
        <w:rPr>
          <w:noProof/>
        </w:rPr>
        <w:tab/>
      </w:r>
      <w:r>
        <w:rPr>
          <w:noProof/>
        </w:rPr>
        <w:fldChar w:fldCharType="begin"/>
      </w:r>
      <w:r>
        <w:rPr>
          <w:noProof/>
        </w:rPr>
        <w:instrText xml:space="preserve"> PAGEREF _Toc374030077 \h </w:instrText>
      </w:r>
      <w:r>
        <w:rPr>
          <w:noProof/>
        </w:rPr>
      </w:r>
      <w:r>
        <w:rPr>
          <w:noProof/>
        </w:rPr>
        <w:fldChar w:fldCharType="separate"/>
      </w:r>
      <w:r>
        <w:rPr>
          <w:noProof/>
        </w:rPr>
        <w:t>167</w:t>
      </w:r>
      <w:r>
        <w:rPr>
          <w:noProof/>
        </w:rPr>
        <w:fldChar w:fldCharType="end"/>
      </w:r>
    </w:p>
    <w:p w:rsidR="00A92FA1" w:rsidRDefault="00A92FA1">
      <w:pPr>
        <w:pStyle w:val="11"/>
        <w:tabs>
          <w:tab w:val="left" w:pos="480"/>
          <w:tab w:val="right" w:leader="dot" w:pos="9339"/>
        </w:tabs>
        <w:rPr>
          <w:rFonts w:asciiTheme="minorHAnsi" w:eastAsiaTheme="minorEastAsia" w:hAnsiTheme="minorHAnsi" w:cstheme="minorBidi"/>
          <w:noProof/>
          <w:sz w:val="22"/>
          <w:szCs w:val="22"/>
        </w:rPr>
      </w:pPr>
      <w:r w:rsidRPr="002E2B46">
        <w:rPr>
          <w:noProof/>
        </w:rPr>
        <w:t>9.</w:t>
      </w:r>
      <w:r>
        <w:rPr>
          <w:rFonts w:asciiTheme="minorHAnsi" w:eastAsiaTheme="minorEastAsia" w:hAnsiTheme="minorHAnsi" w:cstheme="minorBidi"/>
          <w:noProof/>
          <w:sz w:val="22"/>
          <w:szCs w:val="22"/>
        </w:rPr>
        <w:tab/>
      </w:r>
      <w:r>
        <w:rPr>
          <w:noProof/>
        </w:rPr>
        <w:t>Информатизация образовательного процесса</w:t>
      </w:r>
      <w:r>
        <w:rPr>
          <w:noProof/>
        </w:rPr>
        <w:tab/>
      </w:r>
      <w:r>
        <w:rPr>
          <w:noProof/>
        </w:rPr>
        <w:fldChar w:fldCharType="begin"/>
      </w:r>
      <w:r>
        <w:rPr>
          <w:noProof/>
        </w:rPr>
        <w:instrText xml:space="preserve"> PAGEREF _Toc374030078 \h </w:instrText>
      </w:r>
      <w:r>
        <w:rPr>
          <w:noProof/>
        </w:rPr>
      </w:r>
      <w:r>
        <w:rPr>
          <w:noProof/>
        </w:rPr>
        <w:fldChar w:fldCharType="separate"/>
      </w:r>
      <w:r>
        <w:rPr>
          <w:noProof/>
        </w:rPr>
        <w:t>170</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9.1</w:t>
      </w:r>
      <w:r>
        <w:rPr>
          <w:rFonts w:asciiTheme="minorHAnsi" w:eastAsiaTheme="minorEastAsia" w:hAnsiTheme="minorHAnsi" w:cstheme="minorBidi"/>
          <w:noProof/>
          <w:sz w:val="22"/>
          <w:szCs w:val="22"/>
        </w:rPr>
        <w:tab/>
      </w:r>
      <w:r>
        <w:rPr>
          <w:noProof/>
        </w:rPr>
        <w:t>Информационная среда поддержки учебного процесса</w:t>
      </w:r>
      <w:r>
        <w:rPr>
          <w:noProof/>
        </w:rPr>
        <w:tab/>
      </w:r>
      <w:r>
        <w:rPr>
          <w:noProof/>
        </w:rPr>
        <w:fldChar w:fldCharType="begin"/>
      </w:r>
      <w:r>
        <w:rPr>
          <w:noProof/>
        </w:rPr>
        <w:instrText xml:space="preserve"> PAGEREF _Toc374030079 \h </w:instrText>
      </w:r>
      <w:r>
        <w:rPr>
          <w:noProof/>
        </w:rPr>
      </w:r>
      <w:r>
        <w:rPr>
          <w:noProof/>
        </w:rPr>
        <w:fldChar w:fldCharType="separate"/>
      </w:r>
      <w:r>
        <w:rPr>
          <w:noProof/>
        </w:rPr>
        <w:t>170</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9.2</w:t>
      </w:r>
      <w:r>
        <w:rPr>
          <w:rFonts w:asciiTheme="minorHAnsi" w:eastAsiaTheme="minorEastAsia" w:hAnsiTheme="minorHAnsi" w:cstheme="minorBidi"/>
          <w:noProof/>
          <w:sz w:val="22"/>
          <w:szCs w:val="22"/>
        </w:rPr>
        <w:tab/>
      </w:r>
      <w:r>
        <w:rPr>
          <w:noProof/>
        </w:rPr>
        <w:t>Введение системы планирования нагрузки ППС в АСАВ: первые итоги и перспективы</w:t>
      </w:r>
      <w:r>
        <w:rPr>
          <w:noProof/>
        </w:rPr>
        <w:tab/>
      </w:r>
      <w:r>
        <w:rPr>
          <w:noProof/>
        </w:rPr>
        <w:fldChar w:fldCharType="begin"/>
      </w:r>
      <w:r>
        <w:rPr>
          <w:noProof/>
        </w:rPr>
        <w:instrText xml:space="preserve"> PAGEREF _Toc374030080 \h </w:instrText>
      </w:r>
      <w:r>
        <w:rPr>
          <w:noProof/>
        </w:rPr>
      </w:r>
      <w:r>
        <w:rPr>
          <w:noProof/>
        </w:rPr>
        <w:fldChar w:fldCharType="separate"/>
      </w:r>
      <w:r>
        <w:rPr>
          <w:noProof/>
        </w:rPr>
        <w:t>173</w:t>
      </w:r>
      <w:r>
        <w:rPr>
          <w:noProof/>
        </w:rPr>
        <w:fldChar w:fldCharType="end"/>
      </w:r>
    </w:p>
    <w:p w:rsidR="00A92FA1" w:rsidRDefault="00A92FA1">
      <w:pPr>
        <w:pStyle w:val="11"/>
        <w:tabs>
          <w:tab w:val="left" w:pos="720"/>
          <w:tab w:val="right" w:leader="dot" w:pos="9339"/>
        </w:tabs>
        <w:rPr>
          <w:rFonts w:asciiTheme="minorHAnsi" w:eastAsiaTheme="minorEastAsia" w:hAnsiTheme="minorHAnsi" w:cstheme="minorBidi"/>
          <w:noProof/>
          <w:sz w:val="22"/>
          <w:szCs w:val="22"/>
        </w:rPr>
      </w:pPr>
      <w:r w:rsidRPr="002E2B46">
        <w:rPr>
          <w:noProof/>
        </w:rPr>
        <w:t>10.</w:t>
      </w:r>
      <w:r>
        <w:rPr>
          <w:rFonts w:asciiTheme="minorHAnsi" w:eastAsiaTheme="minorEastAsia" w:hAnsiTheme="minorHAnsi" w:cstheme="minorBidi"/>
          <w:noProof/>
          <w:sz w:val="22"/>
          <w:szCs w:val="22"/>
        </w:rPr>
        <w:tab/>
      </w:r>
      <w:r>
        <w:rPr>
          <w:noProof/>
        </w:rPr>
        <w:t>Оценка качества образовательных программ и учебного процесса</w:t>
      </w:r>
      <w:r>
        <w:rPr>
          <w:noProof/>
        </w:rPr>
        <w:tab/>
      </w:r>
      <w:r>
        <w:rPr>
          <w:noProof/>
        </w:rPr>
        <w:fldChar w:fldCharType="begin"/>
      </w:r>
      <w:r>
        <w:rPr>
          <w:noProof/>
        </w:rPr>
        <w:instrText xml:space="preserve"> PAGEREF _Toc374030081 \h </w:instrText>
      </w:r>
      <w:r>
        <w:rPr>
          <w:noProof/>
        </w:rPr>
      </w:r>
      <w:r>
        <w:rPr>
          <w:noProof/>
        </w:rPr>
        <w:fldChar w:fldCharType="separate"/>
      </w:r>
      <w:r>
        <w:rPr>
          <w:noProof/>
        </w:rPr>
        <w:t>176</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10.1</w:t>
      </w:r>
      <w:r>
        <w:rPr>
          <w:rFonts w:asciiTheme="minorHAnsi" w:eastAsiaTheme="minorEastAsia" w:hAnsiTheme="minorHAnsi" w:cstheme="minorBidi"/>
          <w:noProof/>
          <w:sz w:val="22"/>
          <w:szCs w:val="22"/>
        </w:rPr>
        <w:tab/>
      </w:r>
      <w:r>
        <w:rPr>
          <w:noProof/>
        </w:rPr>
        <w:t>Международная экспертиза образовательных программ НИУ ВШЭ</w:t>
      </w:r>
      <w:r>
        <w:rPr>
          <w:noProof/>
        </w:rPr>
        <w:tab/>
      </w:r>
      <w:r>
        <w:rPr>
          <w:noProof/>
        </w:rPr>
        <w:fldChar w:fldCharType="begin"/>
      </w:r>
      <w:r>
        <w:rPr>
          <w:noProof/>
        </w:rPr>
        <w:instrText xml:space="preserve"> PAGEREF _Toc374030082 \h </w:instrText>
      </w:r>
      <w:r>
        <w:rPr>
          <w:noProof/>
        </w:rPr>
      </w:r>
      <w:r>
        <w:rPr>
          <w:noProof/>
        </w:rPr>
        <w:fldChar w:fldCharType="separate"/>
      </w:r>
      <w:r>
        <w:rPr>
          <w:noProof/>
        </w:rPr>
        <w:t>176</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10.2</w:t>
      </w:r>
      <w:r>
        <w:rPr>
          <w:rFonts w:asciiTheme="minorHAnsi" w:eastAsiaTheme="minorEastAsia" w:hAnsiTheme="minorHAnsi" w:cstheme="minorBidi"/>
          <w:noProof/>
          <w:sz w:val="22"/>
          <w:szCs w:val="22"/>
        </w:rPr>
        <w:tab/>
      </w:r>
      <w:r>
        <w:rPr>
          <w:noProof/>
        </w:rPr>
        <w:t>Оценка качества подготовки выпускников НИУ ВШЭ работодателями</w:t>
      </w:r>
      <w:r>
        <w:rPr>
          <w:noProof/>
        </w:rPr>
        <w:tab/>
      </w:r>
      <w:r>
        <w:rPr>
          <w:noProof/>
        </w:rPr>
        <w:fldChar w:fldCharType="begin"/>
      </w:r>
      <w:r>
        <w:rPr>
          <w:noProof/>
        </w:rPr>
        <w:instrText xml:space="preserve"> PAGEREF _Toc374030083 \h </w:instrText>
      </w:r>
      <w:r>
        <w:rPr>
          <w:noProof/>
        </w:rPr>
      </w:r>
      <w:r>
        <w:rPr>
          <w:noProof/>
        </w:rPr>
        <w:fldChar w:fldCharType="separate"/>
      </w:r>
      <w:r>
        <w:rPr>
          <w:noProof/>
        </w:rPr>
        <w:t>179</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10.3</w:t>
      </w:r>
      <w:r>
        <w:rPr>
          <w:rFonts w:asciiTheme="minorHAnsi" w:eastAsiaTheme="minorEastAsia" w:hAnsiTheme="minorHAnsi" w:cstheme="minorBidi"/>
          <w:noProof/>
          <w:sz w:val="22"/>
          <w:szCs w:val="22"/>
        </w:rPr>
        <w:tab/>
      </w:r>
      <w:r>
        <w:rPr>
          <w:noProof/>
        </w:rPr>
        <w:t>Анализ обращений студентов на горячую линию «Выразительная кнопка»</w:t>
      </w:r>
      <w:r>
        <w:rPr>
          <w:noProof/>
        </w:rPr>
        <w:tab/>
      </w:r>
      <w:r>
        <w:rPr>
          <w:noProof/>
        </w:rPr>
        <w:fldChar w:fldCharType="begin"/>
      </w:r>
      <w:r>
        <w:rPr>
          <w:noProof/>
        </w:rPr>
        <w:instrText xml:space="preserve"> PAGEREF _Toc374030084 \h </w:instrText>
      </w:r>
      <w:r>
        <w:rPr>
          <w:noProof/>
        </w:rPr>
      </w:r>
      <w:r>
        <w:rPr>
          <w:noProof/>
        </w:rPr>
        <w:fldChar w:fldCharType="separate"/>
      </w:r>
      <w:r>
        <w:rPr>
          <w:noProof/>
        </w:rPr>
        <w:t>183</w:t>
      </w:r>
      <w:r>
        <w:rPr>
          <w:noProof/>
        </w:rPr>
        <w:fldChar w:fldCharType="end"/>
      </w:r>
    </w:p>
    <w:p w:rsidR="00A92FA1" w:rsidRDefault="00A92FA1">
      <w:pPr>
        <w:pStyle w:val="11"/>
        <w:tabs>
          <w:tab w:val="left" w:pos="720"/>
          <w:tab w:val="right" w:leader="dot" w:pos="9339"/>
        </w:tabs>
        <w:rPr>
          <w:rFonts w:asciiTheme="minorHAnsi" w:eastAsiaTheme="minorEastAsia" w:hAnsiTheme="minorHAnsi" w:cstheme="minorBidi"/>
          <w:noProof/>
          <w:sz w:val="22"/>
          <w:szCs w:val="22"/>
        </w:rPr>
      </w:pPr>
      <w:r w:rsidRPr="002E2B46">
        <w:rPr>
          <w:noProof/>
        </w:rPr>
        <w:t>11.</w:t>
      </w:r>
      <w:r>
        <w:rPr>
          <w:rFonts w:asciiTheme="minorHAnsi" w:eastAsiaTheme="minorEastAsia" w:hAnsiTheme="minorHAnsi" w:cstheme="minorBidi"/>
          <w:noProof/>
          <w:sz w:val="22"/>
          <w:szCs w:val="22"/>
        </w:rPr>
        <w:tab/>
      </w:r>
      <w:r>
        <w:rPr>
          <w:noProof/>
        </w:rPr>
        <w:t>Профессионализация сопровождения образовательных программам</w:t>
      </w:r>
      <w:r>
        <w:rPr>
          <w:noProof/>
        </w:rPr>
        <w:tab/>
      </w:r>
      <w:r>
        <w:rPr>
          <w:noProof/>
        </w:rPr>
        <w:fldChar w:fldCharType="begin"/>
      </w:r>
      <w:r>
        <w:rPr>
          <w:noProof/>
        </w:rPr>
        <w:instrText xml:space="preserve"> PAGEREF _Toc374030085 \h </w:instrText>
      </w:r>
      <w:r>
        <w:rPr>
          <w:noProof/>
        </w:rPr>
      </w:r>
      <w:r>
        <w:rPr>
          <w:noProof/>
        </w:rPr>
        <w:fldChar w:fldCharType="separate"/>
      </w:r>
      <w:r>
        <w:rPr>
          <w:noProof/>
        </w:rPr>
        <w:t>194</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11.1</w:t>
      </w:r>
      <w:r>
        <w:rPr>
          <w:rFonts w:asciiTheme="minorHAnsi" w:eastAsiaTheme="minorEastAsia" w:hAnsiTheme="minorHAnsi" w:cstheme="minorBidi"/>
          <w:noProof/>
          <w:sz w:val="22"/>
          <w:szCs w:val="22"/>
        </w:rPr>
        <w:tab/>
      </w:r>
      <w:r>
        <w:rPr>
          <w:noProof/>
        </w:rPr>
        <w:t>Реализация проекта "Учебный офис"</w:t>
      </w:r>
      <w:r>
        <w:rPr>
          <w:noProof/>
        </w:rPr>
        <w:tab/>
      </w:r>
      <w:r>
        <w:rPr>
          <w:noProof/>
        </w:rPr>
        <w:fldChar w:fldCharType="begin"/>
      </w:r>
      <w:r>
        <w:rPr>
          <w:noProof/>
        </w:rPr>
        <w:instrText xml:space="preserve"> PAGEREF _Toc374030086 \h </w:instrText>
      </w:r>
      <w:r>
        <w:rPr>
          <w:noProof/>
        </w:rPr>
      </w:r>
      <w:r>
        <w:rPr>
          <w:noProof/>
        </w:rPr>
        <w:fldChar w:fldCharType="separate"/>
      </w:r>
      <w:r>
        <w:rPr>
          <w:noProof/>
        </w:rPr>
        <w:t>194</w:t>
      </w:r>
      <w:r>
        <w:rPr>
          <w:noProof/>
        </w:rPr>
        <w:fldChar w:fldCharType="end"/>
      </w:r>
    </w:p>
    <w:p w:rsidR="00A92FA1" w:rsidRDefault="00A92FA1">
      <w:pPr>
        <w:pStyle w:val="21"/>
        <w:tabs>
          <w:tab w:val="left" w:pos="960"/>
          <w:tab w:val="right" w:leader="dot" w:pos="9339"/>
        </w:tabs>
        <w:rPr>
          <w:rFonts w:asciiTheme="minorHAnsi" w:eastAsiaTheme="minorEastAsia" w:hAnsiTheme="minorHAnsi" w:cstheme="minorBidi"/>
          <w:noProof/>
          <w:sz w:val="22"/>
          <w:szCs w:val="22"/>
        </w:rPr>
      </w:pPr>
      <w:r w:rsidRPr="002E2B46">
        <w:rPr>
          <w:noProof/>
        </w:rPr>
        <w:t>11.2</w:t>
      </w:r>
      <w:r>
        <w:rPr>
          <w:rFonts w:asciiTheme="minorHAnsi" w:eastAsiaTheme="minorEastAsia" w:hAnsiTheme="minorHAnsi" w:cstheme="minorBidi"/>
          <w:noProof/>
          <w:sz w:val="22"/>
          <w:szCs w:val="22"/>
        </w:rPr>
        <w:tab/>
      </w:r>
      <w:r>
        <w:rPr>
          <w:noProof/>
        </w:rPr>
        <w:t>Кадровый резерв (группа высокого профессионального потенциала НИУ ВШЭ)</w:t>
      </w:r>
      <w:r>
        <w:rPr>
          <w:noProof/>
        </w:rPr>
        <w:tab/>
      </w:r>
      <w:r>
        <w:rPr>
          <w:noProof/>
        </w:rPr>
        <w:fldChar w:fldCharType="begin"/>
      </w:r>
      <w:r>
        <w:rPr>
          <w:noProof/>
        </w:rPr>
        <w:instrText xml:space="preserve"> PAGEREF _Toc374030087 \h </w:instrText>
      </w:r>
      <w:r>
        <w:rPr>
          <w:noProof/>
        </w:rPr>
      </w:r>
      <w:r>
        <w:rPr>
          <w:noProof/>
        </w:rPr>
        <w:fldChar w:fldCharType="separate"/>
      </w:r>
      <w:r>
        <w:rPr>
          <w:noProof/>
        </w:rPr>
        <w:t>195</w:t>
      </w:r>
      <w:r>
        <w:rPr>
          <w:noProof/>
        </w:rPr>
        <w:fldChar w:fldCharType="end"/>
      </w:r>
    </w:p>
    <w:p w:rsidR="00A92FA1" w:rsidRDefault="00A92FA1">
      <w:pPr>
        <w:pStyle w:val="11"/>
        <w:tabs>
          <w:tab w:val="left" w:pos="720"/>
          <w:tab w:val="right" w:leader="dot" w:pos="9339"/>
        </w:tabs>
        <w:rPr>
          <w:rFonts w:asciiTheme="minorHAnsi" w:eastAsiaTheme="minorEastAsia" w:hAnsiTheme="minorHAnsi" w:cstheme="minorBidi"/>
          <w:noProof/>
          <w:sz w:val="22"/>
          <w:szCs w:val="22"/>
        </w:rPr>
      </w:pPr>
      <w:r w:rsidRPr="002E2B46">
        <w:rPr>
          <w:noProof/>
        </w:rPr>
        <w:t>12.</w:t>
      </w:r>
      <w:r>
        <w:rPr>
          <w:rFonts w:asciiTheme="minorHAnsi" w:eastAsiaTheme="minorEastAsia" w:hAnsiTheme="minorHAnsi" w:cstheme="minorBidi"/>
          <w:noProof/>
          <w:sz w:val="22"/>
          <w:szCs w:val="22"/>
        </w:rPr>
        <w:tab/>
      </w:r>
      <w:r>
        <w:rPr>
          <w:noProof/>
        </w:rPr>
        <w:t>Основные задачи учебно-методической работы на следующий учебный год</w:t>
      </w:r>
      <w:r>
        <w:rPr>
          <w:noProof/>
        </w:rPr>
        <w:tab/>
      </w:r>
      <w:r>
        <w:rPr>
          <w:noProof/>
        </w:rPr>
        <w:fldChar w:fldCharType="begin"/>
      </w:r>
      <w:r>
        <w:rPr>
          <w:noProof/>
        </w:rPr>
        <w:instrText xml:space="preserve"> PAGEREF _Toc374030088 \h </w:instrText>
      </w:r>
      <w:r>
        <w:rPr>
          <w:noProof/>
        </w:rPr>
      </w:r>
      <w:r>
        <w:rPr>
          <w:noProof/>
        </w:rPr>
        <w:fldChar w:fldCharType="separate"/>
      </w:r>
      <w:r>
        <w:rPr>
          <w:noProof/>
        </w:rPr>
        <w:t>1</w:t>
      </w:r>
      <w:r>
        <w:rPr>
          <w:noProof/>
        </w:rPr>
        <w:t>9</w:t>
      </w:r>
      <w:r>
        <w:rPr>
          <w:noProof/>
        </w:rPr>
        <w:t>9</w:t>
      </w:r>
      <w:r>
        <w:rPr>
          <w:noProof/>
        </w:rPr>
        <w:fldChar w:fldCharType="end"/>
      </w:r>
    </w:p>
    <w:p w:rsidR="00A92FA1" w:rsidRDefault="00A92FA1">
      <w:pPr>
        <w:pStyle w:val="11"/>
        <w:tabs>
          <w:tab w:val="left" w:pos="720"/>
          <w:tab w:val="right" w:leader="dot" w:pos="9339"/>
        </w:tabs>
        <w:rPr>
          <w:rFonts w:asciiTheme="minorHAnsi" w:eastAsiaTheme="minorEastAsia" w:hAnsiTheme="minorHAnsi" w:cstheme="minorBidi"/>
          <w:noProof/>
          <w:sz w:val="22"/>
          <w:szCs w:val="22"/>
        </w:rPr>
      </w:pPr>
      <w:r w:rsidRPr="002E2B46">
        <w:rPr>
          <w:noProof/>
          <w:lang w:val="en-US"/>
        </w:rPr>
        <w:t>13.</w:t>
      </w:r>
      <w:r>
        <w:rPr>
          <w:rFonts w:asciiTheme="minorHAnsi" w:eastAsiaTheme="minorEastAsia" w:hAnsiTheme="minorHAnsi" w:cstheme="minorBidi"/>
          <w:noProof/>
          <w:sz w:val="22"/>
          <w:szCs w:val="22"/>
        </w:rPr>
        <w:tab/>
      </w:r>
      <w:r>
        <w:rPr>
          <w:noProof/>
        </w:rPr>
        <w:t>Приложения к отчету</w:t>
      </w:r>
      <w:r>
        <w:rPr>
          <w:noProof/>
        </w:rPr>
        <w:tab/>
      </w:r>
      <w:r>
        <w:rPr>
          <w:noProof/>
        </w:rPr>
        <w:fldChar w:fldCharType="begin"/>
      </w:r>
      <w:r>
        <w:rPr>
          <w:noProof/>
        </w:rPr>
        <w:instrText xml:space="preserve"> PAGEREF _Toc374030089 \h </w:instrText>
      </w:r>
      <w:r>
        <w:rPr>
          <w:noProof/>
        </w:rPr>
      </w:r>
      <w:r>
        <w:rPr>
          <w:noProof/>
        </w:rPr>
        <w:fldChar w:fldCharType="separate"/>
      </w:r>
      <w:r>
        <w:rPr>
          <w:noProof/>
        </w:rPr>
        <w:t>202</w:t>
      </w:r>
      <w:r>
        <w:rPr>
          <w:noProof/>
        </w:rPr>
        <w:fldChar w:fldCharType="end"/>
      </w:r>
    </w:p>
    <w:p w:rsidR="003A3A7F" w:rsidRPr="00D02EF3" w:rsidRDefault="004416A2" w:rsidP="003A6DCC">
      <w:pPr>
        <w:outlineLvl w:val="0"/>
        <w:rPr>
          <w:rFonts w:ascii="Cambria" w:hAnsi="Cambria"/>
          <w:b/>
          <w:bCs/>
          <w:kern w:val="32"/>
          <w:sz w:val="32"/>
          <w:szCs w:val="32"/>
          <w:highlight w:val="lightGray"/>
          <w:lang w:eastAsia="en-US"/>
        </w:rPr>
      </w:pPr>
      <w:r>
        <w:rPr>
          <w:highlight w:val="cyan"/>
        </w:rPr>
        <w:fldChar w:fldCharType="end"/>
      </w:r>
      <w:bookmarkStart w:id="0" w:name="_Toc310850935"/>
    </w:p>
    <w:p w:rsidR="0017526D" w:rsidRDefault="0017526D" w:rsidP="00F27C45">
      <w:pPr>
        <w:pStyle w:val="1"/>
        <w:keepLines w:val="0"/>
        <w:numPr>
          <w:ilvl w:val="0"/>
          <w:numId w:val="2"/>
        </w:numPr>
        <w:spacing w:before="240" w:after="60" w:line="276" w:lineRule="auto"/>
        <w:sectPr w:rsidR="0017526D" w:rsidSect="00B2101F">
          <w:headerReference w:type="even" r:id="rId10"/>
          <w:headerReference w:type="default" r:id="rId11"/>
          <w:pgSz w:w="11900" w:h="16840"/>
          <w:pgMar w:top="1134" w:right="850" w:bottom="1134" w:left="1701" w:header="708" w:footer="708" w:gutter="0"/>
          <w:cols w:space="708"/>
          <w:titlePg/>
          <w:docGrid w:linePitch="360"/>
        </w:sectPr>
      </w:pPr>
    </w:p>
    <w:p w:rsidR="003A3A7F" w:rsidRPr="00A72E4B" w:rsidRDefault="003A3A7F" w:rsidP="00F27C45">
      <w:pPr>
        <w:pStyle w:val="1"/>
        <w:keepLines w:val="0"/>
        <w:numPr>
          <w:ilvl w:val="0"/>
          <w:numId w:val="2"/>
        </w:numPr>
        <w:spacing w:before="240" w:after="60" w:line="276" w:lineRule="auto"/>
      </w:pPr>
      <w:bookmarkStart w:id="1" w:name="_Toc374030038"/>
      <w:r w:rsidRPr="00A72E4B">
        <w:lastRenderedPageBreak/>
        <w:t>Введение</w:t>
      </w:r>
      <w:bookmarkEnd w:id="0"/>
      <w:bookmarkEnd w:id="1"/>
    </w:p>
    <w:p w:rsidR="003A3A7F" w:rsidRPr="00E80A44" w:rsidRDefault="003A3A7F" w:rsidP="003A3A7F">
      <w:pPr>
        <w:spacing w:after="200" w:line="276" w:lineRule="auto"/>
        <w:jc w:val="both"/>
        <w:rPr>
          <w:szCs w:val="26"/>
          <w:lang w:eastAsia="en-US"/>
        </w:rPr>
      </w:pPr>
      <w:r w:rsidRPr="00E80A44">
        <w:rPr>
          <w:szCs w:val="26"/>
          <w:lang w:eastAsia="en-US"/>
        </w:rPr>
        <w:t>Отчет об учебно-методиче</w:t>
      </w:r>
      <w:r>
        <w:rPr>
          <w:szCs w:val="26"/>
          <w:lang w:eastAsia="en-US"/>
        </w:rPr>
        <w:t>ской деятельности НИУ ВШЭ в 2012/13</w:t>
      </w:r>
      <w:r w:rsidRPr="00E80A44">
        <w:rPr>
          <w:szCs w:val="26"/>
          <w:lang w:eastAsia="en-US"/>
        </w:rPr>
        <w:t xml:space="preserve"> учебном году содержит анализ основных показателей и проектов, характерных для учебного процесса университета.</w:t>
      </w:r>
    </w:p>
    <w:p w:rsidR="003A3A7F" w:rsidRDefault="003A3A7F" w:rsidP="003A3A7F">
      <w:pPr>
        <w:spacing w:after="200" w:line="276" w:lineRule="auto"/>
        <w:jc w:val="both"/>
        <w:rPr>
          <w:szCs w:val="26"/>
          <w:lang w:eastAsia="en-US"/>
        </w:rPr>
      </w:pPr>
      <w:r>
        <w:rPr>
          <w:szCs w:val="26"/>
          <w:lang w:eastAsia="en-US"/>
        </w:rPr>
        <w:t xml:space="preserve">Главным достижением завершившегося учебного года можно считать попадание НИУ ВШЭ в </w:t>
      </w:r>
      <w:r w:rsidRPr="009645CC">
        <w:rPr>
          <w:szCs w:val="26"/>
          <w:lang w:eastAsia="en-US"/>
        </w:rPr>
        <w:t xml:space="preserve">число 15 победителей конкурсного отбора вузов на право получения специальной субсидии на реализацию мероприятий, которые будут способствовать продвижению вузов в международных рейтингах. </w:t>
      </w:r>
      <w:r>
        <w:rPr>
          <w:szCs w:val="26"/>
          <w:lang w:eastAsia="en-US"/>
        </w:rPr>
        <w:t>Дорожная карта НИУ ВШЭ участия в программе «5-100-2020» содержит ряд мероприятий по изменению ландшафта образования в университете.  Некоторые показатели, которые будут ежегодно измеряться вплоть до 2020 года, проанализируем в этом отчете.</w:t>
      </w:r>
    </w:p>
    <w:p w:rsidR="003A3A7F" w:rsidRDefault="00A066EB" w:rsidP="003A3A7F">
      <w:pPr>
        <w:spacing w:after="200" w:line="276" w:lineRule="auto"/>
        <w:jc w:val="both"/>
        <w:rPr>
          <w:szCs w:val="26"/>
          <w:lang w:eastAsia="en-US"/>
        </w:rPr>
      </w:pPr>
      <w:r>
        <w:rPr>
          <w:szCs w:val="26"/>
          <w:lang w:eastAsia="en-US"/>
        </w:rPr>
        <w:t xml:space="preserve">Другими значимыми достижениям 2012-2013 учебного года в области учебно-методической работы  можно считать: </w:t>
      </w:r>
    </w:p>
    <w:p w:rsidR="00A066EB" w:rsidRPr="003C6736" w:rsidRDefault="00A066EB" w:rsidP="002B51DC">
      <w:pPr>
        <w:pStyle w:val="a5"/>
        <w:numPr>
          <w:ilvl w:val="0"/>
          <w:numId w:val="51"/>
        </w:numPr>
        <w:jc w:val="both"/>
        <w:rPr>
          <w:szCs w:val="26"/>
        </w:rPr>
      </w:pPr>
      <w:r w:rsidRPr="003C6736">
        <w:rPr>
          <w:szCs w:val="26"/>
        </w:rPr>
        <w:t xml:space="preserve">включение в государственный перечень направлений подготовки  и специальностей нового образовательного направления, разработанного и предложенного экспертами НИУ ВШЭ: </w:t>
      </w:r>
      <w:proofErr w:type="gramStart"/>
      <w:r w:rsidRPr="003C6736">
        <w:rPr>
          <w:szCs w:val="26"/>
        </w:rPr>
        <w:t>«</w:t>
      </w:r>
      <w:proofErr w:type="spellStart"/>
      <w:r w:rsidRPr="003C6736">
        <w:rPr>
          <w:szCs w:val="26"/>
        </w:rPr>
        <w:t>Медиакоммуникации</w:t>
      </w:r>
      <w:proofErr w:type="spellEnd"/>
      <w:r w:rsidRPr="003C6736">
        <w:rPr>
          <w:szCs w:val="26"/>
        </w:rPr>
        <w:t xml:space="preserve">»; большая работа, которая велась в 2011-2012 годах по разработке и согласованию с работодателями проектов федеральных образовательных стандартов </w:t>
      </w:r>
      <w:proofErr w:type="spellStart"/>
      <w:r w:rsidRPr="003C6736">
        <w:rPr>
          <w:szCs w:val="26"/>
        </w:rPr>
        <w:t>бакалавриата</w:t>
      </w:r>
      <w:proofErr w:type="spellEnd"/>
      <w:r w:rsidRPr="003C6736">
        <w:rPr>
          <w:szCs w:val="26"/>
        </w:rPr>
        <w:t xml:space="preserve"> и магистратуры, завершилась принятием этих проектов в 2013 году;</w:t>
      </w:r>
      <w:proofErr w:type="gramEnd"/>
    </w:p>
    <w:p w:rsidR="00A066EB" w:rsidRPr="003C6736" w:rsidRDefault="00A066EB" w:rsidP="002B51DC">
      <w:pPr>
        <w:pStyle w:val="a5"/>
        <w:numPr>
          <w:ilvl w:val="0"/>
          <w:numId w:val="51"/>
        </w:numPr>
        <w:jc w:val="both"/>
        <w:rPr>
          <w:szCs w:val="26"/>
        </w:rPr>
      </w:pPr>
      <w:r w:rsidRPr="003C6736">
        <w:rPr>
          <w:szCs w:val="26"/>
        </w:rPr>
        <w:t>активное предложение к международной экспертизе образовательных программ НИУ ВШЭ (в отчетном году сразу 5 факультета прошли через процедуры международной оценки своих программ: экономики, прикладной политологии, социологии, государственного и муниципального управления, математики)</w:t>
      </w:r>
      <w:r w:rsidR="00F004CF" w:rsidRPr="003C6736">
        <w:rPr>
          <w:szCs w:val="26"/>
        </w:rPr>
        <w:t>;</w:t>
      </w:r>
    </w:p>
    <w:p w:rsidR="00F004CF" w:rsidRPr="003C6736" w:rsidRDefault="00F004CF" w:rsidP="002B51DC">
      <w:pPr>
        <w:pStyle w:val="a5"/>
        <w:numPr>
          <w:ilvl w:val="0"/>
          <w:numId w:val="51"/>
        </w:numPr>
        <w:jc w:val="both"/>
        <w:rPr>
          <w:szCs w:val="26"/>
        </w:rPr>
      </w:pPr>
      <w:r w:rsidRPr="003C6736">
        <w:rPr>
          <w:szCs w:val="26"/>
        </w:rPr>
        <w:t xml:space="preserve">открыт факультет дизайна на базе отделения дизайна НИУ ВШЭ, который уже с 2013 года начинает работать по собственным образовательным стандартам НИУ ВШЭ как в </w:t>
      </w:r>
      <w:proofErr w:type="spellStart"/>
      <w:r w:rsidRPr="003C6736">
        <w:rPr>
          <w:szCs w:val="26"/>
        </w:rPr>
        <w:t>бакалавриате</w:t>
      </w:r>
      <w:proofErr w:type="spellEnd"/>
      <w:r w:rsidRPr="003C6736">
        <w:rPr>
          <w:szCs w:val="26"/>
        </w:rPr>
        <w:t>, так и в магистратуре.</w:t>
      </w:r>
    </w:p>
    <w:p w:rsidR="003C6736" w:rsidRPr="00B46BFA" w:rsidRDefault="00B46BFA" w:rsidP="002B51DC">
      <w:pPr>
        <w:pStyle w:val="a5"/>
        <w:numPr>
          <w:ilvl w:val="0"/>
          <w:numId w:val="51"/>
        </w:numPr>
        <w:jc w:val="both"/>
        <w:rPr>
          <w:szCs w:val="26"/>
        </w:rPr>
      </w:pPr>
      <w:r>
        <w:rPr>
          <w:szCs w:val="26"/>
        </w:rPr>
        <w:t xml:space="preserve">Повторное проведение внешнего экзамена для студентов второго курса </w:t>
      </w:r>
      <w:proofErr w:type="spellStart"/>
      <w:r>
        <w:rPr>
          <w:szCs w:val="26"/>
        </w:rPr>
        <w:t>бакалавриата</w:t>
      </w:r>
      <w:proofErr w:type="spellEnd"/>
      <w:r>
        <w:rPr>
          <w:szCs w:val="26"/>
        </w:rPr>
        <w:t xml:space="preserve"> для части факультетов по английскому языку с использованием материалов и технологий международного экзамена </w:t>
      </w:r>
      <w:r>
        <w:rPr>
          <w:szCs w:val="26"/>
          <w:lang w:val="en-US"/>
        </w:rPr>
        <w:t>IELTS</w:t>
      </w:r>
      <w:r>
        <w:rPr>
          <w:szCs w:val="26"/>
        </w:rPr>
        <w:t>.</w:t>
      </w:r>
    </w:p>
    <w:p w:rsidR="003A3A7F" w:rsidRPr="00E80A44" w:rsidRDefault="003A3A7F" w:rsidP="003A3A7F">
      <w:pPr>
        <w:spacing w:after="200" w:line="276" w:lineRule="auto"/>
        <w:jc w:val="both"/>
        <w:rPr>
          <w:szCs w:val="26"/>
          <w:lang w:eastAsia="en-US"/>
        </w:rPr>
      </w:pPr>
      <w:r w:rsidRPr="00E80A44">
        <w:rPr>
          <w:szCs w:val="26"/>
          <w:lang w:eastAsia="en-US"/>
        </w:rPr>
        <w:t>Соответствующие разделы представленного отчета дадут подробное описание и других изменений в учебно-методической деятельности НИУ ВШЭ, а также представят актуальное состояние дел на конец отчетного периода.</w:t>
      </w:r>
    </w:p>
    <w:p w:rsidR="003A3A7F" w:rsidRPr="00E80A44" w:rsidRDefault="003A3A7F" w:rsidP="003A3A7F">
      <w:pPr>
        <w:spacing w:after="200" w:line="276" w:lineRule="auto"/>
        <w:jc w:val="both"/>
        <w:rPr>
          <w:szCs w:val="26"/>
          <w:lang w:eastAsia="en-US"/>
        </w:rPr>
      </w:pPr>
      <w:r w:rsidRPr="00E80A44">
        <w:rPr>
          <w:szCs w:val="26"/>
          <w:lang w:eastAsia="en-US"/>
        </w:rPr>
        <w:t>Кроме этого, будут изложены традиционные разделы, характеризующие инфраструктурные, ресурсные, качественные показатели, связанные с организацией учебного процесса и с результатами учебной деятельности студентов, а также развитием ряда проектов.</w:t>
      </w:r>
    </w:p>
    <w:p w:rsidR="003A3A7F" w:rsidRPr="00E80A44" w:rsidRDefault="003A3A7F" w:rsidP="003A3A7F">
      <w:pPr>
        <w:spacing w:after="200" w:line="276" w:lineRule="auto"/>
        <w:jc w:val="both"/>
        <w:rPr>
          <w:szCs w:val="26"/>
          <w:lang w:eastAsia="en-US"/>
        </w:rPr>
      </w:pPr>
      <w:r w:rsidRPr="00E80A44">
        <w:rPr>
          <w:szCs w:val="26"/>
          <w:lang w:eastAsia="en-US"/>
        </w:rPr>
        <w:t xml:space="preserve">Большинство разделов опираются на данные всех кампусов НИУ ВШЭ, включая три филиала. Настоящий отчет также содержит для сравнения качественные характеристики организации и результатов учебного процесса у слушателей программ высшего </w:t>
      </w:r>
      <w:r w:rsidRPr="00E80A44">
        <w:rPr>
          <w:szCs w:val="26"/>
          <w:lang w:eastAsia="en-US"/>
        </w:rPr>
        <w:lastRenderedPageBreak/>
        <w:t xml:space="preserve">профессионального образования, получаемого в подразделениях, координируемых </w:t>
      </w:r>
      <w:r>
        <w:rPr>
          <w:szCs w:val="26"/>
          <w:lang w:eastAsia="en-US"/>
        </w:rPr>
        <w:t xml:space="preserve">директором </w:t>
      </w:r>
      <w:r w:rsidRPr="00E80A44">
        <w:rPr>
          <w:szCs w:val="26"/>
          <w:lang w:eastAsia="en-US"/>
        </w:rPr>
        <w:t>по дополнительному профессиональному образованию.</w:t>
      </w:r>
    </w:p>
    <w:p w:rsidR="003A3A7F" w:rsidRPr="00E80A44" w:rsidRDefault="003A3A7F" w:rsidP="003A3A7F">
      <w:pPr>
        <w:spacing w:after="200" w:line="276" w:lineRule="auto"/>
        <w:jc w:val="both"/>
        <w:rPr>
          <w:szCs w:val="26"/>
          <w:lang w:eastAsia="en-US"/>
        </w:rPr>
      </w:pPr>
      <w:proofErr w:type="gramStart"/>
      <w:r w:rsidRPr="00E80A44">
        <w:rPr>
          <w:szCs w:val="26"/>
          <w:lang w:eastAsia="en-US"/>
        </w:rPr>
        <w:t>При подготовке отчета использованы данные, представленные учебными частями факультетов, кафедрами, управлениями и отделами международного блока, управлением по работе со странами Балтии и СНГ, управ</w:t>
      </w:r>
      <w:r w:rsidR="00730309">
        <w:rPr>
          <w:szCs w:val="26"/>
          <w:lang w:eastAsia="en-US"/>
        </w:rPr>
        <w:t xml:space="preserve">лением академического развития, дирекцией по работе со студентами и выпускниками, </w:t>
      </w:r>
      <w:r w:rsidR="00EB7456">
        <w:rPr>
          <w:szCs w:val="26"/>
          <w:lang w:eastAsia="en-US"/>
        </w:rPr>
        <w:t xml:space="preserve">центром повышения квалификации, </w:t>
      </w:r>
      <w:r w:rsidRPr="00E80A44">
        <w:rPr>
          <w:szCs w:val="26"/>
          <w:lang w:eastAsia="en-US"/>
        </w:rPr>
        <w:t>исполнительным директором фонда образовательных инноваций, управлением дополнительного</w:t>
      </w:r>
      <w:r w:rsidR="000C3A3C">
        <w:rPr>
          <w:szCs w:val="26"/>
          <w:lang w:eastAsia="en-US"/>
        </w:rPr>
        <w:t xml:space="preserve"> профессионального образования, управления персонала, </w:t>
      </w:r>
      <w:r w:rsidRPr="00E80A44">
        <w:rPr>
          <w:szCs w:val="26"/>
          <w:lang w:eastAsia="en-US"/>
        </w:rPr>
        <w:t>филиалами</w:t>
      </w:r>
      <w:r w:rsidR="000D09BE">
        <w:rPr>
          <w:szCs w:val="26"/>
          <w:lang w:eastAsia="en-US"/>
        </w:rPr>
        <w:t>, МИЭФ</w:t>
      </w:r>
      <w:r w:rsidR="00785149">
        <w:rPr>
          <w:szCs w:val="26"/>
          <w:lang w:eastAsia="en-US"/>
        </w:rPr>
        <w:t>, материалы корпоративного портала НИУ ВШЭ.</w:t>
      </w:r>
      <w:proofErr w:type="gramEnd"/>
    </w:p>
    <w:p w:rsidR="003A3A7F" w:rsidRPr="00522280" w:rsidRDefault="003A3A7F" w:rsidP="00522280">
      <w:pPr>
        <w:spacing w:after="200" w:line="276" w:lineRule="auto"/>
        <w:jc w:val="both"/>
        <w:rPr>
          <w:szCs w:val="26"/>
          <w:lang w:eastAsia="en-US"/>
        </w:rPr>
      </w:pPr>
      <w:r w:rsidRPr="00E80A44">
        <w:rPr>
          <w:szCs w:val="26"/>
          <w:lang w:eastAsia="en-US"/>
        </w:rPr>
        <w:t>Отчет сформирован работниками управлений «учебного блока».</w:t>
      </w:r>
      <w:bookmarkStart w:id="2" w:name="_Toc310850936"/>
      <w:r>
        <w:br w:type="page"/>
      </w:r>
    </w:p>
    <w:p w:rsidR="003A3A7F" w:rsidRPr="0096636E" w:rsidRDefault="003A3A7F" w:rsidP="005D791E">
      <w:pPr>
        <w:pStyle w:val="1"/>
        <w:keepLines w:val="0"/>
        <w:numPr>
          <w:ilvl w:val="0"/>
          <w:numId w:val="2"/>
        </w:numPr>
        <w:spacing w:before="240" w:after="60" w:line="276" w:lineRule="auto"/>
      </w:pPr>
      <w:bookmarkStart w:id="3" w:name="_Toc374030039"/>
      <w:r w:rsidRPr="0096636E">
        <w:lastRenderedPageBreak/>
        <w:t>Анализ выполнения</w:t>
      </w:r>
      <w:r>
        <w:t xml:space="preserve"> задач, поставленных на 2012/13 </w:t>
      </w:r>
      <w:r w:rsidRPr="0096636E">
        <w:t>учебный год</w:t>
      </w:r>
      <w:bookmarkEnd w:id="2"/>
      <w:bookmarkEnd w:id="3"/>
    </w:p>
    <w:p w:rsidR="003A3A7F" w:rsidRPr="00E80A44" w:rsidRDefault="003A3A7F" w:rsidP="003A3A7F">
      <w:pPr>
        <w:spacing w:after="200" w:line="276" w:lineRule="auto"/>
        <w:jc w:val="both"/>
        <w:rPr>
          <w:szCs w:val="26"/>
          <w:lang w:eastAsia="en-US"/>
        </w:rPr>
      </w:pPr>
      <w:r w:rsidRPr="00E80A44">
        <w:rPr>
          <w:szCs w:val="26"/>
          <w:lang w:eastAsia="en-US"/>
        </w:rPr>
        <w:t>В соответствии с долгосрочной программой развития университета, а также в свете выявленных оперативных проблем, отраженных в прошлогоднем отчете, были определены основные задачи учебной и учебно-методической деят</w:t>
      </w:r>
      <w:r>
        <w:rPr>
          <w:szCs w:val="26"/>
          <w:lang w:eastAsia="en-US"/>
        </w:rPr>
        <w:t>ельности университета  на 2012/13</w:t>
      </w:r>
      <w:r w:rsidRPr="00E80A44">
        <w:rPr>
          <w:szCs w:val="26"/>
          <w:lang w:eastAsia="en-US"/>
        </w:rPr>
        <w:t xml:space="preserve"> учебный год.</w:t>
      </w:r>
    </w:p>
    <w:p w:rsidR="003A3A7F" w:rsidRPr="00D3371E" w:rsidRDefault="003A3A7F" w:rsidP="00D3371E">
      <w:pPr>
        <w:spacing w:after="200" w:line="276" w:lineRule="auto"/>
        <w:ind w:firstLine="426"/>
        <w:jc w:val="both"/>
        <w:rPr>
          <w:lang w:eastAsia="en-US"/>
        </w:rPr>
      </w:pPr>
      <w:r w:rsidRPr="00D3371E">
        <w:rPr>
          <w:lang w:eastAsia="en-US"/>
        </w:rPr>
        <w:t xml:space="preserve">Охарактеризуем степень выполнения поставленных задач </w:t>
      </w:r>
    </w:p>
    <w:p w:rsidR="003A3A7F" w:rsidRPr="00D3371E" w:rsidRDefault="00A112F1" w:rsidP="002B51DC">
      <w:pPr>
        <w:pStyle w:val="a5"/>
        <w:numPr>
          <w:ilvl w:val="0"/>
          <w:numId w:val="41"/>
        </w:numPr>
        <w:ind w:left="0" w:firstLine="426"/>
        <w:jc w:val="both"/>
        <w:rPr>
          <w:szCs w:val="26"/>
        </w:rPr>
      </w:pPr>
      <w:r w:rsidRPr="00D3371E">
        <w:rPr>
          <w:sz w:val="24"/>
          <w:szCs w:val="24"/>
        </w:rPr>
        <w:t>Выполнена задача по открытию новых направлений</w:t>
      </w:r>
      <w:r w:rsidR="003A3A7F" w:rsidRPr="00D3371E">
        <w:rPr>
          <w:sz w:val="24"/>
          <w:szCs w:val="24"/>
        </w:rPr>
        <w:t xml:space="preserve"> подготовки</w:t>
      </w:r>
      <w:r w:rsidRPr="00D3371E">
        <w:rPr>
          <w:sz w:val="24"/>
          <w:szCs w:val="24"/>
        </w:rPr>
        <w:t xml:space="preserve"> в филиалах: </w:t>
      </w:r>
      <w:r w:rsidR="00A8456A" w:rsidRPr="00D3371E">
        <w:rPr>
          <w:sz w:val="24"/>
          <w:szCs w:val="24"/>
        </w:rPr>
        <w:t xml:space="preserve">Юриспруденция </w:t>
      </w:r>
      <w:r w:rsidR="003A3A7F" w:rsidRPr="00D3371E">
        <w:rPr>
          <w:sz w:val="24"/>
          <w:szCs w:val="24"/>
        </w:rPr>
        <w:t>в Пермском филиале</w:t>
      </w:r>
      <w:r w:rsidR="00A8456A" w:rsidRPr="00D3371E">
        <w:rPr>
          <w:sz w:val="24"/>
          <w:szCs w:val="24"/>
        </w:rPr>
        <w:t xml:space="preserve">; Филология </w:t>
      </w:r>
      <w:r w:rsidR="003A3A7F" w:rsidRPr="00D3371E">
        <w:rPr>
          <w:sz w:val="24"/>
          <w:szCs w:val="24"/>
        </w:rPr>
        <w:t>в Нижегородском филиале</w:t>
      </w:r>
      <w:r w:rsidR="00A8456A" w:rsidRPr="00D3371E">
        <w:rPr>
          <w:sz w:val="24"/>
          <w:szCs w:val="24"/>
        </w:rPr>
        <w:t xml:space="preserve">; </w:t>
      </w:r>
      <w:proofErr w:type="gramStart"/>
      <w:r w:rsidR="00A8456A" w:rsidRPr="00D3371E">
        <w:rPr>
          <w:sz w:val="24"/>
          <w:szCs w:val="24"/>
        </w:rPr>
        <w:t>Государственное</w:t>
      </w:r>
      <w:proofErr w:type="gramEnd"/>
      <w:r w:rsidR="00A8456A" w:rsidRPr="00D3371E">
        <w:rPr>
          <w:sz w:val="24"/>
          <w:szCs w:val="24"/>
        </w:rPr>
        <w:t xml:space="preserve"> и муниципальное управление </w:t>
      </w:r>
      <w:r w:rsidR="003A3A7F" w:rsidRPr="00D3371E">
        <w:rPr>
          <w:sz w:val="24"/>
          <w:szCs w:val="24"/>
        </w:rPr>
        <w:t>в Санкт-Петербургском филиале</w:t>
      </w:r>
      <w:r w:rsidR="0072493F" w:rsidRPr="00D3371E">
        <w:rPr>
          <w:szCs w:val="26"/>
        </w:rPr>
        <w:t>.</w:t>
      </w:r>
    </w:p>
    <w:p w:rsidR="0072493F" w:rsidRPr="00070B88" w:rsidRDefault="00A8456A" w:rsidP="002B51DC">
      <w:pPr>
        <w:pStyle w:val="a5"/>
        <w:numPr>
          <w:ilvl w:val="0"/>
          <w:numId w:val="41"/>
        </w:numPr>
        <w:ind w:left="0" w:firstLine="426"/>
        <w:jc w:val="both"/>
        <w:rPr>
          <w:sz w:val="24"/>
          <w:szCs w:val="24"/>
        </w:rPr>
      </w:pPr>
      <w:proofErr w:type="gramStart"/>
      <w:r w:rsidRPr="00D3371E">
        <w:rPr>
          <w:sz w:val="24"/>
          <w:szCs w:val="24"/>
        </w:rPr>
        <w:t xml:space="preserve">В рамках выполнения задачи </w:t>
      </w:r>
      <w:r w:rsidR="0072493F" w:rsidRPr="00D3371E">
        <w:rPr>
          <w:sz w:val="24"/>
          <w:szCs w:val="24"/>
        </w:rPr>
        <w:t>«</w:t>
      </w:r>
      <w:r w:rsidRPr="00D3371E">
        <w:rPr>
          <w:sz w:val="24"/>
          <w:szCs w:val="24"/>
        </w:rPr>
        <w:t>Продолжить открыти</w:t>
      </w:r>
      <w:r w:rsidR="0072493F" w:rsidRPr="00D3371E">
        <w:rPr>
          <w:sz w:val="24"/>
          <w:szCs w:val="24"/>
        </w:rPr>
        <w:t>е</w:t>
      </w:r>
      <w:r w:rsidR="003A3A7F" w:rsidRPr="00D3371E">
        <w:rPr>
          <w:sz w:val="24"/>
          <w:szCs w:val="24"/>
        </w:rPr>
        <w:t xml:space="preserve"> новых магистерских программ, уделяя внимание новым  для НИУ ВШЭ направлениям «инженерной» подготовки, англоязычным магистерским программам</w:t>
      </w:r>
      <w:r w:rsidR="0072493F" w:rsidRPr="00D3371E">
        <w:rPr>
          <w:sz w:val="24"/>
          <w:szCs w:val="24"/>
        </w:rPr>
        <w:t>» были открыты программы на основании собственных образовательных стандартов НИУ ВШЭ по направлениям подготовки инженерного блока:</w:t>
      </w:r>
      <w:r w:rsidR="00B87DD3" w:rsidRPr="00D3371E">
        <w:rPr>
          <w:sz w:val="24"/>
          <w:szCs w:val="24"/>
        </w:rPr>
        <w:t xml:space="preserve"> </w:t>
      </w:r>
      <w:r w:rsidR="00070B88" w:rsidRPr="00ED0F1F">
        <w:rPr>
          <w:sz w:val="24"/>
          <w:szCs w:val="24"/>
        </w:rPr>
        <w:t xml:space="preserve">магистерская программа «Измерительные технологии </w:t>
      </w:r>
      <w:proofErr w:type="spellStart"/>
      <w:r w:rsidR="00070B88" w:rsidRPr="00ED0F1F">
        <w:rPr>
          <w:sz w:val="24"/>
          <w:szCs w:val="24"/>
        </w:rPr>
        <w:t>наноиндустрии</w:t>
      </w:r>
      <w:proofErr w:type="spellEnd"/>
      <w:r w:rsidR="00070B88" w:rsidRPr="00ED0F1F">
        <w:rPr>
          <w:sz w:val="24"/>
          <w:szCs w:val="24"/>
        </w:rPr>
        <w:t xml:space="preserve">» (221700.68 Стандартизация и метрология), магистерская программа «Инжиниринг в электронике» (210100.68 Электроника и </w:t>
      </w:r>
      <w:proofErr w:type="spellStart"/>
      <w:r w:rsidR="00070B88" w:rsidRPr="00ED0F1F">
        <w:rPr>
          <w:sz w:val="24"/>
          <w:szCs w:val="24"/>
        </w:rPr>
        <w:t>наноэлектроника</w:t>
      </w:r>
      <w:proofErr w:type="spellEnd"/>
      <w:r w:rsidR="00070B88" w:rsidRPr="00ED0F1F">
        <w:rPr>
          <w:sz w:val="24"/>
          <w:szCs w:val="24"/>
        </w:rPr>
        <w:t>).</w:t>
      </w:r>
      <w:proofErr w:type="gramEnd"/>
    </w:p>
    <w:p w:rsidR="00823B78" w:rsidRPr="00D3371E" w:rsidRDefault="00823B78" w:rsidP="00D3371E">
      <w:pPr>
        <w:spacing w:after="200" w:line="276" w:lineRule="auto"/>
        <w:jc w:val="both"/>
        <w:rPr>
          <w:szCs w:val="26"/>
          <w:lang w:eastAsia="en-US"/>
        </w:rPr>
      </w:pPr>
      <w:r w:rsidRPr="00D3371E">
        <w:rPr>
          <w:szCs w:val="26"/>
          <w:lang w:eastAsia="en-US"/>
        </w:rPr>
        <w:t>В 2012-2013 учебном году НИУ ВШЭ реализовал 7 полностью англоязычных магистерских программ:</w:t>
      </w:r>
    </w:p>
    <w:p w:rsidR="00823B78" w:rsidRPr="00D3371E" w:rsidRDefault="00823B78" w:rsidP="001711D6">
      <w:pPr>
        <w:pStyle w:val="a5"/>
        <w:numPr>
          <w:ilvl w:val="0"/>
          <w:numId w:val="59"/>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Социально-политическое развитие и вызовы современной Восточной Азии,</w:t>
      </w:r>
    </w:p>
    <w:p w:rsidR="00823B78" w:rsidRPr="00D3371E" w:rsidRDefault="00823B78" w:rsidP="001711D6">
      <w:pPr>
        <w:pStyle w:val="a5"/>
        <w:numPr>
          <w:ilvl w:val="0"/>
          <w:numId w:val="59"/>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Международные отношения в Евразии,</w:t>
      </w:r>
    </w:p>
    <w:p w:rsidR="00823B78" w:rsidRPr="00D3371E" w:rsidRDefault="00823B78" w:rsidP="001711D6">
      <w:pPr>
        <w:pStyle w:val="a5"/>
        <w:numPr>
          <w:ilvl w:val="0"/>
          <w:numId w:val="59"/>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Политический анализ и публичная политика,</w:t>
      </w:r>
    </w:p>
    <w:p w:rsidR="00823B78" w:rsidRPr="00D3371E" w:rsidRDefault="00823B78" w:rsidP="001711D6">
      <w:pPr>
        <w:pStyle w:val="a5"/>
        <w:numPr>
          <w:ilvl w:val="0"/>
          <w:numId w:val="59"/>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Системная и программная инженерия,</w:t>
      </w:r>
    </w:p>
    <w:p w:rsidR="00823B78" w:rsidRPr="00D3371E" w:rsidRDefault="00823B78" w:rsidP="001711D6">
      <w:pPr>
        <w:pStyle w:val="a5"/>
        <w:numPr>
          <w:ilvl w:val="0"/>
          <w:numId w:val="59"/>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 </w:t>
      </w:r>
      <w:hyperlink r:id="rId12" w:tgtFrame="_blank" w:history="1">
        <w:r w:rsidRPr="00D3371E">
          <w:rPr>
            <w:rFonts w:asciiTheme="majorHAnsi" w:hAnsiTheme="majorHAnsi"/>
            <w:sz w:val="24"/>
            <w:szCs w:val="24"/>
          </w:rPr>
          <w:t>Математика</w:t>
        </w:r>
      </w:hyperlink>
      <w:r w:rsidRPr="00D3371E">
        <w:rPr>
          <w:rFonts w:asciiTheme="majorHAnsi" w:hAnsiTheme="majorHAnsi"/>
          <w:sz w:val="24"/>
          <w:szCs w:val="24"/>
        </w:rPr>
        <w:t>;</w:t>
      </w:r>
    </w:p>
    <w:p w:rsidR="00823B78" w:rsidRPr="00D3371E" w:rsidRDefault="007909E4" w:rsidP="001711D6">
      <w:pPr>
        <w:pStyle w:val="a5"/>
        <w:numPr>
          <w:ilvl w:val="0"/>
          <w:numId w:val="59"/>
        </w:numPr>
        <w:tabs>
          <w:tab w:val="left" w:pos="426"/>
        </w:tabs>
        <w:autoSpaceDE w:val="0"/>
        <w:autoSpaceDN w:val="0"/>
        <w:adjustRightInd w:val="0"/>
        <w:spacing w:line="240" w:lineRule="auto"/>
        <w:jc w:val="both"/>
        <w:rPr>
          <w:rFonts w:asciiTheme="majorHAnsi" w:hAnsiTheme="majorHAnsi"/>
          <w:sz w:val="24"/>
          <w:szCs w:val="24"/>
        </w:rPr>
      </w:pPr>
      <w:hyperlink r:id="rId13" w:history="1">
        <w:r w:rsidR="00823B78" w:rsidRPr="00D3371E">
          <w:rPr>
            <w:rFonts w:asciiTheme="majorHAnsi" w:hAnsiTheme="majorHAnsi"/>
            <w:sz w:val="24"/>
            <w:szCs w:val="24"/>
          </w:rPr>
          <w:t>Международный бизнес</w:t>
        </w:r>
      </w:hyperlink>
      <w:r w:rsidR="00823B78" w:rsidRPr="00D3371E">
        <w:rPr>
          <w:rFonts w:asciiTheme="majorHAnsi" w:hAnsiTheme="majorHAnsi"/>
          <w:sz w:val="24"/>
          <w:szCs w:val="24"/>
        </w:rPr>
        <w:t xml:space="preserve">; </w:t>
      </w:r>
    </w:p>
    <w:p w:rsidR="00823B78" w:rsidRPr="00D3371E" w:rsidRDefault="007909E4" w:rsidP="001711D6">
      <w:pPr>
        <w:pStyle w:val="a5"/>
        <w:numPr>
          <w:ilvl w:val="0"/>
          <w:numId w:val="59"/>
        </w:numPr>
        <w:tabs>
          <w:tab w:val="left" w:pos="426"/>
        </w:tabs>
        <w:autoSpaceDE w:val="0"/>
        <w:autoSpaceDN w:val="0"/>
        <w:adjustRightInd w:val="0"/>
        <w:spacing w:line="240" w:lineRule="auto"/>
        <w:jc w:val="both"/>
        <w:rPr>
          <w:rFonts w:asciiTheme="majorHAnsi" w:hAnsiTheme="majorHAnsi"/>
          <w:sz w:val="24"/>
          <w:szCs w:val="24"/>
        </w:rPr>
      </w:pPr>
      <w:hyperlink r:id="rId14" w:history="1">
        <w:r w:rsidR="00823B78" w:rsidRPr="00D3371E">
          <w:rPr>
            <w:rFonts w:asciiTheme="majorHAnsi" w:hAnsiTheme="majorHAnsi"/>
            <w:sz w:val="24"/>
            <w:szCs w:val="24"/>
          </w:rPr>
          <w:t>Финансовая экономика</w:t>
        </w:r>
      </w:hyperlink>
      <w:r w:rsidR="00823B78" w:rsidRPr="00D3371E">
        <w:rPr>
          <w:rFonts w:asciiTheme="majorHAnsi" w:hAnsiTheme="majorHAnsi"/>
          <w:sz w:val="24"/>
          <w:szCs w:val="24"/>
        </w:rPr>
        <w:t>.</w:t>
      </w:r>
    </w:p>
    <w:p w:rsidR="0072493F" w:rsidRPr="00D3371E" w:rsidRDefault="00823B78" w:rsidP="00D3371E">
      <w:pPr>
        <w:spacing w:after="200" w:line="276" w:lineRule="auto"/>
        <w:jc w:val="both"/>
        <w:rPr>
          <w:szCs w:val="26"/>
          <w:lang w:eastAsia="en-US"/>
        </w:rPr>
      </w:pPr>
      <w:r w:rsidRPr="00D3371E">
        <w:rPr>
          <w:szCs w:val="26"/>
          <w:lang w:eastAsia="en-US"/>
        </w:rPr>
        <w:t>Имеют англоязычные (иноязычные)  треки или большую долю англоязычных дисциплин, в том числе читаемых ведущими учеными мира, еще 20 программ:</w:t>
      </w:r>
    </w:p>
    <w:p w:rsidR="00823B78" w:rsidRPr="00D3371E" w:rsidRDefault="00823B78" w:rsidP="002B51DC">
      <w:pPr>
        <w:pStyle w:val="a5"/>
        <w:numPr>
          <w:ilvl w:val="0"/>
          <w:numId w:val="52"/>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Магистерская программа двух дипломов факультета экономики НИУ ВШЭ и французских университетов Париж 1 Пантеон-Сорбонна</w:t>
      </w:r>
      <w:r w:rsidR="001128A7">
        <w:rPr>
          <w:rFonts w:asciiTheme="majorHAnsi" w:hAnsiTheme="majorHAnsi"/>
          <w:sz w:val="24"/>
          <w:szCs w:val="24"/>
        </w:rPr>
        <w:t xml:space="preserve"> и Париж-Запад </w:t>
      </w:r>
      <w:proofErr w:type="spellStart"/>
      <w:r w:rsidR="001128A7">
        <w:rPr>
          <w:rFonts w:asciiTheme="majorHAnsi" w:hAnsiTheme="majorHAnsi"/>
          <w:sz w:val="24"/>
          <w:szCs w:val="24"/>
        </w:rPr>
        <w:t>Нантер</w:t>
      </w:r>
      <w:proofErr w:type="spellEnd"/>
      <w:r w:rsidR="001128A7">
        <w:rPr>
          <w:rFonts w:asciiTheme="majorHAnsi" w:hAnsiTheme="majorHAnsi"/>
          <w:sz w:val="24"/>
          <w:szCs w:val="24"/>
        </w:rPr>
        <w:t xml:space="preserve"> ля </w:t>
      </w:r>
      <w:proofErr w:type="spellStart"/>
      <w:r w:rsidR="001128A7">
        <w:rPr>
          <w:rFonts w:asciiTheme="majorHAnsi" w:hAnsiTheme="majorHAnsi"/>
          <w:sz w:val="24"/>
          <w:szCs w:val="24"/>
        </w:rPr>
        <w:t>Дефанс</w:t>
      </w:r>
      <w:proofErr w:type="spellEnd"/>
      <w:r w:rsidR="001128A7">
        <w:rPr>
          <w:rFonts w:asciiTheme="majorHAnsi" w:hAnsiTheme="majorHAnsi"/>
          <w:sz w:val="24"/>
          <w:szCs w:val="24"/>
        </w:rPr>
        <w:t>;</w:t>
      </w:r>
    </w:p>
    <w:p w:rsidR="00823B78" w:rsidRPr="00D3371E" w:rsidRDefault="00823B78" w:rsidP="002B51DC">
      <w:pPr>
        <w:pStyle w:val="a5"/>
        <w:numPr>
          <w:ilvl w:val="0"/>
          <w:numId w:val="52"/>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Магистерская программа двойных дипломов по экономике и менеджменту НИУ ВШЭ и Университета Гумбольдта (</w:t>
      </w:r>
      <w:proofErr w:type="spellStart"/>
      <w:r w:rsidRPr="00D3371E">
        <w:rPr>
          <w:rFonts w:asciiTheme="majorHAnsi" w:hAnsiTheme="majorHAnsi"/>
          <w:sz w:val="24"/>
          <w:szCs w:val="24"/>
        </w:rPr>
        <w:t>Humboldt</w:t>
      </w:r>
      <w:proofErr w:type="spellEnd"/>
      <w:r w:rsidRPr="00D3371E">
        <w:rPr>
          <w:rFonts w:asciiTheme="majorHAnsi" w:hAnsiTheme="majorHAnsi"/>
          <w:sz w:val="24"/>
          <w:szCs w:val="24"/>
        </w:rPr>
        <w:t xml:space="preserve"> </w:t>
      </w:r>
      <w:proofErr w:type="spellStart"/>
      <w:r w:rsidRPr="00D3371E">
        <w:rPr>
          <w:rFonts w:asciiTheme="majorHAnsi" w:hAnsiTheme="majorHAnsi"/>
          <w:sz w:val="24"/>
          <w:szCs w:val="24"/>
        </w:rPr>
        <w:t>University</w:t>
      </w:r>
      <w:proofErr w:type="spellEnd"/>
      <w:r w:rsidRPr="00D3371E">
        <w:rPr>
          <w:rFonts w:asciiTheme="majorHAnsi" w:hAnsiTheme="majorHAnsi"/>
          <w:sz w:val="24"/>
          <w:szCs w:val="24"/>
        </w:rPr>
        <w:t xml:space="preserve"> of </w:t>
      </w:r>
      <w:proofErr w:type="spellStart"/>
      <w:r w:rsidRPr="00D3371E">
        <w:rPr>
          <w:rFonts w:asciiTheme="majorHAnsi" w:hAnsiTheme="majorHAnsi"/>
          <w:sz w:val="24"/>
          <w:szCs w:val="24"/>
        </w:rPr>
        <w:t>Berlin</w:t>
      </w:r>
      <w:proofErr w:type="spellEnd"/>
      <w:r w:rsidRPr="00D3371E">
        <w:rPr>
          <w:rFonts w:asciiTheme="majorHAnsi" w:hAnsiTheme="majorHAnsi"/>
          <w:sz w:val="24"/>
          <w:szCs w:val="24"/>
        </w:rPr>
        <w:t>), Берлин, Германия</w:t>
      </w:r>
      <w:r w:rsidR="001128A7">
        <w:rPr>
          <w:rFonts w:asciiTheme="majorHAnsi" w:hAnsiTheme="majorHAnsi"/>
          <w:sz w:val="24"/>
          <w:szCs w:val="24"/>
        </w:rPr>
        <w:t>;</w:t>
      </w:r>
    </w:p>
    <w:p w:rsidR="00823B78" w:rsidRPr="00D3371E" w:rsidRDefault="00823B78" w:rsidP="002B51DC">
      <w:pPr>
        <w:pStyle w:val="a5"/>
        <w:numPr>
          <w:ilvl w:val="0"/>
          <w:numId w:val="52"/>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Магистерская программа двойных дипломов факультета экономики НИУ ВШЭ и факультета экономики Университета Болоньи</w:t>
      </w:r>
      <w:r w:rsidR="001128A7">
        <w:rPr>
          <w:rFonts w:asciiTheme="majorHAnsi" w:hAnsiTheme="majorHAnsi"/>
          <w:sz w:val="24"/>
          <w:szCs w:val="24"/>
        </w:rPr>
        <w:t>;</w:t>
      </w:r>
    </w:p>
    <w:p w:rsidR="00823B78" w:rsidRPr="00D3371E" w:rsidRDefault="00823B78" w:rsidP="002B51DC">
      <w:pPr>
        <w:pStyle w:val="a5"/>
        <w:numPr>
          <w:ilvl w:val="0"/>
          <w:numId w:val="52"/>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Магистерская программа двойных дипломов факультета менеджмента НИУ ВШЭ и</w:t>
      </w:r>
    </w:p>
    <w:p w:rsidR="00823B78" w:rsidRPr="00D3371E" w:rsidRDefault="00823B78" w:rsidP="00B46BFA">
      <w:pPr>
        <w:pStyle w:val="a5"/>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Университета Париж-</w:t>
      </w:r>
      <w:r w:rsidR="001128A7">
        <w:rPr>
          <w:rFonts w:asciiTheme="majorHAnsi" w:hAnsiTheme="majorHAnsi"/>
          <w:sz w:val="24"/>
          <w:szCs w:val="24"/>
        </w:rPr>
        <w:t xml:space="preserve">Восток </w:t>
      </w:r>
      <w:proofErr w:type="spellStart"/>
      <w:r w:rsidR="001128A7">
        <w:rPr>
          <w:rFonts w:asciiTheme="majorHAnsi" w:hAnsiTheme="majorHAnsi"/>
          <w:sz w:val="24"/>
          <w:szCs w:val="24"/>
        </w:rPr>
        <w:t>Кретей</w:t>
      </w:r>
      <w:proofErr w:type="spellEnd"/>
      <w:r w:rsidR="001128A7">
        <w:rPr>
          <w:rFonts w:asciiTheme="majorHAnsi" w:hAnsiTheme="majorHAnsi"/>
          <w:sz w:val="24"/>
          <w:szCs w:val="24"/>
        </w:rPr>
        <w:t>;</w:t>
      </w:r>
    </w:p>
    <w:p w:rsidR="00823B78" w:rsidRPr="00D3371E" w:rsidRDefault="00823B78" w:rsidP="002B51DC">
      <w:pPr>
        <w:pStyle w:val="a5"/>
        <w:numPr>
          <w:ilvl w:val="0"/>
          <w:numId w:val="52"/>
        </w:numPr>
        <w:tabs>
          <w:tab w:val="left" w:pos="426"/>
        </w:tabs>
        <w:autoSpaceDE w:val="0"/>
        <w:autoSpaceDN w:val="0"/>
        <w:adjustRightInd w:val="0"/>
        <w:spacing w:line="240" w:lineRule="auto"/>
        <w:jc w:val="both"/>
        <w:rPr>
          <w:rFonts w:asciiTheme="majorHAnsi" w:hAnsiTheme="majorHAnsi"/>
          <w:sz w:val="24"/>
          <w:szCs w:val="24"/>
        </w:rPr>
      </w:pPr>
      <w:proofErr w:type="gramStart"/>
      <w:r w:rsidRPr="00D3371E">
        <w:rPr>
          <w:rFonts w:asciiTheme="majorHAnsi" w:hAnsiTheme="majorHAnsi"/>
          <w:sz w:val="24"/>
          <w:szCs w:val="24"/>
        </w:rPr>
        <w:t>Магистерская программа двойных дипломов факультета менеджмента НИУ ВШЭ</w:t>
      </w:r>
      <w:r w:rsidR="00E01FE4">
        <w:rPr>
          <w:rFonts w:asciiTheme="majorHAnsi" w:hAnsiTheme="majorHAnsi"/>
          <w:sz w:val="24"/>
          <w:szCs w:val="24"/>
        </w:rPr>
        <w:t xml:space="preserve"> </w:t>
      </w:r>
      <w:r w:rsidRPr="00D3371E">
        <w:rPr>
          <w:rFonts w:asciiTheme="majorHAnsi" w:hAnsiTheme="majorHAnsi"/>
          <w:sz w:val="24"/>
          <w:szCs w:val="24"/>
        </w:rPr>
        <w:t xml:space="preserve">и  Европейской школы менеджмента </w:t>
      </w:r>
      <w:proofErr w:type="spellStart"/>
      <w:r w:rsidRPr="00D3371E">
        <w:rPr>
          <w:rFonts w:asciiTheme="majorHAnsi" w:hAnsiTheme="majorHAnsi"/>
          <w:sz w:val="24"/>
          <w:szCs w:val="24"/>
        </w:rPr>
        <w:t>Europe</w:t>
      </w:r>
      <w:proofErr w:type="spellEnd"/>
      <w:r w:rsidRPr="00D3371E">
        <w:rPr>
          <w:rFonts w:asciiTheme="majorHAnsi" w:hAnsiTheme="majorHAnsi"/>
          <w:sz w:val="24"/>
          <w:szCs w:val="24"/>
        </w:rPr>
        <w:t>), Париж, Франция</w:t>
      </w:r>
      <w:r w:rsidR="001128A7">
        <w:rPr>
          <w:rFonts w:asciiTheme="majorHAnsi" w:hAnsiTheme="majorHAnsi"/>
          <w:sz w:val="24"/>
          <w:szCs w:val="24"/>
        </w:rPr>
        <w:t>;</w:t>
      </w:r>
      <w:proofErr w:type="gramEnd"/>
    </w:p>
    <w:p w:rsidR="00823B78" w:rsidRPr="00D3371E" w:rsidRDefault="00823B78" w:rsidP="002B51DC">
      <w:pPr>
        <w:pStyle w:val="a5"/>
        <w:numPr>
          <w:ilvl w:val="0"/>
          <w:numId w:val="52"/>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lastRenderedPageBreak/>
        <w:t>Магистерская программа двух дипломов по государственному и муниципальному управлению или управлению здравоохранением с Университетом Поля Сезанна, Экс-Марсель III</w:t>
      </w:r>
      <w:r w:rsidR="001128A7">
        <w:rPr>
          <w:rFonts w:asciiTheme="majorHAnsi" w:hAnsiTheme="majorHAnsi"/>
          <w:sz w:val="24"/>
          <w:szCs w:val="24"/>
        </w:rPr>
        <w:t>;</w:t>
      </w:r>
    </w:p>
    <w:p w:rsidR="00823B78" w:rsidRPr="00D3371E" w:rsidRDefault="00823B78" w:rsidP="002B51DC">
      <w:pPr>
        <w:pStyle w:val="a5"/>
        <w:numPr>
          <w:ilvl w:val="0"/>
          <w:numId w:val="52"/>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Франко-российская магистерская программа двойных дипломов факультета права НИУ ВШЭ и Университета Париж 1 Пантеон-Сорбонна</w:t>
      </w:r>
      <w:r w:rsidR="001128A7">
        <w:rPr>
          <w:rFonts w:asciiTheme="majorHAnsi" w:hAnsiTheme="majorHAnsi"/>
          <w:sz w:val="24"/>
          <w:szCs w:val="24"/>
        </w:rPr>
        <w:t>;</w:t>
      </w:r>
    </w:p>
    <w:p w:rsidR="00823B78" w:rsidRPr="00D3371E" w:rsidRDefault="00823B78" w:rsidP="002B51DC">
      <w:pPr>
        <w:pStyle w:val="a5"/>
        <w:numPr>
          <w:ilvl w:val="0"/>
          <w:numId w:val="52"/>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 xml:space="preserve">Программа двойных дипломов с Вестфальским университетом им. Вильгельма </w:t>
      </w:r>
      <w:proofErr w:type="spellStart"/>
      <w:r w:rsidRPr="00D3371E">
        <w:rPr>
          <w:rFonts w:asciiTheme="majorHAnsi" w:hAnsiTheme="majorHAnsi"/>
          <w:sz w:val="24"/>
          <w:szCs w:val="24"/>
        </w:rPr>
        <w:t>Мюнстер</w:t>
      </w:r>
      <w:proofErr w:type="spellEnd"/>
      <w:r w:rsidRPr="00D3371E">
        <w:rPr>
          <w:rFonts w:asciiTheme="majorHAnsi" w:hAnsiTheme="majorHAnsi"/>
          <w:sz w:val="24"/>
          <w:szCs w:val="24"/>
        </w:rPr>
        <w:t>, Германия</w:t>
      </w:r>
      <w:r w:rsidR="001128A7">
        <w:rPr>
          <w:rFonts w:asciiTheme="majorHAnsi" w:hAnsiTheme="majorHAnsi"/>
          <w:sz w:val="24"/>
          <w:szCs w:val="24"/>
        </w:rPr>
        <w:t>;</w:t>
      </w:r>
    </w:p>
    <w:p w:rsidR="00823B78" w:rsidRPr="00D3371E" w:rsidRDefault="00823B78" w:rsidP="002B51DC">
      <w:pPr>
        <w:pStyle w:val="a5"/>
        <w:numPr>
          <w:ilvl w:val="0"/>
          <w:numId w:val="52"/>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 xml:space="preserve">Магистерская программа двойных дипломов по экономике НИУ ВШЭ и факультета экономики Университета </w:t>
      </w:r>
      <w:proofErr w:type="spellStart"/>
      <w:r w:rsidRPr="00D3371E">
        <w:rPr>
          <w:rFonts w:asciiTheme="majorHAnsi" w:hAnsiTheme="majorHAnsi"/>
          <w:sz w:val="24"/>
          <w:szCs w:val="24"/>
        </w:rPr>
        <w:t>Эразмус</w:t>
      </w:r>
      <w:proofErr w:type="spellEnd"/>
      <w:r w:rsidR="001128A7">
        <w:rPr>
          <w:rFonts w:asciiTheme="majorHAnsi" w:hAnsiTheme="majorHAnsi"/>
          <w:sz w:val="24"/>
          <w:szCs w:val="24"/>
        </w:rPr>
        <w:t>;</w:t>
      </w:r>
    </w:p>
    <w:p w:rsidR="00823B78" w:rsidRPr="00D3371E" w:rsidRDefault="00823B78" w:rsidP="002B51DC">
      <w:pPr>
        <w:pStyle w:val="a5"/>
        <w:numPr>
          <w:ilvl w:val="0"/>
          <w:numId w:val="52"/>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 xml:space="preserve">Магистерская программа двойных дипломов по экономике НИУ ВШЭ и Университета Джорджа </w:t>
      </w:r>
      <w:proofErr w:type="spellStart"/>
      <w:r w:rsidRPr="00D3371E">
        <w:rPr>
          <w:rFonts w:asciiTheme="majorHAnsi" w:hAnsiTheme="majorHAnsi"/>
          <w:sz w:val="24"/>
          <w:szCs w:val="24"/>
        </w:rPr>
        <w:t>Мэйсона</w:t>
      </w:r>
      <w:proofErr w:type="spellEnd"/>
      <w:r w:rsidR="001128A7">
        <w:rPr>
          <w:rFonts w:asciiTheme="majorHAnsi" w:hAnsiTheme="majorHAnsi"/>
          <w:sz w:val="24"/>
          <w:szCs w:val="24"/>
        </w:rPr>
        <w:t>;</w:t>
      </w:r>
    </w:p>
    <w:p w:rsidR="00823B78" w:rsidRPr="00D3371E" w:rsidRDefault="00823B78" w:rsidP="002B51DC">
      <w:pPr>
        <w:pStyle w:val="a5"/>
        <w:numPr>
          <w:ilvl w:val="0"/>
          <w:numId w:val="52"/>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 xml:space="preserve">Магистерская программа двойных дипломов факультета экономики НИУ ВШЭ и Школы финансов </w:t>
      </w:r>
      <w:proofErr w:type="spellStart"/>
      <w:r w:rsidRPr="00D3371E">
        <w:rPr>
          <w:rFonts w:asciiTheme="majorHAnsi" w:hAnsiTheme="majorHAnsi"/>
          <w:sz w:val="24"/>
          <w:szCs w:val="24"/>
        </w:rPr>
        <w:t>Дюзенберга</w:t>
      </w:r>
      <w:proofErr w:type="spellEnd"/>
      <w:r w:rsidR="001128A7">
        <w:rPr>
          <w:rFonts w:asciiTheme="majorHAnsi" w:hAnsiTheme="majorHAnsi"/>
          <w:sz w:val="24"/>
          <w:szCs w:val="24"/>
        </w:rPr>
        <w:t>;</w:t>
      </w:r>
    </w:p>
    <w:p w:rsidR="00823B78" w:rsidRPr="00D3371E" w:rsidRDefault="00823B78" w:rsidP="002B51DC">
      <w:pPr>
        <w:pStyle w:val="a5"/>
        <w:numPr>
          <w:ilvl w:val="0"/>
          <w:numId w:val="52"/>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Магистерская программа двойных дипломов факультета экономики НИУ ВШЭ и Школы менеджмента Университета Ланкастер</w:t>
      </w:r>
      <w:r w:rsidR="001128A7">
        <w:rPr>
          <w:rFonts w:asciiTheme="majorHAnsi" w:hAnsiTheme="majorHAnsi"/>
          <w:sz w:val="24"/>
          <w:szCs w:val="24"/>
        </w:rPr>
        <w:t>;</w:t>
      </w:r>
    </w:p>
    <w:p w:rsidR="00823B78" w:rsidRPr="00D3371E" w:rsidRDefault="00823B78" w:rsidP="002B51DC">
      <w:pPr>
        <w:pStyle w:val="a5"/>
        <w:numPr>
          <w:ilvl w:val="0"/>
          <w:numId w:val="52"/>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 xml:space="preserve">Магистерская программа двойных дипломов </w:t>
      </w:r>
      <w:r w:rsidR="00B46BFA">
        <w:rPr>
          <w:rFonts w:asciiTheme="majorHAnsi" w:hAnsiTheme="majorHAnsi"/>
          <w:sz w:val="24"/>
          <w:szCs w:val="24"/>
        </w:rPr>
        <w:t>«</w:t>
      </w:r>
      <w:r w:rsidRPr="00D3371E">
        <w:rPr>
          <w:rFonts w:asciiTheme="majorHAnsi" w:hAnsiTheme="majorHAnsi"/>
          <w:sz w:val="24"/>
          <w:szCs w:val="24"/>
        </w:rPr>
        <w:t>Международные отношения в Евразии</w:t>
      </w:r>
      <w:r w:rsidR="00B46BFA">
        <w:rPr>
          <w:rFonts w:asciiTheme="majorHAnsi" w:hAnsiTheme="majorHAnsi"/>
          <w:sz w:val="24"/>
          <w:szCs w:val="24"/>
        </w:rPr>
        <w:t>»</w:t>
      </w:r>
      <w:r w:rsidRPr="00D3371E">
        <w:rPr>
          <w:rFonts w:asciiTheme="majorHAnsi" w:hAnsiTheme="majorHAnsi"/>
          <w:sz w:val="24"/>
          <w:szCs w:val="24"/>
        </w:rPr>
        <w:t xml:space="preserve"> в сотрудничестве с Университетским колледжем Лондона, и Университетом Кента</w:t>
      </w:r>
      <w:proofErr w:type="gramStart"/>
      <w:r w:rsidRPr="00D3371E">
        <w:rPr>
          <w:rFonts w:asciiTheme="majorHAnsi" w:hAnsiTheme="majorHAnsi"/>
          <w:sz w:val="24"/>
          <w:szCs w:val="24"/>
        </w:rPr>
        <w:t xml:space="preserve"> ,</w:t>
      </w:r>
      <w:proofErr w:type="gramEnd"/>
      <w:r w:rsidRPr="00D3371E">
        <w:rPr>
          <w:rFonts w:asciiTheme="majorHAnsi" w:hAnsiTheme="majorHAnsi"/>
          <w:sz w:val="24"/>
          <w:szCs w:val="24"/>
        </w:rPr>
        <w:t xml:space="preserve"> Великобритания, Высшая школа экономики</w:t>
      </w:r>
      <w:r w:rsidR="001128A7">
        <w:rPr>
          <w:rFonts w:asciiTheme="majorHAnsi" w:hAnsiTheme="majorHAnsi"/>
          <w:sz w:val="24"/>
          <w:szCs w:val="24"/>
        </w:rPr>
        <w:t>;</w:t>
      </w:r>
    </w:p>
    <w:p w:rsidR="00823B78" w:rsidRPr="00D3371E" w:rsidRDefault="00823B78" w:rsidP="002B51DC">
      <w:pPr>
        <w:pStyle w:val="a5"/>
        <w:numPr>
          <w:ilvl w:val="0"/>
          <w:numId w:val="52"/>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 xml:space="preserve">Магистерская программа двойных дипломов факультета менеджмента НИУ ВШЭ и </w:t>
      </w:r>
      <w:proofErr w:type="gramStart"/>
      <w:r w:rsidRPr="00D3371E">
        <w:rPr>
          <w:rFonts w:asciiTheme="majorHAnsi" w:hAnsiTheme="majorHAnsi"/>
          <w:sz w:val="24"/>
          <w:szCs w:val="24"/>
        </w:rPr>
        <w:t>Бизнес-школы</w:t>
      </w:r>
      <w:proofErr w:type="gramEnd"/>
      <w:r w:rsidRPr="00D3371E">
        <w:rPr>
          <w:rFonts w:asciiTheme="majorHAnsi" w:hAnsiTheme="majorHAnsi"/>
          <w:sz w:val="24"/>
          <w:szCs w:val="24"/>
        </w:rPr>
        <w:t xml:space="preserve"> Университета Лидса</w:t>
      </w:r>
      <w:r w:rsidR="001128A7">
        <w:rPr>
          <w:rFonts w:asciiTheme="majorHAnsi" w:hAnsiTheme="majorHAnsi"/>
          <w:sz w:val="24"/>
          <w:szCs w:val="24"/>
        </w:rPr>
        <w:t>;</w:t>
      </w:r>
    </w:p>
    <w:p w:rsidR="00823B78" w:rsidRPr="00D3371E" w:rsidRDefault="00823B78" w:rsidP="002B51DC">
      <w:pPr>
        <w:pStyle w:val="a5"/>
        <w:numPr>
          <w:ilvl w:val="0"/>
          <w:numId w:val="52"/>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Магистерская программа двойных дипломов факультета менеджмента НИУ ВШЭ и Школы менеджмента Университета Ланкастер</w:t>
      </w:r>
      <w:r w:rsidR="001128A7">
        <w:rPr>
          <w:rFonts w:asciiTheme="majorHAnsi" w:hAnsiTheme="majorHAnsi"/>
          <w:sz w:val="24"/>
          <w:szCs w:val="24"/>
        </w:rPr>
        <w:t>;</w:t>
      </w:r>
    </w:p>
    <w:p w:rsidR="00823B78" w:rsidRPr="00D3371E" w:rsidRDefault="00823B78" w:rsidP="002B51DC">
      <w:pPr>
        <w:pStyle w:val="a5"/>
        <w:numPr>
          <w:ilvl w:val="0"/>
          <w:numId w:val="52"/>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 xml:space="preserve">Магистерская программа двойных дипломов факультета менеджмента НИУ ВШЭ и </w:t>
      </w:r>
      <w:proofErr w:type="gramStart"/>
      <w:r w:rsidRPr="00D3371E">
        <w:rPr>
          <w:rFonts w:asciiTheme="majorHAnsi" w:hAnsiTheme="majorHAnsi"/>
          <w:sz w:val="24"/>
          <w:szCs w:val="24"/>
        </w:rPr>
        <w:t>Бизнес-школы</w:t>
      </w:r>
      <w:proofErr w:type="gramEnd"/>
      <w:r w:rsidRPr="00D3371E">
        <w:rPr>
          <w:rFonts w:asciiTheme="majorHAnsi" w:hAnsiTheme="majorHAnsi"/>
          <w:sz w:val="24"/>
          <w:szCs w:val="24"/>
        </w:rPr>
        <w:t xml:space="preserve"> Университета </w:t>
      </w:r>
      <w:proofErr w:type="spellStart"/>
      <w:r w:rsidRPr="00D3371E">
        <w:rPr>
          <w:rFonts w:asciiTheme="majorHAnsi" w:hAnsiTheme="majorHAnsi"/>
          <w:sz w:val="24"/>
          <w:szCs w:val="24"/>
        </w:rPr>
        <w:t>Уорика</w:t>
      </w:r>
      <w:proofErr w:type="spellEnd"/>
      <w:r w:rsidR="001128A7">
        <w:rPr>
          <w:rFonts w:asciiTheme="majorHAnsi" w:hAnsiTheme="majorHAnsi"/>
          <w:sz w:val="24"/>
          <w:szCs w:val="24"/>
        </w:rPr>
        <w:t>;</w:t>
      </w:r>
    </w:p>
    <w:p w:rsidR="00823B78" w:rsidRPr="00D3371E" w:rsidRDefault="00823B78" w:rsidP="002B51DC">
      <w:pPr>
        <w:pStyle w:val="a5"/>
        <w:numPr>
          <w:ilvl w:val="0"/>
          <w:numId w:val="52"/>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Магистерская программа двух дипломов по государственному и муниципальному управлению с Университетом Бирмингема, Великобритания</w:t>
      </w:r>
      <w:r w:rsidR="001128A7">
        <w:rPr>
          <w:rFonts w:asciiTheme="majorHAnsi" w:hAnsiTheme="majorHAnsi"/>
          <w:sz w:val="24"/>
          <w:szCs w:val="24"/>
        </w:rPr>
        <w:t>;</w:t>
      </w:r>
    </w:p>
    <w:p w:rsidR="00823B78" w:rsidRPr="00D3371E" w:rsidRDefault="00823B78" w:rsidP="002B51DC">
      <w:pPr>
        <w:pStyle w:val="a5"/>
        <w:numPr>
          <w:ilvl w:val="0"/>
          <w:numId w:val="52"/>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Российско-британская магистерская программа двух дипломов по государственному управлению с Университетом Лондон Метрополитен</w:t>
      </w:r>
      <w:r w:rsidR="001128A7">
        <w:rPr>
          <w:rFonts w:asciiTheme="majorHAnsi" w:hAnsiTheme="majorHAnsi"/>
          <w:sz w:val="24"/>
          <w:szCs w:val="24"/>
        </w:rPr>
        <w:t>;</w:t>
      </w:r>
    </w:p>
    <w:p w:rsidR="00823B78" w:rsidRPr="00D3371E" w:rsidRDefault="00823B78" w:rsidP="002B51DC">
      <w:pPr>
        <w:pStyle w:val="a5"/>
        <w:numPr>
          <w:ilvl w:val="0"/>
          <w:numId w:val="52"/>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 xml:space="preserve">Программа двойных дипломов факультета </w:t>
      </w:r>
      <w:proofErr w:type="gramStart"/>
      <w:r w:rsidRPr="00D3371E">
        <w:rPr>
          <w:rFonts w:asciiTheme="majorHAnsi" w:hAnsiTheme="majorHAnsi"/>
          <w:sz w:val="24"/>
          <w:szCs w:val="24"/>
        </w:rPr>
        <w:t>бизнес-информатики</w:t>
      </w:r>
      <w:proofErr w:type="gramEnd"/>
      <w:r w:rsidRPr="00D3371E">
        <w:rPr>
          <w:rFonts w:asciiTheme="majorHAnsi" w:hAnsiTheme="majorHAnsi"/>
          <w:sz w:val="24"/>
          <w:szCs w:val="24"/>
        </w:rPr>
        <w:t xml:space="preserve"> НИУ ВШЭ и Школы менеджмента Университета Ланкастера, Великобритания</w:t>
      </w:r>
      <w:r w:rsidR="001128A7">
        <w:rPr>
          <w:rFonts w:asciiTheme="majorHAnsi" w:hAnsiTheme="majorHAnsi"/>
          <w:sz w:val="24"/>
          <w:szCs w:val="24"/>
        </w:rPr>
        <w:t>;</w:t>
      </w:r>
    </w:p>
    <w:p w:rsidR="00A8456A" w:rsidRPr="00D3371E" w:rsidRDefault="00823B78" w:rsidP="002B51DC">
      <w:pPr>
        <w:pStyle w:val="a5"/>
        <w:numPr>
          <w:ilvl w:val="0"/>
          <w:numId w:val="52"/>
        </w:numPr>
        <w:tabs>
          <w:tab w:val="left" w:pos="426"/>
        </w:tabs>
        <w:autoSpaceDE w:val="0"/>
        <w:autoSpaceDN w:val="0"/>
        <w:adjustRightInd w:val="0"/>
        <w:spacing w:line="240" w:lineRule="auto"/>
        <w:jc w:val="both"/>
        <w:rPr>
          <w:rFonts w:asciiTheme="majorHAnsi" w:hAnsiTheme="majorHAnsi"/>
          <w:sz w:val="24"/>
          <w:szCs w:val="24"/>
        </w:rPr>
      </w:pPr>
      <w:r w:rsidRPr="00D3371E">
        <w:rPr>
          <w:rFonts w:asciiTheme="majorHAnsi" w:hAnsiTheme="majorHAnsi"/>
          <w:sz w:val="24"/>
          <w:szCs w:val="24"/>
        </w:rPr>
        <w:t xml:space="preserve">Магистерская программа двойных дипломов НИУ ВШЭ и Университета Джорджа </w:t>
      </w:r>
      <w:proofErr w:type="spellStart"/>
      <w:r w:rsidRPr="00D3371E">
        <w:rPr>
          <w:rFonts w:asciiTheme="majorHAnsi" w:hAnsiTheme="majorHAnsi"/>
          <w:sz w:val="24"/>
          <w:szCs w:val="24"/>
        </w:rPr>
        <w:t>Мэйсона</w:t>
      </w:r>
      <w:proofErr w:type="spellEnd"/>
      <w:proofErr w:type="gramStart"/>
      <w:r w:rsidRPr="00D3371E">
        <w:rPr>
          <w:rFonts w:asciiTheme="majorHAnsi" w:hAnsiTheme="majorHAnsi"/>
          <w:sz w:val="24"/>
          <w:szCs w:val="24"/>
        </w:rPr>
        <w:t xml:space="preserve"> ,</w:t>
      </w:r>
      <w:proofErr w:type="gramEnd"/>
      <w:r w:rsidRPr="00D3371E">
        <w:rPr>
          <w:rFonts w:asciiTheme="majorHAnsi" w:hAnsiTheme="majorHAnsi"/>
          <w:sz w:val="24"/>
          <w:szCs w:val="24"/>
        </w:rPr>
        <w:t xml:space="preserve"> США.</w:t>
      </w:r>
    </w:p>
    <w:p w:rsidR="003A3A7F" w:rsidRPr="00D3371E" w:rsidRDefault="00A8456A" w:rsidP="002B51DC">
      <w:pPr>
        <w:pStyle w:val="a5"/>
        <w:numPr>
          <w:ilvl w:val="0"/>
          <w:numId w:val="41"/>
        </w:numPr>
        <w:ind w:left="0" w:firstLine="426"/>
        <w:jc w:val="both"/>
        <w:rPr>
          <w:sz w:val="24"/>
          <w:szCs w:val="24"/>
        </w:rPr>
      </w:pPr>
      <w:r w:rsidRPr="00D3371E">
        <w:rPr>
          <w:sz w:val="24"/>
          <w:szCs w:val="24"/>
        </w:rPr>
        <w:t>Создана</w:t>
      </w:r>
      <w:r w:rsidR="003A3A7F" w:rsidRPr="00D3371E">
        <w:rPr>
          <w:sz w:val="24"/>
          <w:szCs w:val="24"/>
        </w:rPr>
        <w:t xml:space="preserve"> модель внешней экспертизы образовательных программ</w:t>
      </w:r>
      <w:r w:rsidR="00F004CF" w:rsidRPr="00D3371E">
        <w:rPr>
          <w:sz w:val="24"/>
          <w:szCs w:val="24"/>
        </w:rPr>
        <w:t xml:space="preserve"> – на базе типовой модели, разработанной экспертами Всемирного банка в сотрудничестве с представителями факультетов НИУ ВШЭ-Москва, в 2012-2013 году начата экспертиза 7 образовательных программ (более подробно об этом можно прочитать в разделе 10.1 настоящего отчета).</w:t>
      </w:r>
    </w:p>
    <w:p w:rsidR="00070B88" w:rsidRPr="00070B88" w:rsidRDefault="00070B88" w:rsidP="002B51DC">
      <w:pPr>
        <w:pStyle w:val="a5"/>
        <w:numPr>
          <w:ilvl w:val="0"/>
          <w:numId w:val="41"/>
        </w:numPr>
        <w:jc w:val="both"/>
        <w:rPr>
          <w:sz w:val="24"/>
          <w:szCs w:val="24"/>
        </w:rPr>
      </w:pPr>
      <w:r w:rsidRPr="00070B88">
        <w:rPr>
          <w:sz w:val="24"/>
          <w:szCs w:val="24"/>
        </w:rPr>
        <w:t>Планы по лицензированию  новых  направлений  подготовки в Нижегородском, Санкт-Петербургском и Пермском филиалах НИУ ВШЭ реализованы полностью и с превышением; в  Москве лицензированы все запланированные направления подготовки, кроме</w:t>
      </w:r>
      <w:proofErr w:type="gramStart"/>
      <w:r w:rsidRPr="00070B88">
        <w:rPr>
          <w:sz w:val="24"/>
          <w:szCs w:val="24"/>
        </w:rPr>
        <w:t xml:space="preserve"> :</w:t>
      </w:r>
      <w:proofErr w:type="gramEnd"/>
    </w:p>
    <w:p w:rsidR="00070B88" w:rsidRPr="004E137D" w:rsidRDefault="00070B88" w:rsidP="002B51DC">
      <w:pPr>
        <w:pStyle w:val="a5"/>
        <w:numPr>
          <w:ilvl w:val="0"/>
          <w:numId w:val="44"/>
        </w:numPr>
        <w:jc w:val="both"/>
        <w:rPr>
          <w:sz w:val="24"/>
        </w:rPr>
      </w:pPr>
      <w:r w:rsidRPr="004E137D">
        <w:rPr>
          <w:sz w:val="24"/>
        </w:rPr>
        <w:t>направление подготовки 201000.68 Биотехнические системы и технологии (магистратура);</w:t>
      </w:r>
    </w:p>
    <w:p w:rsidR="00070B88" w:rsidRPr="004E137D" w:rsidRDefault="00070B88" w:rsidP="002B51DC">
      <w:pPr>
        <w:pStyle w:val="a5"/>
        <w:numPr>
          <w:ilvl w:val="0"/>
          <w:numId w:val="44"/>
        </w:numPr>
        <w:jc w:val="both"/>
        <w:rPr>
          <w:sz w:val="24"/>
        </w:rPr>
      </w:pPr>
      <w:r w:rsidRPr="004E137D">
        <w:rPr>
          <w:sz w:val="24"/>
        </w:rPr>
        <w:t>направление подготовки 210700.68 Инфокоммуникационные технологии и системы связи (магистратура);</w:t>
      </w:r>
    </w:p>
    <w:p w:rsidR="00070B88" w:rsidRPr="004E137D" w:rsidRDefault="00070B88" w:rsidP="002B51DC">
      <w:pPr>
        <w:pStyle w:val="a5"/>
        <w:numPr>
          <w:ilvl w:val="0"/>
          <w:numId w:val="44"/>
        </w:numPr>
        <w:jc w:val="both"/>
        <w:rPr>
          <w:sz w:val="24"/>
        </w:rPr>
      </w:pPr>
      <w:r w:rsidRPr="004E137D">
        <w:rPr>
          <w:sz w:val="24"/>
        </w:rPr>
        <w:t xml:space="preserve">направление подготовки 222900.68 </w:t>
      </w:r>
      <w:proofErr w:type="spellStart"/>
      <w:r w:rsidRPr="004E137D">
        <w:rPr>
          <w:sz w:val="24"/>
        </w:rPr>
        <w:t>Нанотехнологии</w:t>
      </w:r>
      <w:proofErr w:type="spellEnd"/>
      <w:r w:rsidRPr="004E137D">
        <w:rPr>
          <w:sz w:val="24"/>
        </w:rPr>
        <w:t xml:space="preserve"> и микросистемная техника (магистратура);</w:t>
      </w:r>
    </w:p>
    <w:p w:rsidR="00070B88" w:rsidRPr="00F91034" w:rsidRDefault="00070B88" w:rsidP="00F91034">
      <w:pPr>
        <w:spacing w:after="200"/>
        <w:jc w:val="both"/>
        <w:rPr>
          <w:szCs w:val="26"/>
          <w:lang w:eastAsia="en-US"/>
        </w:rPr>
      </w:pPr>
      <w:r w:rsidRPr="00F91034">
        <w:rPr>
          <w:szCs w:val="26"/>
          <w:lang w:eastAsia="en-US"/>
        </w:rPr>
        <w:lastRenderedPageBreak/>
        <w:t xml:space="preserve">данные направления решено пока не </w:t>
      </w:r>
      <w:proofErr w:type="gramStart"/>
      <w:r w:rsidRPr="00F91034">
        <w:rPr>
          <w:szCs w:val="26"/>
          <w:lang w:eastAsia="en-US"/>
        </w:rPr>
        <w:t>развивать</w:t>
      </w:r>
      <w:proofErr w:type="gramEnd"/>
      <w:r w:rsidRPr="00F91034">
        <w:rPr>
          <w:szCs w:val="26"/>
          <w:lang w:eastAsia="en-US"/>
        </w:rPr>
        <w:t xml:space="preserve">, исходя из имеющихся инфраструктурных и кадровых условий.  </w:t>
      </w:r>
    </w:p>
    <w:p w:rsidR="00070B88" w:rsidRPr="00F91034" w:rsidRDefault="00070B88" w:rsidP="00F91034">
      <w:pPr>
        <w:spacing w:after="200"/>
        <w:jc w:val="both"/>
        <w:rPr>
          <w:szCs w:val="26"/>
          <w:lang w:eastAsia="en-US"/>
        </w:rPr>
      </w:pPr>
      <w:r w:rsidRPr="00F91034">
        <w:rPr>
          <w:szCs w:val="26"/>
          <w:lang w:eastAsia="en-US"/>
        </w:rPr>
        <w:t>Полный перечень лицензированных в отчетном году образовательных  программ приведен в п.3.2. настоящего отчета.</w:t>
      </w:r>
    </w:p>
    <w:p w:rsidR="003A3A7F" w:rsidRPr="00D3371E" w:rsidRDefault="00A8456A" w:rsidP="002B51DC">
      <w:pPr>
        <w:pStyle w:val="a5"/>
        <w:numPr>
          <w:ilvl w:val="0"/>
          <w:numId w:val="41"/>
        </w:numPr>
        <w:ind w:left="0" w:firstLine="426"/>
        <w:jc w:val="both"/>
        <w:rPr>
          <w:sz w:val="24"/>
          <w:szCs w:val="24"/>
        </w:rPr>
      </w:pPr>
      <w:proofErr w:type="gramStart"/>
      <w:r w:rsidRPr="00D3371E">
        <w:rPr>
          <w:sz w:val="24"/>
          <w:szCs w:val="24"/>
        </w:rPr>
        <w:t>Разработаны</w:t>
      </w:r>
      <w:r w:rsidR="003A3A7F" w:rsidRPr="00D3371E">
        <w:rPr>
          <w:sz w:val="24"/>
          <w:szCs w:val="24"/>
        </w:rPr>
        <w:t xml:space="preserve"> </w:t>
      </w:r>
      <w:r w:rsidR="00F004CF" w:rsidRPr="00D3371E">
        <w:rPr>
          <w:sz w:val="24"/>
          <w:szCs w:val="24"/>
        </w:rPr>
        <w:t>и утверждены</w:t>
      </w:r>
      <w:proofErr w:type="gramEnd"/>
      <w:r w:rsidR="00F004CF" w:rsidRPr="00D3371E">
        <w:rPr>
          <w:sz w:val="24"/>
          <w:szCs w:val="24"/>
        </w:rPr>
        <w:t xml:space="preserve"> ученым советом НИУ ВШЭ </w:t>
      </w:r>
      <w:r w:rsidR="003A3A7F" w:rsidRPr="00D3371E">
        <w:rPr>
          <w:sz w:val="24"/>
          <w:szCs w:val="24"/>
        </w:rPr>
        <w:t>новые образовательные стандарты в области инженерного образования</w:t>
      </w:r>
      <w:r w:rsidR="00F004CF" w:rsidRPr="00D3371E">
        <w:rPr>
          <w:sz w:val="24"/>
          <w:szCs w:val="24"/>
        </w:rPr>
        <w:t xml:space="preserve">: </w:t>
      </w:r>
      <w:r w:rsidRPr="00D3371E">
        <w:rPr>
          <w:sz w:val="24"/>
          <w:szCs w:val="24"/>
        </w:rPr>
        <w:t xml:space="preserve"> </w:t>
      </w:r>
      <w:r w:rsidR="00F004CF" w:rsidRPr="00D3371E">
        <w:rPr>
          <w:sz w:val="24"/>
          <w:szCs w:val="24"/>
        </w:rPr>
        <w:t xml:space="preserve">221700.68 «Стандартизация и метрология» и 210100.68 «Электроника и </w:t>
      </w:r>
      <w:proofErr w:type="spellStart"/>
      <w:r w:rsidR="00F004CF" w:rsidRPr="00D3371E">
        <w:rPr>
          <w:sz w:val="24"/>
          <w:szCs w:val="24"/>
        </w:rPr>
        <w:t>наноэлектроника</w:t>
      </w:r>
      <w:proofErr w:type="spellEnd"/>
      <w:r w:rsidR="00F004CF" w:rsidRPr="00D3371E">
        <w:rPr>
          <w:sz w:val="24"/>
          <w:szCs w:val="24"/>
        </w:rPr>
        <w:t>». ОС НИУ ВШЭ еще по двум направлениям инженерного образования находятся на доработке по итогам рассмотрения коллегиями Учебно-методического совета.</w:t>
      </w:r>
    </w:p>
    <w:p w:rsidR="003A3A7F" w:rsidRPr="00D3371E" w:rsidRDefault="003C6736" w:rsidP="002B51DC">
      <w:pPr>
        <w:pStyle w:val="a5"/>
        <w:numPr>
          <w:ilvl w:val="0"/>
          <w:numId w:val="41"/>
        </w:numPr>
        <w:ind w:left="0" w:firstLine="426"/>
        <w:jc w:val="both"/>
        <w:rPr>
          <w:sz w:val="24"/>
          <w:szCs w:val="24"/>
        </w:rPr>
      </w:pPr>
      <w:r>
        <w:rPr>
          <w:sz w:val="24"/>
          <w:szCs w:val="24"/>
        </w:rPr>
        <w:t xml:space="preserve">По инициативе НИУ ВШЭ </w:t>
      </w:r>
      <w:proofErr w:type="gramStart"/>
      <w:r>
        <w:rPr>
          <w:sz w:val="24"/>
          <w:szCs w:val="24"/>
        </w:rPr>
        <w:t>введено в Российской Федерации и включено</w:t>
      </w:r>
      <w:proofErr w:type="gramEnd"/>
      <w:r>
        <w:rPr>
          <w:sz w:val="24"/>
          <w:szCs w:val="24"/>
        </w:rPr>
        <w:t xml:space="preserve"> в перечень образовательных направлений</w:t>
      </w:r>
      <w:r w:rsidR="00B87DD3" w:rsidRPr="00D3371E">
        <w:rPr>
          <w:sz w:val="24"/>
          <w:szCs w:val="24"/>
        </w:rPr>
        <w:t xml:space="preserve"> </w:t>
      </w:r>
      <w:r w:rsidR="003A3A7F" w:rsidRPr="00D3371E">
        <w:rPr>
          <w:sz w:val="24"/>
          <w:szCs w:val="24"/>
        </w:rPr>
        <w:t>нов</w:t>
      </w:r>
      <w:r w:rsidR="00B87DD3" w:rsidRPr="00D3371E">
        <w:rPr>
          <w:sz w:val="24"/>
          <w:szCs w:val="24"/>
        </w:rPr>
        <w:t>ое</w:t>
      </w:r>
      <w:r w:rsidR="003A3A7F" w:rsidRPr="00D3371E">
        <w:rPr>
          <w:sz w:val="24"/>
          <w:szCs w:val="24"/>
        </w:rPr>
        <w:t xml:space="preserve"> образовательн</w:t>
      </w:r>
      <w:r w:rsidR="00B87DD3" w:rsidRPr="00D3371E">
        <w:rPr>
          <w:sz w:val="24"/>
          <w:szCs w:val="24"/>
        </w:rPr>
        <w:t>ое</w:t>
      </w:r>
      <w:r w:rsidR="003A3A7F" w:rsidRPr="00D3371E">
        <w:rPr>
          <w:sz w:val="24"/>
          <w:szCs w:val="24"/>
        </w:rPr>
        <w:t xml:space="preserve"> направлени</w:t>
      </w:r>
      <w:r w:rsidR="00B87DD3" w:rsidRPr="00D3371E">
        <w:rPr>
          <w:sz w:val="24"/>
          <w:szCs w:val="24"/>
        </w:rPr>
        <w:t>е</w:t>
      </w:r>
      <w:r w:rsidR="003A3A7F" w:rsidRPr="00D3371E">
        <w:rPr>
          <w:sz w:val="24"/>
          <w:szCs w:val="24"/>
        </w:rPr>
        <w:t xml:space="preserve"> «</w:t>
      </w:r>
      <w:proofErr w:type="spellStart"/>
      <w:r w:rsidR="003A3A7F" w:rsidRPr="00D3371E">
        <w:rPr>
          <w:sz w:val="24"/>
          <w:szCs w:val="24"/>
        </w:rPr>
        <w:t>Медиакоммуникации</w:t>
      </w:r>
      <w:proofErr w:type="spellEnd"/>
      <w:r w:rsidR="003A3A7F" w:rsidRPr="00D3371E">
        <w:rPr>
          <w:sz w:val="24"/>
          <w:szCs w:val="24"/>
        </w:rPr>
        <w:t xml:space="preserve">», </w:t>
      </w:r>
      <w:r w:rsidR="00B87DD3" w:rsidRPr="00D3371E">
        <w:rPr>
          <w:sz w:val="24"/>
          <w:szCs w:val="24"/>
        </w:rPr>
        <w:t xml:space="preserve">по направлению </w:t>
      </w:r>
      <w:r w:rsidR="003A3A7F" w:rsidRPr="00D3371E">
        <w:rPr>
          <w:sz w:val="24"/>
          <w:szCs w:val="24"/>
        </w:rPr>
        <w:t>«Логистика»</w:t>
      </w:r>
      <w:r w:rsidR="00B87DD3" w:rsidRPr="00D3371E">
        <w:rPr>
          <w:sz w:val="24"/>
          <w:szCs w:val="24"/>
        </w:rPr>
        <w:t xml:space="preserve"> экспертам НИУ ВШЭ предложено разработать проект ФГОС для присвоения квалификации «прикладной бакалавр». Проекты образовательных стандартов новых направлений подготовки магистров «Статистика», «Демография» пока не разработаны.</w:t>
      </w:r>
    </w:p>
    <w:p w:rsidR="003A3A7F" w:rsidRPr="00D3371E" w:rsidRDefault="00A8456A" w:rsidP="002B51DC">
      <w:pPr>
        <w:pStyle w:val="a5"/>
        <w:numPr>
          <w:ilvl w:val="0"/>
          <w:numId w:val="41"/>
        </w:numPr>
        <w:ind w:left="0" w:firstLine="426"/>
        <w:jc w:val="both"/>
        <w:rPr>
          <w:sz w:val="24"/>
          <w:szCs w:val="24"/>
        </w:rPr>
      </w:pPr>
      <w:r w:rsidRPr="00D3371E">
        <w:rPr>
          <w:sz w:val="24"/>
          <w:szCs w:val="24"/>
        </w:rPr>
        <w:t>В рамках решения задачи методической</w:t>
      </w:r>
      <w:r w:rsidR="003A3A7F" w:rsidRPr="00D3371E">
        <w:rPr>
          <w:sz w:val="24"/>
          <w:szCs w:val="24"/>
        </w:rPr>
        <w:t xml:space="preserve"> поддержк</w:t>
      </w:r>
      <w:r w:rsidR="00B87DD3" w:rsidRPr="00D3371E">
        <w:rPr>
          <w:sz w:val="24"/>
          <w:szCs w:val="24"/>
        </w:rPr>
        <w:t>и</w:t>
      </w:r>
      <w:r w:rsidR="003A3A7F" w:rsidRPr="00D3371E">
        <w:rPr>
          <w:sz w:val="24"/>
          <w:szCs w:val="24"/>
        </w:rPr>
        <w:t xml:space="preserve"> оригинальных образовательных стандартов НИУ ВШЭ, как уже созданных, так и вновь разрабатываем</w:t>
      </w:r>
      <w:r w:rsidRPr="00D3371E">
        <w:rPr>
          <w:sz w:val="24"/>
          <w:szCs w:val="24"/>
        </w:rPr>
        <w:t>ых</w:t>
      </w:r>
      <w:r w:rsidR="00B87DD3" w:rsidRPr="00D3371E">
        <w:rPr>
          <w:sz w:val="24"/>
          <w:szCs w:val="24"/>
        </w:rPr>
        <w:t xml:space="preserve">, были разработаны требования к оценке социально-личностных компетенций, шаблоны </w:t>
      </w:r>
      <w:r w:rsidRPr="00D3371E">
        <w:rPr>
          <w:sz w:val="24"/>
          <w:szCs w:val="24"/>
        </w:rPr>
        <w:t xml:space="preserve"> </w:t>
      </w:r>
      <w:r w:rsidR="00B87DD3" w:rsidRPr="00D3371E">
        <w:rPr>
          <w:sz w:val="24"/>
          <w:szCs w:val="24"/>
        </w:rPr>
        <w:t xml:space="preserve">паспортов для системных и социально-личностных компетенций, шаблон </w:t>
      </w:r>
      <w:proofErr w:type="spellStart"/>
      <w:r w:rsidR="00B87DD3" w:rsidRPr="00D3371E">
        <w:rPr>
          <w:sz w:val="24"/>
          <w:szCs w:val="24"/>
        </w:rPr>
        <w:t>компете</w:t>
      </w:r>
      <w:r w:rsidR="001128A7">
        <w:rPr>
          <w:sz w:val="24"/>
          <w:szCs w:val="24"/>
        </w:rPr>
        <w:t>н</w:t>
      </w:r>
      <w:r w:rsidR="00B87DD3" w:rsidRPr="00D3371E">
        <w:rPr>
          <w:sz w:val="24"/>
          <w:szCs w:val="24"/>
        </w:rPr>
        <w:t>тностного</w:t>
      </w:r>
      <w:proofErr w:type="spellEnd"/>
      <w:r w:rsidR="00B87DD3" w:rsidRPr="00D3371E">
        <w:rPr>
          <w:sz w:val="24"/>
          <w:szCs w:val="24"/>
        </w:rPr>
        <w:t xml:space="preserve"> профиля направления подготовки. </w:t>
      </w:r>
      <w:proofErr w:type="gramStart"/>
      <w:r w:rsidR="00B87DD3" w:rsidRPr="00D3371E">
        <w:rPr>
          <w:sz w:val="24"/>
          <w:szCs w:val="24"/>
        </w:rPr>
        <w:t>Подробнее об этой работе см. раздел 4. 2 насто</w:t>
      </w:r>
      <w:r w:rsidR="00225DCA">
        <w:rPr>
          <w:sz w:val="24"/>
          <w:szCs w:val="24"/>
        </w:rPr>
        <w:t>я</w:t>
      </w:r>
      <w:r w:rsidR="00B87DD3" w:rsidRPr="00D3371E">
        <w:rPr>
          <w:sz w:val="24"/>
          <w:szCs w:val="24"/>
        </w:rPr>
        <w:t>щего отчета).</w:t>
      </w:r>
      <w:proofErr w:type="gramEnd"/>
    </w:p>
    <w:p w:rsidR="003A3A7F" w:rsidRPr="00D3371E" w:rsidRDefault="003C6736" w:rsidP="002B51DC">
      <w:pPr>
        <w:pStyle w:val="a5"/>
        <w:numPr>
          <w:ilvl w:val="0"/>
          <w:numId w:val="41"/>
        </w:numPr>
        <w:ind w:left="0" w:firstLine="426"/>
        <w:jc w:val="both"/>
        <w:rPr>
          <w:sz w:val="24"/>
          <w:szCs w:val="24"/>
        </w:rPr>
      </w:pPr>
      <w:r>
        <w:rPr>
          <w:sz w:val="24"/>
          <w:szCs w:val="24"/>
        </w:rPr>
        <w:t xml:space="preserve">Проведена процедура </w:t>
      </w:r>
      <w:r w:rsidR="003A3A7F" w:rsidRPr="00D3371E">
        <w:rPr>
          <w:sz w:val="24"/>
          <w:szCs w:val="24"/>
        </w:rPr>
        <w:t>международн</w:t>
      </w:r>
      <w:r>
        <w:rPr>
          <w:sz w:val="24"/>
          <w:szCs w:val="24"/>
        </w:rPr>
        <w:t>ой</w:t>
      </w:r>
      <w:r w:rsidR="003A3A7F" w:rsidRPr="00D3371E">
        <w:rPr>
          <w:sz w:val="24"/>
          <w:szCs w:val="24"/>
        </w:rPr>
        <w:t xml:space="preserve"> аккредитаци</w:t>
      </w:r>
      <w:r w:rsidR="00FB359A">
        <w:rPr>
          <w:sz w:val="24"/>
          <w:szCs w:val="24"/>
        </w:rPr>
        <w:t>и</w:t>
      </w:r>
      <w:r w:rsidR="003A3A7F" w:rsidRPr="00D3371E">
        <w:rPr>
          <w:sz w:val="24"/>
          <w:szCs w:val="24"/>
        </w:rPr>
        <w:t xml:space="preserve"> программ по направлени</w:t>
      </w:r>
      <w:r w:rsidR="00B87DD3" w:rsidRPr="00D3371E">
        <w:rPr>
          <w:sz w:val="24"/>
          <w:szCs w:val="24"/>
        </w:rPr>
        <w:t>ю</w:t>
      </w:r>
      <w:r w:rsidR="003A3A7F" w:rsidRPr="00D3371E">
        <w:rPr>
          <w:sz w:val="24"/>
          <w:szCs w:val="24"/>
        </w:rPr>
        <w:t xml:space="preserve"> «Менеджмент».</w:t>
      </w:r>
      <w:r w:rsidR="00B87DD3" w:rsidRPr="00D3371E">
        <w:rPr>
          <w:sz w:val="24"/>
          <w:szCs w:val="24"/>
        </w:rPr>
        <w:t xml:space="preserve"> Аккредитующая организация приняла решение пока не предоставлять представленным к аккредитации программам статус </w:t>
      </w:r>
      <w:proofErr w:type="gramStart"/>
      <w:r w:rsidR="00B87DD3" w:rsidRPr="00D3371E">
        <w:rPr>
          <w:sz w:val="24"/>
          <w:szCs w:val="24"/>
        </w:rPr>
        <w:t>аккредитованных</w:t>
      </w:r>
      <w:proofErr w:type="gramEnd"/>
      <w:r w:rsidR="00B87DD3" w:rsidRPr="00D3371E">
        <w:rPr>
          <w:sz w:val="24"/>
          <w:szCs w:val="24"/>
        </w:rPr>
        <w:t xml:space="preserve">. </w:t>
      </w:r>
      <w:r w:rsidR="003A3A7F" w:rsidRPr="00D3371E">
        <w:rPr>
          <w:sz w:val="24"/>
          <w:szCs w:val="24"/>
        </w:rPr>
        <w:t xml:space="preserve"> Начать международную аккредитацию </w:t>
      </w:r>
      <w:r w:rsidR="00B87DD3" w:rsidRPr="00D3371E">
        <w:rPr>
          <w:sz w:val="24"/>
          <w:szCs w:val="24"/>
        </w:rPr>
        <w:t xml:space="preserve">магистерской </w:t>
      </w:r>
      <w:r w:rsidR="003A3A7F" w:rsidRPr="00D3371E">
        <w:rPr>
          <w:sz w:val="24"/>
          <w:szCs w:val="24"/>
        </w:rPr>
        <w:t>про</w:t>
      </w:r>
      <w:r w:rsidR="00B87DD3" w:rsidRPr="00D3371E">
        <w:rPr>
          <w:sz w:val="24"/>
          <w:szCs w:val="24"/>
        </w:rPr>
        <w:t>граммы по программной инженерии пока не удалось по причине того, что она не имеет ни одного выпуска.</w:t>
      </w:r>
    </w:p>
    <w:p w:rsidR="003A3A7F" w:rsidRPr="00D3371E" w:rsidRDefault="005E2619" w:rsidP="002B51DC">
      <w:pPr>
        <w:pStyle w:val="a5"/>
        <w:numPr>
          <w:ilvl w:val="0"/>
          <w:numId w:val="41"/>
        </w:numPr>
        <w:ind w:left="0" w:firstLine="426"/>
        <w:jc w:val="both"/>
        <w:rPr>
          <w:sz w:val="24"/>
          <w:szCs w:val="24"/>
        </w:rPr>
      </w:pPr>
      <w:r w:rsidRPr="00D3371E">
        <w:rPr>
          <w:sz w:val="24"/>
          <w:szCs w:val="24"/>
        </w:rPr>
        <w:t>В рамках реализации задачи по</w:t>
      </w:r>
      <w:r w:rsidR="003A3A7F" w:rsidRPr="00D3371E">
        <w:rPr>
          <w:sz w:val="24"/>
          <w:szCs w:val="24"/>
        </w:rPr>
        <w:t xml:space="preserve"> продвижению и развитию методического опыта НИУ ВШЭ в российском образователь</w:t>
      </w:r>
      <w:r w:rsidRPr="00D3371E">
        <w:rPr>
          <w:sz w:val="24"/>
          <w:szCs w:val="24"/>
        </w:rPr>
        <w:t>ном сообществе, оказанию методического консультирования</w:t>
      </w:r>
      <w:r w:rsidR="003A3A7F" w:rsidRPr="00D3371E">
        <w:rPr>
          <w:sz w:val="24"/>
          <w:szCs w:val="24"/>
        </w:rPr>
        <w:t xml:space="preserve"> по инновациям в образовательных технологиях высшего образования, проектирова</w:t>
      </w:r>
      <w:r w:rsidRPr="00D3371E">
        <w:rPr>
          <w:sz w:val="24"/>
          <w:szCs w:val="24"/>
        </w:rPr>
        <w:t xml:space="preserve">нию образовательных программ,  </w:t>
      </w:r>
      <w:r w:rsidR="003A3A7F" w:rsidRPr="00D3371E">
        <w:rPr>
          <w:sz w:val="24"/>
          <w:szCs w:val="24"/>
        </w:rPr>
        <w:t>ра</w:t>
      </w:r>
      <w:r w:rsidRPr="00D3371E">
        <w:rPr>
          <w:sz w:val="24"/>
          <w:szCs w:val="24"/>
        </w:rPr>
        <w:t xml:space="preserve">зработке КИМ  нового поколения было запланировано создание Методического центра. Центр </w:t>
      </w:r>
      <w:proofErr w:type="gramStart"/>
      <w:r w:rsidRPr="00D3371E">
        <w:rPr>
          <w:sz w:val="24"/>
          <w:szCs w:val="24"/>
        </w:rPr>
        <w:t>создан</w:t>
      </w:r>
      <w:proofErr w:type="gramEnd"/>
      <w:r w:rsidRPr="00D3371E">
        <w:rPr>
          <w:sz w:val="24"/>
          <w:szCs w:val="24"/>
        </w:rPr>
        <w:t xml:space="preserve"> в октябре 2013 года в рамках изменения структуры «учебного блока».</w:t>
      </w:r>
    </w:p>
    <w:p w:rsidR="003A3A7F" w:rsidRPr="00D3371E" w:rsidRDefault="003A3A7F" w:rsidP="002B51DC">
      <w:pPr>
        <w:pStyle w:val="a5"/>
        <w:numPr>
          <w:ilvl w:val="0"/>
          <w:numId w:val="41"/>
        </w:numPr>
        <w:ind w:left="0" w:firstLine="426"/>
        <w:jc w:val="both"/>
        <w:rPr>
          <w:sz w:val="24"/>
          <w:szCs w:val="24"/>
        </w:rPr>
      </w:pPr>
      <w:r w:rsidRPr="00D3371E">
        <w:rPr>
          <w:sz w:val="24"/>
          <w:szCs w:val="24"/>
        </w:rPr>
        <w:t>Разрабо</w:t>
      </w:r>
      <w:r w:rsidR="00B87DD3" w:rsidRPr="00D3371E">
        <w:rPr>
          <w:sz w:val="24"/>
          <w:szCs w:val="24"/>
        </w:rPr>
        <w:t xml:space="preserve">тка </w:t>
      </w:r>
      <w:r w:rsidRPr="00D3371E">
        <w:rPr>
          <w:sz w:val="24"/>
          <w:szCs w:val="24"/>
        </w:rPr>
        <w:t xml:space="preserve"> методик</w:t>
      </w:r>
      <w:r w:rsidR="00B87DD3" w:rsidRPr="00D3371E">
        <w:rPr>
          <w:sz w:val="24"/>
          <w:szCs w:val="24"/>
        </w:rPr>
        <w:t>и</w:t>
      </w:r>
      <w:r w:rsidRPr="00D3371E">
        <w:rPr>
          <w:sz w:val="24"/>
          <w:szCs w:val="24"/>
        </w:rPr>
        <w:t xml:space="preserve"> формирования и проведения итоговой государственной аттестации студентов на о</w:t>
      </w:r>
      <w:r w:rsidR="00B87DD3" w:rsidRPr="00D3371E">
        <w:rPr>
          <w:sz w:val="24"/>
          <w:szCs w:val="24"/>
        </w:rPr>
        <w:t xml:space="preserve">снове </w:t>
      </w:r>
      <w:proofErr w:type="spellStart"/>
      <w:r w:rsidR="00B87DD3" w:rsidRPr="00D3371E">
        <w:rPr>
          <w:sz w:val="24"/>
          <w:szCs w:val="24"/>
        </w:rPr>
        <w:t>компетентностного</w:t>
      </w:r>
      <w:proofErr w:type="spellEnd"/>
      <w:r w:rsidR="00B87DD3" w:rsidRPr="00D3371E">
        <w:rPr>
          <w:sz w:val="24"/>
          <w:szCs w:val="24"/>
        </w:rPr>
        <w:t xml:space="preserve"> подхода ведется в экспериментальном режиме сразу двумя факультетами НИУ ВШЭ-Москва – менеджмента и социологии.   Р</w:t>
      </w:r>
      <w:r w:rsidRPr="00D3371E">
        <w:rPr>
          <w:sz w:val="24"/>
          <w:szCs w:val="24"/>
        </w:rPr>
        <w:t>абот</w:t>
      </w:r>
      <w:r w:rsidR="00B87DD3" w:rsidRPr="00D3371E">
        <w:rPr>
          <w:sz w:val="24"/>
          <w:szCs w:val="24"/>
        </w:rPr>
        <w:t xml:space="preserve">а </w:t>
      </w:r>
      <w:r w:rsidRPr="00D3371E">
        <w:rPr>
          <w:sz w:val="24"/>
          <w:szCs w:val="24"/>
        </w:rPr>
        <w:t xml:space="preserve">по созданию контрольно-измерительных материалов нового поколения к оригинальным образовательным стандартам НИУ ВШЭ, </w:t>
      </w:r>
      <w:r w:rsidR="00B87DD3" w:rsidRPr="00D3371E">
        <w:rPr>
          <w:sz w:val="24"/>
          <w:szCs w:val="24"/>
        </w:rPr>
        <w:t>включая</w:t>
      </w:r>
      <w:r w:rsidRPr="00D3371E">
        <w:rPr>
          <w:sz w:val="24"/>
          <w:szCs w:val="24"/>
        </w:rPr>
        <w:t xml:space="preserve"> направления подготовки магистров</w:t>
      </w:r>
      <w:r w:rsidR="00B87DD3" w:rsidRPr="00D3371E">
        <w:rPr>
          <w:sz w:val="24"/>
          <w:szCs w:val="24"/>
        </w:rPr>
        <w:t>, отражена в разделе 4.3 настоящего отчета</w:t>
      </w:r>
      <w:r w:rsidRPr="00D3371E">
        <w:rPr>
          <w:sz w:val="24"/>
          <w:szCs w:val="24"/>
        </w:rPr>
        <w:t>.</w:t>
      </w:r>
    </w:p>
    <w:p w:rsidR="003A3A7F" w:rsidRPr="00D3371E" w:rsidRDefault="008D59A0" w:rsidP="002B51DC">
      <w:pPr>
        <w:pStyle w:val="a5"/>
        <w:numPr>
          <w:ilvl w:val="0"/>
          <w:numId w:val="41"/>
        </w:numPr>
        <w:ind w:left="0" w:firstLine="426"/>
        <w:jc w:val="both"/>
        <w:rPr>
          <w:sz w:val="24"/>
          <w:szCs w:val="24"/>
        </w:rPr>
      </w:pPr>
      <w:r w:rsidRPr="00D3371E">
        <w:rPr>
          <w:sz w:val="24"/>
          <w:szCs w:val="24"/>
        </w:rPr>
        <w:t xml:space="preserve">Задача разработки и внедрения новой модели учета учебной нагрузки ППС до конца не завершена. Проект документа разработан, согласован с правовым управлением, но не выносился на утверждение ученым советом в связи с наличием планов по </w:t>
      </w:r>
      <w:r w:rsidRPr="00D3371E">
        <w:rPr>
          <w:sz w:val="24"/>
          <w:szCs w:val="24"/>
        </w:rPr>
        <w:lastRenderedPageBreak/>
        <w:t>изменению структуры бакалаврской подготовки и вероятной корректировкой принципов нагрузки до конца 2013 года.</w:t>
      </w:r>
    </w:p>
    <w:p w:rsidR="003A3A7F" w:rsidRPr="00D3371E" w:rsidRDefault="008D59A0" w:rsidP="002B51DC">
      <w:pPr>
        <w:pStyle w:val="a5"/>
        <w:numPr>
          <w:ilvl w:val="0"/>
          <w:numId w:val="41"/>
        </w:numPr>
        <w:ind w:left="0" w:firstLine="426"/>
        <w:jc w:val="both"/>
        <w:rPr>
          <w:sz w:val="24"/>
          <w:szCs w:val="24"/>
        </w:rPr>
      </w:pPr>
      <w:r w:rsidRPr="00D3371E">
        <w:rPr>
          <w:sz w:val="24"/>
          <w:szCs w:val="24"/>
        </w:rPr>
        <w:t>Задача внедрения электронного</w:t>
      </w:r>
      <w:r w:rsidR="003A3A7F" w:rsidRPr="00D3371E">
        <w:rPr>
          <w:sz w:val="24"/>
          <w:szCs w:val="24"/>
        </w:rPr>
        <w:t xml:space="preserve"> регламент</w:t>
      </w:r>
      <w:r w:rsidRPr="00D3371E">
        <w:rPr>
          <w:sz w:val="24"/>
          <w:szCs w:val="24"/>
        </w:rPr>
        <w:t>а</w:t>
      </w:r>
      <w:r w:rsidR="003A3A7F" w:rsidRPr="00D3371E">
        <w:rPr>
          <w:sz w:val="24"/>
          <w:szCs w:val="24"/>
        </w:rPr>
        <w:t xml:space="preserve"> планирования индивидуальной нагрузки ППС</w:t>
      </w:r>
      <w:r w:rsidRPr="00D3371E">
        <w:rPr>
          <w:sz w:val="24"/>
          <w:szCs w:val="24"/>
        </w:rPr>
        <w:t xml:space="preserve"> решена. В июле 2013 года состоялось пилотирование инструмента на всех кафедрах НИУ ВШЭ. </w:t>
      </w:r>
    </w:p>
    <w:p w:rsidR="00373250" w:rsidRPr="00D3371E" w:rsidRDefault="00D3371E" w:rsidP="002B51DC">
      <w:pPr>
        <w:pStyle w:val="a5"/>
        <w:numPr>
          <w:ilvl w:val="0"/>
          <w:numId w:val="41"/>
        </w:numPr>
        <w:ind w:left="0" w:firstLine="426"/>
        <w:jc w:val="both"/>
        <w:rPr>
          <w:sz w:val="24"/>
          <w:szCs w:val="24"/>
        </w:rPr>
      </w:pPr>
      <w:r>
        <w:rPr>
          <w:sz w:val="24"/>
          <w:szCs w:val="24"/>
        </w:rPr>
        <w:t>Задача повышения</w:t>
      </w:r>
      <w:r w:rsidR="003A3A7F" w:rsidRPr="00D3371E">
        <w:rPr>
          <w:sz w:val="24"/>
          <w:szCs w:val="24"/>
        </w:rPr>
        <w:t xml:space="preserve"> процент</w:t>
      </w:r>
      <w:r>
        <w:rPr>
          <w:sz w:val="24"/>
          <w:szCs w:val="24"/>
        </w:rPr>
        <w:t>а</w:t>
      </w:r>
      <w:r w:rsidR="003A3A7F" w:rsidRPr="00D3371E">
        <w:rPr>
          <w:sz w:val="24"/>
          <w:szCs w:val="24"/>
        </w:rPr>
        <w:t xml:space="preserve"> использования LMS в регулярной деятельности у преподавателей и студентов в 1,5 раза</w:t>
      </w:r>
      <w:r>
        <w:rPr>
          <w:sz w:val="24"/>
          <w:szCs w:val="24"/>
        </w:rPr>
        <w:t xml:space="preserve"> решена частично, в связи с планами по совершенствованию технологической платформы, не форсировалось увеличение числа преподавателей, работающих в системе. Однако результаты положительной динамики все равно наблюдаются: к</w:t>
      </w:r>
      <w:r w:rsidR="00373250" w:rsidRPr="00D3371E">
        <w:rPr>
          <w:sz w:val="24"/>
          <w:szCs w:val="24"/>
        </w:rPr>
        <w:t xml:space="preserve">оличество преподавателей, активно работающих в LMS, увеличилось в среднем по университету с 27 до 35%,  количество  доступных студентам дисциплин, поддержка преподавания которых ведется в LMS – с 6% </w:t>
      </w:r>
      <w:proofErr w:type="gramStart"/>
      <w:r w:rsidR="00373250" w:rsidRPr="00D3371E">
        <w:rPr>
          <w:sz w:val="24"/>
          <w:szCs w:val="24"/>
        </w:rPr>
        <w:t>до</w:t>
      </w:r>
      <w:proofErr w:type="gramEnd"/>
      <w:r w:rsidR="00373250" w:rsidRPr="00D3371E">
        <w:rPr>
          <w:sz w:val="24"/>
          <w:szCs w:val="24"/>
        </w:rPr>
        <w:t xml:space="preserve"> 19%.</w:t>
      </w:r>
      <w:r>
        <w:rPr>
          <w:sz w:val="24"/>
          <w:szCs w:val="24"/>
        </w:rPr>
        <w:t xml:space="preserve"> Более подробно </w:t>
      </w:r>
      <w:proofErr w:type="gramStart"/>
      <w:r>
        <w:rPr>
          <w:sz w:val="24"/>
          <w:szCs w:val="24"/>
        </w:rPr>
        <w:t>о</w:t>
      </w:r>
      <w:proofErr w:type="gramEnd"/>
      <w:r>
        <w:rPr>
          <w:sz w:val="24"/>
          <w:szCs w:val="24"/>
        </w:rPr>
        <w:t xml:space="preserve"> развитии </w:t>
      </w:r>
      <w:r>
        <w:rPr>
          <w:sz w:val="24"/>
          <w:szCs w:val="24"/>
          <w:lang w:val="en-US"/>
        </w:rPr>
        <w:t>LMS</w:t>
      </w:r>
      <w:r w:rsidRPr="00B86558">
        <w:rPr>
          <w:sz w:val="24"/>
          <w:szCs w:val="24"/>
        </w:rPr>
        <w:t xml:space="preserve"> </w:t>
      </w:r>
      <w:r>
        <w:rPr>
          <w:sz w:val="24"/>
          <w:szCs w:val="24"/>
        </w:rPr>
        <w:t xml:space="preserve">– в </w:t>
      </w:r>
      <w:r w:rsidR="005B074C">
        <w:rPr>
          <w:sz w:val="24"/>
          <w:szCs w:val="24"/>
        </w:rPr>
        <w:t>разделе 9.1 настоящего отчета,</w:t>
      </w:r>
      <w:r w:rsidR="00373250" w:rsidRPr="00D3371E">
        <w:rPr>
          <w:sz w:val="24"/>
          <w:szCs w:val="24"/>
        </w:rPr>
        <w:t xml:space="preserve">  </w:t>
      </w:r>
    </w:p>
    <w:p w:rsidR="003A3A7F" w:rsidRPr="00D3371E" w:rsidRDefault="005B074C" w:rsidP="002B51DC">
      <w:pPr>
        <w:pStyle w:val="a5"/>
        <w:numPr>
          <w:ilvl w:val="0"/>
          <w:numId w:val="41"/>
        </w:numPr>
        <w:ind w:left="0" w:firstLine="426"/>
        <w:jc w:val="both"/>
        <w:rPr>
          <w:sz w:val="24"/>
          <w:szCs w:val="24"/>
        </w:rPr>
      </w:pPr>
      <w:r>
        <w:rPr>
          <w:sz w:val="24"/>
          <w:szCs w:val="24"/>
        </w:rPr>
        <w:t xml:space="preserve">Задача </w:t>
      </w:r>
      <w:r w:rsidR="003A3A7F" w:rsidRPr="00D3371E">
        <w:rPr>
          <w:sz w:val="24"/>
          <w:szCs w:val="24"/>
        </w:rPr>
        <w:t>по кардинальному увеличению показателей международной студенческой мобильности</w:t>
      </w:r>
      <w:r>
        <w:rPr>
          <w:sz w:val="24"/>
          <w:szCs w:val="24"/>
        </w:rPr>
        <w:t>: ее решение и результаты описаны в разделах 6.1 и 7 настоящего отчета</w:t>
      </w:r>
      <w:r w:rsidR="003A3A7F" w:rsidRPr="00D3371E">
        <w:rPr>
          <w:sz w:val="24"/>
          <w:szCs w:val="24"/>
        </w:rPr>
        <w:t>.</w:t>
      </w:r>
      <w:r>
        <w:rPr>
          <w:sz w:val="24"/>
          <w:szCs w:val="24"/>
        </w:rPr>
        <w:t xml:space="preserve"> </w:t>
      </w:r>
    </w:p>
    <w:p w:rsidR="003A3A7F" w:rsidRPr="005B074C" w:rsidRDefault="008D59A0" w:rsidP="002B51DC">
      <w:pPr>
        <w:pStyle w:val="a5"/>
        <w:numPr>
          <w:ilvl w:val="0"/>
          <w:numId w:val="41"/>
        </w:numPr>
        <w:ind w:left="0" w:firstLine="426"/>
        <w:jc w:val="both"/>
        <w:rPr>
          <w:sz w:val="24"/>
          <w:szCs w:val="24"/>
        </w:rPr>
      </w:pPr>
      <w:r w:rsidRPr="005B074C">
        <w:rPr>
          <w:sz w:val="24"/>
          <w:szCs w:val="24"/>
        </w:rPr>
        <w:t>В рамках</w:t>
      </w:r>
      <w:r w:rsidR="003A3A7F" w:rsidRPr="005B074C">
        <w:rPr>
          <w:sz w:val="24"/>
          <w:szCs w:val="24"/>
        </w:rPr>
        <w:t xml:space="preserve"> задач</w:t>
      </w:r>
      <w:r w:rsidRPr="005B074C">
        <w:rPr>
          <w:sz w:val="24"/>
          <w:szCs w:val="24"/>
        </w:rPr>
        <w:t>и повышения</w:t>
      </w:r>
      <w:r w:rsidR="003A3A7F" w:rsidRPr="005B074C">
        <w:rPr>
          <w:sz w:val="24"/>
          <w:szCs w:val="24"/>
        </w:rPr>
        <w:t xml:space="preserve"> </w:t>
      </w:r>
      <w:proofErr w:type="spellStart"/>
      <w:r w:rsidR="003A3A7F" w:rsidRPr="005B074C">
        <w:rPr>
          <w:sz w:val="24"/>
          <w:szCs w:val="24"/>
        </w:rPr>
        <w:t>практикоориентирован</w:t>
      </w:r>
      <w:r w:rsidRPr="005B074C">
        <w:rPr>
          <w:sz w:val="24"/>
          <w:szCs w:val="24"/>
        </w:rPr>
        <w:t>ности</w:t>
      </w:r>
      <w:proofErr w:type="spellEnd"/>
      <w:r w:rsidRPr="005B074C">
        <w:rPr>
          <w:sz w:val="24"/>
          <w:szCs w:val="24"/>
        </w:rPr>
        <w:t xml:space="preserve"> образовательных программ была разработана новая модель бакалаврского образования с выделением </w:t>
      </w:r>
      <w:r w:rsidR="00C82D6F" w:rsidRPr="005B074C">
        <w:rPr>
          <w:sz w:val="24"/>
          <w:szCs w:val="24"/>
        </w:rPr>
        <w:t xml:space="preserve">отдельного блока </w:t>
      </w:r>
      <w:r w:rsidR="001128A7">
        <w:rPr>
          <w:sz w:val="24"/>
          <w:szCs w:val="24"/>
        </w:rPr>
        <w:t>п</w:t>
      </w:r>
      <w:r w:rsidR="00C82D6F" w:rsidRPr="005B074C">
        <w:rPr>
          <w:sz w:val="24"/>
          <w:szCs w:val="24"/>
        </w:rPr>
        <w:t xml:space="preserve">рактики и проектной деятельности. Модель находится в стадии обсуждения. Планируется к реализации с 2014/15 учебного года. </w:t>
      </w:r>
    </w:p>
    <w:p w:rsidR="003A3A7F" w:rsidRPr="005B074C" w:rsidRDefault="00C82D6F" w:rsidP="002B51DC">
      <w:pPr>
        <w:pStyle w:val="a5"/>
        <w:numPr>
          <w:ilvl w:val="0"/>
          <w:numId w:val="41"/>
        </w:numPr>
        <w:ind w:left="0" w:firstLine="426"/>
        <w:jc w:val="both"/>
        <w:rPr>
          <w:sz w:val="24"/>
          <w:szCs w:val="24"/>
        </w:rPr>
      </w:pPr>
      <w:r w:rsidRPr="005B074C">
        <w:rPr>
          <w:sz w:val="24"/>
          <w:szCs w:val="24"/>
        </w:rPr>
        <w:t>НИУ ВШЭ начал переход</w:t>
      </w:r>
      <w:r w:rsidR="003A3A7F" w:rsidRPr="005B074C">
        <w:rPr>
          <w:sz w:val="24"/>
          <w:szCs w:val="24"/>
        </w:rPr>
        <w:t xml:space="preserve"> к профессиональному управлению образовательными программами. </w:t>
      </w:r>
      <w:r w:rsidRPr="005B074C">
        <w:rPr>
          <w:sz w:val="24"/>
          <w:szCs w:val="24"/>
        </w:rPr>
        <w:t>Созданы «учебные офисы» для администрирования учебного процесса на всех образовательных программах и сформирован штат менеджеров из сотрудников, соответствующих профессиональным требованиям. Продолжились курсы</w:t>
      </w:r>
      <w:r w:rsidR="003A3A7F" w:rsidRPr="005B074C">
        <w:rPr>
          <w:sz w:val="24"/>
          <w:szCs w:val="24"/>
        </w:rPr>
        <w:t xml:space="preserve"> повышения квалификации для менеджеров образовательных программ. </w:t>
      </w:r>
      <w:r w:rsidRPr="005B074C">
        <w:rPr>
          <w:sz w:val="24"/>
          <w:szCs w:val="24"/>
        </w:rPr>
        <w:t>Разработаны инструменты для аттестации</w:t>
      </w:r>
      <w:r w:rsidR="003A3A7F" w:rsidRPr="005B074C">
        <w:rPr>
          <w:sz w:val="24"/>
          <w:szCs w:val="24"/>
        </w:rPr>
        <w:t xml:space="preserve"> менеджеров образовательных программ</w:t>
      </w:r>
      <w:r w:rsidR="007F011A">
        <w:rPr>
          <w:sz w:val="24"/>
          <w:szCs w:val="24"/>
        </w:rPr>
        <w:t xml:space="preserve">. Подробнее о реализации этой задачи - </w:t>
      </w:r>
      <w:r w:rsidR="00373250" w:rsidRPr="005B074C">
        <w:rPr>
          <w:sz w:val="24"/>
          <w:szCs w:val="24"/>
        </w:rPr>
        <w:t xml:space="preserve">в </w:t>
      </w:r>
      <w:r w:rsidRPr="005B074C">
        <w:rPr>
          <w:sz w:val="24"/>
          <w:szCs w:val="24"/>
        </w:rPr>
        <w:t xml:space="preserve"> разделе отчета</w:t>
      </w:r>
      <w:r w:rsidR="00373250" w:rsidRPr="005B074C">
        <w:rPr>
          <w:sz w:val="24"/>
          <w:szCs w:val="24"/>
        </w:rPr>
        <w:t xml:space="preserve">  11.1 </w:t>
      </w:r>
    </w:p>
    <w:p w:rsidR="003A3A7F" w:rsidRPr="0061608E" w:rsidRDefault="00C82D6F" w:rsidP="002B51DC">
      <w:pPr>
        <w:pStyle w:val="a5"/>
        <w:numPr>
          <w:ilvl w:val="0"/>
          <w:numId w:val="41"/>
        </w:numPr>
        <w:ind w:left="0" w:firstLine="426"/>
        <w:jc w:val="both"/>
        <w:rPr>
          <w:rFonts w:asciiTheme="minorHAnsi" w:hAnsiTheme="minorHAnsi"/>
          <w:sz w:val="24"/>
          <w:szCs w:val="24"/>
        </w:rPr>
      </w:pPr>
      <w:r w:rsidRPr="005B074C">
        <w:rPr>
          <w:sz w:val="24"/>
          <w:szCs w:val="24"/>
        </w:rPr>
        <w:t xml:space="preserve">Задача  подготовки  </w:t>
      </w:r>
      <w:r w:rsidR="003A3A7F" w:rsidRPr="005B074C">
        <w:rPr>
          <w:sz w:val="24"/>
          <w:szCs w:val="24"/>
        </w:rPr>
        <w:t>к государственной аккредитации вуза в 2014 году</w:t>
      </w:r>
      <w:r w:rsidR="005B074C">
        <w:rPr>
          <w:sz w:val="24"/>
          <w:szCs w:val="24"/>
        </w:rPr>
        <w:t xml:space="preserve"> выполняется в соответствии </w:t>
      </w:r>
      <w:r w:rsidRPr="005B074C">
        <w:rPr>
          <w:sz w:val="24"/>
          <w:szCs w:val="24"/>
        </w:rPr>
        <w:t>с намеченным планом</w:t>
      </w:r>
      <w:r w:rsidR="003A3A7F" w:rsidRPr="005B074C">
        <w:rPr>
          <w:sz w:val="24"/>
          <w:szCs w:val="24"/>
        </w:rPr>
        <w:t>.</w:t>
      </w:r>
    </w:p>
    <w:p w:rsidR="003A3A7F" w:rsidRPr="00B2101F" w:rsidRDefault="003A3A7F" w:rsidP="003A3A7F">
      <w:pPr>
        <w:spacing w:after="200" w:line="276" w:lineRule="auto"/>
        <w:jc w:val="both"/>
        <w:rPr>
          <w:szCs w:val="26"/>
          <w:lang w:eastAsia="en-US"/>
        </w:rPr>
      </w:pPr>
      <w:r w:rsidRPr="00E80A44">
        <w:rPr>
          <w:szCs w:val="26"/>
          <w:lang w:eastAsia="en-US"/>
        </w:rPr>
        <w:t>Таким образом, подавляющее большинство задач, определенных в прошлогоднем отчете, были выполнены.</w:t>
      </w:r>
    </w:p>
    <w:p w:rsidR="005005BC" w:rsidRDefault="005005BC">
      <w:r>
        <w:br w:type="page"/>
      </w:r>
    </w:p>
    <w:p w:rsidR="005005BC" w:rsidRDefault="005005BC" w:rsidP="005005BC">
      <w:pPr>
        <w:pStyle w:val="1"/>
        <w:keepLines w:val="0"/>
        <w:spacing w:before="240" w:after="60" w:line="276" w:lineRule="auto"/>
      </w:pPr>
      <w:bookmarkStart w:id="4" w:name="_Toc374030040"/>
      <w:r>
        <w:lastRenderedPageBreak/>
        <w:t>Структура и содержание образовательных программ</w:t>
      </w:r>
      <w:bookmarkEnd w:id="4"/>
    </w:p>
    <w:p w:rsidR="005005BC" w:rsidRDefault="00EF1D74" w:rsidP="005005BC">
      <w:pPr>
        <w:pStyle w:val="2"/>
        <w:numPr>
          <w:ilvl w:val="1"/>
          <w:numId w:val="1"/>
        </w:numPr>
      </w:pPr>
      <w:bookmarkStart w:id="5" w:name="_Toc374030041"/>
      <w:r>
        <w:t>Динамика количества образовательных программ в НИУ ВШЭ</w:t>
      </w:r>
      <w:bookmarkEnd w:id="5"/>
    </w:p>
    <w:p w:rsidR="00C25BAF" w:rsidRPr="00D534C4" w:rsidRDefault="00C25BAF" w:rsidP="00C25BAF">
      <w:pPr>
        <w:keepNext/>
        <w:spacing w:after="200" w:line="276" w:lineRule="auto"/>
        <w:jc w:val="both"/>
      </w:pPr>
      <w:r w:rsidRPr="00B86558">
        <w:rPr>
          <w:szCs w:val="26"/>
          <w:lang w:eastAsia="en-US"/>
        </w:rPr>
        <w:t>В 2012/2013 учебном году в НИУ ВШЭ</w:t>
      </w:r>
      <w:r w:rsidR="00145517">
        <w:rPr>
          <w:szCs w:val="26"/>
          <w:lang w:eastAsia="en-US"/>
        </w:rPr>
        <w:t xml:space="preserve"> (Москва) был осуществлен прием </w:t>
      </w:r>
      <w:r w:rsidRPr="00B86558">
        <w:rPr>
          <w:szCs w:val="26"/>
          <w:lang w:eastAsia="en-US"/>
        </w:rPr>
        <w:t xml:space="preserve">на 32 направлений  подготовки бакалавров (34 образовательных программы) и 26 направлений подготовки магистров (72 образовательных программы) и 1  специальность (1 </w:t>
      </w:r>
      <w:r w:rsidRPr="00D534C4">
        <w:rPr>
          <w:szCs w:val="26"/>
          <w:lang w:eastAsia="en-US"/>
        </w:rPr>
        <w:t xml:space="preserve">образовательная программа). Полный перечень направлений подготовки приведен в Приложении к отчету № 1. </w:t>
      </w:r>
      <w:r w:rsidRPr="00D534C4">
        <w:t xml:space="preserve"> </w:t>
      </w:r>
      <w:r w:rsidRPr="00D534C4">
        <w:rPr>
          <w:szCs w:val="26"/>
          <w:lang w:eastAsia="en-US"/>
        </w:rPr>
        <w:t xml:space="preserve">Динамика количества  направлений подготовки </w:t>
      </w:r>
      <w:proofErr w:type="spellStart"/>
      <w:r w:rsidRPr="00D534C4">
        <w:rPr>
          <w:szCs w:val="26"/>
          <w:lang w:eastAsia="en-US"/>
        </w:rPr>
        <w:t>бакалавриата</w:t>
      </w:r>
      <w:proofErr w:type="spellEnd"/>
      <w:r w:rsidRPr="00D534C4">
        <w:rPr>
          <w:szCs w:val="26"/>
          <w:lang w:eastAsia="en-US"/>
        </w:rPr>
        <w:t>, магистратуры и специальностей</w:t>
      </w:r>
      <w:r w:rsidRPr="00D534C4">
        <w:rPr>
          <w:szCs w:val="26"/>
          <w:vertAlign w:val="superscript"/>
          <w:lang w:eastAsia="en-US"/>
        </w:rPr>
        <w:footnoteReference w:id="1"/>
      </w:r>
      <w:r w:rsidRPr="00D534C4">
        <w:rPr>
          <w:szCs w:val="26"/>
          <w:lang w:eastAsia="en-US"/>
        </w:rPr>
        <w:t>, реализуемых в НИУ ВШЭ, отражена в таблице 3.1.1.</w:t>
      </w:r>
    </w:p>
    <w:p w:rsidR="00C25BAF" w:rsidRPr="00D534C4" w:rsidRDefault="00C25BAF" w:rsidP="00C25BAF">
      <w:pPr>
        <w:spacing w:before="240" w:line="360" w:lineRule="auto"/>
        <w:jc w:val="both"/>
        <w:rPr>
          <w:b/>
          <w:lang w:eastAsia="en-US"/>
        </w:rPr>
      </w:pPr>
      <w:r w:rsidRPr="00D534C4">
        <w:rPr>
          <w:b/>
          <w:lang w:eastAsia="en-US"/>
        </w:rPr>
        <w:t>Таблица 3.1.1.</w:t>
      </w:r>
    </w:p>
    <w:tbl>
      <w:tblPr>
        <w:tblStyle w:val="aff9"/>
        <w:tblW w:w="5000" w:type="pct"/>
        <w:tblLook w:val="04A0" w:firstRow="1" w:lastRow="0" w:firstColumn="1" w:lastColumn="0" w:noHBand="0" w:noVBand="1"/>
      </w:tblPr>
      <w:tblGrid>
        <w:gridCol w:w="2086"/>
        <w:gridCol w:w="1699"/>
        <w:gridCol w:w="1555"/>
        <w:gridCol w:w="1551"/>
        <w:gridCol w:w="1586"/>
        <w:gridCol w:w="1088"/>
      </w:tblGrid>
      <w:tr w:rsidR="00C25BAF" w:rsidRPr="00D534C4" w:rsidTr="00C25BAF">
        <w:trPr>
          <w:trHeight w:val="557"/>
        </w:trPr>
        <w:tc>
          <w:tcPr>
            <w:tcW w:w="1978" w:type="pct"/>
            <w:gridSpan w:val="2"/>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НИУ ВШЭ</w:t>
            </w:r>
          </w:p>
        </w:tc>
        <w:tc>
          <w:tcPr>
            <w:tcW w:w="813" w:type="pct"/>
            <w:vAlign w:val="center"/>
          </w:tcPr>
          <w:p w:rsidR="00C25BAF" w:rsidRPr="00D534C4" w:rsidRDefault="00C25BAF" w:rsidP="00C25BAF">
            <w:pPr>
              <w:pStyle w:val="ad"/>
              <w:ind w:left="-11" w:right="-80"/>
              <w:jc w:val="center"/>
              <w:rPr>
                <w:rFonts w:asciiTheme="majorHAnsi" w:hAnsiTheme="majorHAnsi"/>
              </w:rPr>
            </w:pPr>
            <w:proofErr w:type="spellStart"/>
            <w:r w:rsidRPr="00D534C4">
              <w:rPr>
                <w:rFonts w:asciiTheme="majorHAnsi" w:hAnsiTheme="majorHAnsi"/>
              </w:rPr>
              <w:t>Бакалавриат</w:t>
            </w:r>
            <w:proofErr w:type="spellEnd"/>
          </w:p>
        </w:tc>
        <w:tc>
          <w:tcPr>
            <w:tcW w:w="811" w:type="pct"/>
            <w:vAlign w:val="center"/>
          </w:tcPr>
          <w:p w:rsidR="00C25BAF" w:rsidRPr="00D534C4" w:rsidRDefault="00C25BAF" w:rsidP="00C25BAF">
            <w:pPr>
              <w:pStyle w:val="ad"/>
              <w:ind w:left="-136" w:right="-97"/>
              <w:jc w:val="center"/>
              <w:rPr>
                <w:rFonts w:asciiTheme="majorHAnsi" w:hAnsiTheme="majorHAnsi"/>
              </w:rPr>
            </w:pPr>
            <w:proofErr w:type="spellStart"/>
            <w:r w:rsidRPr="00D534C4">
              <w:rPr>
                <w:rFonts w:asciiTheme="majorHAnsi" w:hAnsiTheme="majorHAnsi"/>
              </w:rPr>
              <w:t>Специалитет</w:t>
            </w:r>
            <w:proofErr w:type="spellEnd"/>
          </w:p>
        </w:tc>
        <w:tc>
          <w:tcPr>
            <w:tcW w:w="829" w:type="pct"/>
            <w:vAlign w:val="center"/>
          </w:tcPr>
          <w:p w:rsidR="00C25BAF" w:rsidRPr="00D534C4" w:rsidRDefault="00C25BAF" w:rsidP="00C25BAF">
            <w:pPr>
              <w:pStyle w:val="ad"/>
              <w:ind w:left="-119" w:right="-84"/>
              <w:jc w:val="center"/>
              <w:rPr>
                <w:rFonts w:asciiTheme="majorHAnsi" w:hAnsiTheme="majorHAnsi"/>
              </w:rPr>
            </w:pPr>
            <w:r w:rsidRPr="00D534C4">
              <w:rPr>
                <w:rFonts w:asciiTheme="majorHAnsi" w:hAnsiTheme="majorHAnsi"/>
              </w:rPr>
              <w:t>Магистратура</w:t>
            </w:r>
          </w:p>
        </w:tc>
        <w:tc>
          <w:tcPr>
            <w:tcW w:w="569" w:type="pc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ИТОГО</w:t>
            </w:r>
          </w:p>
        </w:tc>
      </w:tr>
      <w:tr w:rsidR="00C25BAF" w:rsidRPr="00D534C4" w:rsidTr="00C25BAF">
        <w:tc>
          <w:tcPr>
            <w:tcW w:w="1090" w:type="pct"/>
            <w:vMerge w:val="restar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Москва</w:t>
            </w:r>
          </w:p>
          <w:p w:rsidR="00C25BAF" w:rsidRPr="00D534C4" w:rsidRDefault="00C25BAF" w:rsidP="00C25BAF">
            <w:pPr>
              <w:pStyle w:val="ad"/>
              <w:jc w:val="center"/>
              <w:rPr>
                <w:rFonts w:asciiTheme="majorHAnsi" w:hAnsiTheme="majorHAnsi"/>
              </w:rPr>
            </w:pPr>
            <w:r w:rsidRPr="00D534C4">
              <w:rPr>
                <w:rFonts w:asciiTheme="majorHAnsi" w:hAnsiTheme="majorHAnsi"/>
              </w:rPr>
              <w:t>(с учетом МИЭМ)</w:t>
            </w:r>
          </w:p>
        </w:tc>
        <w:tc>
          <w:tcPr>
            <w:tcW w:w="888" w:type="pc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2010/2011</w:t>
            </w:r>
          </w:p>
        </w:tc>
        <w:tc>
          <w:tcPr>
            <w:tcW w:w="813" w:type="pc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17</w:t>
            </w:r>
          </w:p>
        </w:tc>
        <w:tc>
          <w:tcPr>
            <w:tcW w:w="811" w:type="pc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6</w:t>
            </w:r>
          </w:p>
        </w:tc>
        <w:tc>
          <w:tcPr>
            <w:tcW w:w="829" w:type="pc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12</w:t>
            </w:r>
          </w:p>
        </w:tc>
        <w:tc>
          <w:tcPr>
            <w:tcW w:w="569" w:type="pc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35</w:t>
            </w:r>
          </w:p>
        </w:tc>
      </w:tr>
      <w:tr w:rsidR="00C25BAF" w:rsidRPr="00D534C4" w:rsidTr="00C25BAF">
        <w:tc>
          <w:tcPr>
            <w:tcW w:w="1090" w:type="pct"/>
            <w:vMerge/>
            <w:vAlign w:val="center"/>
          </w:tcPr>
          <w:p w:rsidR="00C25BAF" w:rsidRPr="00D534C4" w:rsidRDefault="00C25BAF" w:rsidP="00C25BAF">
            <w:pPr>
              <w:pStyle w:val="ad"/>
              <w:jc w:val="center"/>
              <w:rPr>
                <w:rFonts w:asciiTheme="majorHAnsi" w:hAnsiTheme="majorHAnsi"/>
              </w:rPr>
            </w:pPr>
          </w:p>
        </w:tc>
        <w:tc>
          <w:tcPr>
            <w:tcW w:w="888" w:type="pc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2011/2012</w:t>
            </w:r>
          </w:p>
        </w:tc>
        <w:tc>
          <w:tcPr>
            <w:tcW w:w="813" w:type="pc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19</w:t>
            </w:r>
          </w:p>
        </w:tc>
        <w:tc>
          <w:tcPr>
            <w:tcW w:w="811" w:type="pc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6</w:t>
            </w:r>
          </w:p>
        </w:tc>
        <w:tc>
          <w:tcPr>
            <w:tcW w:w="829" w:type="pc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19</w:t>
            </w:r>
          </w:p>
        </w:tc>
        <w:tc>
          <w:tcPr>
            <w:tcW w:w="569" w:type="pc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44</w:t>
            </w:r>
          </w:p>
        </w:tc>
      </w:tr>
      <w:tr w:rsidR="00C25BAF" w:rsidRPr="00D534C4" w:rsidTr="00C25BAF">
        <w:tc>
          <w:tcPr>
            <w:tcW w:w="1090" w:type="pct"/>
            <w:vMerge/>
            <w:vAlign w:val="center"/>
          </w:tcPr>
          <w:p w:rsidR="00C25BAF" w:rsidRPr="00D534C4" w:rsidRDefault="00C25BAF" w:rsidP="00C25BAF">
            <w:pPr>
              <w:pStyle w:val="ad"/>
              <w:jc w:val="center"/>
              <w:rPr>
                <w:rFonts w:asciiTheme="majorHAnsi" w:hAnsiTheme="majorHAnsi"/>
              </w:rPr>
            </w:pPr>
          </w:p>
        </w:tc>
        <w:tc>
          <w:tcPr>
            <w:tcW w:w="888" w:type="pct"/>
            <w:tcBorders>
              <w:bottom w:val="single" w:sz="4" w:space="0" w:color="auto"/>
            </w:tcBorders>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2012/2013</w:t>
            </w:r>
          </w:p>
        </w:tc>
        <w:tc>
          <w:tcPr>
            <w:tcW w:w="813" w:type="pct"/>
            <w:tcBorders>
              <w:bottom w:val="single" w:sz="4" w:space="0" w:color="auto"/>
            </w:tcBorders>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32</w:t>
            </w:r>
          </w:p>
        </w:tc>
        <w:tc>
          <w:tcPr>
            <w:tcW w:w="811" w:type="pct"/>
            <w:tcBorders>
              <w:bottom w:val="single" w:sz="4" w:space="0" w:color="auto"/>
            </w:tcBorders>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w:t>
            </w:r>
          </w:p>
        </w:tc>
        <w:tc>
          <w:tcPr>
            <w:tcW w:w="829" w:type="pct"/>
            <w:tcBorders>
              <w:bottom w:val="single" w:sz="4" w:space="0" w:color="auto"/>
            </w:tcBorders>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26</w:t>
            </w:r>
          </w:p>
        </w:tc>
        <w:tc>
          <w:tcPr>
            <w:tcW w:w="569" w:type="pct"/>
            <w:tcBorders>
              <w:bottom w:val="single" w:sz="4" w:space="0" w:color="auto"/>
            </w:tcBorders>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59</w:t>
            </w:r>
          </w:p>
        </w:tc>
      </w:tr>
      <w:tr w:rsidR="00C25BAF" w:rsidRPr="00D534C4" w:rsidTr="00C25BAF">
        <w:tc>
          <w:tcPr>
            <w:tcW w:w="1090" w:type="pct"/>
            <w:vMerge/>
            <w:tcBorders>
              <w:bottom w:val="single" w:sz="4" w:space="0" w:color="auto"/>
            </w:tcBorders>
            <w:vAlign w:val="center"/>
          </w:tcPr>
          <w:p w:rsidR="00C25BAF" w:rsidRPr="00D534C4" w:rsidRDefault="00C25BAF" w:rsidP="00C25BAF">
            <w:pPr>
              <w:pStyle w:val="ad"/>
              <w:jc w:val="center"/>
              <w:rPr>
                <w:rFonts w:asciiTheme="majorHAnsi" w:hAnsiTheme="majorHAnsi"/>
              </w:rPr>
            </w:pPr>
          </w:p>
        </w:tc>
        <w:tc>
          <w:tcPr>
            <w:tcW w:w="888" w:type="pct"/>
            <w:tcBorders>
              <w:bottom w:val="single" w:sz="4" w:space="0" w:color="auto"/>
            </w:tcBorders>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2013-2014</w:t>
            </w:r>
          </w:p>
        </w:tc>
        <w:tc>
          <w:tcPr>
            <w:tcW w:w="813" w:type="pct"/>
            <w:tcBorders>
              <w:bottom w:val="single" w:sz="4" w:space="0" w:color="auto"/>
            </w:tcBorders>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50</w:t>
            </w:r>
          </w:p>
        </w:tc>
        <w:tc>
          <w:tcPr>
            <w:tcW w:w="811" w:type="pct"/>
            <w:tcBorders>
              <w:bottom w:val="single" w:sz="4" w:space="0" w:color="auto"/>
            </w:tcBorders>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w:t>
            </w:r>
          </w:p>
        </w:tc>
        <w:tc>
          <w:tcPr>
            <w:tcW w:w="829" w:type="pct"/>
            <w:tcBorders>
              <w:bottom w:val="single" w:sz="4" w:space="0" w:color="auto"/>
            </w:tcBorders>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27</w:t>
            </w:r>
          </w:p>
        </w:tc>
        <w:tc>
          <w:tcPr>
            <w:tcW w:w="569" w:type="pct"/>
            <w:tcBorders>
              <w:bottom w:val="single" w:sz="4" w:space="0" w:color="auto"/>
            </w:tcBorders>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78</w:t>
            </w:r>
          </w:p>
        </w:tc>
      </w:tr>
      <w:tr w:rsidR="00C25BAF" w:rsidRPr="00D534C4" w:rsidTr="00C25BAF">
        <w:tc>
          <w:tcPr>
            <w:tcW w:w="1090" w:type="pct"/>
            <w:vMerge w:val="restar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Нижний Новгород</w:t>
            </w:r>
          </w:p>
        </w:tc>
        <w:tc>
          <w:tcPr>
            <w:tcW w:w="888"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2010/2011</w:t>
            </w:r>
          </w:p>
        </w:tc>
        <w:tc>
          <w:tcPr>
            <w:tcW w:w="813"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8</w:t>
            </w:r>
          </w:p>
        </w:tc>
        <w:tc>
          <w:tcPr>
            <w:tcW w:w="811"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8</w:t>
            </w:r>
          </w:p>
        </w:tc>
        <w:tc>
          <w:tcPr>
            <w:tcW w:w="829"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11</w:t>
            </w:r>
          </w:p>
        </w:tc>
        <w:tc>
          <w:tcPr>
            <w:tcW w:w="569"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27</w:t>
            </w:r>
          </w:p>
        </w:tc>
      </w:tr>
      <w:tr w:rsidR="00C25BAF" w:rsidRPr="00D534C4" w:rsidTr="00C25BAF">
        <w:tc>
          <w:tcPr>
            <w:tcW w:w="1090" w:type="pct"/>
            <w:vMerge/>
            <w:shd w:val="clear" w:color="auto" w:fill="D9D9D9" w:themeFill="background1" w:themeFillShade="D9"/>
            <w:vAlign w:val="center"/>
          </w:tcPr>
          <w:p w:rsidR="00C25BAF" w:rsidRPr="00D534C4" w:rsidRDefault="00C25BAF" w:rsidP="00C25BAF">
            <w:pPr>
              <w:pStyle w:val="ad"/>
              <w:jc w:val="center"/>
              <w:rPr>
                <w:rFonts w:asciiTheme="majorHAnsi" w:hAnsiTheme="majorHAnsi"/>
              </w:rPr>
            </w:pPr>
          </w:p>
        </w:tc>
        <w:tc>
          <w:tcPr>
            <w:tcW w:w="888"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2011/2012</w:t>
            </w:r>
          </w:p>
        </w:tc>
        <w:tc>
          <w:tcPr>
            <w:tcW w:w="813"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9</w:t>
            </w:r>
          </w:p>
        </w:tc>
        <w:tc>
          <w:tcPr>
            <w:tcW w:w="811"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9</w:t>
            </w:r>
          </w:p>
        </w:tc>
        <w:tc>
          <w:tcPr>
            <w:tcW w:w="829"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11</w:t>
            </w:r>
          </w:p>
        </w:tc>
        <w:tc>
          <w:tcPr>
            <w:tcW w:w="569"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29</w:t>
            </w:r>
          </w:p>
        </w:tc>
      </w:tr>
      <w:tr w:rsidR="00C25BAF" w:rsidRPr="00D534C4" w:rsidTr="00C25BAF">
        <w:tc>
          <w:tcPr>
            <w:tcW w:w="1090" w:type="pct"/>
            <w:vMerge/>
            <w:shd w:val="clear" w:color="auto" w:fill="D9D9D9" w:themeFill="background1" w:themeFillShade="D9"/>
            <w:vAlign w:val="center"/>
          </w:tcPr>
          <w:p w:rsidR="00C25BAF" w:rsidRPr="00D534C4" w:rsidRDefault="00C25BAF" w:rsidP="00C25BAF">
            <w:pPr>
              <w:pStyle w:val="ad"/>
              <w:jc w:val="center"/>
              <w:rPr>
                <w:rFonts w:asciiTheme="majorHAnsi" w:hAnsiTheme="majorHAnsi"/>
              </w:rPr>
            </w:pPr>
          </w:p>
        </w:tc>
        <w:tc>
          <w:tcPr>
            <w:tcW w:w="888"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2012/2013</w:t>
            </w:r>
          </w:p>
        </w:tc>
        <w:tc>
          <w:tcPr>
            <w:tcW w:w="813"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12</w:t>
            </w:r>
          </w:p>
        </w:tc>
        <w:tc>
          <w:tcPr>
            <w:tcW w:w="811"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5</w:t>
            </w:r>
          </w:p>
        </w:tc>
        <w:tc>
          <w:tcPr>
            <w:tcW w:w="829"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13</w:t>
            </w:r>
          </w:p>
        </w:tc>
        <w:tc>
          <w:tcPr>
            <w:tcW w:w="569"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30</w:t>
            </w:r>
          </w:p>
        </w:tc>
      </w:tr>
      <w:tr w:rsidR="00C25BAF" w:rsidRPr="00D534C4" w:rsidTr="00C25BAF">
        <w:tc>
          <w:tcPr>
            <w:tcW w:w="1090" w:type="pct"/>
            <w:vMerge/>
            <w:shd w:val="clear" w:color="auto" w:fill="D9D9D9" w:themeFill="background1" w:themeFillShade="D9"/>
            <w:vAlign w:val="center"/>
          </w:tcPr>
          <w:p w:rsidR="00C25BAF" w:rsidRPr="00D534C4" w:rsidRDefault="00C25BAF" w:rsidP="00C25BAF">
            <w:pPr>
              <w:pStyle w:val="ad"/>
              <w:jc w:val="center"/>
              <w:rPr>
                <w:rFonts w:asciiTheme="majorHAnsi" w:hAnsiTheme="majorHAnsi"/>
              </w:rPr>
            </w:pPr>
          </w:p>
        </w:tc>
        <w:tc>
          <w:tcPr>
            <w:tcW w:w="888"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2013-2014</w:t>
            </w:r>
          </w:p>
        </w:tc>
        <w:tc>
          <w:tcPr>
            <w:tcW w:w="813"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10</w:t>
            </w:r>
          </w:p>
        </w:tc>
        <w:tc>
          <w:tcPr>
            <w:tcW w:w="811"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0</w:t>
            </w:r>
          </w:p>
        </w:tc>
        <w:tc>
          <w:tcPr>
            <w:tcW w:w="829"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8</w:t>
            </w:r>
          </w:p>
        </w:tc>
        <w:tc>
          <w:tcPr>
            <w:tcW w:w="569"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18</w:t>
            </w:r>
          </w:p>
        </w:tc>
      </w:tr>
      <w:tr w:rsidR="00C25BAF" w:rsidRPr="00D534C4" w:rsidTr="00C25BAF">
        <w:tc>
          <w:tcPr>
            <w:tcW w:w="1090" w:type="pct"/>
            <w:vMerge w:val="restar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Пермь</w:t>
            </w:r>
          </w:p>
        </w:tc>
        <w:tc>
          <w:tcPr>
            <w:tcW w:w="888" w:type="pc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2010/2011</w:t>
            </w:r>
          </w:p>
        </w:tc>
        <w:tc>
          <w:tcPr>
            <w:tcW w:w="813" w:type="pc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5</w:t>
            </w:r>
          </w:p>
        </w:tc>
        <w:tc>
          <w:tcPr>
            <w:tcW w:w="811" w:type="pc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0</w:t>
            </w:r>
          </w:p>
        </w:tc>
        <w:tc>
          <w:tcPr>
            <w:tcW w:w="829" w:type="pc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6</w:t>
            </w:r>
          </w:p>
        </w:tc>
        <w:tc>
          <w:tcPr>
            <w:tcW w:w="569" w:type="pc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11</w:t>
            </w:r>
          </w:p>
        </w:tc>
      </w:tr>
      <w:tr w:rsidR="00C25BAF" w:rsidRPr="00D534C4" w:rsidTr="00C25BAF">
        <w:tc>
          <w:tcPr>
            <w:tcW w:w="1090" w:type="pct"/>
            <w:vMerge/>
            <w:vAlign w:val="center"/>
          </w:tcPr>
          <w:p w:rsidR="00C25BAF" w:rsidRPr="00D534C4" w:rsidRDefault="00C25BAF" w:rsidP="00C25BAF">
            <w:pPr>
              <w:pStyle w:val="ad"/>
              <w:jc w:val="center"/>
              <w:rPr>
                <w:rFonts w:asciiTheme="majorHAnsi" w:hAnsiTheme="majorHAnsi"/>
              </w:rPr>
            </w:pPr>
          </w:p>
        </w:tc>
        <w:tc>
          <w:tcPr>
            <w:tcW w:w="888" w:type="pc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2011/2012</w:t>
            </w:r>
          </w:p>
        </w:tc>
        <w:tc>
          <w:tcPr>
            <w:tcW w:w="813" w:type="pc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8</w:t>
            </w:r>
          </w:p>
        </w:tc>
        <w:tc>
          <w:tcPr>
            <w:tcW w:w="811" w:type="pc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0</w:t>
            </w:r>
          </w:p>
        </w:tc>
        <w:tc>
          <w:tcPr>
            <w:tcW w:w="829" w:type="pc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4</w:t>
            </w:r>
          </w:p>
        </w:tc>
        <w:tc>
          <w:tcPr>
            <w:tcW w:w="569" w:type="pct"/>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12</w:t>
            </w:r>
          </w:p>
        </w:tc>
      </w:tr>
      <w:tr w:rsidR="00C25BAF" w:rsidRPr="00D534C4" w:rsidTr="00C25BAF">
        <w:tc>
          <w:tcPr>
            <w:tcW w:w="1090" w:type="pct"/>
            <w:vMerge/>
            <w:vAlign w:val="center"/>
          </w:tcPr>
          <w:p w:rsidR="00C25BAF" w:rsidRPr="00D534C4" w:rsidRDefault="00C25BAF" w:rsidP="00C25BAF">
            <w:pPr>
              <w:pStyle w:val="ad"/>
              <w:jc w:val="center"/>
              <w:rPr>
                <w:rFonts w:asciiTheme="majorHAnsi" w:hAnsiTheme="majorHAnsi"/>
              </w:rPr>
            </w:pPr>
          </w:p>
        </w:tc>
        <w:tc>
          <w:tcPr>
            <w:tcW w:w="888" w:type="pct"/>
            <w:tcBorders>
              <w:bottom w:val="single" w:sz="4" w:space="0" w:color="auto"/>
            </w:tcBorders>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2012/2013</w:t>
            </w:r>
          </w:p>
        </w:tc>
        <w:tc>
          <w:tcPr>
            <w:tcW w:w="813" w:type="pct"/>
            <w:tcBorders>
              <w:bottom w:val="single" w:sz="4" w:space="0" w:color="auto"/>
            </w:tcBorders>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8</w:t>
            </w:r>
          </w:p>
        </w:tc>
        <w:tc>
          <w:tcPr>
            <w:tcW w:w="811" w:type="pct"/>
            <w:tcBorders>
              <w:bottom w:val="single" w:sz="4" w:space="0" w:color="auto"/>
            </w:tcBorders>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0</w:t>
            </w:r>
          </w:p>
        </w:tc>
        <w:tc>
          <w:tcPr>
            <w:tcW w:w="829" w:type="pct"/>
            <w:tcBorders>
              <w:bottom w:val="single" w:sz="4" w:space="0" w:color="auto"/>
            </w:tcBorders>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4</w:t>
            </w:r>
          </w:p>
        </w:tc>
        <w:tc>
          <w:tcPr>
            <w:tcW w:w="569" w:type="pct"/>
            <w:tcBorders>
              <w:bottom w:val="single" w:sz="4" w:space="0" w:color="auto"/>
            </w:tcBorders>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12</w:t>
            </w:r>
          </w:p>
        </w:tc>
      </w:tr>
      <w:tr w:rsidR="00C25BAF" w:rsidRPr="00D534C4" w:rsidTr="00C25BAF">
        <w:tc>
          <w:tcPr>
            <w:tcW w:w="1090" w:type="pct"/>
            <w:vMerge/>
            <w:tcBorders>
              <w:bottom w:val="single" w:sz="4" w:space="0" w:color="auto"/>
            </w:tcBorders>
            <w:vAlign w:val="center"/>
          </w:tcPr>
          <w:p w:rsidR="00C25BAF" w:rsidRPr="00D534C4" w:rsidRDefault="00C25BAF" w:rsidP="00C25BAF">
            <w:pPr>
              <w:pStyle w:val="ad"/>
              <w:jc w:val="center"/>
              <w:rPr>
                <w:rFonts w:asciiTheme="majorHAnsi" w:hAnsiTheme="majorHAnsi"/>
              </w:rPr>
            </w:pPr>
          </w:p>
        </w:tc>
        <w:tc>
          <w:tcPr>
            <w:tcW w:w="888" w:type="pct"/>
            <w:tcBorders>
              <w:bottom w:val="single" w:sz="4" w:space="0" w:color="auto"/>
            </w:tcBorders>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2013/2014</w:t>
            </w:r>
          </w:p>
        </w:tc>
        <w:tc>
          <w:tcPr>
            <w:tcW w:w="813" w:type="pct"/>
            <w:tcBorders>
              <w:bottom w:val="single" w:sz="4" w:space="0" w:color="auto"/>
            </w:tcBorders>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10</w:t>
            </w:r>
          </w:p>
        </w:tc>
        <w:tc>
          <w:tcPr>
            <w:tcW w:w="811" w:type="pct"/>
            <w:tcBorders>
              <w:bottom w:val="single" w:sz="4" w:space="0" w:color="auto"/>
            </w:tcBorders>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0</w:t>
            </w:r>
          </w:p>
        </w:tc>
        <w:tc>
          <w:tcPr>
            <w:tcW w:w="829" w:type="pct"/>
            <w:tcBorders>
              <w:bottom w:val="single" w:sz="4" w:space="0" w:color="auto"/>
            </w:tcBorders>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w:t>
            </w:r>
          </w:p>
        </w:tc>
        <w:tc>
          <w:tcPr>
            <w:tcW w:w="569" w:type="pct"/>
            <w:tcBorders>
              <w:bottom w:val="single" w:sz="4" w:space="0" w:color="auto"/>
            </w:tcBorders>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12</w:t>
            </w:r>
          </w:p>
        </w:tc>
      </w:tr>
      <w:tr w:rsidR="00C25BAF" w:rsidRPr="00D534C4" w:rsidTr="00C25BAF">
        <w:tc>
          <w:tcPr>
            <w:tcW w:w="1090" w:type="pct"/>
            <w:vMerge w:val="restar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Санкт-Петербург</w:t>
            </w:r>
          </w:p>
        </w:tc>
        <w:tc>
          <w:tcPr>
            <w:tcW w:w="888"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2010/2011</w:t>
            </w:r>
          </w:p>
        </w:tc>
        <w:tc>
          <w:tcPr>
            <w:tcW w:w="813"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5</w:t>
            </w:r>
          </w:p>
        </w:tc>
        <w:tc>
          <w:tcPr>
            <w:tcW w:w="811"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9</w:t>
            </w:r>
          </w:p>
        </w:tc>
        <w:tc>
          <w:tcPr>
            <w:tcW w:w="829"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6</w:t>
            </w:r>
          </w:p>
        </w:tc>
        <w:tc>
          <w:tcPr>
            <w:tcW w:w="569"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20</w:t>
            </w:r>
          </w:p>
        </w:tc>
      </w:tr>
      <w:tr w:rsidR="00C25BAF" w:rsidRPr="00D534C4" w:rsidTr="00C25BAF">
        <w:tc>
          <w:tcPr>
            <w:tcW w:w="1090" w:type="pct"/>
            <w:vMerge/>
            <w:shd w:val="clear" w:color="auto" w:fill="D9D9D9" w:themeFill="background1" w:themeFillShade="D9"/>
            <w:vAlign w:val="center"/>
          </w:tcPr>
          <w:p w:rsidR="00C25BAF" w:rsidRPr="00D534C4" w:rsidRDefault="00C25BAF" w:rsidP="00C25BAF">
            <w:pPr>
              <w:pStyle w:val="ad"/>
              <w:jc w:val="center"/>
              <w:rPr>
                <w:rFonts w:asciiTheme="majorHAnsi" w:hAnsiTheme="majorHAnsi"/>
              </w:rPr>
            </w:pPr>
          </w:p>
        </w:tc>
        <w:tc>
          <w:tcPr>
            <w:tcW w:w="888"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2011/2012</w:t>
            </w:r>
          </w:p>
        </w:tc>
        <w:tc>
          <w:tcPr>
            <w:tcW w:w="813"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9</w:t>
            </w:r>
          </w:p>
        </w:tc>
        <w:tc>
          <w:tcPr>
            <w:tcW w:w="811"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5</w:t>
            </w:r>
          </w:p>
        </w:tc>
        <w:tc>
          <w:tcPr>
            <w:tcW w:w="829"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12</w:t>
            </w:r>
          </w:p>
        </w:tc>
        <w:tc>
          <w:tcPr>
            <w:tcW w:w="569"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26</w:t>
            </w:r>
          </w:p>
        </w:tc>
      </w:tr>
      <w:tr w:rsidR="00C25BAF" w:rsidRPr="00D534C4" w:rsidTr="00C25BAF">
        <w:tc>
          <w:tcPr>
            <w:tcW w:w="1090" w:type="pct"/>
            <w:vMerge/>
            <w:shd w:val="clear" w:color="auto" w:fill="D9D9D9" w:themeFill="background1" w:themeFillShade="D9"/>
            <w:vAlign w:val="center"/>
          </w:tcPr>
          <w:p w:rsidR="00C25BAF" w:rsidRPr="00D534C4" w:rsidRDefault="00C25BAF" w:rsidP="00C25BAF">
            <w:pPr>
              <w:pStyle w:val="ad"/>
              <w:jc w:val="center"/>
              <w:rPr>
                <w:rFonts w:asciiTheme="majorHAnsi" w:hAnsiTheme="majorHAnsi"/>
                <w:b/>
              </w:rPr>
            </w:pPr>
          </w:p>
        </w:tc>
        <w:tc>
          <w:tcPr>
            <w:tcW w:w="888"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2012/2013</w:t>
            </w:r>
          </w:p>
        </w:tc>
        <w:tc>
          <w:tcPr>
            <w:tcW w:w="813"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10</w:t>
            </w:r>
          </w:p>
        </w:tc>
        <w:tc>
          <w:tcPr>
            <w:tcW w:w="811"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3</w:t>
            </w:r>
          </w:p>
        </w:tc>
        <w:tc>
          <w:tcPr>
            <w:tcW w:w="829"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11</w:t>
            </w:r>
          </w:p>
        </w:tc>
        <w:tc>
          <w:tcPr>
            <w:tcW w:w="569"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24</w:t>
            </w:r>
          </w:p>
        </w:tc>
      </w:tr>
      <w:tr w:rsidR="00C25BAF" w:rsidRPr="00D534C4" w:rsidTr="00C25BAF">
        <w:tc>
          <w:tcPr>
            <w:tcW w:w="1090" w:type="pct"/>
            <w:vMerge/>
            <w:shd w:val="clear" w:color="auto" w:fill="D9D9D9" w:themeFill="background1" w:themeFillShade="D9"/>
            <w:vAlign w:val="center"/>
          </w:tcPr>
          <w:p w:rsidR="00C25BAF" w:rsidRPr="00D534C4" w:rsidRDefault="00C25BAF" w:rsidP="00C25BAF">
            <w:pPr>
              <w:pStyle w:val="ad"/>
              <w:jc w:val="center"/>
              <w:rPr>
                <w:rFonts w:asciiTheme="majorHAnsi" w:hAnsiTheme="majorHAnsi"/>
                <w:b/>
              </w:rPr>
            </w:pPr>
          </w:p>
        </w:tc>
        <w:tc>
          <w:tcPr>
            <w:tcW w:w="888"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2013/2014</w:t>
            </w:r>
          </w:p>
        </w:tc>
        <w:tc>
          <w:tcPr>
            <w:tcW w:w="813"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10</w:t>
            </w:r>
          </w:p>
        </w:tc>
        <w:tc>
          <w:tcPr>
            <w:tcW w:w="811"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0</w:t>
            </w:r>
          </w:p>
        </w:tc>
        <w:tc>
          <w:tcPr>
            <w:tcW w:w="829"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7</w:t>
            </w:r>
          </w:p>
        </w:tc>
        <w:tc>
          <w:tcPr>
            <w:tcW w:w="569" w:type="pct"/>
            <w:shd w:val="clear" w:color="auto" w:fill="D9D9D9" w:themeFill="background1" w:themeFillShade="D9"/>
            <w:vAlign w:val="center"/>
          </w:tcPr>
          <w:p w:rsidR="00C25BAF" w:rsidRPr="00D534C4" w:rsidRDefault="00C25BAF" w:rsidP="00C25BAF">
            <w:pPr>
              <w:pStyle w:val="ad"/>
              <w:jc w:val="center"/>
              <w:rPr>
                <w:rFonts w:asciiTheme="majorHAnsi" w:hAnsiTheme="majorHAnsi"/>
              </w:rPr>
            </w:pPr>
            <w:r w:rsidRPr="00D534C4">
              <w:rPr>
                <w:rFonts w:asciiTheme="majorHAnsi" w:hAnsiTheme="majorHAnsi"/>
              </w:rPr>
              <w:t>17</w:t>
            </w:r>
          </w:p>
        </w:tc>
      </w:tr>
    </w:tbl>
    <w:p w:rsidR="00C25BAF" w:rsidRPr="00D534C4" w:rsidRDefault="00C25BAF" w:rsidP="00C25BAF">
      <w:pPr>
        <w:jc w:val="both"/>
        <w:rPr>
          <w:rFonts w:ascii="Times New Roman" w:hAnsi="Times New Roman"/>
        </w:rPr>
      </w:pPr>
    </w:p>
    <w:p w:rsidR="00C25BAF" w:rsidRPr="00D534C4" w:rsidRDefault="00C25BAF" w:rsidP="00C25BAF">
      <w:pPr>
        <w:spacing w:after="200" w:line="276" w:lineRule="auto"/>
        <w:jc w:val="both"/>
        <w:rPr>
          <w:szCs w:val="26"/>
          <w:lang w:eastAsia="en-US"/>
        </w:rPr>
      </w:pPr>
      <w:r w:rsidRPr="00D534C4">
        <w:rPr>
          <w:szCs w:val="26"/>
          <w:lang w:eastAsia="en-US"/>
        </w:rPr>
        <w:t xml:space="preserve">В 2012 – 2013 учебном году по сравнению с предыдущим учебным годом во всех кампусах завершилась реализация </w:t>
      </w:r>
      <w:r w:rsidR="002112B1">
        <w:rPr>
          <w:szCs w:val="26"/>
          <w:lang w:eastAsia="en-US"/>
        </w:rPr>
        <w:t xml:space="preserve">большинства </w:t>
      </w:r>
      <w:r w:rsidRPr="00D534C4">
        <w:rPr>
          <w:szCs w:val="26"/>
          <w:lang w:eastAsia="en-US"/>
        </w:rPr>
        <w:t>основных программ специалистов,</w:t>
      </w:r>
    </w:p>
    <w:p w:rsidR="00C25BAF" w:rsidRPr="00D534C4" w:rsidRDefault="00C25BAF" w:rsidP="00C25BAF">
      <w:pPr>
        <w:spacing w:after="200" w:line="276" w:lineRule="auto"/>
        <w:jc w:val="both"/>
        <w:rPr>
          <w:lang w:eastAsia="en-US"/>
        </w:rPr>
      </w:pPr>
      <w:r w:rsidRPr="00D534C4">
        <w:rPr>
          <w:szCs w:val="26"/>
          <w:lang w:eastAsia="en-US"/>
        </w:rPr>
        <w:t>в Москве</w:t>
      </w:r>
      <w:r w:rsidRPr="00D534C4">
        <w:rPr>
          <w:lang w:eastAsia="en-US"/>
        </w:rPr>
        <w:t xml:space="preserve"> </w:t>
      </w:r>
    </w:p>
    <w:p w:rsidR="00C25BAF" w:rsidRPr="00D534C4" w:rsidRDefault="00C25BAF" w:rsidP="002B51DC">
      <w:pPr>
        <w:numPr>
          <w:ilvl w:val="0"/>
          <w:numId w:val="45"/>
        </w:numPr>
        <w:contextualSpacing/>
        <w:jc w:val="both"/>
        <w:rPr>
          <w:lang w:eastAsia="en-US"/>
        </w:rPr>
      </w:pPr>
      <w:r w:rsidRPr="00D534C4">
        <w:rPr>
          <w:lang w:eastAsia="en-US"/>
        </w:rPr>
        <w:t xml:space="preserve">началось </w:t>
      </w:r>
      <w:proofErr w:type="gramStart"/>
      <w:r w:rsidRPr="00D534C4">
        <w:rPr>
          <w:lang w:eastAsia="en-US"/>
        </w:rPr>
        <w:t>обучение студентов по</w:t>
      </w:r>
      <w:proofErr w:type="gramEnd"/>
      <w:r w:rsidRPr="00D534C4">
        <w:rPr>
          <w:lang w:eastAsia="en-US"/>
        </w:rPr>
        <w:t xml:space="preserve"> новому направлению подготовки </w:t>
      </w:r>
      <w:proofErr w:type="spellStart"/>
      <w:r w:rsidRPr="00D534C4">
        <w:rPr>
          <w:lang w:eastAsia="en-US"/>
        </w:rPr>
        <w:t>бакалавриата</w:t>
      </w:r>
      <w:proofErr w:type="spellEnd"/>
      <w:r w:rsidRPr="00D534C4">
        <w:rPr>
          <w:lang w:eastAsia="en-US"/>
        </w:rPr>
        <w:t xml:space="preserve"> «Государственное и муниципальное управление»;</w:t>
      </w:r>
    </w:p>
    <w:p w:rsidR="00C25BAF" w:rsidRPr="00D534C4" w:rsidRDefault="00C25BAF" w:rsidP="002B51DC">
      <w:pPr>
        <w:numPr>
          <w:ilvl w:val="0"/>
          <w:numId w:val="45"/>
        </w:numPr>
        <w:contextualSpacing/>
        <w:jc w:val="both"/>
        <w:rPr>
          <w:lang w:eastAsia="en-US"/>
        </w:rPr>
      </w:pPr>
      <w:r w:rsidRPr="00D534C4">
        <w:rPr>
          <w:lang w:eastAsia="en-US"/>
        </w:rPr>
        <w:t xml:space="preserve">началось </w:t>
      </w:r>
      <w:proofErr w:type="gramStart"/>
      <w:r w:rsidRPr="00D534C4">
        <w:rPr>
          <w:lang w:eastAsia="en-US"/>
        </w:rPr>
        <w:t>обучение студентов по</w:t>
      </w:r>
      <w:proofErr w:type="gramEnd"/>
      <w:r w:rsidRPr="00D534C4">
        <w:rPr>
          <w:lang w:eastAsia="en-US"/>
        </w:rPr>
        <w:t xml:space="preserve"> новым направлениям подготовки магистров «</w:t>
      </w:r>
      <w:proofErr w:type="spellStart"/>
      <w:r w:rsidRPr="00D534C4">
        <w:rPr>
          <w:lang w:eastAsia="en-US"/>
        </w:rPr>
        <w:t>Инноватика</w:t>
      </w:r>
      <w:proofErr w:type="spellEnd"/>
      <w:r w:rsidRPr="00D534C4">
        <w:rPr>
          <w:lang w:eastAsia="en-US"/>
        </w:rPr>
        <w:t>»,  «Градостроительство» и «Финансы и кредит»;</w:t>
      </w:r>
    </w:p>
    <w:p w:rsidR="00C25BAF" w:rsidRPr="00D534C4" w:rsidRDefault="00C25BAF" w:rsidP="002B51DC">
      <w:pPr>
        <w:numPr>
          <w:ilvl w:val="0"/>
          <w:numId w:val="45"/>
        </w:numPr>
        <w:contextualSpacing/>
        <w:jc w:val="both"/>
        <w:rPr>
          <w:lang w:eastAsia="en-US"/>
        </w:rPr>
      </w:pPr>
      <w:r w:rsidRPr="00D534C4">
        <w:t xml:space="preserve">был проведен первый набор бакалавров для </w:t>
      </w:r>
      <w:proofErr w:type="gramStart"/>
      <w:r w:rsidRPr="00D534C4">
        <w:t>обучения по направлению</w:t>
      </w:r>
      <w:proofErr w:type="gramEnd"/>
      <w:r w:rsidRPr="00D534C4">
        <w:t xml:space="preserve"> «Бизнес-информатика» в подразделениях ДПО. </w:t>
      </w:r>
    </w:p>
    <w:p w:rsidR="00C25BAF" w:rsidRPr="00D534C4" w:rsidRDefault="00C25BAF" w:rsidP="00C25BAF">
      <w:pPr>
        <w:spacing w:after="200" w:line="276" w:lineRule="auto"/>
        <w:jc w:val="both"/>
        <w:rPr>
          <w:szCs w:val="26"/>
          <w:lang w:eastAsia="en-US"/>
        </w:rPr>
      </w:pPr>
      <w:r w:rsidRPr="00D534C4">
        <w:rPr>
          <w:szCs w:val="26"/>
          <w:lang w:eastAsia="en-US"/>
        </w:rPr>
        <w:t>в Санкт-Петербурге</w:t>
      </w:r>
    </w:p>
    <w:p w:rsidR="00C25BAF" w:rsidRPr="00D534C4" w:rsidRDefault="00C25BAF" w:rsidP="002B51DC">
      <w:pPr>
        <w:numPr>
          <w:ilvl w:val="0"/>
          <w:numId w:val="45"/>
        </w:numPr>
        <w:contextualSpacing/>
        <w:jc w:val="both"/>
        <w:rPr>
          <w:lang w:eastAsia="en-US"/>
        </w:rPr>
      </w:pPr>
      <w:r w:rsidRPr="00D534C4">
        <w:rPr>
          <w:lang w:eastAsia="en-US"/>
        </w:rPr>
        <w:t>был произведен набор студентов на новое направление подготовки  бакалавров «История»;</w:t>
      </w:r>
    </w:p>
    <w:p w:rsidR="00C25BAF" w:rsidRPr="00D534C4" w:rsidRDefault="00C25BAF" w:rsidP="002B51DC">
      <w:pPr>
        <w:numPr>
          <w:ilvl w:val="0"/>
          <w:numId w:val="45"/>
        </w:numPr>
        <w:contextualSpacing/>
        <w:jc w:val="both"/>
        <w:rPr>
          <w:lang w:eastAsia="en-US"/>
        </w:rPr>
      </w:pPr>
      <w:r w:rsidRPr="00D534C4">
        <w:rPr>
          <w:lang w:eastAsia="en-US"/>
        </w:rPr>
        <w:lastRenderedPageBreak/>
        <w:t>завершили реализацию 2 основные образовательные программы по специальностям «Психология» и «Менеджмент организации»;</w:t>
      </w:r>
    </w:p>
    <w:p w:rsidR="00C25BAF" w:rsidRPr="00D534C4" w:rsidRDefault="00C25BAF" w:rsidP="00C25BAF">
      <w:pPr>
        <w:spacing w:after="200" w:line="276" w:lineRule="auto"/>
        <w:jc w:val="both"/>
        <w:rPr>
          <w:lang w:eastAsia="en-US"/>
        </w:rPr>
      </w:pPr>
      <w:r w:rsidRPr="00D534C4">
        <w:rPr>
          <w:szCs w:val="26"/>
          <w:lang w:eastAsia="en-US"/>
        </w:rPr>
        <w:t>в Нижнем Новгороде</w:t>
      </w:r>
    </w:p>
    <w:p w:rsidR="00C25BAF" w:rsidRPr="00D534C4" w:rsidRDefault="00C25BAF" w:rsidP="002B51DC">
      <w:pPr>
        <w:numPr>
          <w:ilvl w:val="0"/>
          <w:numId w:val="45"/>
        </w:numPr>
        <w:contextualSpacing/>
        <w:jc w:val="both"/>
        <w:rPr>
          <w:lang w:eastAsia="en-US"/>
        </w:rPr>
      </w:pPr>
      <w:r w:rsidRPr="00D534C4">
        <w:rPr>
          <w:lang w:eastAsia="en-US"/>
        </w:rPr>
        <w:t xml:space="preserve">началось </w:t>
      </w:r>
      <w:proofErr w:type="gramStart"/>
      <w:r w:rsidRPr="00D534C4">
        <w:rPr>
          <w:lang w:eastAsia="en-US"/>
        </w:rPr>
        <w:t>обучение студентов по</w:t>
      </w:r>
      <w:proofErr w:type="gramEnd"/>
      <w:r w:rsidRPr="00D534C4">
        <w:rPr>
          <w:lang w:eastAsia="en-US"/>
        </w:rPr>
        <w:t xml:space="preserve"> новому направлению подготовки </w:t>
      </w:r>
      <w:proofErr w:type="spellStart"/>
      <w:r w:rsidRPr="00D534C4">
        <w:rPr>
          <w:lang w:eastAsia="en-US"/>
        </w:rPr>
        <w:t>бакалавриата</w:t>
      </w:r>
      <w:proofErr w:type="spellEnd"/>
      <w:r w:rsidRPr="00D534C4">
        <w:rPr>
          <w:lang w:eastAsia="en-US"/>
        </w:rPr>
        <w:t xml:space="preserve"> «Фундаментальная и прикладная лингвистика»;</w:t>
      </w:r>
    </w:p>
    <w:p w:rsidR="00C25BAF" w:rsidRPr="00D534C4" w:rsidRDefault="00C25BAF" w:rsidP="002B51DC">
      <w:pPr>
        <w:numPr>
          <w:ilvl w:val="0"/>
          <w:numId w:val="45"/>
        </w:numPr>
        <w:contextualSpacing/>
        <w:jc w:val="both"/>
        <w:rPr>
          <w:lang w:eastAsia="en-US"/>
        </w:rPr>
      </w:pPr>
      <w:r w:rsidRPr="00D534C4">
        <w:rPr>
          <w:lang w:eastAsia="en-US"/>
        </w:rPr>
        <w:t xml:space="preserve">был проведен первый набор бакалавров для </w:t>
      </w:r>
      <w:proofErr w:type="gramStart"/>
      <w:r w:rsidRPr="00D534C4">
        <w:rPr>
          <w:lang w:eastAsia="en-US"/>
        </w:rPr>
        <w:t>обучения по направлению</w:t>
      </w:r>
      <w:proofErr w:type="gramEnd"/>
      <w:r w:rsidRPr="00D534C4">
        <w:rPr>
          <w:lang w:eastAsia="en-US"/>
        </w:rPr>
        <w:t xml:space="preserve"> «Бизнес-информатика» в подразделениях ДПО,</w:t>
      </w:r>
    </w:p>
    <w:p w:rsidR="00C25BAF" w:rsidRPr="00D534C4" w:rsidRDefault="00C25BAF" w:rsidP="002B51DC">
      <w:pPr>
        <w:numPr>
          <w:ilvl w:val="0"/>
          <w:numId w:val="45"/>
        </w:numPr>
        <w:contextualSpacing/>
        <w:jc w:val="both"/>
        <w:rPr>
          <w:lang w:eastAsia="en-US"/>
        </w:rPr>
      </w:pPr>
      <w:r w:rsidRPr="00D534C4">
        <w:rPr>
          <w:lang w:eastAsia="en-US"/>
        </w:rPr>
        <w:t>завершили реализацию 4 основные образовательные программы по специальностям «Финансы и кредит» (2 специализации), «Бухгалтерский учет, анализ и аудит» и «Менеджмент организации»;</w:t>
      </w:r>
    </w:p>
    <w:p w:rsidR="00C25BAF" w:rsidRPr="00D534C4" w:rsidRDefault="00C25BAF" w:rsidP="00C25BAF">
      <w:pPr>
        <w:spacing w:after="200" w:line="276" w:lineRule="auto"/>
        <w:jc w:val="both"/>
        <w:rPr>
          <w:szCs w:val="26"/>
          <w:lang w:eastAsia="en-US"/>
        </w:rPr>
      </w:pPr>
      <w:r w:rsidRPr="00D534C4">
        <w:rPr>
          <w:szCs w:val="26"/>
          <w:lang w:eastAsia="en-US"/>
        </w:rPr>
        <w:t xml:space="preserve">в Перми </w:t>
      </w:r>
    </w:p>
    <w:p w:rsidR="00C25BAF" w:rsidRPr="00D534C4" w:rsidRDefault="00C25BAF" w:rsidP="002B51DC">
      <w:pPr>
        <w:numPr>
          <w:ilvl w:val="0"/>
          <w:numId w:val="45"/>
        </w:numPr>
        <w:contextualSpacing/>
        <w:jc w:val="both"/>
        <w:rPr>
          <w:lang w:eastAsia="en-US"/>
        </w:rPr>
      </w:pPr>
      <w:r w:rsidRPr="00D534C4">
        <w:rPr>
          <w:lang w:eastAsia="en-US"/>
        </w:rPr>
        <w:t xml:space="preserve">  был произведен набор студентов для обучения на новое направление подготовки магистров «Финансы и кредит». </w:t>
      </w:r>
    </w:p>
    <w:p w:rsidR="00C25BAF" w:rsidRPr="00D534C4" w:rsidRDefault="00C25BAF" w:rsidP="00C25BAF">
      <w:pPr>
        <w:contextualSpacing/>
        <w:jc w:val="both"/>
        <w:rPr>
          <w:lang w:eastAsia="en-US"/>
        </w:rPr>
      </w:pPr>
      <w:r w:rsidRPr="00D534C4">
        <w:rPr>
          <w:lang w:eastAsia="en-US"/>
        </w:rPr>
        <w:t xml:space="preserve"> </w:t>
      </w:r>
    </w:p>
    <w:p w:rsidR="00C25BAF" w:rsidRPr="00D534C4" w:rsidRDefault="00C25BAF" w:rsidP="00C25BAF">
      <w:pPr>
        <w:spacing w:after="200" w:line="276" w:lineRule="auto"/>
        <w:jc w:val="both"/>
        <w:rPr>
          <w:szCs w:val="26"/>
          <w:lang w:eastAsia="en-US"/>
        </w:rPr>
      </w:pPr>
      <w:r w:rsidRPr="00D534C4">
        <w:rPr>
          <w:szCs w:val="26"/>
          <w:lang w:eastAsia="en-US"/>
        </w:rPr>
        <w:t xml:space="preserve">В рамках 2011/2012 учебного года в НИУ ВШЭ (Москва) реализовались  основные образовательные программы высшего образования (ООП </w:t>
      </w:r>
      <w:proofErr w:type="gramStart"/>
      <w:r w:rsidRPr="00D534C4">
        <w:rPr>
          <w:szCs w:val="26"/>
          <w:lang w:eastAsia="en-US"/>
        </w:rPr>
        <w:t>ВО</w:t>
      </w:r>
      <w:proofErr w:type="gramEnd"/>
      <w:r w:rsidRPr="00D534C4">
        <w:rPr>
          <w:szCs w:val="26"/>
          <w:lang w:eastAsia="en-US"/>
        </w:rPr>
        <w:t xml:space="preserve">) </w:t>
      </w:r>
      <w:proofErr w:type="gramStart"/>
      <w:r w:rsidRPr="00D534C4">
        <w:rPr>
          <w:szCs w:val="26"/>
          <w:lang w:eastAsia="en-US"/>
        </w:rPr>
        <w:t>по</w:t>
      </w:r>
      <w:proofErr w:type="gramEnd"/>
      <w:r w:rsidRPr="00D534C4">
        <w:rPr>
          <w:szCs w:val="26"/>
          <w:lang w:eastAsia="en-US"/>
        </w:rPr>
        <w:t xml:space="preserve">  всем уровням обучения:</w:t>
      </w:r>
    </w:p>
    <w:tbl>
      <w:tblPr>
        <w:tblStyle w:val="aff9"/>
        <w:tblW w:w="0" w:type="auto"/>
        <w:tblLook w:val="04A0" w:firstRow="1" w:lastRow="0" w:firstColumn="1" w:lastColumn="0" w:noHBand="0" w:noVBand="1"/>
      </w:tblPr>
      <w:tblGrid>
        <w:gridCol w:w="2802"/>
        <w:gridCol w:w="6763"/>
      </w:tblGrid>
      <w:tr w:rsidR="00C25BAF" w:rsidRPr="00D534C4" w:rsidTr="00C25BAF">
        <w:tc>
          <w:tcPr>
            <w:tcW w:w="2802" w:type="dxa"/>
          </w:tcPr>
          <w:p w:rsidR="00C25BAF" w:rsidRPr="00D534C4" w:rsidRDefault="00C25BAF" w:rsidP="00C25BAF">
            <w:pPr>
              <w:jc w:val="both"/>
              <w:rPr>
                <w:sz w:val="24"/>
                <w:szCs w:val="24"/>
              </w:rPr>
            </w:pPr>
            <w:proofErr w:type="spellStart"/>
            <w:r w:rsidRPr="00D534C4">
              <w:rPr>
                <w:sz w:val="24"/>
                <w:szCs w:val="24"/>
              </w:rPr>
              <w:t>Бакалавриат</w:t>
            </w:r>
            <w:proofErr w:type="spellEnd"/>
          </w:p>
        </w:tc>
        <w:tc>
          <w:tcPr>
            <w:tcW w:w="6763" w:type="dxa"/>
          </w:tcPr>
          <w:p w:rsidR="00C25BAF" w:rsidRPr="00D534C4" w:rsidRDefault="00C25BAF" w:rsidP="00C25BAF">
            <w:pPr>
              <w:jc w:val="both"/>
              <w:rPr>
                <w:sz w:val="24"/>
                <w:szCs w:val="24"/>
              </w:rPr>
            </w:pPr>
            <w:r w:rsidRPr="00D534C4">
              <w:rPr>
                <w:sz w:val="24"/>
                <w:szCs w:val="24"/>
              </w:rPr>
              <w:t>33  программы</w:t>
            </w:r>
          </w:p>
        </w:tc>
      </w:tr>
      <w:tr w:rsidR="00C25BAF" w:rsidRPr="00D534C4" w:rsidTr="00C25BAF">
        <w:tc>
          <w:tcPr>
            <w:tcW w:w="2802" w:type="dxa"/>
          </w:tcPr>
          <w:p w:rsidR="00C25BAF" w:rsidRPr="00D534C4" w:rsidRDefault="00C25BAF" w:rsidP="00C25BAF">
            <w:pPr>
              <w:jc w:val="both"/>
              <w:rPr>
                <w:sz w:val="24"/>
                <w:szCs w:val="24"/>
              </w:rPr>
            </w:pPr>
            <w:proofErr w:type="spellStart"/>
            <w:r w:rsidRPr="00D534C4">
              <w:rPr>
                <w:sz w:val="24"/>
                <w:szCs w:val="24"/>
              </w:rPr>
              <w:t>Специалитет</w:t>
            </w:r>
            <w:proofErr w:type="spellEnd"/>
          </w:p>
        </w:tc>
        <w:tc>
          <w:tcPr>
            <w:tcW w:w="6763" w:type="dxa"/>
          </w:tcPr>
          <w:p w:rsidR="00C25BAF" w:rsidRPr="00D534C4" w:rsidRDefault="00C25BAF" w:rsidP="00C25BAF">
            <w:pPr>
              <w:jc w:val="both"/>
              <w:rPr>
                <w:sz w:val="24"/>
                <w:szCs w:val="24"/>
              </w:rPr>
            </w:pPr>
            <w:r w:rsidRPr="00D534C4">
              <w:rPr>
                <w:sz w:val="24"/>
                <w:szCs w:val="24"/>
              </w:rPr>
              <w:t>20 программ</w:t>
            </w:r>
          </w:p>
        </w:tc>
      </w:tr>
      <w:tr w:rsidR="00C25BAF" w:rsidRPr="00D534C4" w:rsidTr="00C25BAF">
        <w:tc>
          <w:tcPr>
            <w:tcW w:w="2802" w:type="dxa"/>
          </w:tcPr>
          <w:p w:rsidR="00C25BAF" w:rsidRPr="00D534C4" w:rsidRDefault="00C25BAF" w:rsidP="00C25BAF">
            <w:pPr>
              <w:jc w:val="both"/>
              <w:rPr>
                <w:sz w:val="24"/>
                <w:szCs w:val="24"/>
              </w:rPr>
            </w:pPr>
            <w:r w:rsidRPr="00D534C4">
              <w:rPr>
                <w:sz w:val="24"/>
                <w:szCs w:val="24"/>
              </w:rPr>
              <w:t>Магистратура</w:t>
            </w:r>
          </w:p>
        </w:tc>
        <w:tc>
          <w:tcPr>
            <w:tcW w:w="6763" w:type="dxa"/>
          </w:tcPr>
          <w:p w:rsidR="00C25BAF" w:rsidRPr="00D534C4" w:rsidRDefault="00C25BAF" w:rsidP="00C25BAF">
            <w:pPr>
              <w:jc w:val="both"/>
              <w:rPr>
                <w:sz w:val="24"/>
                <w:szCs w:val="24"/>
              </w:rPr>
            </w:pPr>
            <w:r w:rsidRPr="00D534C4">
              <w:rPr>
                <w:sz w:val="24"/>
                <w:szCs w:val="24"/>
              </w:rPr>
              <w:t>75 программ</w:t>
            </w:r>
          </w:p>
        </w:tc>
      </w:tr>
    </w:tbl>
    <w:p w:rsidR="00C25BAF" w:rsidRPr="00D534C4" w:rsidRDefault="00C25BAF" w:rsidP="00C25BAF">
      <w:pPr>
        <w:jc w:val="both"/>
        <w:rPr>
          <w:lang w:eastAsia="en-US"/>
        </w:rPr>
      </w:pPr>
      <w:r w:rsidRPr="00D534C4">
        <w:rPr>
          <w:lang w:eastAsia="en-US"/>
        </w:rPr>
        <w:t xml:space="preserve"> </w:t>
      </w:r>
    </w:p>
    <w:p w:rsidR="00C25BAF" w:rsidRPr="00D534C4" w:rsidRDefault="00C25BAF" w:rsidP="00C25BAF">
      <w:pPr>
        <w:jc w:val="both"/>
        <w:rPr>
          <w:szCs w:val="26"/>
          <w:lang w:eastAsia="en-US"/>
        </w:rPr>
      </w:pPr>
      <w:r w:rsidRPr="00D534C4">
        <w:rPr>
          <w:szCs w:val="26"/>
          <w:lang w:eastAsia="en-US"/>
        </w:rPr>
        <w:t xml:space="preserve">В 2012-2013 учебном году в НИУ ВШЭ (Москва) реализовались основные образовательные программы: </w:t>
      </w:r>
    </w:p>
    <w:p w:rsidR="00C25BAF" w:rsidRPr="00D534C4" w:rsidRDefault="00C25BAF" w:rsidP="00C25BAF">
      <w:pPr>
        <w:jc w:val="both"/>
        <w:rPr>
          <w:szCs w:val="26"/>
          <w:lang w:eastAsia="en-US"/>
        </w:rPr>
      </w:pPr>
    </w:p>
    <w:tbl>
      <w:tblPr>
        <w:tblStyle w:val="aff9"/>
        <w:tblW w:w="0" w:type="auto"/>
        <w:tblLook w:val="04A0" w:firstRow="1" w:lastRow="0" w:firstColumn="1" w:lastColumn="0" w:noHBand="0" w:noVBand="1"/>
      </w:tblPr>
      <w:tblGrid>
        <w:gridCol w:w="2802"/>
        <w:gridCol w:w="6763"/>
      </w:tblGrid>
      <w:tr w:rsidR="00C25BAF" w:rsidRPr="00D534C4" w:rsidTr="00C25BAF">
        <w:tc>
          <w:tcPr>
            <w:tcW w:w="2802" w:type="dxa"/>
          </w:tcPr>
          <w:p w:rsidR="00C25BAF" w:rsidRPr="00D534C4" w:rsidRDefault="00C25BAF" w:rsidP="00C25BAF">
            <w:pPr>
              <w:jc w:val="both"/>
              <w:rPr>
                <w:sz w:val="24"/>
                <w:szCs w:val="24"/>
              </w:rPr>
            </w:pPr>
            <w:proofErr w:type="spellStart"/>
            <w:r w:rsidRPr="00D534C4">
              <w:rPr>
                <w:sz w:val="24"/>
                <w:szCs w:val="24"/>
              </w:rPr>
              <w:t>Бакалавриат</w:t>
            </w:r>
            <w:proofErr w:type="spellEnd"/>
          </w:p>
        </w:tc>
        <w:tc>
          <w:tcPr>
            <w:tcW w:w="6763" w:type="dxa"/>
          </w:tcPr>
          <w:p w:rsidR="00C25BAF" w:rsidRPr="00D534C4" w:rsidRDefault="00C25BAF" w:rsidP="00C25BAF">
            <w:pPr>
              <w:jc w:val="both"/>
              <w:rPr>
                <w:sz w:val="24"/>
                <w:szCs w:val="24"/>
              </w:rPr>
            </w:pPr>
            <w:r w:rsidRPr="00D534C4">
              <w:rPr>
                <w:sz w:val="24"/>
                <w:szCs w:val="24"/>
              </w:rPr>
              <w:t>55  программы</w:t>
            </w:r>
          </w:p>
        </w:tc>
      </w:tr>
      <w:tr w:rsidR="00C25BAF" w:rsidRPr="00D534C4" w:rsidTr="00C25BAF">
        <w:tc>
          <w:tcPr>
            <w:tcW w:w="2802" w:type="dxa"/>
          </w:tcPr>
          <w:p w:rsidR="00C25BAF" w:rsidRPr="00D534C4" w:rsidRDefault="00C25BAF" w:rsidP="00C25BAF">
            <w:pPr>
              <w:jc w:val="both"/>
              <w:rPr>
                <w:sz w:val="24"/>
                <w:szCs w:val="24"/>
              </w:rPr>
            </w:pPr>
            <w:proofErr w:type="spellStart"/>
            <w:r w:rsidRPr="00D534C4">
              <w:rPr>
                <w:sz w:val="24"/>
                <w:szCs w:val="24"/>
              </w:rPr>
              <w:t>Специалитет</w:t>
            </w:r>
            <w:proofErr w:type="spellEnd"/>
          </w:p>
        </w:tc>
        <w:tc>
          <w:tcPr>
            <w:tcW w:w="6763" w:type="dxa"/>
          </w:tcPr>
          <w:p w:rsidR="00C25BAF" w:rsidRPr="00D534C4" w:rsidRDefault="00C25BAF" w:rsidP="00C25BAF">
            <w:pPr>
              <w:jc w:val="both"/>
              <w:rPr>
                <w:sz w:val="24"/>
                <w:szCs w:val="24"/>
              </w:rPr>
            </w:pPr>
            <w:r w:rsidRPr="00D534C4">
              <w:rPr>
                <w:sz w:val="24"/>
                <w:szCs w:val="24"/>
              </w:rPr>
              <w:t>58 программ</w:t>
            </w:r>
          </w:p>
        </w:tc>
      </w:tr>
      <w:tr w:rsidR="00C25BAF" w:rsidRPr="00D534C4" w:rsidTr="00C25BAF">
        <w:tc>
          <w:tcPr>
            <w:tcW w:w="2802" w:type="dxa"/>
          </w:tcPr>
          <w:p w:rsidR="00C25BAF" w:rsidRPr="00D534C4" w:rsidRDefault="00C25BAF" w:rsidP="00C25BAF">
            <w:pPr>
              <w:jc w:val="both"/>
              <w:rPr>
                <w:sz w:val="24"/>
                <w:szCs w:val="24"/>
              </w:rPr>
            </w:pPr>
            <w:r w:rsidRPr="00D534C4">
              <w:rPr>
                <w:sz w:val="24"/>
                <w:szCs w:val="24"/>
              </w:rPr>
              <w:t>Магистратура</w:t>
            </w:r>
          </w:p>
        </w:tc>
        <w:tc>
          <w:tcPr>
            <w:tcW w:w="6763" w:type="dxa"/>
          </w:tcPr>
          <w:p w:rsidR="00C25BAF" w:rsidRPr="00D534C4" w:rsidRDefault="00C25BAF" w:rsidP="00C25BAF">
            <w:pPr>
              <w:jc w:val="both"/>
              <w:rPr>
                <w:sz w:val="24"/>
                <w:szCs w:val="24"/>
              </w:rPr>
            </w:pPr>
            <w:r w:rsidRPr="00D534C4">
              <w:rPr>
                <w:sz w:val="24"/>
                <w:szCs w:val="24"/>
              </w:rPr>
              <w:t>83 программы (включая 9 программ в очно-заочной форме).</w:t>
            </w:r>
          </w:p>
        </w:tc>
      </w:tr>
    </w:tbl>
    <w:p w:rsidR="00C25BAF" w:rsidRPr="00D534C4" w:rsidRDefault="00C25BAF" w:rsidP="00C25BAF">
      <w:pPr>
        <w:jc w:val="both"/>
        <w:rPr>
          <w:szCs w:val="26"/>
          <w:lang w:eastAsia="en-US"/>
        </w:rPr>
      </w:pPr>
    </w:p>
    <w:p w:rsidR="002112B1" w:rsidRPr="00D534C4" w:rsidRDefault="002112B1" w:rsidP="002112B1">
      <w:pPr>
        <w:spacing w:after="200" w:line="276" w:lineRule="auto"/>
        <w:jc w:val="both"/>
        <w:rPr>
          <w:szCs w:val="26"/>
          <w:lang w:eastAsia="en-US"/>
        </w:rPr>
      </w:pPr>
      <w:r w:rsidRPr="00D534C4">
        <w:rPr>
          <w:szCs w:val="26"/>
          <w:lang w:eastAsia="en-US"/>
        </w:rPr>
        <w:t xml:space="preserve">Увеличение числа программ </w:t>
      </w:r>
      <w:proofErr w:type="spellStart"/>
      <w:r w:rsidRPr="00D534C4">
        <w:rPr>
          <w:szCs w:val="26"/>
          <w:lang w:eastAsia="en-US"/>
        </w:rPr>
        <w:t>специалитета</w:t>
      </w:r>
      <w:proofErr w:type="spellEnd"/>
      <w:r w:rsidRPr="00D534C4">
        <w:rPr>
          <w:szCs w:val="26"/>
          <w:lang w:eastAsia="en-US"/>
        </w:rPr>
        <w:t xml:space="preserve"> произошло за счет присоединения к НИУ ВШЭ МИЭМ. Полный перечень программ можно видеть в Приложении к отчету № 1.</w:t>
      </w:r>
    </w:p>
    <w:p w:rsidR="002112B1" w:rsidRDefault="002112B1" w:rsidP="002112B1">
      <w:pPr>
        <w:jc w:val="both"/>
        <w:rPr>
          <w:szCs w:val="26"/>
          <w:lang w:eastAsia="en-US"/>
        </w:rPr>
      </w:pPr>
      <w:r w:rsidRPr="00B86558">
        <w:rPr>
          <w:szCs w:val="26"/>
          <w:lang w:eastAsia="en-US"/>
        </w:rPr>
        <w:t>В 201</w:t>
      </w:r>
      <w:r>
        <w:rPr>
          <w:szCs w:val="26"/>
          <w:lang w:eastAsia="en-US"/>
        </w:rPr>
        <w:t>3</w:t>
      </w:r>
      <w:r w:rsidRPr="00B86558">
        <w:rPr>
          <w:szCs w:val="26"/>
          <w:lang w:eastAsia="en-US"/>
        </w:rPr>
        <w:t>-201</w:t>
      </w:r>
      <w:r>
        <w:rPr>
          <w:szCs w:val="26"/>
          <w:lang w:eastAsia="en-US"/>
        </w:rPr>
        <w:t>4</w:t>
      </w:r>
      <w:r w:rsidRPr="00B86558">
        <w:rPr>
          <w:szCs w:val="26"/>
          <w:lang w:eastAsia="en-US"/>
        </w:rPr>
        <w:t xml:space="preserve"> учебном году в НИУ ВШЭ (Москва) реализуются основные образовательные программы: </w:t>
      </w:r>
    </w:p>
    <w:p w:rsidR="002112B1" w:rsidRPr="00B86558" w:rsidRDefault="002112B1" w:rsidP="002112B1">
      <w:pPr>
        <w:jc w:val="both"/>
        <w:rPr>
          <w:szCs w:val="26"/>
          <w:lang w:eastAsia="en-US"/>
        </w:rPr>
      </w:pPr>
    </w:p>
    <w:tbl>
      <w:tblPr>
        <w:tblStyle w:val="aff9"/>
        <w:tblW w:w="0" w:type="auto"/>
        <w:tblLook w:val="04A0" w:firstRow="1" w:lastRow="0" w:firstColumn="1" w:lastColumn="0" w:noHBand="0" w:noVBand="1"/>
      </w:tblPr>
      <w:tblGrid>
        <w:gridCol w:w="2802"/>
        <w:gridCol w:w="6763"/>
      </w:tblGrid>
      <w:tr w:rsidR="002112B1" w:rsidRPr="008161A1" w:rsidTr="002112B1">
        <w:tc>
          <w:tcPr>
            <w:tcW w:w="2802" w:type="dxa"/>
          </w:tcPr>
          <w:p w:rsidR="002112B1" w:rsidRPr="008161A1" w:rsidRDefault="002112B1" w:rsidP="002112B1">
            <w:pPr>
              <w:jc w:val="both"/>
              <w:rPr>
                <w:sz w:val="24"/>
                <w:szCs w:val="24"/>
              </w:rPr>
            </w:pPr>
            <w:proofErr w:type="spellStart"/>
            <w:r w:rsidRPr="008161A1">
              <w:rPr>
                <w:sz w:val="24"/>
                <w:szCs w:val="24"/>
              </w:rPr>
              <w:t>Бакалавриат</w:t>
            </w:r>
            <w:proofErr w:type="spellEnd"/>
          </w:p>
        </w:tc>
        <w:tc>
          <w:tcPr>
            <w:tcW w:w="6763" w:type="dxa"/>
          </w:tcPr>
          <w:p w:rsidR="002112B1" w:rsidRPr="008161A1" w:rsidRDefault="002112B1" w:rsidP="002112B1">
            <w:pPr>
              <w:jc w:val="both"/>
              <w:rPr>
                <w:sz w:val="24"/>
                <w:szCs w:val="24"/>
              </w:rPr>
            </w:pPr>
            <w:r>
              <w:rPr>
                <w:sz w:val="24"/>
                <w:szCs w:val="24"/>
              </w:rPr>
              <w:t>41</w:t>
            </w:r>
            <w:r w:rsidRPr="008161A1">
              <w:rPr>
                <w:sz w:val="24"/>
                <w:szCs w:val="24"/>
              </w:rPr>
              <w:t xml:space="preserve"> программ</w:t>
            </w:r>
            <w:r>
              <w:rPr>
                <w:sz w:val="24"/>
                <w:szCs w:val="24"/>
              </w:rPr>
              <w:t>а</w:t>
            </w:r>
          </w:p>
        </w:tc>
      </w:tr>
      <w:tr w:rsidR="002112B1" w:rsidRPr="008161A1" w:rsidTr="002112B1">
        <w:tc>
          <w:tcPr>
            <w:tcW w:w="2802" w:type="dxa"/>
          </w:tcPr>
          <w:p w:rsidR="002112B1" w:rsidRPr="008161A1" w:rsidRDefault="002112B1" w:rsidP="002112B1">
            <w:pPr>
              <w:jc w:val="both"/>
              <w:rPr>
                <w:sz w:val="24"/>
                <w:szCs w:val="24"/>
              </w:rPr>
            </w:pPr>
            <w:proofErr w:type="spellStart"/>
            <w:r w:rsidRPr="008161A1">
              <w:rPr>
                <w:sz w:val="24"/>
                <w:szCs w:val="24"/>
              </w:rPr>
              <w:t>Специалитет</w:t>
            </w:r>
            <w:proofErr w:type="spellEnd"/>
          </w:p>
        </w:tc>
        <w:tc>
          <w:tcPr>
            <w:tcW w:w="6763" w:type="dxa"/>
          </w:tcPr>
          <w:p w:rsidR="002112B1" w:rsidRPr="008161A1" w:rsidRDefault="002112B1" w:rsidP="002112B1">
            <w:pPr>
              <w:jc w:val="both"/>
              <w:rPr>
                <w:sz w:val="24"/>
                <w:szCs w:val="24"/>
              </w:rPr>
            </w:pPr>
            <w:r w:rsidRPr="008161A1">
              <w:rPr>
                <w:sz w:val="24"/>
                <w:szCs w:val="24"/>
              </w:rPr>
              <w:t xml:space="preserve"> </w:t>
            </w:r>
            <w:r>
              <w:rPr>
                <w:sz w:val="24"/>
                <w:szCs w:val="24"/>
              </w:rPr>
              <w:t xml:space="preserve">44 </w:t>
            </w:r>
            <w:r w:rsidRPr="008161A1">
              <w:rPr>
                <w:sz w:val="24"/>
                <w:szCs w:val="24"/>
              </w:rPr>
              <w:t>программ</w:t>
            </w:r>
            <w:r>
              <w:rPr>
                <w:sz w:val="24"/>
                <w:szCs w:val="24"/>
              </w:rPr>
              <w:t>ы</w:t>
            </w:r>
          </w:p>
        </w:tc>
      </w:tr>
      <w:tr w:rsidR="002112B1" w:rsidRPr="008161A1" w:rsidTr="002112B1">
        <w:tc>
          <w:tcPr>
            <w:tcW w:w="2802" w:type="dxa"/>
          </w:tcPr>
          <w:p w:rsidR="002112B1" w:rsidRPr="008161A1" w:rsidRDefault="002112B1" w:rsidP="002112B1">
            <w:pPr>
              <w:jc w:val="both"/>
              <w:rPr>
                <w:sz w:val="24"/>
                <w:szCs w:val="24"/>
              </w:rPr>
            </w:pPr>
            <w:r w:rsidRPr="008161A1">
              <w:rPr>
                <w:sz w:val="24"/>
                <w:szCs w:val="24"/>
              </w:rPr>
              <w:t>Магистратура</w:t>
            </w:r>
          </w:p>
        </w:tc>
        <w:tc>
          <w:tcPr>
            <w:tcW w:w="6763" w:type="dxa"/>
          </w:tcPr>
          <w:p w:rsidR="002112B1" w:rsidRPr="008161A1" w:rsidRDefault="002112B1" w:rsidP="002112B1">
            <w:pPr>
              <w:jc w:val="both"/>
              <w:rPr>
                <w:sz w:val="24"/>
                <w:szCs w:val="24"/>
              </w:rPr>
            </w:pPr>
            <w:r>
              <w:rPr>
                <w:sz w:val="24"/>
                <w:szCs w:val="24"/>
              </w:rPr>
              <w:t xml:space="preserve">76 </w:t>
            </w:r>
            <w:r w:rsidRPr="008161A1">
              <w:rPr>
                <w:sz w:val="24"/>
                <w:szCs w:val="24"/>
              </w:rPr>
              <w:t xml:space="preserve"> программ</w:t>
            </w:r>
            <w:r>
              <w:rPr>
                <w:sz w:val="24"/>
                <w:szCs w:val="24"/>
              </w:rPr>
              <w:t xml:space="preserve"> </w:t>
            </w:r>
          </w:p>
        </w:tc>
      </w:tr>
    </w:tbl>
    <w:p w:rsidR="002112B1" w:rsidRDefault="002112B1" w:rsidP="00C25BAF">
      <w:pPr>
        <w:spacing w:after="200" w:line="276" w:lineRule="auto"/>
        <w:jc w:val="both"/>
        <w:rPr>
          <w:szCs w:val="26"/>
          <w:lang w:eastAsia="en-US"/>
        </w:rPr>
      </w:pPr>
    </w:p>
    <w:p w:rsidR="00C25BAF" w:rsidRPr="00D534C4" w:rsidRDefault="00C25BAF" w:rsidP="00C25BAF">
      <w:pPr>
        <w:spacing w:after="200" w:line="276" w:lineRule="auto"/>
        <w:jc w:val="both"/>
        <w:rPr>
          <w:szCs w:val="26"/>
          <w:lang w:eastAsia="en-US"/>
        </w:rPr>
      </w:pPr>
      <w:r w:rsidRPr="00D534C4">
        <w:rPr>
          <w:szCs w:val="26"/>
          <w:lang w:eastAsia="en-US"/>
        </w:rPr>
        <w:t xml:space="preserve">В </w:t>
      </w:r>
      <w:r w:rsidR="002112B1">
        <w:rPr>
          <w:szCs w:val="26"/>
          <w:lang w:eastAsia="en-US"/>
        </w:rPr>
        <w:t xml:space="preserve">2012-2013 учебном году в </w:t>
      </w:r>
      <w:r w:rsidRPr="00D534C4">
        <w:rPr>
          <w:szCs w:val="26"/>
          <w:lang w:eastAsia="en-US"/>
        </w:rPr>
        <w:t xml:space="preserve">Нижегородском кампусе </w:t>
      </w:r>
      <w:r w:rsidR="002112B1">
        <w:rPr>
          <w:szCs w:val="26"/>
          <w:lang w:eastAsia="en-US"/>
        </w:rPr>
        <w:t xml:space="preserve"> </w:t>
      </w:r>
      <w:r w:rsidRPr="00D534C4">
        <w:rPr>
          <w:szCs w:val="26"/>
          <w:lang w:eastAsia="en-US"/>
        </w:rPr>
        <w:t>реализовалось 8 ОП бакалавров и 14 ОП магистров</w:t>
      </w:r>
      <w:r w:rsidR="002112B1">
        <w:rPr>
          <w:szCs w:val="26"/>
          <w:lang w:eastAsia="en-US"/>
        </w:rPr>
        <w:t>; в</w:t>
      </w:r>
      <w:r w:rsidR="002112B1" w:rsidRPr="00D534C4">
        <w:rPr>
          <w:szCs w:val="26"/>
          <w:lang w:eastAsia="en-US"/>
        </w:rPr>
        <w:t xml:space="preserve"> Санкт-Петербургском кампусе реализовалось 11 ОП бакалавров (включая 3 программы по ГОС-2), 4 ОП специалистов и  11 ОП магистров</w:t>
      </w:r>
      <w:r w:rsidR="002112B1">
        <w:rPr>
          <w:szCs w:val="26"/>
          <w:lang w:eastAsia="en-US"/>
        </w:rPr>
        <w:t>; в</w:t>
      </w:r>
      <w:r w:rsidR="002112B1" w:rsidRPr="00D534C4">
        <w:rPr>
          <w:szCs w:val="26"/>
          <w:lang w:eastAsia="en-US"/>
        </w:rPr>
        <w:t xml:space="preserve"> Пермском кампусе реализовалось 11 ОП бакалавров (включая 3 программы по ГОС-2) и 5 ОП магистров</w:t>
      </w:r>
      <w:r w:rsidRPr="00D534C4">
        <w:rPr>
          <w:szCs w:val="26"/>
          <w:lang w:eastAsia="en-US"/>
        </w:rPr>
        <w:t>. Полный перечень программ можно видеть в Приложении к отчету № 1.</w:t>
      </w:r>
    </w:p>
    <w:p w:rsidR="00C25BAF" w:rsidRPr="00B86558" w:rsidRDefault="00C25BAF" w:rsidP="00C25BAF">
      <w:pPr>
        <w:spacing w:after="200" w:line="276" w:lineRule="auto"/>
        <w:jc w:val="both"/>
        <w:rPr>
          <w:szCs w:val="26"/>
          <w:lang w:eastAsia="en-US"/>
        </w:rPr>
      </w:pPr>
      <w:r w:rsidRPr="00D534C4">
        <w:rPr>
          <w:szCs w:val="26"/>
          <w:lang w:eastAsia="en-US"/>
        </w:rPr>
        <w:t>Динамику реализуемых образовательных программ можно видеть на диаграмме 3.2.1.</w:t>
      </w:r>
    </w:p>
    <w:p w:rsidR="00C25BAF" w:rsidRDefault="00C25BAF" w:rsidP="00FB359A">
      <w:pPr>
        <w:spacing w:before="240"/>
        <w:jc w:val="both"/>
        <w:rPr>
          <w:b/>
          <w:lang w:eastAsia="en-US"/>
        </w:rPr>
      </w:pPr>
      <w:r w:rsidRPr="008161A1">
        <w:rPr>
          <w:b/>
          <w:lang w:eastAsia="en-US"/>
        </w:rPr>
        <w:lastRenderedPageBreak/>
        <w:t>Диаграмма 3.2.1. Образовательные программы, реализуемые в 201</w:t>
      </w:r>
      <w:r w:rsidR="00C553C7">
        <w:rPr>
          <w:b/>
          <w:lang w:eastAsia="en-US"/>
        </w:rPr>
        <w:t>2</w:t>
      </w:r>
      <w:r w:rsidRPr="008161A1">
        <w:rPr>
          <w:b/>
          <w:lang w:eastAsia="en-US"/>
        </w:rPr>
        <w:t>-1</w:t>
      </w:r>
      <w:r w:rsidR="00C553C7">
        <w:rPr>
          <w:b/>
          <w:lang w:eastAsia="en-US"/>
        </w:rPr>
        <w:t>3</w:t>
      </w:r>
      <w:r w:rsidRPr="008161A1">
        <w:rPr>
          <w:b/>
          <w:lang w:eastAsia="en-US"/>
        </w:rPr>
        <w:t xml:space="preserve"> и 201</w:t>
      </w:r>
      <w:r w:rsidR="00C553C7">
        <w:rPr>
          <w:b/>
          <w:lang w:eastAsia="en-US"/>
        </w:rPr>
        <w:t>3</w:t>
      </w:r>
      <w:r w:rsidRPr="008161A1">
        <w:rPr>
          <w:b/>
          <w:lang w:eastAsia="en-US"/>
        </w:rPr>
        <w:t>-1</w:t>
      </w:r>
      <w:r w:rsidR="00C553C7">
        <w:rPr>
          <w:b/>
          <w:lang w:eastAsia="en-US"/>
        </w:rPr>
        <w:t>4</w:t>
      </w:r>
      <w:r w:rsidRPr="008161A1">
        <w:rPr>
          <w:b/>
          <w:lang w:eastAsia="en-US"/>
        </w:rPr>
        <w:t xml:space="preserve"> учебных годах</w:t>
      </w:r>
      <w:r w:rsidR="00E44ED1">
        <w:rPr>
          <w:rStyle w:val="ac"/>
          <w:b/>
          <w:lang w:eastAsia="en-US"/>
        </w:rPr>
        <w:footnoteReference w:id="2"/>
      </w:r>
      <w:r w:rsidRPr="008161A1">
        <w:rPr>
          <w:b/>
          <w:lang w:eastAsia="en-US"/>
        </w:rPr>
        <w:t>.</w:t>
      </w:r>
    </w:p>
    <w:p w:rsidR="00C25BAF" w:rsidRPr="00FB359A" w:rsidRDefault="00C553C7" w:rsidP="00FB359A">
      <w:pPr>
        <w:spacing w:before="240" w:line="360" w:lineRule="auto"/>
        <w:jc w:val="both"/>
        <w:rPr>
          <w:b/>
          <w:lang w:eastAsia="en-US"/>
        </w:rPr>
      </w:pPr>
      <w:r>
        <w:rPr>
          <w:noProof/>
        </w:rPr>
        <w:drawing>
          <wp:inline distT="0" distB="0" distL="0" distR="0" wp14:anchorId="7E14B9D3" wp14:editId="7C29C29E">
            <wp:extent cx="4572000" cy="2743200"/>
            <wp:effectExtent l="0" t="0" r="19050" b="19050"/>
            <wp:docPr id="721" name="Диаграмма 7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25BAF" w:rsidRPr="0026776F" w:rsidRDefault="00C25BAF" w:rsidP="00C25BAF">
      <w:pPr>
        <w:spacing w:after="200" w:line="276" w:lineRule="auto"/>
        <w:jc w:val="both"/>
        <w:rPr>
          <w:szCs w:val="26"/>
          <w:lang w:eastAsia="en-US"/>
        </w:rPr>
      </w:pPr>
      <w:r w:rsidRPr="0026776F">
        <w:rPr>
          <w:szCs w:val="26"/>
          <w:lang w:eastAsia="en-US"/>
        </w:rPr>
        <w:t xml:space="preserve">В 2012-2013 учебном году </w:t>
      </w:r>
      <w:proofErr w:type="gramStart"/>
      <w:r w:rsidRPr="0026776F">
        <w:rPr>
          <w:szCs w:val="26"/>
          <w:lang w:eastAsia="en-US"/>
        </w:rPr>
        <w:t>подготовлено и открыто</w:t>
      </w:r>
      <w:proofErr w:type="gramEnd"/>
      <w:r w:rsidRPr="0026776F">
        <w:rPr>
          <w:szCs w:val="26"/>
          <w:lang w:eastAsia="en-US"/>
        </w:rPr>
        <w:t xml:space="preserve"> 15 новых магистерских программ (12 – в Москве,  3 – в филиалах):</w:t>
      </w:r>
    </w:p>
    <w:p w:rsidR="00C25BAF" w:rsidRPr="0026776F" w:rsidRDefault="00C25BAF" w:rsidP="00C25BAF">
      <w:pPr>
        <w:spacing w:after="200" w:line="276" w:lineRule="auto"/>
        <w:jc w:val="both"/>
        <w:rPr>
          <w:szCs w:val="26"/>
          <w:lang w:eastAsia="en-US"/>
        </w:rPr>
      </w:pPr>
      <w:r w:rsidRPr="0026776F">
        <w:rPr>
          <w:szCs w:val="26"/>
          <w:lang w:eastAsia="en-US"/>
        </w:rPr>
        <w:t>в Москве:</w:t>
      </w:r>
    </w:p>
    <w:p w:rsidR="00C25BAF" w:rsidRPr="0026776F" w:rsidRDefault="00C25BAF" w:rsidP="00C25BAF">
      <w:pPr>
        <w:spacing w:after="200" w:line="276" w:lineRule="auto"/>
        <w:jc w:val="both"/>
        <w:rPr>
          <w:szCs w:val="26"/>
          <w:lang w:eastAsia="en-US"/>
        </w:rPr>
      </w:pPr>
      <w:r w:rsidRPr="0026776F">
        <w:rPr>
          <w:szCs w:val="26"/>
          <w:lang w:eastAsia="en-US"/>
        </w:rPr>
        <w:t>Очная форма обучения.</w:t>
      </w:r>
    </w:p>
    <w:p w:rsidR="00C25BAF" w:rsidRPr="008161A1" w:rsidRDefault="00C25BAF" w:rsidP="002B51DC">
      <w:pPr>
        <w:numPr>
          <w:ilvl w:val="0"/>
          <w:numId w:val="53"/>
        </w:numPr>
        <w:contextualSpacing/>
        <w:jc w:val="both"/>
        <w:rPr>
          <w:lang w:eastAsia="en-US"/>
        </w:rPr>
      </w:pPr>
      <w:r w:rsidRPr="008161A1">
        <w:t xml:space="preserve"> </w:t>
      </w:r>
      <w:r w:rsidRPr="008161A1">
        <w:rPr>
          <w:lang w:eastAsia="en-US"/>
        </w:rPr>
        <w:t>Магистерская программа «Управление пространственным развитием городов» направление подготовки «Государственное и муниципальное управление»;</w:t>
      </w:r>
    </w:p>
    <w:p w:rsidR="00C25BAF" w:rsidRPr="008161A1" w:rsidRDefault="00C25BAF" w:rsidP="002B51DC">
      <w:pPr>
        <w:numPr>
          <w:ilvl w:val="0"/>
          <w:numId w:val="53"/>
        </w:numPr>
        <w:contextualSpacing/>
        <w:jc w:val="both"/>
        <w:rPr>
          <w:lang w:eastAsia="en-US"/>
        </w:rPr>
      </w:pPr>
      <w:r w:rsidRPr="008161A1">
        <w:rPr>
          <w:lang w:eastAsia="en-US"/>
        </w:rPr>
        <w:t xml:space="preserve"> Магистерская программа «Мультимедийная журналистика» направление подготовки «Журналистика»;</w:t>
      </w:r>
    </w:p>
    <w:p w:rsidR="00C25BAF" w:rsidRPr="008161A1" w:rsidRDefault="00C25BAF" w:rsidP="002B51DC">
      <w:pPr>
        <w:numPr>
          <w:ilvl w:val="0"/>
          <w:numId w:val="53"/>
        </w:numPr>
        <w:contextualSpacing/>
        <w:jc w:val="both"/>
        <w:rPr>
          <w:lang w:eastAsia="en-US"/>
        </w:rPr>
      </w:pPr>
      <w:r w:rsidRPr="008161A1">
        <w:rPr>
          <w:lang w:eastAsia="en-US"/>
        </w:rPr>
        <w:t xml:space="preserve"> Магистерская программа «История знания в сравнительной перспективе» направление подготовки «История»;</w:t>
      </w:r>
    </w:p>
    <w:p w:rsidR="00C25BAF" w:rsidRPr="008161A1" w:rsidRDefault="00C25BAF" w:rsidP="002B51DC">
      <w:pPr>
        <w:numPr>
          <w:ilvl w:val="0"/>
          <w:numId w:val="53"/>
        </w:numPr>
        <w:contextualSpacing/>
        <w:jc w:val="both"/>
        <w:rPr>
          <w:lang w:eastAsia="en-US"/>
        </w:rPr>
      </w:pPr>
      <w:r w:rsidRPr="008161A1">
        <w:rPr>
          <w:lang w:eastAsia="en-US"/>
        </w:rPr>
        <w:t xml:space="preserve">  Магистерская программа «Прикладная культурология» направление подготовки «Культурология»;</w:t>
      </w:r>
    </w:p>
    <w:p w:rsidR="00C25BAF" w:rsidRPr="008161A1" w:rsidRDefault="00C25BAF" w:rsidP="002B51DC">
      <w:pPr>
        <w:numPr>
          <w:ilvl w:val="0"/>
          <w:numId w:val="53"/>
        </w:numPr>
        <w:contextualSpacing/>
        <w:jc w:val="both"/>
        <w:rPr>
          <w:lang w:eastAsia="en-US"/>
        </w:rPr>
      </w:pPr>
      <w:r w:rsidRPr="008161A1">
        <w:rPr>
          <w:lang w:eastAsia="en-US"/>
        </w:rPr>
        <w:t xml:space="preserve"> Магистерская программа «Прикладная социальная психология» направление подготовки «Психология»;</w:t>
      </w:r>
    </w:p>
    <w:p w:rsidR="00C25BAF" w:rsidRPr="008161A1" w:rsidRDefault="00C25BAF" w:rsidP="002B51DC">
      <w:pPr>
        <w:numPr>
          <w:ilvl w:val="0"/>
          <w:numId w:val="53"/>
        </w:numPr>
        <w:contextualSpacing/>
        <w:jc w:val="both"/>
        <w:rPr>
          <w:lang w:eastAsia="en-US"/>
        </w:rPr>
      </w:pPr>
      <w:r w:rsidRPr="008161A1">
        <w:rPr>
          <w:lang w:eastAsia="en-US"/>
        </w:rPr>
        <w:t xml:space="preserve"> Магистерская программа «История, теория и философия права» направление подготовки «Юриспруденция»;</w:t>
      </w:r>
    </w:p>
    <w:p w:rsidR="00C25BAF" w:rsidRPr="008161A1" w:rsidRDefault="00C25BAF" w:rsidP="002B51DC">
      <w:pPr>
        <w:numPr>
          <w:ilvl w:val="0"/>
          <w:numId w:val="53"/>
        </w:numPr>
        <w:contextualSpacing/>
        <w:jc w:val="both"/>
        <w:rPr>
          <w:lang w:eastAsia="en-US"/>
        </w:rPr>
      </w:pPr>
      <w:r w:rsidRPr="008161A1">
        <w:rPr>
          <w:lang w:eastAsia="en-US"/>
        </w:rPr>
        <w:t xml:space="preserve"> Магистерская программа «Правовое обеспечение управления персоналом» направление подготовки «Юриспруденция»;</w:t>
      </w:r>
    </w:p>
    <w:p w:rsidR="00C25BAF" w:rsidRPr="008161A1" w:rsidRDefault="00C25BAF" w:rsidP="002B51DC">
      <w:pPr>
        <w:numPr>
          <w:ilvl w:val="0"/>
          <w:numId w:val="53"/>
        </w:numPr>
        <w:contextualSpacing/>
        <w:jc w:val="both"/>
        <w:rPr>
          <w:lang w:eastAsia="en-US"/>
        </w:rPr>
      </w:pPr>
      <w:r w:rsidRPr="008161A1">
        <w:rPr>
          <w:lang w:eastAsia="en-US"/>
        </w:rPr>
        <w:t xml:space="preserve">  Магистерская программа «Юри</w:t>
      </w:r>
      <w:proofErr w:type="gramStart"/>
      <w:r w:rsidRPr="008161A1">
        <w:rPr>
          <w:lang w:eastAsia="en-US"/>
        </w:rPr>
        <w:t>ст в пр</w:t>
      </w:r>
      <w:proofErr w:type="gramEnd"/>
      <w:r w:rsidRPr="008161A1">
        <w:rPr>
          <w:lang w:eastAsia="en-US"/>
        </w:rPr>
        <w:t>авосудии и правоохранительной деятельности» направление подготовки «Юриспруденция»;</w:t>
      </w:r>
    </w:p>
    <w:p w:rsidR="00C25BAF" w:rsidRPr="008161A1" w:rsidRDefault="00C25BAF" w:rsidP="002B51DC">
      <w:pPr>
        <w:numPr>
          <w:ilvl w:val="0"/>
          <w:numId w:val="53"/>
        </w:numPr>
        <w:contextualSpacing/>
        <w:jc w:val="both"/>
        <w:rPr>
          <w:lang w:eastAsia="en-US"/>
        </w:rPr>
      </w:pPr>
      <w:r w:rsidRPr="008161A1">
        <w:rPr>
          <w:lang w:eastAsia="en-US"/>
        </w:rPr>
        <w:t xml:space="preserve">  Магистерская программа «Банковский менеджмент» направление подготовки «Экономика»;</w:t>
      </w:r>
    </w:p>
    <w:p w:rsidR="00C25BAF" w:rsidRPr="008161A1" w:rsidRDefault="00C25BAF" w:rsidP="002B51DC">
      <w:pPr>
        <w:numPr>
          <w:ilvl w:val="0"/>
          <w:numId w:val="53"/>
        </w:numPr>
        <w:contextualSpacing/>
        <w:jc w:val="both"/>
        <w:rPr>
          <w:lang w:eastAsia="en-US"/>
        </w:rPr>
      </w:pPr>
      <w:r w:rsidRPr="008161A1">
        <w:rPr>
          <w:lang w:eastAsia="en-US"/>
        </w:rPr>
        <w:t xml:space="preserve"> Магистерская программа «Финансовый аналитик» направление подготовки «Юриспруденция».</w:t>
      </w:r>
    </w:p>
    <w:p w:rsidR="00C25BAF" w:rsidRPr="008161A1" w:rsidRDefault="00C25BAF" w:rsidP="00C25BAF">
      <w:pPr>
        <w:jc w:val="both"/>
        <w:rPr>
          <w:lang w:eastAsia="en-US"/>
        </w:rPr>
      </w:pPr>
      <w:r w:rsidRPr="008161A1">
        <w:rPr>
          <w:lang w:eastAsia="en-US"/>
        </w:rPr>
        <w:t>Очно-заочная форма обучения.</w:t>
      </w:r>
    </w:p>
    <w:p w:rsidR="00C25BAF" w:rsidRPr="008161A1" w:rsidRDefault="00C25BAF" w:rsidP="002B51DC">
      <w:pPr>
        <w:numPr>
          <w:ilvl w:val="0"/>
          <w:numId w:val="53"/>
        </w:numPr>
        <w:contextualSpacing/>
        <w:jc w:val="both"/>
        <w:rPr>
          <w:lang w:eastAsia="en-US"/>
        </w:rPr>
      </w:pPr>
      <w:r w:rsidRPr="008161A1">
        <w:t xml:space="preserve"> </w:t>
      </w:r>
      <w:r w:rsidRPr="008161A1">
        <w:rPr>
          <w:lang w:eastAsia="en-US"/>
        </w:rPr>
        <w:t>Магистерская программа «Информационные ресурсы исторической науки» направление подготовки «История»;</w:t>
      </w:r>
    </w:p>
    <w:p w:rsidR="00C25BAF" w:rsidRPr="008161A1" w:rsidRDefault="00C25BAF" w:rsidP="002B51DC">
      <w:pPr>
        <w:numPr>
          <w:ilvl w:val="0"/>
          <w:numId w:val="53"/>
        </w:numPr>
        <w:contextualSpacing/>
        <w:jc w:val="both"/>
        <w:rPr>
          <w:lang w:eastAsia="en-US"/>
        </w:rPr>
      </w:pPr>
      <w:r w:rsidRPr="008161A1">
        <w:rPr>
          <w:lang w:eastAsia="en-US"/>
        </w:rPr>
        <w:lastRenderedPageBreak/>
        <w:t xml:space="preserve">  Магистерская программа «Управление в высшем образовании» направление подготовки «Менеджмент».</w:t>
      </w:r>
    </w:p>
    <w:p w:rsidR="00C25BAF" w:rsidRPr="008161A1" w:rsidRDefault="00C25BAF" w:rsidP="00C25BAF">
      <w:pPr>
        <w:spacing w:before="240"/>
        <w:jc w:val="both"/>
        <w:rPr>
          <w:lang w:eastAsia="en-US"/>
        </w:rPr>
      </w:pPr>
      <w:r w:rsidRPr="008161A1">
        <w:rPr>
          <w:b/>
          <w:lang w:eastAsia="en-US"/>
        </w:rPr>
        <w:t>В Санкт-Петербурге</w:t>
      </w:r>
      <w:r w:rsidRPr="008161A1">
        <w:rPr>
          <w:lang w:eastAsia="en-US"/>
        </w:rPr>
        <w:t xml:space="preserve">: </w:t>
      </w:r>
    </w:p>
    <w:p w:rsidR="00C25BAF" w:rsidRPr="008161A1" w:rsidRDefault="00C25BAF" w:rsidP="00C25BAF">
      <w:pPr>
        <w:pStyle w:val="a5"/>
        <w:spacing w:before="240" w:after="0"/>
        <w:jc w:val="both"/>
        <w:rPr>
          <w:sz w:val="24"/>
          <w:szCs w:val="24"/>
        </w:rPr>
      </w:pPr>
      <w:r w:rsidRPr="008161A1">
        <w:rPr>
          <w:sz w:val="24"/>
          <w:szCs w:val="24"/>
        </w:rPr>
        <w:t>Очная форма обучения:</w:t>
      </w:r>
    </w:p>
    <w:p w:rsidR="00C25BAF" w:rsidRPr="008161A1" w:rsidRDefault="00C25BAF" w:rsidP="002B51DC">
      <w:pPr>
        <w:numPr>
          <w:ilvl w:val="0"/>
          <w:numId w:val="54"/>
        </w:numPr>
        <w:contextualSpacing/>
        <w:jc w:val="both"/>
        <w:rPr>
          <w:lang w:eastAsia="en-US"/>
        </w:rPr>
      </w:pPr>
      <w:r w:rsidRPr="008161A1">
        <w:t xml:space="preserve">  </w:t>
      </w:r>
      <w:r w:rsidRPr="008161A1">
        <w:rPr>
          <w:lang w:eastAsia="en-US"/>
        </w:rPr>
        <w:t>Магистерская программа «Маркетинговые технологии» направление подготовки «Менеджмент»;</w:t>
      </w:r>
    </w:p>
    <w:p w:rsidR="00C25BAF" w:rsidRPr="008161A1" w:rsidRDefault="00C25BAF" w:rsidP="002B51DC">
      <w:pPr>
        <w:numPr>
          <w:ilvl w:val="0"/>
          <w:numId w:val="54"/>
        </w:numPr>
        <w:contextualSpacing/>
        <w:jc w:val="both"/>
        <w:rPr>
          <w:lang w:eastAsia="en-US"/>
        </w:rPr>
      </w:pPr>
      <w:r w:rsidRPr="008161A1">
        <w:rPr>
          <w:lang w:eastAsia="en-US"/>
        </w:rPr>
        <w:t xml:space="preserve">  Магистерская программа «Экономика» направление подготовки «Экономика».</w:t>
      </w:r>
    </w:p>
    <w:p w:rsidR="00C25BAF" w:rsidRPr="008161A1" w:rsidRDefault="00C25BAF" w:rsidP="004035DC">
      <w:pPr>
        <w:ind w:left="360"/>
        <w:contextualSpacing/>
        <w:jc w:val="both"/>
        <w:rPr>
          <w:lang w:eastAsia="en-US"/>
        </w:rPr>
      </w:pPr>
      <w:r w:rsidRPr="008161A1">
        <w:rPr>
          <w:lang w:eastAsia="en-US"/>
        </w:rPr>
        <w:t>Очно-заочная форма обучения:</w:t>
      </w:r>
    </w:p>
    <w:p w:rsidR="00C25BAF" w:rsidRPr="008161A1" w:rsidRDefault="00C25BAF" w:rsidP="002B51DC">
      <w:pPr>
        <w:numPr>
          <w:ilvl w:val="0"/>
          <w:numId w:val="54"/>
        </w:numPr>
        <w:contextualSpacing/>
        <w:jc w:val="both"/>
        <w:rPr>
          <w:lang w:eastAsia="en-US"/>
        </w:rPr>
      </w:pPr>
      <w:r w:rsidRPr="008161A1">
        <w:rPr>
          <w:lang w:eastAsia="en-US"/>
        </w:rPr>
        <w:t xml:space="preserve">  Магистерская программа «Управление образованием» направление подготовки «Государственное и муниципальное управление».</w:t>
      </w:r>
    </w:p>
    <w:p w:rsidR="00C25BAF" w:rsidRPr="0026776F" w:rsidRDefault="00C25BAF" w:rsidP="00C25BAF">
      <w:pPr>
        <w:spacing w:after="200" w:line="276" w:lineRule="auto"/>
        <w:jc w:val="both"/>
        <w:rPr>
          <w:szCs w:val="26"/>
          <w:lang w:eastAsia="en-US"/>
        </w:rPr>
      </w:pPr>
      <w:r w:rsidRPr="0026776F">
        <w:rPr>
          <w:szCs w:val="26"/>
          <w:lang w:eastAsia="en-US"/>
        </w:rPr>
        <w:t xml:space="preserve">Для сравнения: в 2013/2014 учебном году   были открыты новые магистерские программы: </w:t>
      </w:r>
    </w:p>
    <w:p w:rsidR="00C25BAF" w:rsidRPr="008161A1" w:rsidRDefault="00C25BAF" w:rsidP="00C25BAF">
      <w:pPr>
        <w:contextualSpacing/>
        <w:jc w:val="both"/>
        <w:rPr>
          <w:lang w:eastAsia="en-US"/>
        </w:rPr>
      </w:pPr>
      <w:r w:rsidRPr="008161A1">
        <w:rPr>
          <w:b/>
          <w:lang w:eastAsia="en-US"/>
        </w:rPr>
        <w:t>НИУ ВШЭ - Москва</w:t>
      </w:r>
      <w:r w:rsidR="00805CCD">
        <w:rPr>
          <w:lang w:eastAsia="en-US"/>
        </w:rPr>
        <w:t xml:space="preserve"> -10 </w:t>
      </w:r>
      <w:r w:rsidRPr="008161A1">
        <w:rPr>
          <w:lang w:eastAsia="en-US"/>
        </w:rPr>
        <w:t>магистерских программ</w:t>
      </w:r>
    </w:p>
    <w:p w:rsidR="00C25BAF" w:rsidRPr="008161A1" w:rsidRDefault="00C25BAF" w:rsidP="002B51DC">
      <w:pPr>
        <w:numPr>
          <w:ilvl w:val="0"/>
          <w:numId w:val="55"/>
        </w:numPr>
        <w:contextualSpacing/>
        <w:jc w:val="both"/>
        <w:rPr>
          <w:lang w:eastAsia="en-US"/>
        </w:rPr>
      </w:pPr>
      <w:r w:rsidRPr="008161A1">
        <w:rPr>
          <w:lang w:eastAsia="en-US"/>
        </w:rPr>
        <w:t xml:space="preserve">магистерская программа «Визуальная  культура» </w:t>
      </w:r>
      <w:proofErr w:type="gramStart"/>
      <w:r w:rsidRPr="008161A1">
        <w:rPr>
          <w:lang w:eastAsia="en-US"/>
        </w:rPr>
        <w:t xml:space="preserve">( </w:t>
      </w:r>
      <w:proofErr w:type="gramEnd"/>
      <w:r w:rsidRPr="008161A1">
        <w:rPr>
          <w:lang w:eastAsia="en-US"/>
        </w:rPr>
        <w:t>033000.68 Культурология)</w:t>
      </w:r>
    </w:p>
    <w:p w:rsidR="00C25BAF" w:rsidRPr="008161A1" w:rsidRDefault="00C25BAF" w:rsidP="002B51DC">
      <w:pPr>
        <w:numPr>
          <w:ilvl w:val="0"/>
          <w:numId w:val="55"/>
        </w:numPr>
        <w:contextualSpacing/>
        <w:jc w:val="both"/>
        <w:rPr>
          <w:lang w:eastAsia="en-US"/>
        </w:rPr>
      </w:pPr>
      <w:r w:rsidRPr="008161A1">
        <w:rPr>
          <w:lang w:eastAsia="en-US"/>
        </w:rPr>
        <w:t xml:space="preserve">Магистерская программа «Информационные системы и компьютерные сети», </w:t>
      </w:r>
    </w:p>
    <w:p w:rsidR="00C25BAF" w:rsidRPr="008161A1" w:rsidRDefault="00C25BAF" w:rsidP="002B51DC">
      <w:pPr>
        <w:numPr>
          <w:ilvl w:val="0"/>
          <w:numId w:val="55"/>
        </w:numPr>
        <w:contextualSpacing/>
        <w:jc w:val="both"/>
        <w:rPr>
          <w:lang w:eastAsia="en-US"/>
        </w:rPr>
      </w:pPr>
      <w:r w:rsidRPr="008161A1">
        <w:rPr>
          <w:lang w:eastAsia="en-US"/>
        </w:rPr>
        <w:t xml:space="preserve">Магистерская программа «Компьютерное моделирование в космической технике и технологиях»  </w:t>
      </w:r>
      <w:proofErr w:type="gramStart"/>
      <w:r w:rsidRPr="008161A1">
        <w:rPr>
          <w:lang w:eastAsia="en-US"/>
        </w:rPr>
        <w:t xml:space="preserve">( </w:t>
      </w:r>
      <w:proofErr w:type="gramEnd"/>
      <w:r w:rsidRPr="008161A1">
        <w:rPr>
          <w:lang w:eastAsia="en-US"/>
        </w:rPr>
        <w:t>230100.68 Информатика и вычислительная техника)</w:t>
      </w:r>
    </w:p>
    <w:p w:rsidR="00C25BAF" w:rsidRPr="008161A1" w:rsidRDefault="00C25BAF" w:rsidP="002B51DC">
      <w:pPr>
        <w:numPr>
          <w:ilvl w:val="0"/>
          <w:numId w:val="55"/>
        </w:numPr>
        <w:contextualSpacing/>
        <w:jc w:val="both"/>
        <w:rPr>
          <w:lang w:eastAsia="en-US"/>
        </w:rPr>
      </w:pPr>
      <w:r w:rsidRPr="008161A1">
        <w:rPr>
          <w:lang w:eastAsia="en-US"/>
        </w:rPr>
        <w:t xml:space="preserve">магистерская программа «Коммуникационный дизайн» </w:t>
      </w:r>
      <w:proofErr w:type="gramStart"/>
      <w:r w:rsidRPr="008161A1">
        <w:rPr>
          <w:lang w:eastAsia="en-US"/>
        </w:rPr>
        <w:t xml:space="preserve">( </w:t>
      </w:r>
      <w:proofErr w:type="gramEnd"/>
      <w:r w:rsidRPr="008161A1">
        <w:rPr>
          <w:lang w:eastAsia="en-US"/>
        </w:rPr>
        <w:t>072500.68 Дизайн)</w:t>
      </w:r>
    </w:p>
    <w:p w:rsidR="00C25BAF" w:rsidRPr="008161A1" w:rsidRDefault="00C25BAF" w:rsidP="002B51DC">
      <w:pPr>
        <w:numPr>
          <w:ilvl w:val="0"/>
          <w:numId w:val="55"/>
        </w:numPr>
        <w:contextualSpacing/>
        <w:jc w:val="both"/>
        <w:rPr>
          <w:lang w:eastAsia="en-US"/>
        </w:rPr>
      </w:pPr>
      <w:r w:rsidRPr="008161A1">
        <w:rPr>
          <w:lang w:eastAsia="en-US"/>
        </w:rPr>
        <w:t xml:space="preserve">магистерская программа «Инжиниринг в электронике» (210100.68 Электроника и </w:t>
      </w:r>
      <w:proofErr w:type="spellStart"/>
      <w:r w:rsidRPr="008161A1">
        <w:rPr>
          <w:lang w:eastAsia="en-US"/>
        </w:rPr>
        <w:t>наноэлектроника</w:t>
      </w:r>
      <w:proofErr w:type="spellEnd"/>
      <w:r w:rsidRPr="008161A1">
        <w:rPr>
          <w:lang w:eastAsia="en-US"/>
        </w:rPr>
        <w:t>)</w:t>
      </w:r>
    </w:p>
    <w:p w:rsidR="00C25BAF" w:rsidRPr="008161A1" w:rsidRDefault="00C25BAF" w:rsidP="002B51DC">
      <w:pPr>
        <w:numPr>
          <w:ilvl w:val="0"/>
          <w:numId w:val="55"/>
        </w:numPr>
        <w:contextualSpacing/>
        <w:jc w:val="both"/>
        <w:rPr>
          <w:lang w:eastAsia="en-US"/>
        </w:rPr>
      </w:pPr>
      <w:r w:rsidRPr="008161A1">
        <w:rPr>
          <w:lang w:eastAsia="en-US"/>
        </w:rPr>
        <w:t>магистерская программа «Исламское право», магистерская программа «Право и финансы»  (030900.68 Юриспруденция)</w:t>
      </w:r>
    </w:p>
    <w:p w:rsidR="00C25BAF" w:rsidRPr="008161A1" w:rsidRDefault="00C25BAF" w:rsidP="002B51DC">
      <w:pPr>
        <w:numPr>
          <w:ilvl w:val="0"/>
          <w:numId w:val="55"/>
        </w:numPr>
        <w:contextualSpacing/>
        <w:jc w:val="both"/>
        <w:rPr>
          <w:lang w:eastAsia="en-US"/>
        </w:rPr>
      </w:pPr>
      <w:r w:rsidRPr="008161A1">
        <w:rPr>
          <w:lang w:eastAsia="en-US"/>
        </w:rPr>
        <w:t>магистерская  программа «Интегрированные коммуникации» (031600.68 Реклама и связи с общественностью)</w:t>
      </w:r>
    </w:p>
    <w:p w:rsidR="00C25BAF" w:rsidRPr="008161A1" w:rsidRDefault="00C25BAF" w:rsidP="002B51DC">
      <w:pPr>
        <w:numPr>
          <w:ilvl w:val="0"/>
          <w:numId w:val="55"/>
        </w:numPr>
        <w:contextualSpacing/>
        <w:jc w:val="both"/>
        <w:rPr>
          <w:lang w:eastAsia="en-US"/>
        </w:rPr>
      </w:pPr>
      <w:r w:rsidRPr="008161A1">
        <w:rPr>
          <w:lang w:eastAsia="en-US"/>
        </w:rPr>
        <w:t xml:space="preserve">магистерская программа «История знания и социальная история» (030600.68 История); магистерская программа «Измерительные технологии </w:t>
      </w:r>
      <w:proofErr w:type="spellStart"/>
      <w:r w:rsidRPr="008161A1">
        <w:rPr>
          <w:lang w:eastAsia="en-US"/>
        </w:rPr>
        <w:t>наноиндустрии</w:t>
      </w:r>
      <w:proofErr w:type="spellEnd"/>
      <w:r w:rsidRPr="008161A1">
        <w:rPr>
          <w:lang w:eastAsia="en-US"/>
        </w:rPr>
        <w:t>» (221700.68 Стандартизация и метрология)</w:t>
      </w:r>
    </w:p>
    <w:p w:rsidR="00C25BAF" w:rsidRPr="008161A1" w:rsidRDefault="00C25BAF" w:rsidP="002B51DC">
      <w:pPr>
        <w:numPr>
          <w:ilvl w:val="0"/>
          <w:numId w:val="55"/>
        </w:numPr>
        <w:contextualSpacing/>
        <w:jc w:val="both"/>
        <w:rPr>
          <w:lang w:eastAsia="en-US"/>
        </w:rPr>
      </w:pPr>
      <w:r w:rsidRPr="008161A1">
        <w:rPr>
          <w:lang w:eastAsia="en-US"/>
        </w:rPr>
        <w:t>магистерская программа «Математические методы естествознания и компьютерные технологии» (010400.68 Прикладная математика и информатика)</w:t>
      </w:r>
    </w:p>
    <w:p w:rsidR="00C25BAF" w:rsidRPr="008161A1" w:rsidRDefault="00C25BAF" w:rsidP="002B51DC">
      <w:pPr>
        <w:numPr>
          <w:ilvl w:val="0"/>
          <w:numId w:val="55"/>
        </w:numPr>
        <w:contextualSpacing/>
        <w:jc w:val="both"/>
        <w:rPr>
          <w:lang w:eastAsia="en-US"/>
        </w:rPr>
      </w:pPr>
      <w:r w:rsidRPr="008161A1">
        <w:rPr>
          <w:lang w:eastAsia="en-US"/>
        </w:rPr>
        <w:t>«Системы управления и обработки информации в инженерии» (231300.68 Прикладная математика)</w:t>
      </w:r>
    </w:p>
    <w:p w:rsidR="00C25BAF" w:rsidRPr="008161A1" w:rsidRDefault="00C25BAF" w:rsidP="00C25BAF">
      <w:pPr>
        <w:contextualSpacing/>
        <w:jc w:val="both"/>
        <w:rPr>
          <w:lang w:eastAsia="en-US"/>
        </w:rPr>
      </w:pPr>
      <w:r w:rsidRPr="008161A1">
        <w:rPr>
          <w:b/>
          <w:lang w:eastAsia="en-US"/>
        </w:rPr>
        <w:t>НИУ ВШ</w:t>
      </w:r>
      <w:proofErr w:type="gramStart"/>
      <w:r w:rsidRPr="008161A1">
        <w:rPr>
          <w:b/>
          <w:lang w:eastAsia="en-US"/>
        </w:rPr>
        <w:t>Э-</w:t>
      </w:r>
      <w:proofErr w:type="gramEnd"/>
      <w:r w:rsidRPr="008161A1">
        <w:rPr>
          <w:b/>
          <w:lang w:eastAsia="en-US"/>
        </w:rPr>
        <w:t xml:space="preserve"> Нижний Новгород</w:t>
      </w:r>
      <w:r w:rsidRPr="008161A1">
        <w:rPr>
          <w:lang w:eastAsia="en-US"/>
        </w:rPr>
        <w:t xml:space="preserve"> -2 магистерские программы</w:t>
      </w:r>
    </w:p>
    <w:p w:rsidR="00C25BAF" w:rsidRPr="008161A1" w:rsidRDefault="00C25BAF" w:rsidP="002B51DC">
      <w:pPr>
        <w:numPr>
          <w:ilvl w:val="0"/>
          <w:numId w:val="56"/>
        </w:numPr>
        <w:contextualSpacing/>
        <w:jc w:val="both"/>
        <w:rPr>
          <w:lang w:eastAsia="en-US"/>
        </w:rPr>
      </w:pPr>
      <w:r w:rsidRPr="008161A1">
        <w:rPr>
          <w:lang w:eastAsia="en-US"/>
        </w:rPr>
        <w:t>магистерская программа «Политическая лингвистика» (035800.68 Фундаментальная и прикладная лингвистика)</w:t>
      </w:r>
    </w:p>
    <w:p w:rsidR="00C25BAF" w:rsidRPr="008161A1" w:rsidRDefault="00C25BAF" w:rsidP="002B51DC">
      <w:pPr>
        <w:numPr>
          <w:ilvl w:val="0"/>
          <w:numId w:val="56"/>
        </w:numPr>
        <w:contextualSpacing/>
        <w:jc w:val="both"/>
        <w:rPr>
          <w:lang w:eastAsia="en-US"/>
        </w:rPr>
      </w:pPr>
      <w:r w:rsidRPr="008161A1">
        <w:rPr>
          <w:lang w:eastAsia="en-US"/>
        </w:rPr>
        <w:t>магистерская программа «Экономика»  (080100.68 Экономика)</w:t>
      </w:r>
    </w:p>
    <w:p w:rsidR="00C25BAF" w:rsidRPr="008161A1" w:rsidRDefault="00C25BAF" w:rsidP="00C25BAF">
      <w:pPr>
        <w:contextualSpacing/>
        <w:jc w:val="both"/>
        <w:rPr>
          <w:lang w:eastAsia="en-US"/>
        </w:rPr>
      </w:pPr>
      <w:r w:rsidRPr="008161A1">
        <w:rPr>
          <w:b/>
          <w:lang w:eastAsia="en-US"/>
        </w:rPr>
        <w:t xml:space="preserve">НИУ ВШЭ - Санкт-Петербург </w:t>
      </w:r>
      <w:r w:rsidRPr="008161A1">
        <w:rPr>
          <w:lang w:eastAsia="en-US"/>
        </w:rPr>
        <w:t>– 2 магистерские программы</w:t>
      </w:r>
    </w:p>
    <w:p w:rsidR="00C25BAF" w:rsidRPr="008161A1" w:rsidRDefault="00C25BAF" w:rsidP="002B51DC">
      <w:pPr>
        <w:numPr>
          <w:ilvl w:val="0"/>
          <w:numId w:val="57"/>
        </w:numPr>
        <w:contextualSpacing/>
        <w:jc w:val="both"/>
        <w:rPr>
          <w:lang w:eastAsia="en-US"/>
        </w:rPr>
      </w:pPr>
      <w:r w:rsidRPr="008161A1">
        <w:rPr>
          <w:lang w:eastAsia="en-US"/>
        </w:rPr>
        <w:t>магистерская программа «Адвокатура» (030900.68 Юриспруденция)</w:t>
      </w:r>
    </w:p>
    <w:p w:rsidR="00C25BAF" w:rsidRPr="008161A1" w:rsidRDefault="00C25BAF" w:rsidP="002B51DC">
      <w:pPr>
        <w:numPr>
          <w:ilvl w:val="0"/>
          <w:numId w:val="57"/>
        </w:numPr>
        <w:contextualSpacing/>
        <w:jc w:val="both"/>
        <w:rPr>
          <w:lang w:eastAsia="en-US"/>
        </w:rPr>
      </w:pPr>
      <w:r w:rsidRPr="008161A1">
        <w:rPr>
          <w:lang w:eastAsia="en-US"/>
        </w:rPr>
        <w:t>магистерская программа «Финансы» (080300.68 Финансы и кредит)</w:t>
      </w:r>
    </w:p>
    <w:p w:rsidR="00C25BAF" w:rsidRPr="008161A1" w:rsidRDefault="00C25BAF" w:rsidP="00C25BAF">
      <w:pPr>
        <w:jc w:val="both"/>
        <w:rPr>
          <w:lang w:eastAsia="en-US"/>
        </w:rPr>
      </w:pPr>
      <w:r w:rsidRPr="008161A1">
        <w:rPr>
          <w:lang w:eastAsia="en-US"/>
        </w:rPr>
        <w:t xml:space="preserve"> </w:t>
      </w:r>
    </w:p>
    <w:p w:rsidR="00C25BAF" w:rsidRPr="0026776F" w:rsidRDefault="00C25BAF" w:rsidP="00C25BAF">
      <w:pPr>
        <w:spacing w:after="200" w:line="276" w:lineRule="auto"/>
        <w:jc w:val="both"/>
        <w:rPr>
          <w:szCs w:val="26"/>
          <w:lang w:eastAsia="en-US"/>
        </w:rPr>
      </w:pPr>
      <w:r w:rsidRPr="0026776F">
        <w:rPr>
          <w:szCs w:val="26"/>
          <w:lang w:eastAsia="en-US"/>
        </w:rPr>
        <w:t xml:space="preserve">Во втором полугодии 2012 года были </w:t>
      </w:r>
      <w:proofErr w:type="gramStart"/>
      <w:r w:rsidRPr="0026776F">
        <w:rPr>
          <w:szCs w:val="26"/>
          <w:lang w:eastAsia="en-US"/>
        </w:rPr>
        <w:t>разработаны и прошли</w:t>
      </w:r>
      <w:proofErr w:type="gramEnd"/>
      <w:r w:rsidRPr="0026776F">
        <w:rPr>
          <w:szCs w:val="26"/>
          <w:lang w:eastAsia="en-US"/>
        </w:rPr>
        <w:t xml:space="preserve">  обсуждение и утверждение на ученом совете следующие образовательные программы ВПО:</w:t>
      </w:r>
    </w:p>
    <w:p w:rsidR="00C25BAF" w:rsidRPr="008161A1" w:rsidRDefault="00C25BAF" w:rsidP="002B51DC">
      <w:pPr>
        <w:pStyle w:val="a5"/>
        <w:numPr>
          <w:ilvl w:val="0"/>
          <w:numId w:val="43"/>
        </w:numPr>
        <w:tabs>
          <w:tab w:val="left" w:pos="1134"/>
        </w:tabs>
        <w:spacing w:after="0" w:line="240" w:lineRule="auto"/>
        <w:ind w:left="0" w:firstLine="709"/>
        <w:jc w:val="both"/>
        <w:rPr>
          <w:sz w:val="24"/>
          <w:szCs w:val="24"/>
        </w:rPr>
      </w:pPr>
      <w:r w:rsidRPr="008161A1">
        <w:rPr>
          <w:sz w:val="24"/>
          <w:szCs w:val="24"/>
        </w:rPr>
        <w:t>Программа подготовки бакалавров 081100.62 «</w:t>
      </w:r>
      <w:proofErr w:type="gramStart"/>
      <w:r w:rsidRPr="008161A1">
        <w:rPr>
          <w:sz w:val="24"/>
          <w:szCs w:val="24"/>
        </w:rPr>
        <w:t>Государственное</w:t>
      </w:r>
      <w:proofErr w:type="gramEnd"/>
      <w:r w:rsidRPr="008161A1">
        <w:rPr>
          <w:sz w:val="24"/>
          <w:szCs w:val="24"/>
        </w:rPr>
        <w:t xml:space="preserve"> и муниципальное управление» Санкт-Петербургского филиала НИУ ВШЭ (ПНР «Государственное и муниципальное управление»),</w:t>
      </w:r>
    </w:p>
    <w:p w:rsidR="00C25BAF" w:rsidRPr="008161A1" w:rsidRDefault="00C25BAF" w:rsidP="002B51DC">
      <w:pPr>
        <w:pStyle w:val="a5"/>
        <w:numPr>
          <w:ilvl w:val="0"/>
          <w:numId w:val="43"/>
        </w:numPr>
        <w:tabs>
          <w:tab w:val="left" w:pos="1134"/>
        </w:tabs>
        <w:spacing w:after="0" w:line="240" w:lineRule="auto"/>
        <w:ind w:left="0" w:firstLine="709"/>
        <w:jc w:val="both"/>
        <w:rPr>
          <w:sz w:val="24"/>
          <w:szCs w:val="24"/>
        </w:rPr>
      </w:pPr>
      <w:r w:rsidRPr="008161A1">
        <w:rPr>
          <w:sz w:val="24"/>
          <w:szCs w:val="24"/>
        </w:rPr>
        <w:lastRenderedPageBreak/>
        <w:t>Программа подготовки магистров «Риск-менеджмент» направления 080200 «Менеджмент» (ПНР «Менеджмент»),</w:t>
      </w:r>
    </w:p>
    <w:p w:rsidR="00C25BAF" w:rsidRPr="008161A1" w:rsidRDefault="00C25BAF" w:rsidP="002B51DC">
      <w:pPr>
        <w:pStyle w:val="a5"/>
        <w:numPr>
          <w:ilvl w:val="0"/>
          <w:numId w:val="43"/>
        </w:numPr>
        <w:tabs>
          <w:tab w:val="left" w:pos="1134"/>
        </w:tabs>
        <w:spacing w:after="0" w:line="240" w:lineRule="auto"/>
        <w:ind w:left="0" w:firstLine="709"/>
        <w:jc w:val="both"/>
        <w:rPr>
          <w:sz w:val="24"/>
          <w:szCs w:val="24"/>
        </w:rPr>
      </w:pPr>
      <w:r w:rsidRPr="008161A1">
        <w:rPr>
          <w:sz w:val="24"/>
          <w:szCs w:val="24"/>
        </w:rPr>
        <w:t xml:space="preserve">Программа подготовки бакалавров 032700.62 «Филология» Нижегородского филиала НИУ ВШЭ, </w:t>
      </w:r>
    </w:p>
    <w:p w:rsidR="00C25BAF" w:rsidRPr="008161A1" w:rsidRDefault="00C25BAF" w:rsidP="002B51DC">
      <w:pPr>
        <w:pStyle w:val="a5"/>
        <w:numPr>
          <w:ilvl w:val="0"/>
          <w:numId w:val="43"/>
        </w:numPr>
        <w:tabs>
          <w:tab w:val="left" w:pos="1134"/>
        </w:tabs>
        <w:spacing w:after="0" w:line="240" w:lineRule="auto"/>
        <w:ind w:left="0" w:firstLine="709"/>
        <w:jc w:val="both"/>
        <w:rPr>
          <w:sz w:val="24"/>
          <w:szCs w:val="24"/>
        </w:rPr>
      </w:pPr>
      <w:r w:rsidRPr="008161A1">
        <w:rPr>
          <w:sz w:val="24"/>
          <w:szCs w:val="24"/>
        </w:rPr>
        <w:t xml:space="preserve">Программа подготовки бакалавров 030900.62 «Юриспруденция» Пермского филиала НИУ ВШЭ, </w:t>
      </w:r>
    </w:p>
    <w:p w:rsidR="00C25BAF" w:rsidRPr="008161A1" w:rsidRDefault="00C25BAF" w:rsidP="002B51DC">
      <w:pPr>
        <w:pStyle w:val="a5"/>
        <w:numPr>
          <w:ilvl w:val="0"/>
          <w:numId w:val="43"/>
        </w:numPr>
        <w:tabs>
          <w:tab w:val="left" w:pos="1134"/>
        </w:tabs>
        <w:spacing w:after="0" w:line="240" w:lineRule="auto"/>
        <w:ind w:left="0" w:firstLine="709"/>
        <w:jc w:val="both"/>
        <w:rPr>
          <w:sz w:val="24"/>
          <w:szCs w:val="24"/>
        </w:rPr>
      </w:pPr>
      <w:r w:rsidRPr="008161A1">
        <w:rPr>
          <w:sz w:val="24"/>
          <w:szCs w:val="24"/>
        </w:rPr>
        <w:t>Программа подготовки магистров «Финансы» направления 080300.68 «Финансы и кредит» Санкт-Петербургского филиала НИУ ВШЭ (ПНР «Экономика»),</w:t>
      </w:r>
    </w:p>
    <w:p w:rsidR="00C25BAF" w:rsidRPr="008161A1" w:rsidRDefault="00C25BAF" w:rsidP="002B51DC">
      <w:pPr>
        <w:pStyle w:val="a5"/>
        <w:numPr>
          <w:ilvl w:val="0"/>
          <w:numId w:val="43"/>
        </w:numPr>
        <w:tabs>
          <w:tab w:val="left" w:pos="1134"/>
        </w:tabs>
        <w:spacing w:after="0" w:line="240" w:lineRule="auto"/>
        <w:ind w:left="0" w:firstLine="709"/>
        <w:jc w:val="both"/>
        <w:rPr>
          <w:sz w:val="24"/>
          <w:szCs w:val="24"/>
        </w:rPr>
      </w:pPr>
      <w:r w:rsidRPr="008161A1">
        <w:rPr>
          <w:sz w:val="24"/>
          <w:szCs w:val="24"/>
        </w:rPr>
        <w:t>Программа подготовки магистров «Интегрированные коммуникации» направления 031600.68 «Реклама и связи с общественностью»,</w:t>
      </w:r>
    </w:p>
    <w:p w:rsidR="00C25BAF" w:rsidRPr="008161A1" w:rsidRDefault="00C25BAF" w:rsidP="002B51DC">
      <w:pPr>
        <w:pStyle w:val="a5"/>
        <w:numPr>
          <w:ilvl w:val="0"/>
          <w:numId w:val="43"/>
        </w:numPr>
        <w:tabs>
          <w:tab w:val="left" w:pos="1134"/>
        </w:tabs>
        <w:spacing w:after="0" w:line="240" w:lineRule="auto"/>
        <w:ind w:left="0" w:firstLine="709"/>
        <w:jc w:val="both"/>
        <w:rPr>
          <w:sz w:val="24"/>
          <w:szCs w:val="24"/>
        </w:rPr>
      </w:pPr>
      <w:r w:rsidRPr="008161A1">
        <w:rPr>
          <w:sz w:val="24"/>
          <w:szCs w:val="24"/>
        </w:rPr>
        <w:t>Программа подготовки магистров «Визуальная культура» направления 031400 «Культурология»,</w:t>
      </w:r>
    </w:p>
    <w:p w:rsidR="00C25BAF" w:rsidRPr="008161A1" w:rsidRDefault="00C25BAF" w:rsidP="002B51DC">
      <w:pPr>
        <w:pStyle w:val="a5"/>
        <w:numPr>
          <w:ilvl w:val="0"/>
          <w:numId w:val="43"/>
        </w:numPr>
        <w:tabs>
          <w:tab w:val="left" w:pos="1134"/>
        </w:tabs>
        <w:spacing w:after="0" w:line="240" w:lineRule="auto"/>
        <w:ind w:left="0" w:firstLine="709"/>
        <w:jc w:val="both"/>
        <w:rPr>
          <w:sz w:val="24"/>
          <w:szCs w:val="24"/>
        </w:rPr>
      </w:pPr>
      <w:r w:rsidRPr="008161A1">
        <w:rPr>
          <w:sz w:val="24"/>
          <w:szCs w:val="24"/>
        </w:rPr>
        <w:t xml:space="preserve">Программа подготовки магистров «Политическая лингвистика» направления 222000.68 «Фундаментальная и прикладная лингвистика» Нижегородского филиала НИУ ВШЭ. </w:t>
      </w:r>
    </w:p>
    <w:p w:rsidR="00EF1D74" w:rsidRDefault="00EF1D74" w:rsidP="006F6F3C">
      <w:pPr>
        <w:jc w:val="both"/>
      </w:pPr>
    </w:p>
    <w:p w:rsidR="00EF1D74" w:rsidRPr="0026776F" w:rsidRDefault="00EF1D74" w:rsidP="0026776F">
      <w:pPr>
        <w:spacing w:after="200" w:line="276" w:lineRule="auto"/>
        <w:jc w:val="both"/>
        <w:rPr>
          <w:szCs w:val="26"/>
          <w:lang w:eastAsia="en-US"/>
        </w:rPr>
      </w:pPr>
      <w:r w:rsidRPr="0026776F">
        <w:rPr>
          <w:szCs w:val="26"/>
          <w:lang w:eastAsia="en-US"/>
        </w:rPr>
        <w:t>Динамика количества программ высшего профессионального образования,  реализуемых подразделениями ДПО НИУ ВШЭ (Москва и филиалы), представлена в таблице</w:t>
      </w:r>
    </w:p>
    <w:tbl>
      <w:tblPr>
        <w:tblW w:w="5000" w:type="pct"/>
        <w:tblLook w:val="0000" w:firstRow="0" w:lastRow="0" w:firstColumn="0" w:lastColumn="0" w:noHBand="0" w:noVBand="0"/>
      </w:tblPr>
      <w:tblGrid>
        <w:gridCol w:w="1233"/>
        <w:gridCol w:w="416"/>
        <w:gridCol w:w="416"/>
        <w:gridCol w:w="416"/>
        <w:gridCol w:w="416"/>
        <w:gridCol w:w="416"/>
        <w:gridCol w:w="416"/>
        <w:gridCol w:w="416"/>
        <w:gridCol w:w="416"/>
        <w:gridCol w:w="417"/>
        <w:gridCol w:w="417"/>
        <w:gridCol w:w="417"/>
        <w:gridCol w:w="417"/>
        <w:gridCol w:w="417"/>
        <w:gridCol w:w="417"/>
        <w:gridCol w:w="417"/>
        <w:gridCol w:w="417"/>
        <w:gridCol w:w="417"/>
        <w:gridCol w:w="417"/>
        <w:gridCol w:w="417"/>
        <w:gridCol w:w="417"/>
      </w:tblGrid>
      <w:tr w:rsidR="00F865AB" w:rsidTr="00F865AB">
        <w:trPr>
          <w:trHeight w:val="330"/>
        </w:trPr>
        <w:tc>
          <w:tcPr>
            <w:tcW w:w="645" w:type="pct"/>
            <w:tcBorders>
              <w:top w:val="single" w:sz="8" w:space="0" w:color="auto"/>
              <w:left w:val="single" w:sz="8" w:space="0" w:color="auto"/>
              <w:bottom w:val="single" w:sz="8" w:space="0" w:color="auto"/>
              <w:right w:val="single" w:sz="8" w:space="0" w:color="auto"/>
            </w:tcBorders>
            <w:shd w:val="clear" w:color="auto" w:fill="auto"/>
            <w:vAlign w:val="center"/>
          </w:tcPr>
          <w:p w:rsidR="00F865AB" w:rsidRDefault="00F865AB" w:rsidP="007343DB">
            <w:pPr>
              <w:jc w:val="center"/>
              <w:rPr>
                <w:b/>
                <w:bCs/>
              </w:rPr>
            </w:pPr>
          </w:p>
        </w:tc>
        <w:tc>
          <w:tcPr>
            <w:tcW w:w="1087" w:type="pct"/>
            <w:gridSpan w:val="5"/>
            <w:tcBorders>
              <w:top w:val="single" w:sz="8" w:space="0" w:color="auto"/>
              <w:left w:val="nil"/>
              <w:bottom w:val="single" w:sz="8" w:space="0" w:color="auto"/>
              <w:right w:val="single" w:sz="4" w:space="0" w:color="auto"/>
            </w:tcBorders>
            <w:shd w:val="clear" w:color="auto" w:fill="auto"/>
            <w:vAlign w:val="center"/>
          </w:tcPr>
          <w:p w:rsidR="00F865AB" w:rsidRDefault="00F865AB" w:rsidP="007343DB">
            <w:pPr>
              <w:jc w:val="center"/>
              <w:rPr>
                <w:b/>
                <w:bCs/>
              </w:rPr>
            </w:pPr>
            <w:r>
              <w:rPr>
                <w:b/>
                <w:bCs/>
              </w:rPr>
              <w:t>Москва</w:t>
            </w:r>
          </w:p>
        </w:tc>
        <w:tc>
          <w:tcPr>
            <w:tcW w:w="1088" w:type="pct"/>
            <w:gridSpan w:val="5"/>
            <w:tcBorders>
              <w:top w:val="single" w:sz="8" w:space="0" w:color="auto"/>
              <w:left w:val="single" w:sz="4" w:space="0" w:color="auto"/>
              <w:bottom w:val="single" w:sz="8" w:space="0" w:color="auto"/>
              <w:right w:val="single" w:sz="4" w:space="0" w:color="auto"/>
            </w:tcBorders>
            <w:shd w:val="clear" w:color="auto" w:fill="auto"/>
            <w:vAlign w:val="center"/>
          </w:tcPr>
          <w:p w:rsidR="00F865AB" w:rsidRDefault="00F865AB" w:rsidP="007343DB">
            <w:pPr>
              <w:jc w:val="center"/>
              <w:rPr>
                <w:b/>
                <w:bCs/>
              </w:rPr>
            </w:pPr>
            <w:r>
              <w:rPr>
                <w:b/>
                <w:bCs/>
              </w:rPr>
              <w:t xml:space="preserve">НИУ ВШЭ </w:t>
            </w:r>
            <w:proofErr w:type="gramStart"/>
            <w:r>
              <w:rPr>
                <w:b/>
                <w:bCs/>
              </w:rPr>
              <w:t>-Н</w:t>
            </w:r>
            <w:proofErr w:type="gramEnd"/>
            <w:r>
              <w:rPr>
                <w:b/>
                <w:bCs/>
              </w:rPr>
              <w:t>ижний Новгород</w:t>
            </w:r>
          </w:p>
        </w:tc>
        <w:tc>
          <w:tcPr>
            <w:tcW w:w="1090" w:type="pct"/>
            <w:gridSpan w:val="5"/>
            <w:tcBorders>
              <w:top w:val="single" w:sz="8" w:space="0" w:color="auto"/>
              <w:left w:val="single" w:sz="4" w:space="0" w:color="auto"/>
              <w:bottom w:val="single" w:sz="8" w:space="0" w:color="auto"/>
              <w:right w:val="single" w:sz="4" w:space="0" w:color="auto"/>
            </w:tcBorders>
            <w:shd w:val="clear" w:color="auto" w:fill="auto"/>
            <w:vAlign w:val="center"/>
          </w:tcPr>
          <w:p w:rsidR="00F865AB" w:rsidRDefault="00F865AB" w:rsidP="007343DB">
            <w:pPr>
              <w:jc w:val="center"/>
              <w:rPr>
                <w:b/>
                <w:bCs/>
              </w:rPr>
            </w:pPr>
            <w:r>
              <w:rPr>
                <w:b/>
                <w:bCs/>
              </w:rPr>
              <w:t xml:space="preserve">НИУ ВШЭ </w:t>
            </w:r>
            <w:proofErr w:type="gramStart"/>
            <w:r>
              <w:rPr>
                <w:b/>
                <w:bCs/>
              </w:rPr>
              <w:t>-П</w:t>
            </w:r>
            <w:proofErr w:type="gramEnd"/>
            <w:r>
              <w:rPr>
                <w:b/>
                <w:bCs/>
              </w:rPr>
              <w:t>ермь</w:t>
            </w:r>
          </w:p>
        </w:tc>
        <w:tc>
          <w:tcPr>
            <w:tcW w:w="1090" w:type="pct"/>
            <w:gridSpan w:val="5"/>
            <w:tcBorders>
              <w:top w:val="single" w:sz="8" w:space="0" w:color="auto"/>
              <w:left w:val="single" w:sz="4" w:space="0" w:color="auto"/>
              <w:bottom w:val="single" w:sz="8" w:space="0" w:color="auto"/>
              <w:right w:val="single" w:sz="8" w:space="0" w:color="000000"/>
            </w:tcBorders>
            <w:shd w:val="clear" w:color="auto" w:fill="auto"/>
            <w:vAlign w:val="center"/>
          </w:tcPr>
          <w:p w:rsidR="00F865AB" w:rsidRDefault="00F865AB" w:rsidP="007343DB">
            <w:pPr>
              <w:jc w:val="center"/>
              <w:rPr>
                <w:b/>
                <w:bCs/>
              </w:rPr>
            </w:pPr>
            <w:r>
              <w:rPr>
                <w:b/>
                <w:bCs/>
              </w:rPr>
              <w:t xml:space="preserve">НИУ ВШЭ </w:t>
            </w:r>
            <w:proofErr w:type="gramStart"/>
            <w:r>
              <w:rPr>
                <w:b/>
                <w:bCs/>
              </w:rPr>
              <w:t>-С</w:t>
            </w:r>
            <w:proofErr w:type="gramEnd"/>
            <w:r>
              <w:rPr>
                <w:b/>
                <w:bCs/>
              </w:rPr>
              <w:t>анкт-Петербург</w:t>
            </w:r>
          </w:p>
        </w:tc>
      </w:tr>
      <w:tr w:rsidR="00AF3249" w:rsidTr="00F865AB">
        <w:trPr>
          <w:trHeight w:val="960"/>
        </w:trPr>
        <w:tc>
          <w:tcPr>
            <w:tcW w:w="645" w:type="pct"/>
            <w:tcBorders>
              <w:top w:val="nil"/>
              <w:left w:val="single" w:sz="8" w:space="0" w:color="auto"/>
              <w:bottom w:val="single" w:sz="8" w:space="0" w:color="auto"/>
              <w:right w:val="single" w:sz="8" w:space="0" w:color="auto"/>
            </w:tcBorders>
            <w:shd w:val="clear" w:color="auto" w:fill="auto"/>
            <w:vAlign w:val="center"/>
          </w:tcPr>
          <w:p w:rsidR="00AF3249" w:rsidRDefault="00AF3249" w:rsidP="007343DB">
            <w:pPr>
              <w:jc w:val="center"/>
            </w:pPr>
            <w:r>
              <w:t>Кол-во программ</w:t>
            </w:r>
          </w:p>
        </w:tc>
        <w:tc>
          <w:tcPr>
            <w:tcW w:w="217" w:type="pct"/>
            <w:tcBorders>
              <w:top w:val="nil"/>
              <w:left w:val="nil"/>
              <w:bottom w:val="single" w:sz="8" w:space="0" w:color="auto"/>
              <w:right w:val="single" w:sz="8" w:space="0" w:color="auto"/>
            </w:tcBorders>
            <w:shd w:val="clear" w:color="auto" w:fill="FFFFFF"/>
            <w:textDirection w:val="btLr"/>
            <w:vAlign w:val="bottom"/>
          </w:tcPr>
          <w:p w:rsidR="00AF3249" w:rsidRDefault="00AF3249" w:rsidP="007343DB">
            <w:pPr>
              <w:jc w:val="center"/>
              <w:rPr>
                <w:sz w:val="20"/>
                <w:szCs w:val="20"/>
              </w:rPr>
            </w:pPr>
            <w:r>
              <w:rPr>
                <w:sz w:val="20"/>
                <w:szCs w:val="20"/>
              </w:rPr>
              <w:t>2009-2010</w:t>
            </w:r>
          </w:p>
        </w:tc>
        <w:tc>
          <w:tcPr>
            <w:tcW w:w="217" w:type="pct"/>
            <w:tcBorders>
              <w:top w:val="nil"/>
              <w:left w:val="nil"/>
              <w:bottom w:val="single" w:sz="8" w:space="0" w:color="auto"/>
              <w:right w:val="single" w:sz="8" w:space="0" w:color="auto"/>
            </w:tcBorders>
            <w:shd w:val="clear" w:color="auto" w:fill="FFFFFF"/>
            <w:textDirection w:val="btLr"/>
            <w:vAlign w:val="bottom"/>
          </w:tcPr>
          <w:p w:rsidR="00AF3249" w:rsidRDefault="00AF3249" w:rsidP="007343DB">
            <w:pPr>
              <w:jc w:val="center"/>
              <w:rPr>
                <w:sz w:val="20"/>
                <w:szCs w:val="20"/>
              </w:rPr>
            </w:pPr>
            <w:r>
              <w:rPr>
                <w:sz w:val="20"/>
                <w:szCs w:val="20"/>
              </w:rPr>
              <w:t>2010-2011</w:t>
            </w:r>
          </w:p>
        </w:tc>
        <w:tc>
          <w:tcPr>
            <w:tcW w:w="217" w:type="pct"/>
            <w:tcBorders>
              <w:top w:val="nil"/>
              <w:left w:val="nil"/>
              <w:bottom w:val="single" w:sz="8" w:space="0" w:color="auto"/>
              <w:right w:val="single" w:sz="8" w:space="0" w:color="auto"/>
            </w:tcBorders>
            <w:shd w:val="clear" w:color="auto" w:fill="FFFFFF"/>
            <w:textDirection w:val="btLr"/>
            <w:vAlign w:val="bottom"/>
          </w:tcPr>
          <w:p w:rsidR="00AF3249" w:rsidRDefault="00AF3249" w:rsidP="007343DB">
            <w:pPr>
              <w:jc w:val="center"/>
              <w:rPr>
                <w:sz w:val="20"/>
                <w:szCs w:val="20"/>
              </w:rPr>
            </w:pPr>
            <w:r>
              <w:rPr>
                <w:sz w:val="20"/>
                <w:szCs w:val="20"/>
              </w:rPr>
              <w:t>2011-2012</w:t>
            </w:r>
          </w:p>
        </w:tc>
        <w:tc>
          <w:tcPr>
            <w:tcW w:w="217" w:type="pct"/>
            <w:tcBorders>
              <w:top w:val="nil"/>
              <w:left w:val="nil"/>
              <w:bottom w:val="single" w:sz="8" w:space="0" w:color="auto"/>
              <w:right w:val="single" w:sz="8" w:space="0" w:color="auto"/>
            </w:tcBorders>
            <w:shd w:val="clear" w:color="auto" w:fill="FFFFFF"/>
            <w:textDirection w:val="btLr"/>
            <w:vAlign w:val="bottom"/>
          </w:tcPr>
          <w:p w:rsidR="00AF3249" w:rsidRDefault="00AF3249" w:rsidP="007343DB">
            <w:pPr>
              <w:jc w:val="center"/>
              <w:rPr>
                <w:sz w:val="20"/>
                <w:szCs w:val="20"/>
              </w:rPr>
            </w:pPr>
            <w:r>
              <w:rPr>
                <w:sz w:val="20"/>
                <w:szCs w:val="20"/>
              </w:rPr>
              <w:t>2012-2013</w:t>
            </w:r>
          </w:p>
        </w:tc>
        <w:tc>
          <w:tcPr>
            <w:tcW w:w="217" w:type="pct"/>
            <w:tcBorders>
              <w:top w:val="nil"/>
              <w:left w:val="nil"/>
              <w:bottom w:val="single" w:sz="8" w:space="0" w:color="auto"/>
              <w:right w:val="single" w:sz="4" w:space="0" w:color="auto"/>
            </w:tcBorders>
            <w:textDirection w:val="btLr"/>
          </w:tcPr>
          <w:p w:rsidR="00AF3249" w:rsidRPr="00AF3249" w:rsidRDefault="00AF3249" w:rsidP="007343DB">
            <w:pPr>
              <w:jc w:val="center"/>
              <w:rPr>
                <w:sz w:val="20"/>
                <w:szCs w:val="20"/>
                <w:lang w:val="en-US"/>
              </w:rPr>
            </w:pPr>
            <w:r>
              <w:rPr>
                <w:sz w:val="20"/>
                <w:szCs w:val="20"/>
                <w:lang w:val="en-US"/>
              </w:rPr>
              <w:t>2013-2014</w:t>
            </w:r>
          </w:p>
        </w:tc>
        <w:tc>
          <w:tcPr>
            <w:tcW w:w="217" w:type="pct"/>
            <w:tcBorders>
              <w:top w:val="nil"/>
              <w:left w:val="single" w:sz="4" w:space="0" w:color="auto"/>
              <w:bottom w:val="single" w:sz="8" w:space="0" w:color="auto"/>
              <w:right w:val="single" w:sz="8" w:space="0" w:color="auto"/>
            </w:tcBorders>
            <w:shd w:val="clear" w:color="auto" w:fill="auto"/>
            <w:textDirection w:val="btLr"/>
            <w:vAlign w:val="bottom"/>
          </w:tcPr>
          <w:p w:rsidR="00AF3249" w:rsidRDefault="00AF3249" w:rsidP="007343DB">
            <w:pPr>
              <w:jc w:val="center"/>
              <w:rPr>
                <w:sz w:val="20"/>
                <w:szCs w:val="20"/>
              </w:rPr>
            </w:pPr>
            <w:r>
              <w:rPr>
                <w:sz w:val="20"/>
                <w:szCs w:val="20"/>
              </w:rPr>
              <w:t>2009-2010</w:t>
            </w:r>
          </w:p>
        </w:tc>
        <w:tc>
          <w:tcPr>
            <w:tcW w:w="217" w:type="pct"/>
            <w:tcBorders>
              <w:top w:val="nil"/>
              <w:left w:val="nil"/>
              <w:bottom w:val="single" w:sz="8" w:space="0" w:color="auto"/>
              <w:right w:val="single" w:sz="8" w:space="0" w:color="auto"/>
            </w:tcBorders>
            <w:shd w:val="clear" w:color="auto" w:fill="auto"/>
            <w:textDirection w:val="btLr"/>
            <w:vAlign w:val="bottom"/>
          </w:tcPr>
          <w:p w:rsidR="00AF3249" w:rsidRDefault="00AF3249" w:rsidP="007343DB">
            <w:pPr>
              <w:jc w:val="center"/>
              <w:rPr>
                <w:sz w:val="20"/>
                <w:szCs w:val="20"/>
              </w:rPr>
            </w:pPr>
            <w:r>
              <w:rPr>
                <w:sz w:val="20"/>
                <w:szCs w:val="20"/>
              </w:rPr>
              <w:t>2010-2011</w:t>
            </w:r>
          </w:p>
        </w:tc>
        <w:tc>
          <w:tcPr>
            <w:tcW w:w="217" w:type="pct"/>
            <w:tcBorders>
              <w:top w:val="nil"/>
              <w:left w:val="nil"/>
              <w:bottom w:val="single" w:sz="8" w:space="0" w:color="auto"/>
              <w:right w:val="single" w:sz="8" w:space="0" w:color="auto"/>
            </w:tcBorders>
            <w:shd w:val="clear" w:color="auto" w:fill="auto"/>
            <w:textDirection w:val="btLr"/>
            <w:vAlign w:val="bottom"/>
          </w:tcPr>
          <w:p w:rsidR="00AF3249" w:rsidRDefault="00AF3249" w:rsidP="007343DB">
            <w:pPr>
              <w:jc w:val="center"/>
              <w:rPr>
                <w:sz w:val="20"/>
                <w:szCs w:val="20"/>
              </w:rPr>
            </w:pPr>
            <w:r>
              <w:rPr>
                <w:sz w:val="20"/>
                <w:szCs w:val="20"/>
              </w:rPr>
              <w:t>2011-2012</w:t>
            </w:r>
          </w:p>
        </w:tc>
        <w:tc>
          <w:tcPr>
            <w:tcW w:w="218" w:type="pct"/>
            <w:tcBorders>
              <w:top w:val="nil"/>
              <w:left w:val="nil"/>
              <w:bottom w:val="single" w:sz="8" w:space="0" w:color="auto"/>
              <w:right w:val="single" w:sz="8" w:space="0" w:color="auto"/>
            </w:tcBorders>
            <w:shd w:val="clear" w:color="auto" w:fill="FFFFFF"/>
            <w:textDirection w:val="btLr"/>
            <w:vAlign w:val="bottom"/>
          </w:tcPr>
          <w:p w:rsidR="00AF3249" w:rsidRDefault="00AF3249" w:rsidP="007343DB">
            <w:pPr>
              <w:jc w:val="center"/>
              <w:rPr>
                <w:sz w:val="20"/>
                <w:szCs w:val="20"/>
              </w:rPr>
            </w:pPr>
            <w:r>
              <w:rPr>
                <w:sz w:val="20"/>
                <w:szCs w:val="20"/>
              </w:rPr>
              <w:t>2012-2013</w:t>
            </w:r>
          </w:p>
        </w:tc>
        <w:tc>
          <w:tcPr>
            <w:tcW w:w="218" w:type="pct"/>
            <w:tcBorders>
              <w:top w:val="nil"/>
              <w:left w:val="nil"/>
              <w:bottom w:val="single" w:sz="8" w:space="0" w:color="auto"/>
              <w:right w:val="single" w:sz="4" w:space="0" w:color="auto"/>
            </w:tcBorders>
            <w:shd w:val="clear" w:color="auto" w:fill="FFFFFF"/>
            <w:textDirection w:val="btLr"/>
          </w:tcPr>
          <w:p w:rsidR="00AF3249" w:rsidRDefault="00AF3249" w:rsidP="007343DB">
            <w:pPr>
              <w:jc w:val="center"/>
              <w:rPr>
                <w:sz w:val="20"/>
                <w:szCs w:val="20"/>
              </w:rPr>
            </w:pPr>
            <w:r>
              <w:rPr>
                <w:sz w:val="20"/>
                <w:szCs w:val="20"/>
                <w:lang w:val="en-US"/>
              </w:rPr>
              <w:t>2013-2014</w:t>
            </w:r>
          </w:p>
        </w:tc>
        <w:tc>
          <w:tcPr>
            <w:tcW w:w="218" w:type="pct"/>
            <w:tcBorders>
              <w:top w:val="nil"/>
              <w:left w:val="single" w:sz="4" w:space="0" w:color="auto"/>
              <w:bottom w:val="single" w:sz="8" w:space="0" w:color="auto"/>
              <w:right w:val="single" w:sz="8" w:space="0" w:color="auto"/>
            </w:tcBorders>
            <w:shd w:val="clear" w:color="auto" w:fill="FFFFFF"/>
            <w:textDirection w:val="btLr"/>
            <w:vAlign w:val="bottom"/>
          </w:tcPr>
          <w:p w:rsidR="00AF3249" w:rsidRDefault="00AF3249" w:rsidP="007343DB">
            <w:pPr>
              <w:jc w:val="center"/>
              <w:rPr>
                <w:sz w:val="20"/>
                <w:szCs w:val="20"/>
              </w:rPr>
            </w:pPr>
            <w:r>
              <w:rPr>
                <w:sz w:val="20"/>
                <w:szCs w:val="20"/>
              </w:rPr>
              <w:t>2009-2010</w:t>
            </w:r>
          </w:p>
        </w:tc>
        <w:tc>
          <w:tcPr>
            <w:tcW w:w="218" w:type="pct"/>
            <w:tcBorders>
              <w:top w:val="nil"/>
              <w:left w:val="nil"/>
              <w:bottom w:val="single" w:sz="8" w:space="0" w:color="auto"/>
              <w:right w:val="single" w:sz="8" w:space="0" w:color="auto"/>
            </w:tcBorders>
            <w:shd w:val="clear" w:color="auto" w:fill="FFFFFF"/>
            <w:textDirection w:val="btLr"/>
            <w:vAlign w:val="bottom"/>
          </w:tcPr>
          <w:p w:rsidR="00AF3249" w:rsidRDefault="00AF3249" w:rsidP="007343DB">
            <w:pPr>
              <w:jc w:val="center"/>
              <w:rPr>
                <w:sz w:val="20"/>
                <w:szCs w:val="20"/>
              </w:rPr>
            </w:pPr>
            <w:r>
              <w:rPr>
                <w:sz w:val="20"/>
                <w:szCs w:val="20"/>
              </w:rPr>
              <w:t>2010-2011</w:t>
            </w:r>
          </w:p>
        </w:tc>
        <w:tc>
          <w:tcPr>
            <w:tcW w:w="218" w:type="pct"/>
            <w:tcBorders>
              <w:top w:val="nil"/>
              <w:left w:val="nil"/>
              <w:bottom w:val="single" w:sz="8" w:space="0" w:color="auto"/>
              <w:right w:val="single" w:sz="8" w:space="0" w:color="auto"/>
            </w:tcBorders>
            <w:shd w:val="clear" w:color="auto" w:fill="FFFFFF"/>
            <w:textDirection w:val="btLr"/>
            <w:vAlign w:val="bottom"/>
          </w:tcPr>
          <w:p w:rsidR="00AF3249" w:rsidRDefault="00AF3249" w:rsidP="007343DB">
            <w:pPr>
              <w:jc w:val="center"/>
              <w:rPr>
                <w:sz w:val="20"/>
                <w:szCs w:val="20"/>
              </w:rPr>
            </w:pPr>
            <w:r>
              <w:rPr>
                <w:sz w:val="20"/>
                <w:szCs w:val="20"/>
              </w:rPr>
              <w:t>2011-2012</w:t>
            </w:r>
          </w:p>
        </w:tc>
        <w:tc>
          <w:tcPr>
            <w:tcW w:w="218" w:type="pct"/>
            <w:tcBorders>
              <w:top w:val="nil"/>
              <w:left w:val="nil"/>
              <w:bottom w:val="single" w:sz="8" w:space="0" w:color="auto"/>
              <w:right w:val="single" w:sz="8" w:space="0" w:color="auto"/>
            </w:tcBorders>
            <w:shd w:val="clear" w:color="auto" w:fill="FFFFFF"/>
            <w:textDirection w:val="btLr"/>
            <w:vAlign w:val="bottom"/>
          </w:tcPr>
          <w:p w:rsidR="00AF3249" w:rsidRDefault="00AF3249" w:rsidP="007343DB">
            <w:pPr>
              <w:jc w:val="center"/>
              <w:rPr>
                <w:sz w:val="20"/>
                <w:szCs w:val="20"/>
              </w:rPr>
            </w:pPr>
            <w:r>
              <w:rPr>
                <w:sz w:val="20"/>
                <w:szCs w:val="20"/>
              </w:rPr>
              <w:t>2012-2013</w:t>
            </w:r>
          </w:p>
        </w:tc>
        <w:tc>
          <w:tcPr>
            <w:tcW w:w="218" w:type="pct"/>
            <w:tcBorders>
              <w:top w:val="nil"/>
              <w:left w:val="nil"/>
              <w:bottom w:val="single" w:sz="8" w:space="0" w:color="auto"/>
              <w:right w:val="single" w:sz="4" w:space="0" w:color="auto"/>
            </w:tcBorders>
            <w:textDirection w:val="btLr"/>
          </w:tcPr>
          <w:p w:rsidR="00AF3249" w:rsidRDefault="00AF3249" w:rsidP="007343DB">
            <w:pPr>
              <w:jc w:val="center"/>
              <w:rPr>
                <w:sz w:val="20"/>
                <w:szCs w:val="20"/>
              </w:rPr>
            </w:pPr>
            <w:r>
              <w:rPr>
                <w:sz w:val="20"/>
                <w:szCs w:val="20"/>
                <w:lang w:val="en-US"/>
              </w:rPr>
              <w:t>2013-2014</w:t>
            </w:r>
          </w:p>
        </w:tc>
        <w:tc>
          <w:tcPr>
            <w:tcW w:w="218" w:type="pct"/>
            <w:tcBorders>
              <w:top w:val="nil"/>
              <w:left w:val="single" w:sz="4" w:space="0" w:color="auto"/>
              <w:bottom w:val="single" w:sz="8" w:space="0" w:color="auto"/>
              <w:right w:val="single" w:sz="8" w:space="0" w:color="auto"/>
            </w:tcBorders>
            <w:shd w:val="clear" w:color="auto" w:fill="auto"/>
            <w:textDirection w:val="btLr"/>
            <w:vAlign w:val="bottom"/>
          </w:tcPr>
          <w:p w:rsidR="00AF3249" w:rsidRDefault="00AF3249" w:rsidP="007343DB">
            <w:pPr>
              <w:jc w:val="center"/>
              <w:rPr>
                <w:sz w:val="20"/>
                <w:szCs w:val="20"/>
              </w:rPr>
            </w:pPr>
            <w:r>
              <w:rPr>
                <w:sz w:val="20"/>
                <w:szCs w:val="20"/>
              </w:rPr>
              <w:t>2009-2010</w:t>
            </w:r>
          </w:p>
        </w:tc>
        <w:tc>
          <w:tcPr>
            <w:tcW w:w="218" w:type="pct"/>
            <w:tcBorders>
              <w:top w:val="nil"/>
              <w:left w:val="nil"/>
              <w:bottom w:val="single" w:sz="8" w:space="0" w:color="auto"/>
              <w:right w:val="single" w:sz="8" w:space="0" w:color="auto"/>
            </w:tcBorders>
            <w:shd w:val="clear" w:color="auto" w:fill="auto"/>
            <w:textDirection w:val="btLr"/>
            <w:vAlign w:val="bottom"/>
          </w:tcPr>
          <w:p w:rsidR="00AF3249" w:rsidRDefault="00AF3249" w:rsidP="007343DB">
            <w:pPr>
              <w:jc w:val="center"/>
              <w:rPr>
                <w:sz w:val="20"/>
                <w:szCs w:val="20"/>
              </w:rPr>
            </w:pPr>
            <w:r>
              <w:rPr>
                <w:sz w:val="20"/>
                <w:szCs w:val="20"/>
              </w:rPr>
              <w:t>2010-2011</w:t>
            </w:r>
          </w:p>
        </w:tc>
        <w:tc>
          <w:tcPr>
            <w:tcW w:w="218" w:type="pct"/>
            <w:tcBorders>
              <w:top w:val="nil"/>
              <w:left w:val="nil"/>
              <w:bottom w:val="single" w:sz="8" w:space="0" w:color="auto"/>
              <w:right w:val="single" w:sz="8" w:space="0" w:color="auto"/>
            </w:tcBorders>
            <w:shd w:val="clear" w:color="auto" w:fill="auto"/>
            <w:textDirection w:val="btLr"/>
            <w:vAlign w:val="bottom"/>
          </w:tcPr>
          <w:p w:rsidR="00AF3249" w:rsidRDefault="00AF3249" w:rsidP="007343DB">
            <w:pPr>
              <w:jc w:val="center"/>
              <w:rPr>
                <w:sz w:val="20"/>
                <w:szCs w:val="20"/>
              </w:rPr>
            </w:pPr>
            <w:r>
              <w:rPr>
                <w:sz w:val="20"/>
                <w:szCs w:val="20"/>
              </w:rPr>
              <w:t>2011-2012</w:t>
            </w:r>
          </w:p>
        </w:tc>
        <w:tc>
          <w:tcPr>
            <w:tcW w:w="218" w:type="pct"/>
            <w:tcBorders>
              <w:top w:val="nil"/>
              <w:left w:val="nil"/>
              <w:bottom w:val="single" w:sz="8" w:space="0" w:color="auto"/>
              <w:right w:val="single" w:sz="8" w:space="0" w:color="auto"/>
            </w:tcBorders>
            <w:shd w:val="clear" w:color="auto" w:fill="auto"/>
            <w:textDirection w:val="btLr"/>
            <w:vAlign w:val="bottom"/>
          </w:tcPr>
          <w:p w:rsidR="00AF3249" w:rsidRDefault="00AF3249" w:rsidP="007343DB">
            <w:pPr>
              <w:jc w:val="center"/>
              <w:rPr>
                <w:sz w:val="20"/>
                <w:szCs w:val="20"/>
              </w:rPr>
            </w:pPr>
            <w:r>
              <w:rPr>
                <w:sz w:val="20"/>
                <w:szCs w:val="20"/>
              </w:rPr>
              <w:t>2012-2013</w:t>
            </w:r>
          </w:p>
        </w:tc>
        <w:tc>
          <w:tcPr>
            <w:tcW w:w="218" w:type="pct"/>
            <w:tcBorders>
              <w:top w:val="nil"/>
              <w:left w:val="nil"/>
              <w:bottom w:val="single" w:sz="8" w:space="0" w:color="auto"/>
              <w:right w:val="single" w:sz="8" w:space="0" w:color="auto"/>
            </w:tcBorders>
            <w:textDirection w:val="btLr"/>
          </w:tcPr>
          <w:p w:rsidR="00AF3249" w:rsidRDefault="00AF3249" w:rsidP="007343DB">
            <w:pPr>
              <w:jc w:val="center"/>
              <w:rPr>
                <w:sz w:val="20"/>
                <w:szCs w:val="20"/>
              </w:rPr>
            </w:pPr>
            <w:r>
              <w:rPr>
                <w:sz w:val="20"/>
                <w:szCs w:val="20"/>
                <w:lang w:val="en-US"/>
              </w:rPr>
              <w:t>2013-2014</w:t>
            </w:r>
          </w:p>
        </w:tc>
      </w:tr>
      <w:tr w:rsidR="00AF3249" w:rsidTr="00F865AB">
        <w:trPr>
          <w:trHeight w:val="645"/>
        </w:trPr>
        <w:tc>
          <w:tcPr>
            <w:tcW w:w="645" w:type="pct"/>
            <w:tcBorders>
              <w:top w:val="nil"/>
              <w:left w:val="single" w:sz="8" w:space="0" w:color="auto"/>
              <w:bottom w:val="single" w:sz="8" w:space="0" w:color="auto"/>
              <w:right w:val="single" w:sz="8" w:space="0" w:color="auto"/>
            </w:tcBorders>
            <w:shd w:val="clear" w:color="auto" w:fill="auto"/>
            <w:vAlign w:val="bottom"/>
          </w:tcPr>
          <w:p w:rsidR="00AF3249" w:rsidRDefault="00AF3249" w:rsidP="007343DB">
            <w:pPr>
              <w:jc w:val="both"/>
            </w:pPr>
            <w:proofErr w:type="spellStart"/>
            <w:r>
              <w:t>Бакалавриат</w:t>
            </w:r>
            <w:proofErr w:type="spellEnd"/>
          </w:p>
        </w:tc>
        <w:tc>
          <w:tcPr>
            <w:tcW w:w="217" w:type="pct"/>
            <w:tcBorders>
              <w:top w:val="nil"/>
              <w:left w:val="nil"/>
              <w:bottom w:val="single" w:sz="8" w:space="0" w:color="auto"/>
              <w:right w:val="single" w:sz="8" w:space="0" w:color="auto"/>
            </w:tcBorders>
            <w:shd w:val="clear" w:color="auto" w:fill="FFFFFF"/>
            <w:vAlign w:val="center"/>
          </w:tcPr>
          <w:p w:rsidR="00AF3249" w:rsidRDefault="00AF3249" w:rsidP="00F865AB">
            <w:pPr>
              <w:jc w:val="center"/>
              <w:rPr>
                <w:sz w:val="20"/>
                <w:szCs w:val="20"/>
              </w:rPr>
            </w:pPr>
          </w:p>
        </w:tc>
        <w:tc>
          <w:tcPr>
            <w:tcW w:w="217" w:type="pct"/>
            <w:tcBorders>
              <w:top w:val="nil"/>
              <w:left w:val="nil"/>
              <w:bottom w:val="single" w:sz="8" w:space="0" w:color="auto"/>
              <w:right w:val="single" w:sz="8" w:space="0" w:color="auto"/>
            </w:tcBorders>
            <w:shd w:val="clear" w:color="auto" w:fill="FFFFFF"/>
            <w:vAlign w:val="center"/>
          </w:tcPr>
          <w:p w:rsidR="00AF3249" w:rsidRDefault="00AF3249" w:rsidP="00F865AB">
            <w:pPr>
              <w:jc w:val="center"/>
              <w:rPr>
                <w:sz w:val="20"/>
                <w:szCs w:val="20"/>
              </w:rPr>
            </w:pPr>
          </w:p>
        </w:tc>
        <w:tc>
          <w:tcPr>
            <w:tcW w:w="217" w:type="pct"/>
            <w:tcBorders>
              <w:top w:val="nil"/>
              <w:left w:val="nil"/>
              <w:bottom w:val="single" w:sz="8" w:space="0" w:color="auto"/>
              <w:right w:val="single" w:sz="8" w:space="0" w:color="auto"/>
            </w:tcBorders>
            <w:shd w:val="clear" w:color="auto" w:fill="FFFFFF"/>
            <w:vAlign w:val="center"/>
          </w:tcPr>
          <w:p w:rsidR="00AF3249" w:rsidRDefault="00AF3249" w:rsidP="00F865AB">
            <w:pPr>
              <w:jc w:val="center"/>
              <w:rPr>
                <w:sz w:val="20"/>
                <w:szCs w:val="20"/>
              </w:rPr>
            </w:pPr>
            <w:r>
              <w:rPr>
                <w:sz w:val="20"/>
                <w:szCs w:val="20"/>
              </w:rPr>
              <w:t>2</w:t>
            </w:r>
          </w:p>
        </w:tc>
        <w:tc>
          <w:tcPr>
            <w:tcW w:w="217" w:type="pct"/>
            <w:tcBorders>
              <w:top w:val="nil"/>
              <w:left w:val="nil"/>
              <w:bottom w:val="single" w:sz="8" w:space="0" w:color="auto"/>
              <w:right w:val="single" w:sz="8" w:space="0" w:color="auto"/>
            </w:tcBorders>
            <w:shd w:val="clear" w:color="auto" w:fill="FFFFFF"/>
            <w:vAlign w:val="center"/>
          </w:tcPr>
          <w:p w:rsidR="00AF3249" w:rsidRDefault="00AF3249" w:rsidP="00F865AB">
            <w:pPr>
              <w:jc w:val="center"/>
              <w:rPr>
                <w:sz w:val="20"/>
                <w:szCs w:val="20"/>
              </w:rPr>
            </w:pPr>
            <w:r>
              <w:rPr>
                <w:sz w:val="20"/>
                <w:szCs w:val="20"/>
              </w:rPr>
              <w:t>3</w:t>
            </w:r>
          </w:p>
        </w:tc>
        <w:tc>
          <w:tcPr>
            <w:tcW w:w="217" w:type="pct"/>
            <w:tcBorders>
              <w:top w:val="nil"/>
              <w:left w:val="nil"/>
              <w:bottom w:val="single" w:sz="8" w:space="0" w:color="auto"/>
              <w:right w:val="single" w:sz="4" w:space="0" w:color="auto"/>
            </w:tcBorders>
            <w:vAlign w:val="center"/>
          </w:tcPr>
          <w:p w:rsidR="00AF3249" w:rsidRPr="00F865AB" w:rsidRDefault="00AF3249" w:rsidP="00F865AB">
            <w:pPr>
              <w:jc w:val="center"/>
              <w:rPr>
                <w:sz w:val="20"/>
                <w:szCs w:val="20"/>
              </w:rPr>
            </w:pPr>
            <w:r w:rsidRPr="00F865AB">
              <w:rPr>
                <w:sz w:val="20"/>
                <w:szCs w:val="20"/>
              </w:rPr>
              <w:t>4</w:t>
            </w:r>
          </w:p>
        </w:tc>
        <w:tc>
          <w:tcPr>
            <w:tcW w:w="217" w:type="pct"/>
            <w:tcBorders>
              <w:top w:val="nil"/>
              <w:left w:val="single" w:sz="4" w:space="0" w:color="auto"/>
              <w:bottom w:val="single" w:sz="8" w:space="0" w:color="auto"/>
              <w:right w:val="single" w:sz="8" w:space="0" w:color="auto"/>
            </w:tcBorders>
            <w:shd w:val="clear" w:color="auto" w:fill="auto"/>
            <w:vAlign w:val="center"/>
          </w:tcPr>
          <w:p w:rsidR="00AF3249" w:rsidRDefault="00AF3249" w:rsidP="00F865AB">
            <w:pPr>
              <w:jc w:val="center"/>
              <w:rPr>
                <w:sz w:val="20"/>
                <w:szCs w:val="20"/>
              </w:rPr>
            </w:pPr>
          </w:p>
        </w:tc>
        <w:tc>
          <w:tcPr>
            <w:tcW w:w="217" w:type="pct"/>
            <w:tcBorders>
              <w:top w:val="nil"/>
              <w:left w:val="nil"/>
              <w:bottom w:val="single" w:sz="8" w:space="0" w:color="auto"/>
              <w:right w:val="single" w:sz="8" w:space="0" w:color="auto"/>
            </w:tcBorders>
            <w:shd w:val="clear" w:color="auto" w:fill="auto"/>
            <w:vAlign w:val="center"/>
          </w:tcPr>
          <w:p w:rsidR="00AF3249" w:rsidRDefault="00AF3249" w:rsidP="00F865AB">
            <w:pPr>
              <w:jc w:val="center"/>
              <w:rPr>
                <w:sz w:val="20"/>
                <w:szCs w:val="20"/>
              </w:rPr>
            </w:pPr>
          </w:p>
        </w:tc>
        <w:tc>
          <w:tcPr>
            <w:tcW w:w="217" w:type="pct"/>
            <w:tcBorders>
              <w:top w:val="nil"/>
              <w:left w:val="nil"/>
              <w:bottom w:val="single" w:sz="8" w:space="0" w:color="auto"/>
              <w:right w:val="single" w:sz="8" w:space="0" w:color="auto"/>
            </w:tcBorders>
            <w:shd w:val="clear" w:color="auto" w:fill="auto"/>
            <w:vAlign w:val="center"/>
          </w:tcPr>
          <w:p w:rsidR="00AF3249" w:rsidRDefault="00AF3249" w:rsidP="00F865AB">
            <w:pPr>
              <w:jc w:val="center"/>
              <w:rPr>
                <w:sz w:val="20"/>
                <w:szCs w:val="20"/>
              </w:rPr>
            </w:pPr>
            <w:r>
              <w:rPr>
                <w:sz w:val="20"/>
                <w:szCs w:val="20"/>
              </w:rPr>
              <w:t>3</w:t>
            </w:r>
          </w:p>
        </w:tc>
        <w:tc>
          <w:tcPr>
            <w:tcW w:w="218" w:type="pct"/>
            <w:tcBorders>
              <w:top w:val="nil"/>
              <w:left w:val="nil"/>
              <w:bottom w:val="single" w:sz="8" w:space="0" w:color="auto"/>
              <w:right w:val="single" w:sz="8" w:space="0" w:color="auto"/>
            </w:tcBorders>
            <w:shd w:val="clear" w:color="auto" w:fill="auto"/>
            <w:vAlign w:val="center"/>
          </w:tcPr>
          <w:p w:rsidR="00AF3249" w:rsidRDefault="00AF3249" w:rsidP="00F865AB">
            <w:pPr>
              <w:jc w:val="center"/>
              <w:rPr>
                <w:sz w:val="20"/>
                <w:szCs w:val="20"/>
              </w:rPr>
            </w:pPr>
            <w:r>
              <w:rPr>
                <w:sz w:val="20"/>
                <w:szCs w:val="20"/>
              </w:rPr>
              <w:t>4</w:t>
            </w:r>
          </w:p>
        </w:tc>
        <w:tc>
          <w:tcPr>
            <w:tcW w:w="218" w:type="pct"/>
            <w:tcBorders>
              <w:top w:val="nil"/>
              <w:left w:val="nil"/>
              <w:bottom w:val="single" w:sz="8" w:space="0" w:color="auto"/>
              <w:right w:val="single" w:sz="4" w:space="0" w:color="auto"/>
            </w:tcBorders>
            <w:vAlign w:val="center"/>
          </w:tcPr>
          <w:p w:rsidR="00AF3249" w:rsidRPr="00F865AB" w:rsidRDefault="00AF3249" w:rsidP="00F865AB">
            <w:pPr>
              <w:jc w:val="center"/>
              <w:rPr>
                <w:sz w:val="20"/>
                <w:szCs w:val="20"/>
              </w:rPr>
            </w:pPr>
            <w:r w:rsidRPr="00F865AB">
              <w:rPr>
                <w:sz w:val="20"/>
                <w:szCs w:val="20"/>
              </w:rPr>
              <w:t>5</w:t>
            </w:r>
          </w:p>
        </w:tc>
        <w:tc>
          <w:tcPr>
            <w:tcW w:w="218" w:type="pct"/>
            <w:tcBorders>
              <w:top w:val="nil"/>
              <w:left w:val="single" w:sz="4" w:space="0" w:color="auto"/>
              <w:bottom w:val="single" w:sz="8" w:space="0" w:color="auto"/>
              <w:right w:val="single" w:sz="8" w:space="0" w:color="auto"/>
            </w:tcBorders>
            <w:shd w:val="clear" w:color="auto" w:fill="FFFFFF"/>
            <w:vAlign w:val="center"/>
          </w:tcPr>
          <w:p w:rsidR="00AF3249" w:rsidRDefault="00AF3249" w:rsidP="00F865AB">
            <w:pPr>
              <w:jc w:val="center"/>
              <w:rPr>
                <w:sz w:val="20"/>
                <w:szCs w:val="20"/>
              </w:rPr>
            </w:pPr>
          </w:p>
        </w:tc>
        <w:tc>
          <w:tcPr>
            <w:tcW w:w="218" w:type="pct"/>
            <w:tcBorders>
              <w:top w:val="nil"/>
              <w:left w:val="nil"/>
              <w:bottom w:val="single" w:sz="8" w:space="0" w:color="auto"/>
              <w:right w:val="single" w:sz="8" w:space="0" w:color="auto"/>
            </w:tcBorders>
            <w:shd w:val="clear" w:color="auto" w:fill="FFFFFF"/>
            <w:vAlign w:val="center"/>
          </w:tcPr>
          <w:p w:rsidR="00AF3249" w:rsidRDefault="00AF3249" w:rsidP="00F865AB">
            <w:pPr>
              <w:jc w:val="center"/>
              <w:rPr>
                <w:sz w:val="20"/>
                <w:szCs w:val="20"/>
              </w:rPr>
            </w:pPr>
            <w:r>
              <w:rPr>
                <w:sz w:val="20"/>
                <w:szCs w:val="20"/>
              </w:rPr>
              <w:t>2</w:t>
            </w:r>
          </w:p>
        </w:tc>
        <w:tc>
          <w:tcPr>
            <w:tcW w:w="218" w:type="pct"/>
            <w:tcBorders>
              <w:top w:val="nil"/>
              <w:left w:val="nil"/>
              <w:bottom w:val="single" w:sz="8" w:space="0" w:color="auto"/>
              <w:right w:val="single" w:sz="8" w:space="0" w:color="auto"/>
            </w:tcBorders>
            <w:shd w:val="clear" w:color="auto" w:fill="FFFFFF"/>
            <w:vAlign w:val="center"/>
          </w:tcPr>
          <w:p w:rsidR="00AF3249" w:rsidRDefault="00AF3249" w:rsidP="00F865AB">
            <w:pPr>
              <w:jc w:val="center"/>
              <w:rPr>
                <w:sz w:val="20"/>
                <w:szCs w:val="20"/>
              </w:rPr>
            </w:pPr>
            <w:r>
              <w:rPr>
                <w:sz w:val="20"/>
                <w:szCs w:val="20"/>
              </w:rPr>
              <w:t>2</w:t>
            </w:r>
          </w:p>
        </w:tc>
        <w:tc>
          <w:tcPr>
            <w:tcW w:w="218" w:type="pct"/>
            <w:tcBorders>
              <w:top w:val="nil"/>
              <w:left w:val="nil"/>
              <w:bottom w:val="single" w:sz="8" w:space="0" w:color="auto"/>
              <w:right w:val="single" w:sz="8" w:space="0" w:color="auto"/>
            </w:tcBorders>
            <w:shd w:val="clear" w:color="auto" w:fill="FFFFFF"/>
            <w:vAlign w:val="center"/>
          </w:tcPr>
          <w:p w:rsidR="00AF3249" w:rsidRDefault="00AF3249" w:rsidP="00F865AB">
            <w:pPr>
              <w:jc w:val="center"/>
              <w:rPr>
                <w:sz w:val="20"/>
                <w:szCs w:val="20"/>
              </w:rPr>
            </w:pPr>
            <w:r>
              <w:rPr>
                <w:sz w:val="20"/>
                <w:szCs w:val="20"/>
              </w:rPr>
              <w:t>2</w:t>
            </w:r>
          </w:p>
        </w:tc>
        <w:tc>
          <w:tcPr>
            <w:tcW w:w="218" w:type="pct"/>
            <w:tcBorders>
              <w:top w:val="nil"/>
              <w:left w:val="nil"/>
              <w:bottom w:val="single" w:sz="8" w:space="0" w:color="auto"/>
              <w:right w:val="single" w:sz="4" w:space="0" w:color="auto"/>
            </w:tcBorders>
            <w:vAlign w:val="center"/>
          </w:tcPr>
          <w:p w:rsidR="00AF3249" w:rsidRPr="00F865AB" w:rsidRDefault="00AF3249" w:rsidP="00F865AB">
            <w:pPr>
              <w:jc w:val="center"/>
              <w:rPr>
                <w:sz w:val="20"/>
                <w:szCs w:val="20"/>
              </w:rPr>
            </w:pPr>
            <w:r w:rsidRPr="00F865AB">
              <w:rPr>
                <w:sz w:val="20"/>
                <w:szCs w:val="20"/>
              </w:rPr>
              <w:t>3</w:t>
            </w:r>
          </w:p>
        </w:tc>
        <w:tc>
          <w:tcPr>
            <w:tcW w:w="218" w:type="pct"/>
            <w:tcBorders>
              <w:top w:val="nil"/>
              <w:left w:val="single" w:sz="4" w:space="0" w:color="auto"/>
              <w:bottom w:val="single" w:sz="8" w:space="0" w:color="auto"/>
              <w:right w:val="single" w:sz="8" w:space="0" w:color="auto"/>
            </w:tcBorders>
            <w:shd w:val="clear" w:color="auto" w:fill="auto"/>
            <w:vAlign w:val="center"/>
          </w:tcPr>
          <w:p w:rsidR="00AF3249" w:rsidRDefault="00AF3249" w:rsidP="00F865AB">
            <w:pPr>
              <w:jc w:val="center"/>
              <w:rPr>
                <w:sz w:val="20"/>
                <w:szCs w:val="20"/>
              </w:rPr>
            </w:pPr>
          </w:p>
        </w:tc>
        <w:tc>
          <w:tcPr>
            <w:tcW w:w="218" w:type="pct"/>
            <w:tcBorders>
              <w:top w:val="nil"/>
              <w:left w:val="nil"/>
              <w:bottom w:val="single" w:sz="8" w:space="0" w:color="auto"/>
              <w:right w:val="single" w:sz="8" w:space="0" w:color="auto"/>
            </w:tcBorders>
            <w:shd w:val="clear" w:color="auto" w:fill="auto"/>
            <w:vAlign w:val="center"/>
          </w:tcPr>
          <w:p w:rsidR="00AF3249" w:rsidRDefault="00AF3249" w:rsidP="00F865AB">
            <w:pPr>
              <w:jc w:val="center"/>
              <w:rPr>
                <w:sz w:val="20"/>
                <w:szCs w:val="20"/>
              </w:rPr>
            </w:pPr>
          </w:p>
        </w:tc>
        <w:tc>
          <w:tcPr>
            <w:tcW w:w="218" w:type="pct"/>
            <w:tcBorders>
              <w:top w:val="nil"/>
              <w:left w:val="nil"/>
              <w:bottom w:val="single" w:sz="8" w:space="0" w:color="auto"/>
              <w:right w:val="single" w:sz="8" w:space="0" w:color="auto"/>
            </w:tcBorders>
            <w:shd w:val="clear" w:color="auto" w:fill="auto"/>
            <w:vAlign w:val="center"/>
          </w:tcPr>
          <w:p w:rsidR="00AF3249" w:rsidRDefault="00AF3249" w:rsidP="00F865AB">
            <w:pPr>
              <w:jc w:val="center"/>
              <w:rPr>
                <w:sz w:val="20"/>
                <w:szCs w:val="20"/>
              </w:rPr>
            </w:pPr>
            <w:r>
              <w:rPr>
                <w:sz w:val="20"/>
                <w:szCs w:val="20"/>
              </w:rPr>
              <w:t>2</w:t>
            </w:r>
          </w:p>
        </w:tc>
        <w:tc>
          <w:tcPr>
            <w:tcW w:w="218" w:type="pct"/>
            <w:tcBorders>
              <w:top w:val="nil"/>
              <w:left w:val="nil"/>
              <w:bottom w:val="single" w:sz="8" w:space="0" w:color="auto"/>
              <w:right w:val="single" w:sz="8" w:space="0" w:color="auto"/>
            </w:tcBorders>
            <w:shd w:val="clear" w:color="auto" w:fill="auto"/>
            <w:vAlign w:val="center"/>
          </w:tcPr>
          <w:p w:rsidR="00AF3249" w:rsidRDefault="00AF3249" w:rsidP="00F865AB">
            <w:pPr>
              <w:jc w:val="center"/>
              <w:rPr>
                <w:sz w:val="20"/>
                <w:szCs w:val="20"/>
              </w:rPr>
            </w:pPr>
            <w:r>
              <w:rPr>
                <w:sz w:val="20"/>
                <w:szCs w:val="20"/>
              </w:rPr>
              <w:t>2</w:t>
            </w:r>
          </w:p>
        </w:tc>
        <w:tc>
          <w:tcPr>
            <w:tcW w:w="218" w:type="pct"/>
            <w:tcBorders>
              <w:top w:val="nil"/>
              <w:left w:val="nil"/>
              <w:bottom w:val="single" w:sz="8" w:space="0" w:color="auto"/>
              <w:right w:val="single" w:sz="8" w:space="0" w:color="auto"/>
            </w:tcBorders>
            <w:vAlign w:val="center"/>
          </w:tcPr>
          <w:p w:rsidR="00AF3249" w:rsidRPr="00F865AB" w:rsidRDefault="00AF3249" w:rsidP="00F865AB">
            <w:pPr>
              <w:jc w:val="center"/>
              <w:rPr>
                <w:sz w:val="20"/>
                <w:szCs w:val="20"/>
              </w:rPr>
            </w:pPr>
            <w:r w:rsidRPr="00F865AB">
              <w:rPr>
                <w:sz w:val="20"/>
                <w:szCs w:val="20"/>
              </w:rPr>
              <w:t>2</w:t>
            </w:r>
          </w:p>
        </w:tc>
      </w:tr>
      <w:tr w:rsidR="00AF3249" w:rsidTr="00F865AB">
        <w:trPr>
          <w:trHeight w:val="645"/>
        </w:trPr>
        <w:tc>
          <w:tcPr>
            <w:tcW w:w="645" w:type="pct"/>
            <w:tcBorders>
              <w:top w:val="nil"/>
              <w:left w:val="single" w:sz="8" w:space="0" w:color="auto"/>
              <w:bottom w:val="single" w:sz="8" w:space="0" w:color="auto"/>
              <w:right w:val="single" w:sz="8" w:space="0" w:color="auto"/>
            </w:tcBorders>
            <w:shd w:val="clear" w:color="auto" w:fill="auto"/>
            <w:vAlign w:val="bottom"/>
          </w:tcPr>
          <w:p w:rsidR="00AF3249" w:rsidRDefault="00AF3249" w:rsidP="007343DB">
            <w:pPr>
              <w:jc w:val="both"/>
            </w:pPr>
            <w:proofErr w:type="spellStart"/>
            <w:r>
              <w:t>Специалитет</w:t>
            </w:r>
            <w:proofErr w:type="spellEnd"/>
          </w:p>
        </w:tc>
        <w:tc>
          <w:tcPr>
            <w:tcW w:w="217" w:type="pct"/>
            <w:tcBorders>
              <w:top w:val="nil"/>
              <w:left w:val="nil"/>
              <w:bottom w:val="single" w:sz="8" w:space="0" w:color="auto"/>
              <w:right w:val="single" w:sz="8" w:space="0" w:color="auto"/>
            </w:tcBorders>
            <w:shd w:val="clear" w:color="auto" w:fill="FFFFFF"/>
            <w:vAlign w:val="center"/>
          </w:tcPr>
          <w:p w:rsidR="00AF3249" w:rsidRDefault="00AF3249" w:rsidP="00F865AB">
            <w:pPr>
              <w:jc w:val="center"/>
              <w:rPr>
                <w:sz w:val="20"/>
                <w:szCs w:val="20"/>
              </w:rPr>
            </w:pPr>
            <w:r>
              <w:rPr>
                <w:sz w:val="20"/>
                <w:szCs w:val="20"/>
              </w:rPr>
              <w:t>6</w:t>
            </w:r>
          </w:p>
        </w:tc>
        <w:tc>
          <w:tcPr>
            <w:tcW w:w="217" w:type="pct"/>
            <w:tcBorders>
              <w:top w:val="nil"/>
              <w:left w:val="nil"/>
              <w:bottom w:val="single" w:sz="8" w:space="0" w:color="auto"/>
              <w:right w:val="single" w:sz="8" w:space="0" w:color="auto"/>
            </w:tcBorders>
            <w:shd w:val="clear" w:color="auto" w:fill="FFFFFF"/>
            <w:vAlign w:val="center"/>
          </w:tcPr>
          <w:p w:rsidR="00AF3249" w:rsidRDefault="00AF3249" w:rsidP="00F865AB">
            <w:pPr>
              <w:jc w:val="center"/>
              <w:rPr>
                <w:sz w:val="20"/>
                <w:szCs w:val="20"/>
              </w:rPr>
            </w:pPr>
            <w:r>
              <w:rPr>
                <w:sz w:val="20"/>
                <w:szCs w:val="20"/>
              </w:rPr>
              <w:t>5</w:t>
            </w:r>
          </w:p>
        </w:tc>
        <w:tc>
          <w:tcPr>
            <w:tcW w:w="217" w:type="pct"/>
            <w:tcBorders>
              <w:top w:val="nil"/>
              <w:left w:val="nil"/>
              <w:bottom w:val="single" w:sz="8" w:space="0" w:color="auto"/>
              <w:right w:val="single" w:sz="8" w:space="0" w:color="auto"/>
            </w:tcBorders>
            <w:shd w:val="clear" w:color="auto" w:fill="FFFFFF"/>
            <w:vAlign w:val="center"/>
          </w:tcPr>
          <w:p w:rsidR="00AF3249" w:rsidRDefault="00AF3249" w:rsidP="00F865AB">
            <w:pPr>
              <w:jc w:val="center"/>
              <w:rPr>
                <w:sz w:val="20"/>
                <w:szCs w:val="20"/>
              </w:rPr>
            </w:pPr>
            <w:r>
              <w:rPr>
                <w:sz w:val="20"/>
                <w:szCs w:val="20"/>
              </w:rPr>
              <w:t>5</w:t>
            </w:r>
          </w:p>
        </w:tc>
        <w:tc>
          <w:tcPr>
            <w:tcW w:w="217" w:type="pct"/>
            <w:tcBorders>
              <w:top w:val="nil"/>
              <w:left w:val="nil"/>
              <w:bottom w:val="single" w:sz="8" w:space="0" w:color="auto"/>
              <w:right w:val="single" w:sz="8" w:space="0" w:color="auto"/>
            </w:tcBorders>
            <w:shd w:val="clear" w:color="auto" w:fill="FFFFFF"/>
            <w:vAlign w:val="center"/>
          </w:tcPr>
          <w:p w:rsidR="00AF3249" w:rsidRDefault="00AF3249" w:rsidP="00F865AB">
            <w:pPr>
              <w:jc w:val="center"/>
              <w:rPr>
                <w:sz w:val="20"/>
                <w:szCs w:val="20"/>
              </w:rPr>
            </w:pPr>
            <w:r>
              <w:rPr>
                <w:sz w:val="20"/>
                <w:szCs w:val="20"/>
              </w:rPr>
              <w:t>5</w:t>
            </w:r>
          </w:p>
        </w:tc>
        <w:tc>
          <w:tcPr>
            <w:tcW w:w="217" w:type="pct"/>
            <w:tcBorders>
              <w:top w:val="nil"/>
              <w:left w:val="nil"/>
              <w:bottom w:val="single" w:sz="8" w:space="0" w:color="auto"/>
              <w:right w:val="single" w:sz="4" w:space="0" w:color="auto"/>
            </w:tcBorders>
            <w:vAlign w:val="center"/>
          </w:tcPr>
          <w:p w:rsidR="00AF3249" w:rsidRPr="00F865AB" w:rsidRDefault="00AF3249" w:rsidP="00F865AB">
            <w:pPr>
              <w:jc w:val="center"/>
              <w:rPr>
                <w:sz w:val="20"/>
                <w:szCs w:val="20"/>
              </w:rPr>
            </w:pPr>
            <w:r w:rsidRPr="00F865AB">
              <w:rPr>
                <w:sz w:val="20"/>
                <w:szCs w:val="20"/>
              </w:rPr>
              <w:t>5</w:t>
            </w:r>
          </w:p>
        </w:tc>
        <w:tc>
          <w:tcPr>
            <w:tcW w:w="217" w:type="pct"/>
            <w:tcBorders>
              <w:top w:val="nil"/>
              <w:left w:val="single" w:sz="4" w:space="0" w:color="auto"/>
              <w:bottom w:val="single" w:sz="8" w:space="0" w:color="auto"/>
              <w:right w:val="single" w:sz="8" w:space="0" w:color="auto"/>
            </w:tcBorders>
            <w:shd w:val="clear" w:color="auto" w:fill="auto"/>
            <w:vAlign w:val="center"/>
          </w:tcPr>
          <w:p w:rsidR="00AF3249" w:rsidRDefault="00AF3249" w:rsidP="00F865AB">
            <w:pPr>
              <w:jc w:val="center"/>
              <w:rPr>
                <w:sz w:val="20"/>
                <w:szCs w:val="20"/>
              </w:rPr>
            </w:pPr>
            <w:r>
              <w:rPr>
                <w:sz w:val="20"/>
                <w:szCs w:val="20"/>
              </w:rPr>
              <w:t>5</w:t>
            </w:r>
          </w:p>
        </w:tc>
        <w:tc>
          <w:tcPr>
            <w:tcW w:w="217" w:type="pct"/>
            <w:tcBorders>
              <w:top w:val="nil"/>
              <w:left w:val="nil"/>
              <w:bottom w:val="single" w:sz="8" w:space="0" w:color="auto"/>
              <w:right w:val="single" w:sz="8" w:space="0" w:color="auto"/>
            </w:tcBorders>
            <w:shd w:val="clear" w:color="auto" w:fill="auto"/>
            <w:vAlign w:val="center"/>
          </w:tcPr>
          <w:p w:rsidR="00AF3249" w:rsidRDefault="00AF3249" w:rsidP="00F865AB">
            <w:pPr>
              <w:jc w:val="center"/>
              <w:rPr>
                <w:sz w:val="20"/>
                <w:szCs w:val="20"/>
              </w:rPr>
            </w:pPr>
            <w:r>
              <w:rPr>
                <w:sz w:val="20"/>
                <w:szCs w:val="20"/>
              </w:rPr>
              <w:t>5</w:t>
            </w:r>
          </w:p>
        </w:tc>
        <w:tc>
          <w:tcPr>
            <w:tcW w:w="217" w:type="pct"/>
            <w:tcBorders>
              <w:top w:val="nil"/>
              <w:left w:val="nil"/>
              <w:bottom w:val="single" w:sz="8" w:space="0" w:color="auto"/>
              <w:right w:val="single" w:sz="8" w:space="0" w:color="auto"/>
            </w:tcBorders>
            <w:shd w:val="clear" w:color="auto" w:fill="auto"/>
            <w:vAlign w:val="center"/>
          </w:tcPr>
          <w:p w:rsidR="00AF3249" w:rsidRDefault="00AF3249" w:rsidP="00F865AB">
            <w:pPr>
              <w:jc w:val="center"/>
              <w:rPr>
                <w:sz w:val="20"/>
                <w:szCs w:val="20"/>
              </w:rPr>
            </w:pPr>
            <w:r>
              <w:rPr>
                <w:sz w:val="20"/>
                <w:szCs w:val="20"/>
              </w:rPr>
              <w:t>5</w:t>
            </w:r>
          </w:p>
        </w:tc>
        <w:tc>
          <w:tcPr>
            <w:tcW w:w="218" w:type="pct"/>
            <w:tcBorders>
              <w:top w:val="nil"/>
              <w:left w:val="nil"/>
              <w:bottom w:val="single" w:sz="8" w:space="0" w:color="auto"/>
              <w:right w:val="single" w:sz="8" w:space="0" w:color="auto"/>
            </w:tcBorders>
            <w:shd w:val="clear" w:color="auto" w:fill="auto"/>
            <w:vAlign w:val="center"/>
          </w:tcPr>
          <w:p w:rsidR="00AF3249" w:rsidRDefault="00AF3249" w:rsidP="00F865AB">
            <w:pPr>
              <w:jc w:val="center"/>
              <w:rPr>
                <w:sz w:val="20"/>
                <w:szCs w:val="20"/>
              </w:rPr>
            </w:pPr>
            <w:r>
              <w:rPr>
                <w:sz w:val="20"/>
                <w:szCs w:val="20"/>
              </w:rPr>
              <w:t>5</w:t>
            </w:r>
          </w:p>
        </w:tc>
        <w:tc>
          <w:tcPr>
            <w:tcW w:w="218" w:type="pct"/>
            <w:tcBorders>
              <w:top w:val="nil"/>
              <w:left w:val="nil"/>
              <w:bottom w:val="single" w:sz="8" w:space="0" w:color="auto"/>
              <w:right w:val="single" w:sz="4" w:space="0" w:color="auto"/>
            </w:tcBorders>
            <w:vAlign w:val="center"/>
          </w:tcPr>
          <w:p w:rsidR="00AF3249" w:rsidRPr="00F865AB" w:rsidRDefault="00AF3249" w:rsidP="00F865AB">
            <w:pPr>
              <w:jc w:val="center"/>
              <w:rPr>
                <w:sz w:val="20"/>
                <w:szCs w:val="20"/>
              </w:rPr>
            </w:pPr>
            <w:r w:rsidRPr="00F865AB">
              <w:rPr>
                <w:sz w:val="20"/>
                <w:szCs w:val="20"/>
              </w:rPr>
              <w:t>5</w:t>
            </w:r>
          </w:p>
        </w:tc>
        <w:tc>
          <w:tcPr>
            <w:tcW w:w="218" w:type="pct"/>
            <w:tcBorders>
              <w:top w:val="nil"/>
              <w:left w:val="single" w:sz="4" w:space="0" w:color="auto"/>
              <w:bottom w:val="single" w:sz="8" w:space="0" w:color="auto"/>
              <w:right w:val="single" w:sz="8" w:space="0" w:color="auto"/>
            </w:tcBorders>
            <w:shd w:val="clear" w:color="auto" w:fill="FFFFFF"/>
            <w:vAlign w:val="center"/>
          </w:tcPr>
          <w:p w:rsidR="00AF3249" w:rsidRDefault="00AF3249" w:rsidP="00F865AB">
            <w:pPr>
              <w:jc w:val="center"/>
              <w:rPr>
                <w:sz w:val="20"/>
                <w:szCs w:val="20"/>
              </w:rPr>
            </w:pPr>
            <w:r>
              <w:rPr>
                <w:sz w:val="20"/>
                <w:szCs w:val="20"/>
              </w:rPr>
              <w:t>3</w:t>
            </w:r>
          </w:p>
        </w:tc>
        <w:tc>
          <w:tcPr>
            <w:tcW w:w="218" w:type="pct"/>
            <w:tcBorders>
              <w:top w:val="nil"/>
              <w:left w:val="nil"/>
              <w:bottom w:val="single" w:sz="8" w:space="0" w:color="auto"/>
              <w:right w:val="single" w:sz="8" w:space="0" w:color="auto"/>
            </w:tcBorders>
            <w:shd w:val="clear" w:color="auto" w:fill="FFFFFF"/>
            <w:vAlign w:val="center"/>
          </w:tcPr>
          <w:p w:rsidR="00AF3249" w:rsidRDefault="00AF3249" w:rsidP="00F865AB">
            <w:pPr>
              <w:jc w:val="center"/>
              <w:rPr>
                <w:sz w:val="20"/>
                <w:szCs w:val="20"/>
              </w:rPr>
            </w:pPr>
            <w:r>
              <w:rPr>
                <w:sz w:val="20"/>
                <w:szCs w:val="20"/>
              </w:rPr>
              <w:t>3</w:t>
            </w:r>
          </w:p>
        </w:tc>
        <w:tc>
          <w:tcPr>
            <w:tcW w:w="218" w:type="pct"/>
            <w:tcBorders>
              <w:top w:val="nil"/>
              <w:left w:val="nil"/>
              <w:bottom w:val="single" w:sz="8" w:space="0" w:color="auto"/>
              <w:right w:val="single" w:sz="8" w:space="0" w:color="auto"/>
            </w:tcBorders>
            <w:shd w:val="clear" w:color="auto" w:fill="FFFFFF"/>
            <w:vAlign w:val="center"/>
          </w:tcPr>
          <w:p w:rsidR="00AF3249" w:rsidRDefault="00AF3249" w:rsidP="00F865AB">
            <w:pPr>
              <w:jc w:val="center"/>
              <w:rPr>
                <w:sz w:val="20"/>
                <w:szCs w:val="20"/>
              </w:rPr>
            </w:pPr>
            <w:r>
              <w:rPr>
                <w:sz w:val="20"/>
                <w:szCs w:val="20"/>
              </w:rPr>
              <w:t>3</w:t>
            </w:r>
          </w:p>
        </w:tc>
        <w:tc>
          <w:tcPr>
            <w:tcW w:w="218" w:type="pct"/>
            <w:tcBorders>
              <w:top w:val="nil"/>
              <w:left w:val="nil"/>
              <w:bottom w:val="single" w:sz="8" w:space="0" w:color="auto"/>
              <w:right w:val="single" w:sz="8" w:space="0" w:color="auto"/>
            </w:tcBorders>
            <w:shd w:val="clear" w:color="auto" w:fill="FFFFFF"/>
            <w:vAlign w:val="center"/>
          </w:tcPr>
          <w:p w:rsidR="00AF3249" w:rsidRDefault="00AF3249" w:rsidP="00F865AB">
            <w:pPr>
              <w:jc w:val="center"/>
              <w:rPr>
                <w:sz w:val="20"/>
                <w:szCs w:val="20"/>
              </w:rPr>
            </w:pPr>
            <w:r>
              <w:rPr>
                <w:sz w:val="20"/>
                <w:szCs w:val="20"/>
              </w:rPr>
              <w:t>3</w:t>
            </w:r>
          </w:p>
        </w:tc>
        <w:tc>
          <w:tcPr>
            <w:tcW w:w="218" w:type="pct"/>
            <w:tcBorders>
              <w:top w:val="nil"/>
              <w:left w:val="nil"/>
              <w:bottom w:val="single" w:sz="8" w:space="0" w:color="auto"/>
              <w:right w:val="single" w:sz="4" w:space="0" w:color="auto"/>
            </w:tcBorders>
            <w:vAlign w:val="center"/>
          </w:tcPr>
          <w:p w:rsidR="00AF3249" w:rsidRPr="00F865AB" w:rsidRDefault="00AF3249" w:rsidP="00F865AB">
            <w:pPr>
              <w:jc w:val="center"/>
              <w:rPr>
                <w:sz w:val="20"/>
                <w:szCs w:val="20"/>
              </w:rPr>
            </w:pPr>
            <w:r w:rsidRPr="00F865AB">
              <w:rPr>
                <w:sz w:val="20"/>
                <w:szCs w:val="20"/>
              </w:rPr>
              <w:t>3</w:t>
            </w:r>
          </w:p>
        </w:tc>
        <w:tc>
          <w:tcPr>
            <w:tcW w:w="218" w:type="pct"/>
            <w:tcBorders>
              <w:top w:val="nil"/>
              <w:left w:val="single" w:sz="4" w:space="0" w:color="auto"/>
              <w:bottom w:val="single" w:sz="8" w:space="0" w:color="auto"/>
              <w:right w:val="single" w:sz="8" w:space="0" w:color="auto"/>
            </w:tcBorders>
            <w:shd w:val="clear" w:color="auto" w:fill="auto"/>
            <w:vAlign w:val="center"/>
          </w:tcPr>
          <w:p w:rsidR="00AF3249" w:rsidRDefault="00AF3249" w:rsidP="00F865AB">
            <w:pPr>
              <w:jc w:val="center"/>
              <w:rPr>
                <w:sz w:val="20"/>
                <w:szCs w:val="20"/>
              </w:rPr>
            </w:pPr>
            <w:r>
              <w:rPr>
                <w:sz w:val="20"/>
                <w:szCs w:val="20"/>
              </w:rPr>
              <w:t>5</w:t>
            </w:r>
          </w:p>
        </w:tc>
        <w:tc>
          <w:tcPr>
            <w:tcW w:w="218" w:type="pct"/>
            <w:tcBorders>
              <w:top w:val="nil"/>
              <w:left w:val="nil"/>
              <w:bottom w:val="single" w:sz="8" w:space="0" w:color="auto"/>
              <w:right w:val="single" w:sz="8" w:space="0" w:color="auto"/>
            </w:tcBorders>
            <w:shd w:val="clear" w:color="auto" w:fill="auto"/>
            <w:vAlign w:val="center"/>
          </w:tcPr>
          <w:p w:rsidR="00AF3249" w:rsidRDefault="00AF3249" w:rsidP="00F865AB">
            <w:pPr>
              <w:jc w:val="center"/>
              <w:rPr>
                <w:sz w:val="20"/>
                <w:szCs w:val="20"/>
              </w:rPr>
            </w:pPr>
            <w:r>
              <w:rPr>
                <w:sz w:val="20"/>
                <w:szCs w:val="20"/>
              </w:rPr>
              <w:t>5</w:t>
            </w:r>
          </w:p>
        </w:tc>
        <w:tc>
          <w:tcPr>
            <w:tcW w:w="218" w:type="pct"/>
            <w:tcBorders>
              <w:top w:val="nil"/>
              <w:left w:val="nil"/>
              <w:bottom w:val="single" w:sz="8" w:space="0" w:color="auto"/>
              <w:right w:val="single" w:sz="8" w:space="0" w:color="auto"/>
            </w:tcBorders>
            <w:shd w:val="clear" w:color="auto" w:fill="auto"/>
            <w:vAlign w:val="center"/>
          </w:tcPr>
          <w:p w:rsidR="00AF3249" w:rsidRDefault="00AF3249" w:rsidP="00F865AB">
            <w:pPr>
              <w:jc w:val="center"/>
              <w:rPr>
                <w:sz w:val="20"/>
                <w:szCs w:val="20"/>
              </w:rPr>
            </w:pPr>
            <w:r>
              <w:rPr>
                <w:sz w:val="20"/>
                <w:szCs w:val="20"/>
              </w:rPr>
              <w:t>5</w:t>
            </w:r>
          </w:p>
        </w:tc>
        <w:tc>
          <w:tcPr>
            <w:tcW w:w="218" w:type="pct"/>
            <w:tcBorders>
              <w:top w:val="nil"/>
              <w:left w:val="nil"/>
              <w:bottom w:val="single" w:sz="8" w:space="0" w:color="auto"/>
              <w:right w:val="single" w:sz="8" w:space="0" w:color="auto"/>
            </w:tcBorders>
            <w:shd w:val="clear" w:color="auto" w:fill="auto"/>
            <w:vAlign w:val="center"/>
          </w:tcPr>
          <w:p w:rsidR="00AF3249" w:rsidRDefault="00AF3249" w:rsidP="00F865AB">
            <w:pPr>
              <w:jc w:val="center"/>
              <w:rPr>
                <w:sz w:val="20"/>
                <w:szCs w:val="20"/>
              </w:rPr>
            </w:pPr>
            <w:r>
              <w:rPr>
                <w:sz w:val="20"/>
                <w:szCs w:val="20"/>
              </w:rPr>
              <w:t>5</w:t>
            </w:r>
          </w:p>
        </w:tc>
        <w:tc>
          <w:tcPr>
            <w:tcW w:w="218" w:type="pct"/>
            <w:tcBorders>
              <w:top w:val="nil"/>
              <w:left w:val="nil"/>
              <w:bottom w:val="single" w:sz="8" w:space="0" w:color="auto"/>
              <w:right w:val="single" w:sz="8" w:space="0" w:color="auto"/>
            </w:tcBorders>
            <w:vAlign w:val="center"/>
          </w:tcPr>
          <w:p w:rsidR="00AF3249" w:rsidRPr="00F865AB" w:rsidRDefault="00AF3249" w:rsidP="00F865AB">
            <w:pPr>
              <w:jc w:val="center"/>
              <w:rPr>
                <w:sz w:val="20"/>
                <w:szCs w:val="20"/>
              </w:rPr>
            </w:pPr>
            <w:r w:rsidRPr="00F865AB">
              <w:rPr>
                <w:sz w:val="20"/>
                <w:szCs w:val="20"/>
              </w:rPr>
              <w:t>5</w:t>
            </w:r>
          </w:p>
        </w:tc>
      </w:tr>
    </w:tbl>
    <w:p w:rsidR="00EF1D74" w:rsidRDefault="00EF1D74" w:rsidP="00EF1D74">
      <w:pPr>
        <w:spacing w:line="360" w:lineRule="auto"/>
        <w:ind w:firstLine="709"/>
        <w:jc w:val="both"/>
      </w:pPr>
    </w:p>
    <w:p w:rsidR="00EF1D74" w:rsidRDefault="00EF1D74" w:rsidP="00EF1D74">
      <w:pPr>
        <w:pStyle w:val="2"/>
        <w:numPr>
          <w:ilvl w:val="1"/>
          <w:numId w:val="1"/>
        </w:numPr>
      </w:pPr>
      <w:bookmarkStart w:id="6" w:name="_Toc374030042"/>
      <w:r>
        <w:t>Развитие</w:t>
      </w:r>
      <w:r w:rsidRPr="005005BC">
        <w:t xml:space="preserve"> образовательных программ </w:t>
      </w:r>
      <w:r>
        <w:t>высшего образования</w:t>
      </w:r>
      <w:bookmarkEnd w:id="6"/>
      <w:r w:rsidRPr="005005BC">
        <w:t xml:space="preserve"> </w:t>
      </w:r>
    </w:p>
    <w:p w:rsidR="00D36EEB" w:rsidRDefault="00D36EEB" w:rsidP="006F6F3C">
      <w:pPr>
        <w:jc w:val="both"/>
      </w:pPr>
    </w:p>
    <w:p w:rsidR="006F6F3C" w:rsidRDefault="006F6F3C" w:rsidP="006F6F3C">
      <w:pPr>
        <w:jc w:val="both"/>
      </w:pPr>
      <w:r w:rsidRPr="006F6F3C">
        <w:t xml:space="preserve">В 2012-2013 учебном году были </w:t>
      </w:r>
      <w:proofErr w:type="gramStart"/>
      <w:r w:rsidRPr="006F6F3C">
        <w:t xml:space="preserve">разработаны </w:t>
      </w:r>
      <w:r>
        <w:t>три</w:t>
      </w:r>
      <w:r w:rsidRPr="006F6F3C">
        <w:t xml:space="preserve"> </w:t>
      </w:r>
      <w:r>
        <w:t>образо</w:t>
      </w:r>
      <w:r w:rsidR="00FB359A">
        <w:t>вательных стандарта НИУ ВШЭ и п</w:t>
      </w:r>
      <w:r>
        <w:t>ереработан</w:t>
      </w:r>
      <w:proofErr w:type="gramEnd"/>
      <w:r w:rsidR="002112B1">
        <w:t xml:space="preserve"> </w:t>
      </w:r>
      <w:r>
        <w:t xml:space="preserve"> </w:t>
      </w:r>
      <w:r w:rsidR="002112B1">
        <w:t>один</w:t>
      </w:r>
      <w:r>
        <w:t xml:space="preserve"> образовательны</w:t>
      </w:r>
      <w:r w:rsidR="002112B1">
        <w:t>й</w:t>
      </w:r>
      <w:r>
        <w:t xml:space="preserve"> стандарт</w:t>
      </w:r>
      <w:r w:rsidR="002112B1">
        <w:t xml:space="preserve"> </w:t>
      </w:r>
      <w:r w:rsidR="008C7D2C">
        <w:t xml:space="preserve"> НИУ ВШЭ; </w:t>
      </w:r>
      <w:r w:rsidR="002112B1">
        <w:t xml:space="preserve">данные </w:t>
      </w:r>
      <w:r w:rsidR="002112B1" w:rsidRPr="006F6F3C">
        <w:t xml:space="preserve">образовательные стандарты НИУ ВШЭ по следующим направлениям подготовки </w:t>
      </w:r>
      <w:r w:rsidRPr="006F6F3C">
        <w:t>опуб</w:t>
      </w:r>
      <w:r w:rsidR="002112B1">
        <w:t>ликованы на корпоративном портале</w:t>
      </w:r>
      <w:r w:rsidRPr="006F6F3C">
        <w:t>:</w:t>
      </w:r>
    </w:p>
    <w:p w:rsidR="00D36EEB" w:rsidRPr="006F6F3C" w:rsidRDefault="00D36EEB" w:rsidP="006F6F3C">
      <w:pPr>
        <w:jc w:val="both"/>
      </w:pPr>
    </w:p>
    <w:tbl>
      <w:tblPr>
        <w:tblStyle w:val="aff9"/>
        <w:tblW w:w="0" w:type="auto"/>
        <w:tblLook w:val="04A0" w:firstRow="1" w:lastRow="0" w:firstColumn="1" w:lastColumn="0" w:noHBand="0" w:noVBand="1"/>
      </w:tblPr>
      <w:tblGrid>
        <w:gridCol w:w="3422"/>
        <w:gridCol w:w="3231"/>
        <w:gridCol w:w="2912"/>
      </w:tblGrid>
      <w:tr w:rsidR="006F6F3C" w:rsidRPr="006F6F3C" w:rsidTr="00DA28FA">
        <w:tc>
          <w:tcPr>
            <w:tcW w:w="3424" w:type="dxa"/>
            <w:vAlign w:val="center"/>
          </w:tcPr>
          <w:p w:rsidR="006F6F3C" w:rsidRPr="006F6F3C" w:rsidRDefault="006F6F3C" w:rsidP="00DA28FA">
            <w:pPr>
              <w:rPr>
                <w:rFonts w:asciiTheme="majorHAnsi" w:hAnsiTheme="majorHAnsi"/>
                <w:sz w:val="24"/>
                <w:szCs w:val="24"/>
              </w:rPr>
            </w:pPr>
            <w:r w:rsidRPr="006F6F3C">
              <w:rPr>
                <w:rFonts w:asciiTheme="majorHAnsi" w:hAnsiTheme="majorHAnsi"/>
                <w:sz w:val="24"/>
                <w:szCs w:val="24"/>
              </w:rPr>
              <w:t>Направление</w:t>
            </w:r>
          </w:p>
        </w:tc>
        <w:tc>
          <w:tcPr>
            <w:tcW w:w="3233" w:type="dxa"/>
            <w:vAlign w:val="center"/>
          </w:tcPr>
          <w:p w:rsidR="006F6F3C" w:rsidRPr="006F6F3C" w:rsidRDefault="006F6F3C" w:rsidP="00DA28FA">
            <w:pPr>
              <w:rPr>
                <w:rFonts w:asciiTheme="majorHAnsi" w:hAnsiTheme="majorHAnsi"/>
                <w:sz w:val="24"/>
                <w:szCs w:val="24"/>
              </w:rPr>
            </w:pPr>
            <w:r w:rsidRPr="006F6F3C">
              <w:rPr>
                <w:rFonts w:asciiTheme="majorHAnsi" w:hAnsiTheme="majorHAnsi"/>
                <w:sz w:val="24"/>
                <w:szCs w:val="24"/>
              </w:rPr>
              <w:t>Уровень подготовки</w:t>
            </w:r>
          </w:p>
        </w:tc>
        <w:tc>
          <w:tcPr>
            <w:tcW w:w="2914" w:type="dxa"/>
            <w:vAlign w:val="center"/>
          </w:tcPr>
          <w:p w:rsidR="006F6F3C" w:rsidRPr="006F6F3C" w:rsidRDefault="006F6F3C" w:rsidP="00DA28FA">
            <w:pPr>
              <w:rPr>
                <w:rFonts w:asciiTheme="majorHAnsi" w:hAnsiTheme="majorHAnsi"/>
                <w:sz w:val="24"/>
                <w:szCs w:val="24"/>
              </w:rPr>
            </w:pPr>
            <w:r w:rsidRPr="006F6F3C">
              <w:rPr>
                <w:rFonts w:asciiTheme="majorHAnsi" w:hAnsiTheme="majorHAnsi"/>
                <w:sz w:val="24"/>
                <w:szCs w:val="24"/>
              </w:rPr>
              <w:t xml:space="preserve">Выходные данные заседания учёного совета НИУ ВШЭ, на </w:t>
            </w:r>
            <w:proofErr w:type="gramStart"/>
            <w:r w:rsidRPr="006F6F3C">
              <w:rPr>
                <w:rFonts w:asciiTheme="majorHAnsi" w:hAnsiTheme="majorHAnsi"/>
                <w:sz w:val="24"/>
                <w:szCs w:val="24"/>
              </w:rPr>
              <w:t>котором</w:t>
            </w:r>
            <w:proofErr w:type="gramEnd"/>
            <w:r w:rsidRPr="006F6F3C">
              <w:rPr>
                <w:rFonts w:asciiTheme="majorHAnsi" w:hAnsiTheme="majorHAnsi"/>
                <w:sz w:val="24"/>
                <w:szCs w:val="24"/>
              </w:rPr>
              <w:t xml:space="preserve"> был утверждён стандарт</w:t>
            </w:r>
          </w:p>
        </w:tc>
      </w:tr>
      <w:tr w:rsidR="006F6F3C" w:rsidRPr="006F6F3C" w:rsidTr="00DA28FA">
        <w:tc>
          <w:tcPr>
            <w:tcW w:w="3424" w:type="dxa"/>
            <w:vAlign w:val="center"/>
          </w:tcPr>
          <w:p w:rsidR="006F6F3C" w:rsidRPr="006F6F3C" w:rsidRDefault="006F6F3C" w:rsidP="00DA28FA">
            <w:pPr>
              <w:rPr>
                <w:rFonts w:asciiTheme="majorHAnsi" w:hAnsiTheme="majorHAnsi"/>
                <w:sz w:val="24"/>
                <w:szCs w:val="24"/>
              </w:rPr>
            </w:pPr>
            <w:r w:rsidRPr="006F6F3C">
              <w:rPr>
                <w:rFonts w:asciiTheme="majorHAnsi" w:hAnsiTheme="majorHAnsi"/>
                <w:sz w:val="24"/>
                <w:szCs w:val="24"/>
              </w:rPr>
              <w:t>072500.62 «Дизайн»</w:t>
            </w:r>
          </w:p>
        </w:tc>
        <w:tc>
          <w:tcPr>
            <w:tcW w:w="3233" w:type="dxa"/>
            <w:vAlign w:val="center"/>
          </w:tcPr>
          <w:p w:rsidR="006F6F3C" w:rsidRPr="006F6F3C" w:rsidRDefault="006F6F3C" w:rsidP="00DA28FA">
            <w:pPr>
              <w:rPr>
                <w:rFonts w:asciiTheme="majorHAnsi" w:hAnsiTheme="majorHAnsi"/>
                <w:sz w:val="24"/>
                <w:szCs w:val="24"/>
              </w:rPr>
            </w:pPr>
            <w:proofErr w:type="spellStart"/>
            <w:r w:rsidRPr="006F6F3C">
              <w:rPr>
                <w:rFonts w:asciiTheme="majorHAnsi" w:hAnsiTheme="majorHAnsi"/>
                <w:sz w:val="24"/>
                <w:szCs w:val="24"/>
              </w:rPr>
              <w:t>бакалавриат</w:t>
            </w:r>
            <w:proofErr w:type="spellEnd"/>
          </w:p>
        </w:tc>
        <w:tc>
          <w:tcPr>
            <w:tcW w:w="2914" w:type="dxa"/>
            <w:vAlign w:val="center"/>
          </w:tcPr>
          <w:p w:rsidR="006F6F3C" w:rsidRPr="006F6F3C" w:rsidRDefault="006F6F3C" w:rsidP="00DA28FA">
            <w:pPr>
              <w:rPr>
                <w:rFonts w:asciiTheme="majorHAnsi" w:hAnsiTheme="majorHAnsi"/>
                <w:sz w:val="24"/>
                <w:szCs w:val="24"/>
              </w:rPr>
            </w:pPr>
            <w:r w:rsidRPr="006F6F3C">
              <w:rPr>
                <w:rFonts w:asciiTheme="majorHAnsi" w:hAnsiTheme="majorHAnsi"/>
                <w:sz w:val="24"/>
                <w:szCs w:val="24"/>
              </w:rPr>
              <w:t>от 31.05.2013 № 46</w:t>
            </w:r>
          </w:p>
        </w:tc>
      </w:tr>
      <w:tr w:rsidR="006F6F3C" w:rsidRPr="006F6F3C" w:rsidTr="00DA28FA">
        <w:tc>
          <w:tcPr>
            <w:tcW w:w="3424" w:type="dxa"/>
            <w:vAlign w:val="center"/>
          </w:tcPr>
          <w:p w:rsidR="006F6F3C" w:rsidRPr="006F6F3C" w:rsidRDefault="006F6F3C" w:rsidP="00DA28FA">
            <w:pPr>
              <w:rPr>
                <w:rFonts w:asciiTheme="majorHAnsi" w:hAnsiTheme="majorHAnsi"/>
                <w:sz w:val="24"/>
                <w:szCs w:val="24"/>
              </w:rPr>
            </w:pPr>
            <w:r w:rsidRPr="006F6F3C">
              <w:rPr>
                <w:rFonts w:asciiTheme="majorHAnsi" w:hAnsiTheme="majorHAnsi"/>
                <w:sz w:val="24"/>
                <w:szCs w:val="24"/>
              </w:rPr>
              <w:t>072500.68 «Дизайн»</w:t>
            </w:r>
          </w:p>
        </w:tc>
        <w:tc>
          <w:tcPr>
            <w:tcW w:w="3233" w:type="dxa"/>
            <w:vAlign w:val="center"/>
          </w:tcPr>
          <w:p w:rsidR="006F6F3C" w:rsidRPr="006F6F3C" w:rsidRDefault="006F6F3C" w:rsidP="00DA28FA">
            <w:pPr>
              <w:rPr>
                <w:rFonts w:asciiTheme="majorHAnsi" w:hAnsiTheme="majorHAnsi"/>
                <w:sz w:val="24"/>
                <w:szCs w:val="24"/>
              </w:rPr>
            </w:pPr>
            <w:r w:rsidRPr="006F6F3C">
              <w:rPr>
                <w:rFonts w:asciiTheme="majorHAnsi" w:hAnsiTheme="majorHAnsi"/>
                <w:sz w:val="24"/>
                <w:szCs w:val="24"/>
              </w:rPr>
              <w:t>магистратура</w:t>
            </w:r>
          </w:p>
        </w:tc>
        <w:tc>
          <w:tcPr>
            <w:tcW w:w="2914" w:type="dxa"/>
            <w:vAlign w:val="center"/>
          </w:tcPr>
          <w:p w:rsidR="006F6F3C" w:rsidRPr="006F6F3C" w:rsidRDefault="006F6F3C" w:rsidP="00DA28FA">
            <w:pPr>
              <w:rPr>
                <w:rFonts w:asciiTheme="majorHAnsi" w:hAnsiTheme="majorHAnsi"/>
                <w:sz w:val="24"/>
                <w:szCs w:val="24"/>
              </w:rPr>
            </w:pPr>
            <w:r w:rsidRPr="006F6F3C">
              <w:rPr>
                <w:rFonts w:asciiTheme="majorHAnsi" w:hAnsiTheme="majorHAnsi"/>
                <w:sz w:val="24"/>
                <w:szCs w:val="24"/>
              </w:rPr>
              <w:t>от 01.03.2013 № 44</w:t>
            </w:r>
          </w:p>
        </w:tc>
      </w:tr>
      <w:tr w:rsidR="006F6F3C" w:rsidRPr="006F6F3C" w:rsidTr="00DA28FA">
        <w:tc>
          <w:tcPr>
            <w:tcW w:w="3424" w:type="dxa"/>
            <w:vAlign w:val="center"/>
          </w:tcPr>
          <w:p w:rsidR="006F6F3C" w:rsidRPr="006F6F3C" w:rsidRDefault="007909E4" w:rsidP="00DA28FA">
            <w:pPr>
              <w:rPr>
                <w:rFonts w:asciiTheme="majorHAnsi" w:hAnsiTheme="majorHAnsi"/>
                <w:sz w:val="24"/>
                <w:szCs w:val="24"/>
              </w:rPr>
            </w:pPr>
            <w:hyperlink r:id="rId16" w:history="1">
              <w:r w:rsidR="006F6F3C" w:rsidRPr="006F6F3C">
                <w:rPr>
                  <w:rFonts w:asciiTheme="majorHAnsi" w:hAnsiTheme="majorHAnsi"/>
                  <w:sz w:val="24"/>
                  <w:szCs w:val="24"/>
                </w:rPr>
                <w:t>031600.68 «Реклама и связи с общественностью</w:t>
              </w:r>
            </w:hyperlink>
            <w:r w:rsidR="006F6F3C" w:rsidRPr="006F6F3C">
              <w:rPr>
                <w:rFonts w:asciiTheme="majorHAnsi" w:hAnsiTheme="majorHAnsi"/>
                <w:sz w:val="24"/>
                <w:szCs w:val="24"/>
              </w:rPr>
              <w:t>»</w:t>
            </w:r>
          </w:p>
        </w:tc>
        <w:tc>
          <w:tcPr>
            <w:tcW w:w="3233" w:type="dxa"/>
            <w:vAlign w:val="center"/>
          </w:tcPr>
          <w:p w:rsidR="006F6F3C" w:rsidRPr="006F6F3C" w:rsidRDefault="006F6F3C" w:rsidP="00DA28FA">
            <w:pPr>
              <w:rPr>
                <w:rFonts w:asciiTheme="majorHAnsi" w:hAnsiTheme="majorHAnsi"/>
                <w:sz w:val="24"/>
                <w:szCs w:val="24"/>
              </w:rPr>
            </w:pPr>
            <w:r w:rsidRPr="006F6F3C">
              <w:rPr>
                <w:rFonts w:asciiTheme="majorHAnsi" w:hAnsiTheme="majorHAnsi"/>
                <w:sz w:val="24"/>
                <w:szCs w:val="24"/>
              </w:rPr>
              <w:t>магистратура</w:t>
            </w:r>
          </w:p>
        </w:tc>
        <w:tc>
          <w:tcPr>
            <w:tcW w:w="2914" w:type="dxa"/>
            <w:vAlign w:val="center"/>
          </w:tcPr>
          <w:p w:rsidR="006F6F3C" w:rsidRPr="006F6F3C" w:rsidRDefault="006F6F3C" w:rsidP="00DA28FA">
            <w:pPr>
              <w:rPr>
                <w:rFonts w:asciiTheme="majorHAnsi" w:hAnsiTheme="majorHAnsi"/>
                <w:sz w:val="24"/>
                <w:szCs w:val="24"/>
              </w:rPr>
            </w:pPr>
            <w:r w:rsidRPr="006F6F3C">
              <w:rPr>
                <w:rFonts w:asciiTheme="majorHAnsi" w:hAnsiTheme="majorHAnsi"/>
                <w:sz w:val="24"/>
                <w:szCs w:val="24"/>
              </w:rPr>
              <w:t>от 28.06.2013 № 47</w:t>
            </w:r>
          </w:p>
        </w:tc>
      </w:tr>
      <w:tr w:rsidR="006F6F3C" w:rsidRPr="006F6F3C" w:rsidTr="00DA28FA">
        <w:tc>
          <w:tcPr>
            <w:tcW w:w="3424" w:type="dxa"/>
            <w:vAlign w:val="center"/>
          </w:tcPr>
          <w:p w:rsidR="006F6F3C" w:rsidRPr="006F6F3C" w:rsidRDefault="006F6F3C" w:rsidP="00DA28FA">
            <w:pPr>
              <w:rPr>
                <w:rFonts w:asciiTheme="majorHAnsi" w:hAnsiTheme="majorHAnsi"/>
                <w:sz w:val="24"/>
                <w:szCs w:val="24"/>
              </w:rPr>
            </w:pPr>
            <w:r w:rsidRPr="006F6F3C">
              <w:rPr>
                <w:rFonts w:asciiTheme="majorHAnsi" w:hAnsiTheme="majorHAnsi"/>
                <w:sz w:val="24"/>
                <w:szCs w:val="24"/>
              </w:rPr>
              <w:t>031300.62 «Журналистика» (переработка)</w:t>
            </w:r>
          </w:p>
        </w:tc>
        <w:tc>
          <w:tcPr>
            <w:tcW w:w="3233" w:type="dxa"/>
            <w:vAlign w:val="center"/>
          </w:tcPr>
          <w:p w:rsidR="006F6F3C" w:rsidRPr="006F6F3C" w:rsidRDefault="006F6F3C" w:rsidP="00DA28FA">
            <w:pPr>
              <w:rPr>
                <w:rFonts w:asciiTheme="majorHAnsi" w:hAnsiTheme="majorHAnsi"/>
                <w:sz w:val="24"/>
                <w:szCs w:val="24"/>
              </w:rPr>
            </w:pPr>
            <w:proofErr w:type="spellStart"/>
            <w:r w:rsidRPr="006F6F3C">
              <w:rPr>
                <w:rFonts w:asciiTheme="majorHAnsi" w:hAnsiTheme="majorHAnsi"/>
                <w:sz w:val="24"/>
                <w:szCs w:val="24"/>
              </w:rPr>
              <w:t>бакалавриат</w:t>
            </w:r>
            <w:proofErr w:type="spellEnd"/>
          </w:p>
        </w:tc>
        <w:tc>
          <w:tcPr>
            <w:tcW w:w="2914" w:type="dxa"/>
            <w:vAlign w:val="center"/>
          </w:tcPr>
          <w:p w:rsidR="006F6F3C" w:rsidRPr="006F6F3C" w:rsidRDefault="006F6F3C" w:rsidP="00DA28FA">
            <w:pPr>
              <w:rPr>
                <w:rFonts w:asciiTheme="majorHAnsi" w:hAnsiTheme="majorHAnsi"/>
                <w:sz w:val="24"/>
                <w:szCs w:val="24"/>
              </w:rPr>
            </w:pPr>
            <w:r w:rsidRPr="006F6F3C">
              <w:rPr>
                <w:rFonts w:asciiTheme="majorHAnsi" w:hAnsiTheme="majorHAnsi"/>
                <w:sz w:val="24"/>
                <w:szCs w:val="24"/>
              </w:rPr>
              <w:t>от 29.04.2013 г. № 7</w:t>
            </w:r>
          </w:p>
        </w:tc>
      </w:tr>
    </w:tbl>
    <w:p w:rsidR="006F6F3C" w:rsidRPr="00C4709E" w:rsidRDefault="006F6F3C" w:rsidP="006F6F3C">
      <w:pPr>
        <w:rPr>
          <w:rFonts w:ascii="Times New Roman" w:hAnsi="Times New Roman"/>
        </w:rPr>
      </w:pPr>
      <w:r w:rsidRPr="00C4709E">
        <w:rPr>
          <w:rFonts w:ascii="Times New Roman" w:hAnsi="Times New Roman"/>
        </w:rPr>
        <w:lastRenderedPageBreak/>
        <w:t xml:space="preserve"> </w:t>
      </w:r>
    </w:p>
    <w:p w:rsidR="006F6F3C" w:rsidRPr="006F6F3C" w:rsidRDefault="006F6F3C" w:rsidP="006F6F3C">
      <w:pPr>
        <w:jc w:val="both"/>
      </w:pPr>
      <w:r w:rsidRPr="006F6F3C">
        <w:t>Динамика разработки ОС НИУ ВШЭ с 2010 года представлена в следующей таблице:</w:t>
      </w:r>
    </w:p>
    <w:tbl>
      <w:tblPr>
        <w:tblW w:w="9701" w:type="dxa"/>
        <w:tblInd w:w="108" w:type="dxa"/>
        <w:tblLook w:val="04A0" w:firstRow="1" w:lastRow="0" w:firstColumn="1" w:lastColumn="0" w:noHBand="0" w:noVBand="1"/>
      </w:tblPr>
      <w:tblGrid>
        <w:gridCol w:w="2599"/>
        <w:gridCol w:w="1271"/>
        <w:gridCol w:w="912"/>
        <w:gridCol w:w="912"/>
        <w:gridCol w:w="912"/>
        <w:gridCol w:w="1271"/>
        <w:gridCol w:w="912"/>
        <w:gridCol w:w="912"/>
      </w:tblGrid>
      <w:tr w:rsidR="006F6F3C" w:rsidRPr="006F6F3C" w:rsidTr="00DA28FA">
        <w:trPr>
          <w:trHeight w:val="780"/>
        </w:trPr>
        <w:tc>
          <w:tcPr>
            <w:tcW w:w="2609" w:type="dxa"/>
            <w:vMerge w:val="restart"/>
            <w:tcBorders>
              <w:top w:val="single" w:sz="4" w:space="0" w:color="3F3F3F"/>
              <w:left w:val="nil"/>
              <w:right w:val="single" w:sz="4" w:space="0" w:color="3F3F3F"/>
            </w:tcBorders>
            <w:shd w:val="clear" w:color="000000" w:fill="FFFFFF"/>
            <w:hideMark/>
          </w:tcPr>
          <w:p w:rsidR="006F6F3C" w:rsidRPr="006F6F3C" w:rsidRDefault="006F6F3C" w:rsidP="00DA28FA">
            <w:pPr>
              <w:rPr>
                <w:rFonts w:asciiTheme="majorHAnsi" w:hAnsiTheme="majorHAnsi"/>
              </w:rPr>
            </w:pPr>
            <w:r w:rsidRPr="006F6F3C">
              <w:rPr>
                <w:rFonts w:asciiTheme="majorHAnsi" w:hAnsiTheme="majorHAnsi"/>
              </w:rPr>
              <w:t>показатель</w:t>
            </w:r>
          </w:p>
          <w:p w:rsidR="006F6F3C" w:rsidRPr="006F6F3C" w:rsidRDefault="006F6F3C" w:rsidP="00DA28FA">
            <w:pPr>
              <w:rPr>
                <w:rFonts w:asciiTheme="majorHAnsi" w:hAnsiTheme="majorHAnsi"/>
              </w:rPr>
            </w:pPr>
            <w:r w:rsidRPr="006F6F3C">
              <w:rPr>
                <w:rFonts w:asciiTheme="majorHAnsi" w:hAnsiTheme="majorHAnsi"/>
              </w:rPr>
              <w:t> </w:t>
            </w:r>
          </w:p>
          <w:p w:rsidR="006F6F3C" w:rsidRPr="006F6F3C" w:rsidRDefault="006F6F3C" w:rsidP="00DA28FA">
            <w:pPr>
              <w:rPr>
                <w:rFonts w:asciiTheme="majorHAnsi" w:hAnsiTheme="majorHAnsi"/>
              </w:rPr>
            </w:pPr>
            <w:r w:rsidRPr="006F6F3C">
              <w:rPr>
                <w:rFonts w:asciiTheme="majorHAnsi" w:hAnsiTheme="majorHAnsi"/>
              </w:rPr>
              <w:t> </w:t>
            </w:r>
          </w:p>
          <w:p w:rsidR="006F6F3C" w:rsidRPr="006F6F3C" w:rsidRDefault="006F6F3C" w:rsidP="00DA28FA">
            <w:pPr>
              <w:rPr>
                <w:rFonts w:asciiTheme="majorHAnsi" w:hAnsiTheme="majorHAnsi"/>
              </w:rPr>
            </w:pPr>
            <w:r w:rsidRPr="006F6F3C">
              <w:rPr>
                <w:rFonts w:asciiTheme="majorHAnsi" w:hAnsiTheme="majorHAnsi"/>
              </w:rPr>
              <w:t> </w:t>
            </w:r>
          </w:p>
        </w:tc>
        <w:tc>
          <w:tcPr>
            <w:tcW w:w="4004" w:type="dxa"/>
            <w:gridSpan w:val="4"/>
            <w:tcBorders>
              <w:top w:val="single" w:sz="4" w:space="0" w:color="3F3F3F"/>
              <w:left w:val="single" w:sz="4" w:space="0" w:color="3F3F3F"/>
              <w:bottom w:val="nil"/>
              <w:right w:val="single" w:sz="4" w:space="0" w:color="3F3F3F"/>
            </w:tcBorders>
            <w:shd w:val="clear" w:color="000000" w:fill="FFFFFF"/>
            <w:hideMark/>
          </w:tcPr>
          <w:p w:rsidR="006F6F3C" w:rsidRPr="006F6F3C" w:rsidRDefault="006F6F3C" w:rsidP="00DA28FA">
            <w:pPr>
              <w:jc w:val="center"/>
              <w:rPr>
                <w:rFonts w:asciiTheme="majorHAnsi" w:hAnsiTheme="majorHAnsi"/>
                <w:color w:val="3F3F3F"/>
              </w:rPr>
            </w:pPr>
            <w:r w:rsidRPr="006F6F3C">
              <w:rPr>
                <w:rFonts w:asciiTheme="majorHAnsi" w:hAnsiTheme="majorHAnsi"/>
                <w:color w:val="3F3F3F"/>
              </w:rPr>
              <w:t>по программам подготовки бакалавров</w:t>
            </w:r>
          </w:p>
        </w:tc>
        <w:tc>
          <w:tcPr>
            <w:tcW w:w="3088" w:type="dxa"/>
            <w:gridSpan w:val="3"/>
            <w:tcBorders>
              <w:top w:val="single" w:sz="4" w:space="0" w:color="3F3F3F"/>
              <w:left w:val="nil"/>
              <w:bottom w:val="nil"/>
              <w:right w:val="single" w:sz="4" w:space="0" w:color="3F3F3F"/>
            </w:tcBorders>
            <w:shd w:val="clear" w:color="000000" w:fill="FFFFFF"/>
            <w:hideMark/>
          </w:tcPr>
          <w:p w:rsidR="006F6F3C" w:rsidRPr="006F6F3C" w:rsidRDefault="006F6F3C" w:rsidP="00DA28FA">
            <w:pPr>
              <w:jc w:val="center"/>
              <w:rPr>
                <w:rFonts w:asciiTheme="majorHAnsi" w:hAnsiTheme="majorHAnsi"/>
                <w:color w:val="3F3F3F"/>
              </w:rPr>
            </w:pPr>
            <w:r w:rsidRPr="006F6F3C">
              <w:rPr>
                <w:rFonts w:asciiTheme="majorHAnsi" w:hAnsiTheme="majorHAnsi"/>
                <w:color w:val="3F3F3F"/>
              </w:rPr>
              <w:t>по программам подготовки магистров</w:t>
            </w:r>
          </w:p>
        </w:tc>
      </w:tr>
      <w:tr w:rsidR="006F6F3C" w:rsidRPr="006F6F3C" w:rsidTr="00DA28FA">
        <w:trPr>
          <w:trHeight w:val="1845"/>
        </w:trPr>
        <w:tc>
          <w:tcPr>
            <w:tcW w:w="2609" w:type="dxa"/>
            <w:vMerge/>
            <w:tcBorders>
              <w:left w:val="nil"/>
              <w:bottom w:val="single" w:sz="4" w:space="0" w:color="3F3F3F"/>
              <w:right w:val="single" w:sz="4" w:space="0" w:color="3F3F3F"/>
            </w:tcBorders>
            <w:shd w:val="clear" w:color="000000" w:fill="FFFFFF"/>
            <w:hideMark/>
          </w:tcPr>
          <w:p w:rsidR="006F6F3C" w:rsidRPr="006F6F3C" w:rsidRDefault="006F6F3C" w:rsidP="00DA28FA">
            <w:pPr>
              <w:rPr>
                <w:rFonts w:asciiTheme="majorHAnsi" w:hAnsiTheme="majorHAnsi"/>
              </w:rPr>
            </w:pPr>
          </w:p>
        </w:tc>
        <w:tc>
          <w:tcPr>
            <w:tcW w:w="1256" w:type="dxa"/>
            <w:tcBorders>
              <w:top w:val="single" w:sz="4" w:space="0" w:color="auto"/>
              <w:left w:val="single" w:sz="4" w:space="0" w:color="auto"/>
              <w:bottom w:val="single" w:sz="4" w:space="0" w:color="auto"/>
              <w:right w:val="single" w:sz="4" w:space="0" w:color="auto"/>
            </w:tcBorders>
            <w:shd w:val="clear" w:color="000000" w:fill="FFFFFF"/>
            <w:hideMark/>
          </w:tcPr>
          <w:p w:rsidR="006F6F3C" w:rsidRPr="006F6F3C" w:rsidRDefault="006F6F3C" w:rsidP="00DA28FA">
            <w:pPr>
              <w:rPr>
                <w:rFonts w:asciiTheme="majorHAnsi" w:hAnsiTheme="majorHAnsi"/>
                <w:color w:val="3F3F3F"/>
              </w:rPr>
            </w:pPr>
            <w:r w:rsidRPr="006F6F3C">
              <w:rPr>
                <w:rFonts w:asciiTheme="majorHAnsi" w:hAnsiTheme="majorHAnsi"/>
                <w:color w:val="3F3F3F"/>
              </w:rPr>
              <w:t xml:space="preserve">2010 год с момента </w:t>
            </w:r>
            <w:proofErr w:type="spellStart"/>
            <w:proofErr w:type="gramStart"/>
            <w:r w:rsidRPr="006F6F3C">
              <w:rPr>
                <w:rFonts w:asciiTheme="majorHAnsi" w:hAnsiTheme="majorHAnsi"/>
                <w:color w:val="3F3F3F"/>
              </w:rPr>
              <w:t>утвержде-ния</w:t>
            </w:r>
            <w:proofErr w:type="spellEnd"/>
            <w:proofErr w:type="gramEnd"/>
            <w:r w:rsidRPr="006F6F3C">
              <w:rPr>
                <w:rFonts w:asciiTheme="majorHAnsi" w:hAnsiTheme="majorHAnsi"/>
                <w:color w:val="3F3F3F"/>
              </w:rPr>
              <w:t xml:space="preserve"> первого ОС </w:t>
            </w:r>
          </w:p>
        </w:tc>
        <w:tc>
          <w:tcPr>
            <w:tcW w:w="916" w:type="dxa"/>
            <w:tcBorders>
              <w:top w:val="single" w:sz="4" w:space="0" w:color="3F3F3F"/>
              <w:left w:val="single" w:sz="4" w:space="0" w:color="3F3F3F"/>
              <w:bottom w:val="single" w:sz="4" w:space="0" w:color="3F3F3F"/>
              <w:right w:val="single" w:sz="4" w:space="0" w:color="3F3F3F"/>
            </w:tcBorders>
            <w:shd w:val="clear" w:color="000000" w:fill="FFFFFF"/>
            <w:hideMark/>
          </w:tcPr>
          <w:p w:rsidR="006F6F3C" w:rsidRPr="006F6F3C" w:rsidRDefault="006F6F3C" w:rsidP="00DA28FA">
            <w:pPr>
              <w:rPr>
                <w:rFonts w:asciiTheme="majorHAnsi" w:hAnsiTheme="majorHAnsi"/>
                <w:color w:val="3F3F3F"/>
              </w:rPr>
            </w:pPr>
            <w:r w:rsidRPr="006F6F3C">
              <w:rPr>
                <w:rFonts w:asciiTheme="majorHAnsi" w:hAnsiTheme="majorHAnsi"/>
                <w:color w:val="3F3F3F"/>
              </w:rPr>
              <w:t>2011 год</w:t>
            </w:r>
          </w:p>
        </w:tc>
        <w:tc>
          <w:tcPr>
            <w:tcW w:w="916" w:type="dxa"/>
            <w:tcBorders>
              <w:top w:val="single" w:sz="4" w:space="0" w:color="3F3F3F"/>
              <w:left w:val="nil"/>
              <w:bottom w:val="single" w:sz="4" w:space="0" w:color="3F3F3F"/>
              <w:right w:val="single" w:sz="4" w:space="0" w:color="3F3F3F"/>
            </w:tcBorders>
            <w:shd w:val="clear" w:color="000000" w:fill="FFFFFF"/>
            <w:hideMark/>
          </w:tcPr>
          <w:p w:rsidR="006F6F3C" w:rsidRPr="006F6F3C" w:rsidRDefault="006F6F3C" w:rsidP="00DA28FA">
            <w:pPr>
              <w:rPr>
                <w:rFonts w:asciiTheme="majorHAnsi" w:hAnsiTheme="majorHAnsi"/>
                <w:color w:val="3F3F3F"/>
              </w:rPr>
            </w:pPr>
            <w:r w:rsidRPr="006F6F3C">
              <w:rPr>
                <w:rFonts w:asciiTheme="majorHAnsi" w:hAnsiTheme="majorHAnsi"/>
                <w:color w:val="3F3F3F"/>
              </w:rPr>
              <w:t>2012 год</w:t>
            </w:r>
          </w:p>
        </w:tc>
        <w:tc>
          <w:tcPr>
            <w:tcW w:w="916" w:type="dxa"/>
            <w:tcBorders>
              <w:top w:val="single" w:sz="4" w:space="0" w:color="3F3F3F"/>
              <w:left w:val="nil"/>
              <w:bottom w:val="single" w:sz="4" w:space="0" w:color="3F3F3F"/>
              <w:right w:val="single" w:sz="4" w:space="0" w:color="3F3F3F"/>
            </w:tcBorders>
            <w:shd w:val="clear" w:color="000000" w:fill="FFFFFF"/>
            <w:hideMark/>
          </w:tcPr>
          <w:p w:rsidR="006F6F3C" w:rsidRPr="006F6F3C" w:rsidRDefault="006F6F3C" w:rsidP="00DA28FA">
            <w:pPr>
              <w:rPr>
                <w:rFonts w:asciiTheme="majorHAnsi" w:hAnsiTheme="majorHAnsi"/>
                <w:color w:val="3F3F3F"/>
              </w:rPr>
            </w:pPr>
            <w:r w:rsidRPr="006F6F3C">
              <w:rPr>
                <w:rFonts w:asciiTheme="majorHAnsi" w:hAnsiTheme="majorHAnsi"/>
                <w:color w:val="3F3F3F"/>
              </w:rPr>
              <w:t>2013 год</w:t>
            </w:r>
          </w:p>
        </w:tc>
        <w:tc>
          <w:tcPr>
            <w:tcW w:w="1256" w:type="dxa"/>
            <w:tcBorders>
              <w:top w:val="single" w:sz="4" w:space="0" w:color="auto"/>
              <w:left w:val="single" w:sz="4" w:space="0" w:color="auto"/>
              <w:bottom w:val="single" w:sz="4" w:space="0" w:color="auto"/>
              <w:right w:val="single" w:sz="4" w:space="0" w:color="auto"/>
            </w:tcBorders>
            <w:shd w:val="clear" w:color="000000" w:fill="FFFFFF"/>
            <w:hideMark/>
          </w:tcPr>
          <w:p w:rsidR="006F6F3C" w:rsidRPr="006F6F3C" w:rsidRDefault="006F6F3C" w:rsidP="00DA28FA">
            <w:pPr>
              <w:rPr>
                <w:rFonts w:asciiTheme="majorHAnsi" w:hAnsiTheme="majorHAnsi"/>
                <w:color w:val="3F3F3F"/>
              </w:rPr>
            </w:pPr>
            <w:r w:rsidRPr="006F6F3C">
              <w:rPr>
                <w:rFonts w:asciiTheme="majorHAnsi" w:hAnsiTheme="majorHAnsi"/>
                <w:color w:val="3F3F3F"/>
              </w:rPr>
              <w:t xml:space="preserve">2011 с момента </w:t>
            </w:r>
            <w:proofErr w:type="spellStart"/>
            <w:proofErr w:type="gramStart"/>
            <w:r w:rsidRPr="006F6F3C">
              <w:rPr>
                <w:rFonts w:asciiTheme="majorHAnsi" w:hAnsiTheme="majorHAnsi"/>
                <w:color w:val="3F3F3F"/>
              </w:rPr>
              <w:t>утвержде-ния</w:t>
            </w:r>
            <w:proofErr w:type="spellEnd"/>
            <w:proofErr w:type="gramEnd"/>
            <w:r w:rsidRPr="006F6F3C">
              <w:rPr>
                <w:rFonts w:asciiTheme="majorHAnsi" w:hAnsiTheme="majorHAnsi"/>
                <w:color w:val="3F3F3F"/>
              </w:rPr>
              <w:t xml:space="preserve"> первого ОС </w:t>
            </w:r>
          </w:p>
        </w:tc>
        <w:tc>
          <w:tcPr>
            <w:tcW w:w="916" w:type="dxa"/>
            <w:tcBorders>
              <w:top w:val="single" w:sz="4" w:space="0" w:color="3F3F3F"/>
              <w:left w:val="single" w:sz="4" w:space="0" w:color="3F3F3F"/>
              <w:bottom w:val="single" w:sz="4" w:space="0" w:color="3F3F3F"/>
              <w:right w:val="single" w:sz="4" w:space="0" w:color="3F3F3F"/>
            </w:tcBorders>
            <w:shd w:val="clear" w:color="000000" w:fill="FFFFFF"/>
            <w:hideMark/>
          </w:tcPr>
          <w:p w:rsidR="006F6F3C" w:rsidRPr="006F6F3C" w:rsidRDefault="006F6F3C" w:rsidP="00DA28FA">
            <w:pPr>
              <w:rPr>
                <w:rFonts w:asciiTheme="majorHAnsi" w:hAnsiTheme="majorHAnsi"/>
                <w:color w:val="3F3F3F"/>
              </w:rPr>
            </w:pPr>
            <w:r w:rsidRPr="006F6F3C">
              <w:rPr>
                <w:rFonts w:asciiTheme="majorHAnsi" w:hAnsiTheme="majorHAnsi"/>
                <w:color w:val="3F3F3F"/>
              </w:rPr>
              <w:t>2012 год</w:t>
            </w:r>
          </w:p>
        </w:tc>
        <w:tc>
          <w:tcPr>
            <w:tcW w:w="916" w:type="dxa"/>
            <w:tcBorders>
              <w:top w:val="single" w:sz="4" w:space="0" w:color="3F3F3F"/>
              <w:left w:val="nil"/>
              <w:bottom w:val="single" w:sz="4" w:space="0" w:color="3F3F3F"/>
              <w:right w:val="single" w:sz="4" w:space="0" w:color="3F3F3F"/>
            </w:tcBorders>
            <w:shd w:val="clear" w:color="000000" w:fill="FFFFFF"/>
            <w:hideMark/>
          </w:tcPr>
          <w:p w:rsidR="006F6F3C" w:rsidRPr="006F6F3C" w:rsidRDefault="006F6F3C" w:rsidP="00DA28FA">
            <w:pPr>
              <w:rPr>
                <w:rFonts w:asciiTheme="majorHAnsi" w:hAnsiTheme="majorHAnsi"/>
                <w:color w:val="3F3F3F"/>
              </w:rPr>
            </w:pPr>
            <w:r w:rsidRPr="006F6F3C">
              <w:rPr>
                <w:rFonts w:asciiTheme="majorHAnsi" w:hAnsiTheme="majorHAnsi"/>
                <w:color w:val="3F3F3F"/>
              </w:rPr>
              <w:t>2013 год</w:t>
            </w:r>
          </w:p>
        </w:tc>
      </w:tr>
      <w:tr w:rsidR="006F6F3C" w:rsidRPr="006F6F3C" w:rsidTr="00DA28FA">
        <w:trPr>
          <w:trHeight w:val="2070"/>
        </w:trPr>
        <w:tc>
          <w:tcPr>
            <w:tcW w:w="2609" w:type="dxa"/>
            <w:tcBorders>
              <w:top w:val="single" w:sz="4" w:space="0" w:color="3F3F3F"/>
              <w:left w:val="single" w:sz="4" w:space="0" w:color="3F3F3F"/>
              <w:bottom w:val="single" w:sz="4" w:space="0" w:color="3F3F3F"/>
              <w:right w:val="single" w:sz="4" w:space="0" w:color="3F3F3F"/>
            </w:tcBorders>
            <w:shd w:val="clear" w:color="000000" w:fill="FFFFFF"/>
            <w:hideMark/>
          </w:tcPr>
          <w:p w:rsidR="006F6F3C" w:rsidRPr="006F6F3C" w:rsidRDefault="006F6F3C" w:rsidP="00DA28FA">
            <w:pPr>
              <w:rPr>
                <w:rFonts w:asciiTheme="majorHAnsi" w:hAnsiTheme="majorHAnsi"/>
              </w:rPr>
            </w:pPr>
            <w:r w:rsidRPr="006F6F3C">
              <w:rPr>
                <w:rFonts w:asciiTheme="majorHAnsi" w:hAnsiTheme="majorHAnsi"/>
              </w:rPr>
              <w:t>Количество самостоятельно разработанных и утвержденных образовательных стандартов (далее - ОС)</w:t>
            </w:r>
          </w:p>
        </w:tc>
        <w:tc>
          <w:tcPr>
            <w:tcW w:w="1256" w:type="dxa"/>
            <w:tcBorders>
              <w:top w:val="nil"/>
              <w:left w:val="nil"/>
              <w:bottom w:val="single" w:sz="4" w:space="0" w:color="3F3F3F"/>
              <w:right w:val="single" w:sz="4" w:space="0" w:color="3F3F3F"/>
            </w:tcBorders>
            <w:shd w:val="clear" w:color="000000" w:fill="FFFFFF"/>
            <w:hideMark/>
          </w:tcPr>
          <w:p w:rsidR="006F6F3C" w:rsidRPr="006F6F3C" w:rsidRDefault="006F6F3C" w:rsidP="00DA28FA">
            <w:pPr>
              <w:rPr>
                <w:rFonts w:asciiTheme="majorHAnsi" w:hAnsiTheme="majorHAnsi"/>
                <w:color w:val="3F3F3F"/>
              </w:rPr>
            </w:pPr>
            <w:r w:rsidRPr="006F6F3C">
              <w:rPr>
                <w:rFonts w:asciiTheme="majorHAnsi" w:hAnsiTheme="majorHAnsi"/>
                <w:color w:val="3F3F3F"/>
              </w:rPr>
              <w:t>17</w:t>
            </w:r>
          </w:p>
        </w:tc>
        <w:tc>
          <w:tcPr>
            <w:tcW w:w="916" w:type="dxa"/>
            <w:tcBorders>
              <w:top w:val="nil"/>
              <w:left w:val="nil"/>
              <w:bottom w:val="single" w:sz="4" w:space="0" w:color="3F3F3F"/>
              <w:right w:val="single" w:sz="4" w:space="0" w:color="3F3F3F"/>
            </w:tcBorders>
            <w:shd w:val="clear" w:color="000000" w:fill="FFFFFF"/>
            <w:hideMark/>
          </w:tcPr>
          <w:p w:rsidR="006F6F3C" w:rsidRPr="006F6F3C" w:rsidRDefault="006F6F3C" w:rsidP="00DA28FA">
            <w:pPr>
              <w:rPr>
                <w:rFonts w:asciiTheme="majorHAnsi" w:hAnsiTheme="majorHAnsi"/>
                <w:color w:val="3F3F3F"/>
              </w:rPr>
            </w:pPr>
            <w:r w:rsidRPr="006F6F3C">
              <w:rPr>
                <w:rFonts w:asciiTheme="majorHAnsi" w:hAnsiTheme="majorHAnsi"/>
                <w:color w:val="3F3F3F"/>
              </w:rPr>
              <w:t>5</w:t>
            </w:r>
          </w:p>
        </w:tc>
        <w:tc>
          <w:tcPr>
            <w:tcW w:w="916" w:type="dxa"/>
            <w:tcBorders>
              <w:top w:val="nil"/>
              <w:left w:val="nil"/>
              <w:bottom w:val="single" w:sz="4" w:space="0" w:color="3F3F3F"/>
              <w:right w:val="single" w:sz="4" w:space="0" w:color="3F3F3F"/>
            </w:tcBorders>
            <w:shd w:val="clear" w:color="000000" w:fill="FFFFFF"/>
            <w:hideMark/>
          </w:tcPr>
          <w:p w:rsidR="006F6F3C" w:rsidRPr="006F6F3C" w:rsidRDefault="006F6F3C" w:rsidP="00DA28FA">
            <w:pPr>
              <w:rPr>
                <w:rFonts w:asciiTheme="majorHAnsi" w:hAnsiTheme="majorHAnsi"/>
                <w:color w:val="3F3F3F"/>
              </w:rPr>
            </w:pPr>
            <w:r w:rsidRPr="006F6F3C">
              <w:rPr>
                <w:rFonts w:asciiTheme="majorHAnsi" w:hAnsiTheme="majorHAnsi"/>
                <w:color w:val="3F3F3F"/>
              </w:rPr>
              <w:t>1</w:t>
            </w:r>
          </w:p>
        </w:tc>
        <w:tc>
          <w:tcPr>
            <w:tcW w:w="916" w:type="dxa"/>
            <w:tcBorders>
              <w:top w:val="nil"/>
              <w:left w:val="nil"/>
              <w:bottom w:val="single" w:sz="4" w:space="0" w:color="3F3F3F"/>
              <w:right w:val="single" w:sz="4" w:space="0" w:color="3F3F3F"/>
            </w:tcBorders>
            <w:shd w:val="clear" w:color="000000" w:fill="FFFFFF"/>
            <w:hideMark/>
          </w:tcPr>
          <w:p w:rsidR="006F6F3C" w:rsidRPr="006F6F3C" w:rsidRDefault="006F6F3C" w:rsidP="00DA28FA">
            <w:pPr>
              <w:rPr>
                <w:rFonts w:asciiTheme="majorHAnsi" w:hAnsiTheme="majorHAnsi"/>
                <w:color w:val="3F3F3F"/>
              </w:rPr>
            </w:pPr>
            <w:r w:rsidRPr="006F6F3C">
              <w:rPr>
                <w:rFonts w:asciiTheme="majorHAnsi" w:hAnsiTheme="majorHAnsi"/>
                <w:color w:val="3F3F3F"/>
              </w:rPr>
              <w:t>1</w:t>
            </w:r>
          </w:p>
        </w:tc>
        <w:tc>
          <w:tcPr>
            <w:tcW w:w="1256" w:type="dxa"/>
            <w:tcBorders>
              <w:top w:val="nil"/>
              <w:left w:val="nil"/>
              <w:bottom w:val="single" w:sz="4" w:space="0" w:color="3F3F3F"/>
              <w:right w:val="single" w:sz="4" w:space="0" w:color="3F3F3F"/>
            </w:tcBorders>
            <w:shd w:val="clear" w:color="000000" w:fill="FFFFFF"/>
            <w:hideMark/>
          </w:tcPr>
          <w:p w:rsidR="006F6F3C" w:rsidRPr="006F6F3C" w:rsidRDefault="006F6F3C" w:rsidP="00DA28FA">
            <w:pPr>
              <w:rPr>
                <w:rFonts w:asciiTheme="majorHAnsi" w:hAnsiTheme="majorHAnsi"/>
                <w:color w:val="3F3F3F"/>
              </w:rPr>
            </w:pPr>
            <w:r w:rsidRPr="006F6F3C">
              <w:rPr>
                <w:rFonts w:asciiTheme="majorHAnsi" w:hAnsiTheme="majorHAnsi"/>
                <w:color w:val="3F3F3F"/>
              </w:rPr>
              <w:t>16</w:t>
            </w:r>
          </w:p>
        </w:tc>
        <w:tc>
          <w:tcPr>
            <w:tcW w:w="916" w:type="dxa"/>
            <w:tcBorders>
              <w:top w:val="nil"/>
              <w:left w:val="nil"/>
              <w:bottom w:val="single" w:sz="4" w:space="0" w:color="3F3F3F"/>
              <w:right w:val="single" w:sz="4" w:space="0" w:color="3F3F3F"/>
            </w:tcBorders>
            <w:shd w:val="clear" w:color="000000" w:fill="FFFFFF"/>
            <w:hideMark/>
          </w:tcPr>
          <w:p w:rsidR="006F6F3C" w:rsidRPr="006F6F3C" w:rsidRDefault="006F6F3C" w:rsidP="00DA28FA">
            <w:pPr>
              <w:rPr>
                <w:rFonts w:asciiTheme="majorHAnsi" w:hAnsiTheme="majorHAnsi"/>
                <w:color w:val="3F3F3F"/>
              </w:rPr>
            </w:pPr>
            <w:r w:rsidRPr="006F6F3C">
              <w:rPr>
                <w:rFonts w:asciiTheme="majorHAnsi" w:hAnsiTheme="majorHAnsi"/>
                <w:color w:val="3F3F3F"/>
              </w:rPr>
              <w:t>6</w:t>
            </w:r>
          </w:p>
        </w:tc>
        <w:tc>
          <w:tcPr>
            <w:tcW w:w="916" w:type="dxa"/>
            <w:tcBorders>
              <w:top w:val="nil"/>
              <w:left w:val="nil"/>
              <w:bottom w:val="single" w:sz="4" w:space="0" w:color="3F3F3F"/>
              <w:right w:val="single" w:sz="4" w:space="0" w:color="3F3F3F"/>
            </w:tcBorders>
            <w:shd w:val="clear" w:color="000000" w:fill="FFFFFF"/>
            <w:hideMark/>
          </w:tcPr>
          <w:p w:rsidR="006F6F3C" w:rsidRPr="006F6F3C" w:rsidRDefault="006F6F3C" w:rsidP="00DA28FA">
            <w:pPr>
              <w:rPr>
                <w:rFonts w:asciiTheme="majorHAnsi" w:hAnsiTheme="majorHAnsi"/>
                <w:color w:val="3F3F3F"/>
              </w:rPr>
            </w:pPr>
            <w:r w:rsidRPr="006F6F3C">
              <w:rPr>
                <w:rFonts w:asciiTheme="majorHAnsi" w:hAnsiTheme="majorHAnsi"/>
                <w:color w:val="3F3F3F"/>
              </w:rPr>
              <w:t>2</w:t>
            </w:r>
          </w:p>
        </w:tc>
      </w:tr>
      <w:tr w:rsidR="006F6F3C" w:rsidRPr="006F6F3C" w:rsidTr="00394557">
        <w:trPr>
          <w:trHeight w:val="880"/>
        </w:trPr>
        <w:tc>
          <w:tcPr>
            <w:tcW w:w="2609" w:type="dxa"/>
            <w:tcBorders>
              <w:top w:val="single" w:sz="4" w:space="0" w:color="3F3F3F"/>
              <w:left w:val="single" w:sz="4" w:space="0" w:color="3F3F3F"/>
              <w:bottom w:val="single" w:sz="4" w:space="0" w:color="3F3F3F"/>
              <w:right w:val="single" w:sz="4" w:space="0" w:color="3F3F3F"/>
            </w:tcBorders>
            <w:shd w:val="clear" w:color="000000" w:fill="FFFFFF"/>
            <w:hideMark/>
          </w:tcPr>
          <w:p w:rsidR="006F6F3C" w:rsidRPr="006F6F3C" w:rsidRDefault="006F6F3C" w:rsidP="00DA28FA">
            <w:pPr>
              <w:rPr>
                <w:rFonts w:asciiTheme="majorHAnsi" w:hAnsiTheme="majorHAnsi"/>
              </w:rPr>
            </w:pPr>
            <w:r w:rsidRPr="006F6F3C">
              <w:rPr>
                <w:rFonts w:asciiTheme="majorHAnsi" w:hAnsiTheme="majorHAnsi"/>
              </w:rPr>
              <w:t xml:space="preserve">Количество ООП, </w:t>
            </w:r>
            <w:proofErr w:type="gramStart"/>
            <w:r w:rsidRPr="006F6F3C">
              <w:rPr>
                <w:rFonts w:asciiTheme="majorHAnsi" w:hAnsiTheme="majorHAnsi"/>
              </w:rPr>
              <w:t>разработанные</w:t>
            </w:r>
            <w:proofErr w:type="gramEnd"/>
            <w:r w:rsidRPr="006F6F3C">
              <w:rPr>
                <w:rFonts w:asciiTheme="majorHAnsi" w:hAnsiTheme="majorHAnsi"/>
              </w:rPr>
              <w:t xml:space="preserve"> на основе ОС</w:t>
            </w:r>
          </w:p>
        </w:tc>
        <w:tc>
          <w:tcPr>
            <w:tcW w:w="1256" w:type="dxa"/>
            <w:tcBorders>
              <w:top w:val="nil"/>
              <w:left w:val="nil"/>
              <w:bottom w:val="single" w:sz="4" w:space="0" w:color="3F3F3F"/>
              <w:right w:val="single" w:sz="4" w:space="0" w:color="3F3F3F"/>
            </w:tcBorders>
            <w:shd w:val="clear" w:color="000000" w:fill="FFFFFF"/>
            <w:hideMark/>
          </w:tcPr>
          <w:p w:rsidR="006F6F3C" w:rsidRPr="006F6F3C" w:rsidRDefault="006F6F3C" w:rsidP="00DA28FA">
            <w:pPr>
              <w:rPr>
                <w:rFonts w:asciiTheme="majorHAnsi" w:hAnsiTheme="majorHAnsi"/>
                <w:color w:val="3F3F3F"/>
              </w:rPr>
            </w:pPr>
            <w:r w:rsidRPr="006F6F3C">
              <w:rPr>
                <w:rFonts w:asciiTheme="majorHAnsi" w:hAnsiTheme="majorHAnsi"/>
                <w:color w:val="3F3F3F"/>
              </w:rPr>
              <w:t>35</w:t>
            </w:r>
          </w:p>
        </w:tc>
        <w:tc>
          <w:tcPr>
            <w:tcW w:w="916" w:type="dxa"/>
            <w:tcBorders>
              <w:top w:val="nil"/>
              <w:left w:val="nil"/>
              <w:bottom w:val="single" w:sz="4" w:space="0" w:color="3F3F3F"/>
              <w:right w:val="single" w:sz="4" w:space="0" w:color="3F3F3F"/>
            </w:tcBorders>
            <w:shd w:val="clear" w:color="000000" w:fill="FFFFFF"/>
            <w:hideMark/>
          </w:tcPr>
          <w:p w:rsidR="006F6F3C" w:rsidRPr="006F6F3C" w:rsidRDefault="006F6F3C" w:rsidP="00DA28FA">
            <w:pPr>
              <w:rPr>
                <w:rFonts w:asciiTheme="majorHAnsi" w:hAnsiTheme="majorHAnsi"/>
                <w:color w:val="3F3F3F"/>
              </w:rPr>
            </w:pPr>
            <w:r w:rsidRPr="006F6F3C">
              <w:rPr>
                <w:rFonts w:asciiTheme="majorHAnsi" w:hAnsiTheme="majorHAnsi"/>
                <w:color w:val="3F3F3F"/>
              </w:rPr>
              <w:t>15</w:t>
            </w:r>
          </w:p>
        </w:tc>
        <w:tc>
          <w:tcPr>
            <w:tcW w:w="916" w:type="dxa"/>
            <w:tcBorders>
              <w:top w:val="nil"/>
              <w:left w:val="nil"/>
              <w:bottom w:val="single" w:sz="4" w:space="0" w:color="3F3F3F"/>
              <w:right w:val="single" w:sz="4" w:space="0" w:color="3F3F3F"/>
            </w:tcBorders>
            <w:shd w:val="clear" w:color="000000" w:fill="FFFFFF"/>
            <w:hideMark/>
          </w:tcPr>
          <w:p w:rsidR="006F6F3C" w:rsidRPr="006F6F3C" w:rsidRDefault="006F6F3C" w:rsidP="00DA28FA">
            <w:pPr>
              <w:rPr>
                <w:rFonts w:asciiTheme="majorHAnsi" w:hAnsiTheme="majorHAnsi"/>
                <w:color w:val="3F3F3F"/>
              </w:rPr>
            </w:pPr>
            <w:r w:rsidRPr="006F6F3C">
              <w:rPr>
                <w:rFonts w:asciiTheme="majorHAnsi" w:hAnsiTheme="majorHAnsi"/>
                <w:color w:val="3F3F3F"/>
              </w:rPr>
              <w:t>7</w:t>
            </w:r>
          </w:p>
        </w:tc>
        <w:tc>
          <w:tcPr>
            <w:tcW w:w="916" w:type="dxa"/>
            <w:tcBorders>
              <w:top w:val="nil"/>
              <w:left w:val="nil"/>
              <w:bottom w:val="single" w:sz="4" w:space="0" w:color="3F3F3F"/>
              <w:right w:val="single" w:sz="4" w:space="0" w:color="3F3F3F"/>
            </w:tcBorders>
            <w:shd w:val="clear" w:color="000000" w:fill="FFFFFF"/>
            <w:hideMark/>
          </w:tcPr>
          <w:p w:rsidR="006F6F3C" w:rsidRPr="006F6F3C" w:rsidRDefault="006F6F3C" w:rsidP="00DA28FA">
            <w:pPr>
              <w:rPr>
                <w:rFonts w:asciiTheme="majorHAnsi" w:hAnsiTheme="majorHAnsi"/>
                <w:color w:val="3F3F3F"/>
              </w:rPr>
            </w:pPr>
            <w:r w:rsidRPr="006F6F3C">
              <w:rPr>
                <w:rFonts w:asciiTheme="majorHAnsi" w:hAnsiTheme="majorHAnsi"/>
                <w:color w:val="3F3F3F"/>
              </w:rPr>
              <w:t>4</w:t>
            </w:r>
          </w:p>
        </w:tc>
        <w:tc>
          <w:tcPr>
            <w:tcW w:w="1256" w:type="dxa"/>
            <w:tcBorders>
              <w:top w:val="nil"/>
              <w:left w:val="nil"/>
              <w:bottom w:val="single" w:sz="4" w:space="0" w:color="3F3F3F"/>
              <w:right w:val="single" w:sz="4" w:space="0" w:color="3F3F3F"/>
            </w:tcBorders>
            <w:shd w:val="clear" w:color="auto" w:fill="auto"/>
            <w:hideMark/>
          </w:tcPr>
          <w:p w:rsidR="006F6F3C" w:rsidRPr="006F6F3C" w:rsidRDefault="006F6F3C" w:rsidP="00DA28FA">
            <w:pPr>
              <w:rPr>
                <w:rFonts w:asciiTheme="majorHAnsi" w:hAnsiTheme="majorHAnsi"/>
                <w:color w:val="3F3F3F"/>
              </w:rPr>
            </w:pPr>
            <w:r w:rsidRPr="006F6F3C">
              <w:rPr>
                <w:rFonts w:asciiTheme="majorHAnsi" w:hAnsiTheme="majorHAnsi"/>
                <w:color w:val="3F3F3F"/>
              </w:rPr>
              <w:t>55</w:t>
            </w:r>
          </w:p>
        </w:tc>
        <w:tc>
          <w:tcPr>
            <w:tcW w:w="916" w:type="dxa"/>
            <w:tcBorders>
              <w:top w:val="nil"/>
              <w:left w:val="nil"/>
              <w:bottom w:val="single" w:sz="4" w:space="0" w:color="3F3F3F"/>
              <w:right w:val="single" w:sz="4" w:space="0" w:color="3F3F3F"/>
            </w:tcBorders>
            <w:shd w:val="clear" w:color="000000" w:fill="FFFFFF"/>
            <w:hideMark/>
          </w:tcPr>
          <w:p w:rsidR="006F6F3C" w:rsidRPr="006F6F3C" w:rsidRDefault="006F6F3C" w:rsidP="00DA28FA">
            <w:pPr>
              <w:rPr>
                <w:rFonts w:asciiTheme="majorHAnsi" w:hAnsiTheme="majorHAnsi"/>
              </w:rPr>
            </w:pPr>
            <w:r w:rsidRPr="006F6F3C">
              <w:rPr>
                <w:rFonts w:asciiTheme="majorHAnsi" w:hAnsiTheme="majorHAnsi"/>
              </w:rPr>
              <w:t>34</w:t>
            </w:r>
          </w:p>
        </w:tc>
        <w:tc>
          <w:tcPr>
            <w:tcW w:w="916" w:type="dxa"/>
            <w:tcBorders>
              <w:top w:val="nil"/>
              <w:left w:val="nil"/>
              <w:bottom w:val="single" w:sz="4" w:space="0" w:color="3F3F3F"/>
              <w:right w:val="single" w:sz="4" w:space="0" w:color="3F3F3F"/>
            </w:tcBorders>
            <w:shd w:val="clear" w:color="auto" w:fill="auto"/>
            <w:hideMark/>
          </w:tcPr>
          <w:p w:rsidR="006F6F3C" w:rsidRPr="006F6F3C" w:rsidRDefault="006F6F3C" w:rsidP="00DA28FA">
            <w:pPr>
              <w:rPr>
                <w:rFonts w:asciiTheme="majorHAnsi" w:hAnsiTheme="majorHAnsi"/>
                <w:color w:val="3F3F3F"/>
              </w:rPr>
            </w:pPr>
            <w:r w:rsidRPr="006F6F3C">
              <w:rPr>
                <w:rFonts w:asciiTheme="majorHAnsi" w:hAnsiTheme="majorHAnsi"/>
                <w:color w:val="3F3F3F"/>
              </w:rPr>
              <w:t>7</w:t>
            </w:r>
          </w:p>
        </w:tc>
      </w:tr>
    </w:tbl>
    <w:p w:rsidR="006F6F3C" w:rsidRPr="00C4709E" w:rsidRDefault="006F6F3C" w:rsidP="006F6F3C">
      <w:pPr>
        <w:rPr>
          <w:rFonts w:ascii="Times New Roman" w:hAnsi="Times New Roman"/>
        </w:rPr>
      </w:pPr>
    </w:p>
    <w:p w:rsidR="002112B1" w:rsidRDefault="002112B1" w:rsidP="006F6F3C">
      <w:pPr>
        <w:jc w:val="both"/>
      </w:pPr>
      <w:r>
        <w:t xml:space="preserve">Внесены значительные технические изменения в образовательные стандарты НИУ ВШЭ по направлениям подготовки 080100.62 «Экономика» и </w:t>
      </w:r>
      <w:r w:rsidRPr="008161A1">
        <w:t xml:space="preserve">030900.62 </w:t>
      </w:r>
      <w:r>
        <w:t>«Юриспруденция»; новые редакции ОС НИУ ВШЭ утверждены учеными советами факультетов экономики и права.</w:t>
      </w:r>
    </w:p>
    <w:p w:rsidR="006F6F3C" w:rsidRPr="006F6F3C" w:rsidRDefault="006F6F3C" w:rsidP="006F6F3C">
      <w:pPr>
        <w:jc w:val="both"/>
      </w:pPr>
      <w:r w:rsidRPr="006F6F3C">
        <w:t xml:space="preserve">Во всех опубликованных на корпоративном сайте оригинальных образовательных стандартах НИУ ВШЭ сделаны технические правки, связанные со вступлением в силу нового федерального закона № 273 от 29 декабря 2012 года «Об образовании в Российской Федерации». </w:t>
      </w:r>
    </w:p>
    <w:p w:rsidR="006F6F3C" w:rsidRDefault="006F6F3C" w:rsidP="006F6F3C"/>
    <w:p w:rsidR="00D7394B" w:rsidRDefault="00D7394B" w:rsidP="00D7394B">
      <w:pPr>
        <w:spacing w:after="200" w:line="276" w:lineRule="auto"/>
        <w:jc w:val="both"/>
      </w:pPr>
      <w:r>
        <w:t>За 2012-2013 учебный год  в НИУ ВШЭ и кампусах лицензирован</w:t>
      </w:r>
      <w:r w:rsidR="002112B1">
        <w:t>ы</w:t>
      </w:r>
      <w:r>
        <w:t xml:space="preserve"> следующие образовательные программы</w:t>
      </w:r>
    </w:p>
    <w:p w:rsidR="00D7394B" w:rsidRDefault="00D7394B" w:rsidP="00D7394B">
      <w:pPr>
        <w:spacing w:after="200" w:line="276" w:lineRule="auto"/>
        <w:jc w:val="both"/>
      </w:pPr>
      <w:r>
        <w:t>Москва:</w:t>
      </w:r>
    </w:p>
    <w:p w:rsidR="00D7394B" w:rsidRPr="009346BD" w:rsidRDefault="00D7394B" w:rsidP="00F27C45">
      <w:pPr>
        <w:pStyle w:val="a5"/>
        <w:numPr>
          <w:ilvl w:val="0"/>
          <w:numId w:val="12"/>
        </w:numPr>
        <w:jc w:val="both"/>
        <w:rPr>
          <w:sz w:val="28"/>
          <w:szCs w:val="24"/>
        </w:rPr>
      </w:pPr>
      <w:r w:rsidRPr="009346BD">
        <w:rPr>
          <w:sz w:val="24"/>
        </w:rPr>
        <w:t xml:space="preserve">Одна основная образовательная программа среднего (полного) общего образования, </w:t>
      </w:r>
    </w:p>
    <w:p w:rsidR="00D7394B" w:rsidRPr="009346BD" w:rsidRDefault="00D7394B" w:rsidP="00F27C45">
      <w:pPr>
        <w:pStyle w:val="a5"/>
        <w:numPr>
          <w:ilvl w:val="0"/>
          <w:numId w:val="12"/>
        </w:numPr>
        <w:jc w:val="both"/>
        <w:rPr>
          <w:sz w:val="28"/>
          <w:szCs w:val="24"/>
        </w:rPr>
      </w:pPr>
      <w:r w:rsidRPr="009346BD">
        <w:rPr>
          <w:sz w:val="24"/>
        </w:rPr>
        <w:t xml:space="preserve">одна основная образовательная программа (ООП) подготовки бакалавров 035400.62 История искусств, </w:t>
      </w:r>
    </w:p>
    <w:p w:rsidR="00D7394B" w:rsidRPr="009346BD" w:rsidRDefault="00D7394B" w:rsidP="00F27C45">
      <w:pPr>
        <w:pStyle w:val="a5"/>
        <w:numPr>
          <w:ilvl w:val="0"/>
          <w:numId w:val="12"/>
        </w:numPr>
        <w:jc w:val="both"/>
        <w:rPr>
          <w:sz w:val="28"/>
          <w:szCs w:val="24"/>
        </w:rPr>
      </w:pPr>
      <w:r w:rsidRPr="009346BD">
        <w:rPr>
          <w:sz w:val="24"/>
        </w:rPr>
        <w:t xml:space="preserve">пять ООП подготовки магистров: 031600.68 Реклама и связи с общественностью, 032200.68 Регионоведение России, 072500.68 Дизайн, 221700.68 Стандартизация и метрология, 231300.68 Прикладная математика, </w:t>
      </w:r>
    </w:p>
    <w:p w:rsidR="00D7394B" w:rsidRPr="009346BD" w:rsidRDefault="00D7394B" w:rsidP="00F27C45">
      <w:pPr>
        <w:pStyle w:val="a5"/>
        <w:numPr>
          <w:ilvl w:val="0"/>
          <w:numId w:val="12"/>
        </w:numPr>
        <w:jc w:val="both"/>
        <w:rPr>
          <w:sz w:val="28"/>
          <w:szCs w:val="24"/>
        </w:rPr>
      </w:pPr>
      <w:r w:rsidRPr="009346BD">
        <w:rPr>
          <w:sz w:val="24"/>
        </w:rPr>
        <w:t>две ООП послевузовского профессионального образования (аспирантура): 13.00.01 Общая педагогика, история педагогики и образования, 10.02.21 Прикладная и математическая лингвистика.</w:t>
      </w:r>
    </w:p>
    <w:p w:rsidR="00D7394B" w:rsidRDefault="00D7394B" w:rsidP="00D7394B">
      <w:pPr>
        <w:spacing w:after="200" w:line="276" w:lineRule="auto"/>
        <w:jc w:val="both"/>
      </w:pPr>
      <w:r>
        <w:t xml:space="preserve">НИУ ВШЭ – Нижний Новгород: </w:t>
      </w:r>
    </w:p>
    <w:p w:rsidR="00D7394B" w:rsidRDefault="00D7394B" w:rsidP="00F27C45">
      <w:pPr>
        <w:pStyle w:val="a5"/>
        <w:numPr>
          <w:ilvl w:val="0"/>
          <w:numId w:val="12"/>
        </w:numPr>
        <w:jc w:val="both"/>
        <w:rPr>
          <w:sz w:val="24"/>
        </w:rPr>
      </w:pPr>
      <w:r w:rsidRPr="009346BD">
        <w:rPr>
          <w:sz w:val="24"/>
        </w:rPr>
        <w:lastRenderedPageBreak/>
        <w:t>одна ООП подготовки бакалавр</w:t>
      </w:r>
      <w:r>
        <w:rPr>
          <w:sz w:val="24"/>
        </w:rPr>
        <w:t xml:space="preserve">ов 032700.62 Филология </w:t>
      </w:r>
    </w:p>
    <w:p w:rsidR="00D7394B" w:rsidRPr="009346BD" w:rsidRDefault="00D7394B" w:rsidP="00F27C45">
      <w:pPr>
        <w:pStyle w:val="a5"/>
        <w:numPr>
          <w:ilvl w:val="0"/>
          <w:numId w:val="12"/>
        </w:numPr>
        <w:jc w:val="both"/>
        <w:rPr>
          <w:sz w:val="24"/>
        </w:rPr>
      </w:pPr>
      <w:r w:rsidRPr="009346BD">
        <w:rPr>
          <w:sz w:val="24"/>
        </w:rPr>
        <w:t>одна ООП подготовки магистр</w:t>
      </w:r>
      <w:r>
        <w:rPr>
          <w:sz w:val="24"/>
        </w:rPr>
        <w:t>ов</w:t>
      </w:r>
      <w:r w:rsidRPr="009346BD">
        <w:rPr>
          <w:sz w:val="24"/>
        </w:rPr>
        <w:t xml:space="preserve"> 035800.68 Фундаментальная и прикладная лингвистика</w:t>
      </w:r>
    </w:p>
    <w:p w:rsidR="00D7394B" w:rsidRDefault="00D7394B" w:rsidP="00D7394B">
      <w:pPr>
        <w:spacing w:after="200" w:line="276" w:lineRule="auto"/>
        <w:jc w:val="both"/>
      </w:pPr>
      <w:r>
        <w:t>НИУ ВШЭ – Пермь:</w:t>
      </w:r>
    </w:p>
    <w:p w:rsidR="00D7394B" w:rsidRDefault="00D7394B" w:rsidP="00F27C45">
      <w:pPr>
        <w:pStyle w:val="a5"/>
        <w:numPr>
          <w:ilvl w:val="0"/>
          <w:numId w:val="12"/>
        </w:numPr>
        <w:jc w:val="both"/>
        <w:rPr>
          <w:sz w:val="24"/>
        </w:rPr>
      </w:pPr>
      <w:r>
        <w:rPr>
          <w:sz w:val="24"/>
        </w:rPr>
        <w:t>две</w:t>
      </w:r>
      <w:r w:rsidRPr="009346BD">
        <w:rPr>
          <w:sz w:val="24"/>
        </w:rPr>
        <w:t xml:space="preserve"> ООП подготовки бакалавров</w:t>
      </w:r>
      <w:r>
        <w:rPr>
          <w:sz w:val="24"/>
        </w:rPr>
        <w:t xml:space="preserve">: </w:t>
      </w:r>
      <w:r w:rsidRPr="009346BD">
        <w:rPr>
          <w:sz w:val="24"/>
        </w:rPr>
        <w:t xml:space="preserve">030900.62 Юриспруденция, 040100.62 Социология, </w:t>
      </w:r>
    </w:p>
    <w:p w:rsidR="00D7394B" w:rsidRDefault="00D7394B" w:rsidP="00F27C45">
      <w:pPr>
        <w:pStyle w:val="a5"/>
        <w:numPr>
          <w:ilvl w:val="0"/>
          <w:numId w:val="12"/>
        </w:numPr>
        <w:jc w:val="both"/>
        <w:rPr>
          <w:sz w:val="24"/>
        </w:rPr>
      </w:pPr>
      <w:r>
        <w:rPr>
          <w:sz w:val="24"/>
        </w:rPr>
        <w:t xml:space="preserve">две </w:t>
      </w:r>
      <w:r w:rsidRPr="009346BD">
        <w:rPr>
          <w:sz w:val="24"/>
        </w:rPr>
        <w:t>ООП подготовки магистров</w:t>
      </w:r>
      <w:r>
        <w:rPr>
          <w:sz w:val="24"/>
        </w:rPr>
        <w:t xml:space="preserve">: </w:t>
      </w:r>
      <w:r w:rsidRPr="009346BD">
        <w:rPr>
          <w:sz w:val="24"/>
        </w:rPr>
        <w:t>080500.68 Бизнес-информатика, 040100.62 Социология</w:t>
      </w:r>
    </w:p>
    <w:p w:rsidR="00D7394B" w:rsidRDefault="00D7394B" w:rsidP="00F27C45">
      <w:pPr>
        <w:pStyle w:val="a5"/>
        <w:numPr>
          <w:ilvl w:val="0"/>
          <w:numId w:val="12"/>
        </w:numPr>
        <w:jc w:val="both"/>
        <w:rPr>
          <w:sz w:val="24"/>
        </w:rPr>
      </w:pPr>
      <w:r>
        <w:rPr>
          <w:sz w:val="24"/>
        </w:rPr>
        <w:t xml:space="preserve">шесть </w:t>
      </w:r>
      <w:r w:rsidRPr="009346BD">
        <w:rPr>
          <w:sz w:val="24"/>
        </w:rPr>
        <w:t xml:space="preserve">программ дополнительного профессионального образования: </w:t>
      </w:r>
    </w:p>
    <w:p w:rsidR="00D7394B" w:rsidRDefault="00D7394B" w:rsidP="00F27C45">
      <w:pPr>
        <w:pStyle w:val="a5"/>
        <w:numPr>
          <w:ilvl w:val="1"/>
          <w:numId w:val="12"/>
        </w:numPr>
        <w:jc w:val="both"/>
        <w:rPr>
          <w:sz w:val="24"/>
        </w:rPr>
      </w:pPr>
      <w:r>
        <w:rPr>
          <w:sz w:val="24"/>
        </w:rPr>
        <w:t xml:space="preserve">три </w:t>
      </w:r>
      <w:r w:rsidRPr="009346BD">
        <w:rPr>
          <w:sz w:val="24"/>
        </w:rPr>
        <w:t>программы профессиональной переподготовки  -  Переводчик в сфере профессиональной коммуникации, Оценка стоим</w:t>
      </w:r>
      <w:r>
        <w:rPr>
          <w:sz w:val="24"/>
        </w:rPr>
        <w:t xml:space="preserve">ости предприятия  (бизнеса) </w:t>
      </w:r>
    </w:p>
    <w:p w:rsidR="00D7394B" w:rsidRPr="009346BD" w:rsidRDefault="00D7394B" w:rsidP="00F27C45">
      <w:pPr>
        <w:pStyle w:val="a5"/>
        <w:numPr>
          <w:ilvl w:val="1"/>
          <w:numId w:val="12"/>
        </w:numPr>
        <w:jc w:val="both"/>
        <w:rPr>
          <w:sz w:val="24"/>
        </w:rPr>
      </w:pPr>
      <w:r>
        <w:rPr>
          <w:sz w:val="24"/>
        </w:rPr>
        <w:t xml:space="preserve">три </w:t>
      </w:r>
      <w:r w:rsidRPr="009346BD">
        <w:rPr>
          <w:sz w:val="24"/>
        </w:rPr>
        <w:t xml:space="preserve">программы повышения квалификации: Медиация. </w:t>
      </w:r>
      <w:proofErr w:type="gramStart"/>
      <w:r w:rsidRPr="009346BD">
        <w:rPr>
          <w:sz w:val="24"/>
        </w:rPr>
        <w:t>Базовый</w:t>
      </w:r>
      <w:proofErr w:type="gramEnd"/>
      <w:r w:rsidRPr="009346BD">
        <w:rPr>
          <w:sz w:val="24"/>
        </w:rPr>
        <w:t xml:space="preserve"> курс, Медиация. Курс подготовки тренеров медиаторов, Медиация. Особенности применения медиации</w:t>
      </w:r>
    </w:p>
    <w:p w:rsidR="00D7394B" w:rsidRDefault="00D7394B" w:rsidP="00D7394B">
      <w:pPr>
        <w:spacing w:after="200" w:line="276" w:lineRule="auto"/>
        <w:jc w:val="both"/>
      </w:pPr>
      <w:r>
        <w:t>НИУ ВШЭ - Санкт-Петербург</w:t>
      </w:r>
    </w:p>
    <w:p w:rsidR="00D7394B" w:rsidRPr="00736B7F" w:rsidRDefault="00D7394B" w:rsidP="00F27C45">
      <w:pPr>
        <w:pStyle w:val="a5"/>
        <w:numPr>
          <w:ilvl w:val="0"/>
          <w:numId w:val="12"/>
        </w:numPr>
        <w:jc w:val="both"/>
        <w:rPr>
          <w:sz w:val="24"/>
        </w:rPr>
      </w:pPr>
      <w:r w:rsidRPr="00736B7F">
        <w:rPr>
          <w:sz w:val="24"/>
        </w:rPr>
        <w:t xml:space="preserve">три ООП </w:t>
      </w:r>
      <w:r w:rsidRPr="009346BD">
        <w:rPr>
          <w:sz w:val="24"/>
        </w:rPr>
        <w:t>послевузовского</w:t>
      </w:r>
      <w:r w:rsidRPr="00736B7F">
        <w:rPr>
          <w:sz w:val="24"/>
        </w:rPr>
        <w:t xml:space="preserve"> профессионального образования (аспирантуры): 07.00.02 Отечественная история, 12.00.01 Теория и история права и государства; история учений о праве и государстве, 22.00.04 Социальная структура, социальные институты и процессы </w:t>
      </w:r>
    </w:p>
    <w:p w:rsidR="00D7394B" w:rsidRPr="00736B7F" w:rsidRDefault="00D7394B" w:rsidP="00F27C45">
      <w:pPr>
        <w:pStyle w:val="a5"/>
        <w:numPr>
          <w:ilvl w:val="0"/>
          <w:numId w:val="12"/>
        </w:numPr>
        <w:jc w:val="both"/>
        <w:rPr>
          <w:sz w:val="24"/>
        </w:rPr>
      </w:pPr>
      <w:r w:rsidRPr="00736B7F">
        <w:rPr>
          <w:sz w:val="24"/>
        </w:rPr>
        <w:t>две ООП подготовки магистров: 010400.68 Прикладная математика и информатика, 030600.68 История</w:t>
      </w:r>
    </w:p>
    <w:p w:rsidR="008421CC" w:rsidRDefault="00D7394B" w:rsidP="00042237">
      <w:pPr>
        <w:spacing w:after="200" w:line="276" w:lineRule="auto"/>
        <w:jc w:val="both"/>
      </w:pPr>
      <w:r>
        <w:t xml:space="preserve">Получена лицензия в связи с изменением наименования образовательных программ на следующие ООП: ООП подготовки бакалавров 201000.62 </w:t>
      </w:r>
      <w:r w:rsidR="002112B1">
        <w:t>«</w:t>
      </w:r>
      <w:r w:rsidRPr="003723C1">
        <w:t>Биотехнические системы и технологии</w:t>
      </w:r>
      <w:r w:rsidR="002112B1">
        <w:t>»</w:t>
      </w:r>
      <w:r w:rsidRPr="003723C1">
        <w:t>,</w:t>
      </w:r>
      <w:r>
        <w:t xml:space="preserve"> </w:t>
      </w:r>
      <w:r w:rsidR="002112B1">
        <w:t xml:space="preserve"> </w:t>
      </w:r>
      <w:r>
        <w:t xml:space="preserve"> пять ООП послевузовского профессионального образования (аспирантуры)</w:t>
      </w:r>
      <w:r w:rsidR="00394557">
        <w:t>:</w:t>
      </w:r>
      <w:r>
        <w:t xml:space="preserve"> </w:t>
      </w:r>
      <w:r w:rsidRPr="003723C1">
        <w:t xml:space="preserve">12.00.02 </w:t>
      </w:r>
      <w:r w:rsidR="002112B1">
        <w:t>«</w:t>
      </w:r>
      <w:r w:rsidRPr="003723C1">
        <w:t>Конституционное право; конституционный судебный процесс; муниципальное право</w:t>
      </w:r>
      <w:r w:rsidR="002112B1">
        <w:t>»</w:t>
      </w:r>
      <w:r w:rsidRPr="003723C1">
        <w:t xml:space="preserve">, 12.00.04 </w:t>
      </w:r>
      <w:r w:rsidR="002112B1">
        <w:t>«</w:t>
      </w:r>
      <w:r w:rsidRPr="003723C1">
        <w:t>Финансовое право; налоговое право; бюджетное право</w:t>
      </w:r>
      <w:r w:rsidR="002112B1">
        <w:t>»</w:t>
      </w:r>
      <w:r w:rsidRPr="003723C1">
        <w:t xml:space="preserve">, 12.00.11 </w:t>
      </w:r>
      <w:r w:rsidR="002112B1">
        <w:t>«</w:t>
      </w:r>
      <w:r w:rsidRPr="003723C1">
        <w:t>Судебная деятельность, прокурорская деятельность, правозащитная и правоохранительная деятельность</w:t>
      </w:r>
      <w:r w:rsidR="002112B1">
        <w:t>»</w:t>
      </w:r>
      <w:r w:rsidRPr="003723C1">
        <w:t xml:space="preserve">, 12.00.13 </w:t>
      </w:r>
      <w:r w:rsidR="002112B1">
        <w:t>«</w:t>
      </w:r>
      <w:r w:rsidRPr="003723C1">
        <w:t>Информационное право</w:t>
      </w:r>
      <w:r w:rsidR="002112B1">
        <w:t>»</w:t>
      </w:r>
      <w:r w:rsidRPr="003723C1">
        <w:t xml:space="preserve">, 12.00.14 </w:t>
      </w:r>
      <w:r w:rsidR="002112B1">
        <w:t>«</w:t>
      </w:r>
      <w:r w:rsidRPr="003723C1">
        <w:t>Административное право; административный процесс</w:t>
      </w:r>
      <w:r w:rsidR="002112B1">
        <w:t>»</w:t>
      </w:r>
      <w:r w:rsidR="008421CC">
        <w:t>.</w:t>
      </w:r>
    </w:p>
    <w:p w:rsidR="008421CC" w:rsidRPr="008421CC" w:rsidRDefault="008421CC" w:rsidP="008421CC">
      <w:pPr>
        <w:spacing w:after="200" w:line="276" w:lineRule="auto"/>
        <w:jc w:val="both"/>
      </w:pPr>
      <w:r w:rsidRPr="008421CC">
        <w:t xml:space="preserve">В 2012 -2013 учебном году начата работа по существенному изменению модели реализации образовательных программ </w:t>
      </w:r>
      <w:proofErr w:type="spellStart"/>
      <w:r w:rsidRPr="008421CC">
        <w:t>бакалавриата</w:t>
      </w:r>
      <w:proofErr w:type="spellEnd"/>
      <w:r w:rsidRPr="008421CC">
        <w:t>. Эти изменения предполагают, во-первых, корректировку общей структуры образовательных программ; во-вторых, умеренную унификацию содержания смежных образовательных программ в рамках одного или близких направлений подготовки (например,  бизнес-информатика, менеджмент, ГМУ). При этом новая модель образовательной программы призвана обеспечить:</w:t>
      </w:r>
    </w:p>
    <w:p w:rsidR="008421CC" w:rsidRPr="008421CC" w:rsidRDefault="008421CC" w:rsidP="002B51DC">
      <w:pPr>
        <w:pStyle w:val="a5"/>
        <w:numPr>
          <w:ilvl w:val="0"/>
          <w:numId w:val="37"/>
        </w:numPr>
        <w:jc w:val="both"/>
        <w:rPr>
          <w:sz w:val="24"/>
        </w:rPr>
      </w:pPr>
      <w:r w:rsidRPr="008421CC">
        <w:rPr>
          <w:sz w:val="24"/>
        </w:rPr>
        <w:lastRenderedPageBreak/>
        <w:t>снижение аудиторной нагрузки студентов за счет новых форм организации самостоятельной работы и снижение общего числа одновременно изучаемых студентом дисциплин до 5-6;</w:t>
      </w:r>
    </w:p>
    <w:p w:rsidR="008421CC" w:rsidRPr="008421CC" w:rsidRDefault="008421CC" w:rsidP="002B51DC">
      <w:pPr>
        <w:pStyle w:val="a5"/>
        <w:numPr>
          <w:ilvl w:val="0"/>
          <w:numId w:val="37"/>
        </w:numPr>
        <w:jc w:val="both"/>
        <w:rPr>
          <w:sz w:val="24"/>
        </w:rPr>
      </w:pPr>
      <w:r w:rsidRPr="008421CC">
        <w:rPr>
          <w:sz w:val="24"/>
        </w:rPr>
        <w:t>усиление в программах подготовки проектной составляющей (с доведением ее до 20% всей трудоемкости образовательной программы);</w:t>
      </w:r>
    </w:p>
    <w:p w:rsidR="008421CC" w:rsidRPr="008421CC" w:rsidRDefault="008421CC" w:rsidP="002B51DC">
      <w:pPr>
        <w:pStyle w:val="a5"/>
        <w:numPr>
          <w:ilvl w:val="0"/>
          <w:numId w:val="37"/>
        </w:numPr>
        <w:jc w:val="both"/>
        <w:rPr>
          <w:sz w:val="24"/>
        </w:rPr>
      </w:pPr>
      <w:r w:rsidRPr="008421CC">
        <w:rPr>
          <w:sz w:val="24"/>
        </w:rPr>
        <w:t>повышение эффективности самостоятельной работы студентов за счет внедрения новых форм ее организации, а также учета трудозатрат по ее организации и оценке в нагрузке ППС,</w:t>
      </w:r>
    </w:p>
    <w:p w:rsidR="008421CC" w:rsidRPr="008421CC" w:rsidRDefault="008421CC" w:rsidP="002B51DC">
      <w:pPr>
        <w:pStyle w:val="a5"/>
        <w:numPr>
          <w:ilvl w:val="0"/>
          <w:numId w:val="37"/>
        </w:numPr>
        <w:jc w:val="both"/>
        <w:rPr>
          <w:sz w:val="24"/>
        </w:rPr>
      </w:pPr>
      <w:r w:rsidRPr="008421CC">
        <w:rPr>
          <w:sz w:val="24"/>
        </w:rPr>
        <w:t>обеспечение индивидуализации учебных траекторий студентов за счет курсов/модулей курсов по выбору и создания схем встраивания академической мобильности в учебный процесс,</w:t>
      </w:r>
    </w:p>
    <w:p w:rsidR="008421CC" w:rsidRPr="008421CC" w:rsidRDefault="008421CC" w:rsidP="002B51DC">
      <w:pPr>
        <w:pStyle w:val="a5"/>
        <w:numPr>
          <w:ilvl w:val="0"/>
          <w:numId w:val="37"/>
        </w:numPr>
        <w:jc w:val="both"/>
        <w:rPr>
          <w:sz w:val="24"/>
        </w:rPr>
      </w:pPr>
      <w:r w:rsidRPr="008421CC">
        <w:rPr>
          <w:sz w:val="24"/>
        </w:rPr>
        <w:t>возможности  организационного и содержательного сближения смежных программ обучения (и в ряде случаев направлений подготовки) для оптимизации использования ресурсов НИУ ВШЭ с дифференциацией «треков» студентов внутри них.</w:t>
      </w:r>
    </w:p>
    <w:p w:rsidR="008421CC" w:rsidRPr="00115339" w:rsidRDefault="008421CC" w:rsidP="008421CC">
      <w:pPr>
        <w:spacing w:after="200" w:line="276" w:lineRule="auto"/>
        <w:jc w:val="both"/>
      </w:pPr>
      <w:r w:rsidRPr="008421CC">
        <w:t xml:space="preserve">Предлагаемая общая модель образовательной программы бакалавров (240 кредитов) включает в себя следующие компоненты: </w:t>
      </w:r>
    </w:p>
    <w:p w:rsidR="008421CC" w:rsidRPr="008421CC" w:rsidRDefault="008421CC" w:rsidP="002B51DC">
      <w:pPr>
        <w:pStyle w:val="a5"/>
        <w:numPr>
          <w:ilvl w:val="0"/>
          <w:numId w:val="37"/>
        </w:numPr>
        <w:jc w:val="both"/>
        <w:rPr>
          <w:sz w:val="24"/>
        </w:rPr>
      </w:pPr>
      <w:r w:rsidRPr="008421CC">
        <w:rPr>
          <w:sz w:val="24"/>
        </w:rPr>
        <w:t xml:space="preserve">курсы </w:t>
      </w:r>
      <w:proofErr w:type="spellStart"/>
      <w:r w:rsidRPr="008421CC">
        <w:rPr>
          <w:sz w:val="24"/>
        </w:rPr>
        <w:t>Major</w:t>
      </w:r>
      <w:proofErr w:type="spellEnd"/>
      <w:r w:rsidRPr="008421CC">
        <w:rPr>
          <w:sz w:val="24"/>
        </w:rPr>
        <w:t>, включающие аудиторную и самостоятельную</w:t>
      </w:r>
      <w:r w:rsidRPr="008421CC">
        <w:rPr>
          <w:sz w:val="24"/>
        </w:rPr>
        <w:footnoteReference w:id="3"/>
      </w:r>
      <w:r w:rsidRPr="008421CC">
        <w:rPr>
          <w:sz w:val="24"/>
        </w:rPr>
        <w:t xml:space="preserve"> работу,</w:t>
      </w:r>
    </w:p>
    <w:p w:rsidR="008421CC" w:rsidRPr="008421CC" w:rsidRDefault="008421CC" w:rsidP="002B51DC">
      <w:pPr>
        <w:pStyle w:val="a5"/>
        <w:numPr>
          <w:ilvl w:val="0"/>
          <w:numId w:val="37"/>
        </w:numPr>
        <w:jc w:val="both"/>
        <w:rPr>
          <w:sz w:val="24"/>
        </w:rPr>
      </w:pPr>
      <w:r w:rsidRPr="008421CC">
        <w:rPr>
          <w:sz w:val="24"/>
        </w:rPr>
        <w:t xml:space="preserve">курсы </w:t>
      </w:r>
      <w:proofErr w:type="spellStart"/>
      <w:r w:rsidRPr="008421CC">
        <w:rPr>
          <w:sz w:val="24"/>
        </w:rPr>
        <w:t>Minor</w:t>
      </w:r>
      <w:proofErr w:type="spellEnd"/>
      <w:r w:rsidRPr="008421CC">
        <w:rPr>
          <w:sz w:val="24"/>
        </w:rPr>
        <w:t>, включающие аудиторную и самостоятельную работу,</w:t>
      </w:r>
    </w:p>
    <w:p w:rsidR="008421CC" w:rsidRPr="008421CC" w:rsidRDefault="008421CC" w:rsidP="002B51DC">
      <w:pPr>
        <w:pStyle w:val="a5"/>
        <w:numPr>
          <w:ilvl w:val="0"/>
          <w:numId w:val="37"/>
        </w:numPr>
        <w:jc w:val="both"/>
        <w:rPr>
          <w:sz w:val="24"/>
        </w:rPr>
      </w:pPr>
      <w:r w:rsidRPr="008421CC">
        <w:rPr>
          <w:sz w:val="24"/>
        </w:rPr>
        <w:t>проектная и исследовательская работа:</w:t>
      </w:r>
    </w:p>
    <w:p w:rsidR="008421CC" w:rsidRPr="008421CC" w:rsidRDefault="008421CC" w:rsidP="002B51DC">
      <w:pPr>
        <w:pStyle w:val="a5"/>
        <w:numPr>
          <w:ilvl w:val="1"/>
          <w:numId w:val="37"/>
        </w:numPr>
        <w:jc w:val="both"/>
        <w:rPr>
          <w:sz w:val="24"/>
        </w:rPr>
      </w:pPr>
      <w:r w:rsidRPr="008421CC">
        <w:rPr>
          <w:sz w:val="24"/>
        </w:rPr>
        <w:t>проектный семинар и/или</w:t>
      </w:r>
    </w:p>
    <w:p w:rsidR="008421CC" w:rsidRPr="008421CC" w:rsidRDefault="008421CC" w:rsidP="002B51DC">
      <w:pPr>
        <w:pStyle w:val="a5"/>
        <w:numPr>
          <w:ilvl w:val="1"/>
          <w:numId w:val="37"/>
        </w:numPr>
        <w:jc w:val="both"/>
        <w:rPr>
          <w:sz w:val="24"/>
        </w:rPr>
      </w:pPr>
      <w:r w:rsidRPr="008421CC">
        <w:rPr>
          <w:sz w:val="24"/>
        </w:rPr>
        <w:t>НИС и/или</w:t>
      </w:r>
    </w:p>
    <w:p w:rsidR="008421CC" w:rsidRPr="00EF01B6" w:rsidRDefault="008421CC" w:rsidP="002B51DC">
      <w:pPr>
        <w:pStyle w:val="a5"/>
        <w:numPr>
          <w:ilvl w:val="1"/>
          <w:numId w:val="37"/>
        </w:numPr>
        <w:jc w:val="both"/>
        <w:rPr>
          <w:sz w:val="24"/>
        </w:rPr>
      </w:pPr>
      <w:r w:rsidRPr="008421CC">
        <w:rPr>
          <w:sz w:val="24"/>
        </w:rPr>
        <w:t>практика и</w:t>
      </w:r>
      <w:r w:rsidR="00EF01B6">
        <w:rPr>
          <w:sz w:val="24"/>
        </w:rPr>
        <w:t xml:space="preserve"> </w:t>
      </w:r>
      <w:r w:rsidRPr="00EF01B6">
        <w:rPr>
          <w:sz w:val="24"/>
        </w:rPr>
        <w:t>курсовые работы</w:t>
      </w:r>
    </w:p>
    <w:p w:rsidR="008421CC" w:rsidRPr="00EF01B6" w:rsidRDefault="008421CC" w:rsidP="002B51DC">
      <w:pPr>
        <w:pStyle w:val="a5"/>
        <w:numPr>
          <w:ilvl w:val="0"/>
          <w:numId w:val="37"/>
        </w:numPr>
        <w:jc w:val="both"/>
        <w:rPr>
          <w:sz w:val="24"/>
        </w:rPr>
      </w:pPr>
      <w:r w:rsidRPr="00EF01B6">
        <w:rPr>
          <w:sz w:val="24"/>
        </w:rPr>
        <w:t>ИГА.</w:t>
      </w:r>
    </w:p>
    <w:p w:rsidR="008421CC" w:rsidRPr="008421CC" w:rsidRDefault="008421CC" w:rsidP="008421CC">
      <w:pPr>
        <w:spacing w:after="200" w:line="276" w:lineRule="auto"/>
        <w:jc w:val="both"/>
      </w:pPr>
      <w:r w:rsidRPr="008421CC">
        <w:t xml:space="preserve">В блок </w:t>
      </w:r>
      <w:proofErr w:type="spellStart"/>
      <w:r w:rsidRPr="008421CC">
        <w:t>Major</w:t>
      </w:r>
      <w:proofErr w:type="spellEnd"/>
      <w:r w:rsidRPr="008421CC">
        <w:t xml:space="preserve">  должны войти основные дисциплины  направления. При этом данный блок </w:t>
      </w:r>
      <w:proofErr w:type="gramStart"/>
      <w:r w:rsidRPr="008421CC">
        <w:t>может</w:t>
      </w:r>
      <w:proofErr w:type="gramEnd"/>
      <w:r w:rsidRPr="008421CC">
        <w:t xml:space="preserve"> как включать  так называемые концентрации или профили (специализация внутри основной образовательной программы направления (</w:t>
      </w:r>
      <w:proofErr w:type="spellStart"/>
      <w:r w:rsidRPr="008421CC">
        <w:t>Major</w:t>
      </w:r>
      <w:proofErr w:type="spellEnd"/>
      <w:r w:rsidRPr="008421CC">
        <w:t>) -например, экономическая социология, предпринимательское право), так и не включать.  По структуре данный блок представляет сочетание двух циклов: общего и профессионального.</w:t>
      </w:r>
    </w:p>
    <w:p w:rsidR="008421CC" w:rsidRPr="00115339" w:rsidRDefault="008421CC" w:rsidP="008421CC">
      <w:pPr>
        <w:spacing w:after="200" w:line="276" w:lineRule="auto"/>
        <w:jc w:val="both"/>
      </w:pPr>
      <w:r w:rsidRPr="008421CC">
        <w:t>Дисциплины общего цикла включают в себя только обязательные дисциплины, преимущественно обеспечивающие общую подготовку и  направленные на развитие системных и социально-лич</w:t>
      </w:r>
      <w:r>
        <w:t xml:space="preserve">ностных (общепрофессиональных) </w:t>
      </w:r>
      <w:r w:rsidRPr="008421CC">
        <w:t>компетенций. Общий цикл может включать в себя от 3 до 6 дисциплин, не превышающих в сумме 36 кредитов.</w:t>
      </w:r>
    </w:p>
    <w:p w:rsidR="008421CC" w:rsidRPr="00115339" w:rsidRDefault="008421CC" w:rsidP="008421CC">
      <w:pPr>
        <w:spacing w:after="200" w:line="276" w:lineRule="auto"/>
        <w:jc w:val="both"/>
      </w:pPr>
      <w:r w:rsidRPr="008421CC">
        <w:t xml:space="preserve"> Профессиональный цикл должен включать в себя базовые профессиональные дисциплины и дисциплины концентраций (при их наличии). Профессиональный цикл  преимущественно направлен на формирование профессиональных компетенций, т.е.   дисциплины из данного цикла  должны сообщать знания и развивать навыки и умения, без которых выпускник </w:t>
      </w:r>
      <w:proofErr w:type="spellStart"/>
      <w:r w:rsidRPr="008421CC">
        <w:t>бакалавриата</w:t>
      </w:r>
      <w:proofErr w:type="spellEnd"/>
      <w:r w:rsidRPr="008421CC">
        <w:t xml:space="preserve"> не может осуществлять профессиональную </w:t>
      </w:r>
      <w:r w:rsidRPr="008421CC">
        <w:lastRenderedPageBreak/>
        <w:t xml:space="preserve">деятельность в рамках выбранного направления.  Концентрация как блок внутри </w:t>
      </w:r>
      <w:proofErr w:type="spellStart"/>
      <w:r w:rsidRPr="008421CC">
        <w:t>Major</w:t>
      </w:r>
      <w:proofErr w:type="spellEnd"/>
      <w:r w:rsidRPr="008421CC">
        <w:t xml:space="preserve"> включает в себя набор дисциплин по выбору, направленных на формирование профессиональных компетенций в “узком” предметном поле (предпринимательское право, экономическая социология, религиоведение и </w:t>
      </w:r>
      <w:proofErr w:type="spellStart"/>
      <w:r w:rsidRPr="008421CC">
        <w:t>т</w:t>
      </w:r>
      <w:proofErr w:type="gramStart"/>
      <w:r w:rsidRPr="008421CC">
        <w:t>.д</w:t>
      </w:r>
      <w:proofErr w:type="spellEnd"/>
      <w:proofErr w:type="gramEnd"/>
    </w:p>
    <w:p w:rsidR="008421CC" w:rsidRPr="008421CC" w:rsidRDefault="008421CC" w:rsidP="008421CC">
      <w:pPr>
        <w:spacing w:after="200" w:line="276" w:lineRule="auto"/>
        <w:jc w:val="both"/>
      </w:pPr>
      <w:r w:rsidRPr="008421CC">
        <w:t xml:space="preserve">В блок </w:t>
      </w:r>
      <w:proofErr w:type="spellStart"/>
      <w:r w:rsidRPr="008421CC">
        <w:t>Minor</w:t>
      </w:r>
      <w:proofErr w:type="spellEnd"/>
      <w:r w:rsidRPr="008421CC">
        <w:t xml:space="preserve"> вкл</w:t>
      </w:r>
      <w:r w:rsidR="004505CB">
        <w:t xml:space="preserve">ючаются дисциплины, образующие </w:t>
      </w:r>
      <w:r w:rsidRPr="008421CC">
        <w:t>дополнительную образовательную траекторию  (вне подготовки по основному образовательному направлени</w:t>
      </w:r>
      <w:r w:rsidR="004505CB">
        <w:t xml:space="preserve">ю или углубляя ее), являющиеся </w:t>
      </w:r>
      <w:r w:rsidRPr="008421CC">
        <w:t>курсами по выбору. Возможны следующие варианты для выбора студентом:</w:t>
      </w:r>
    </w:p>
    <w:p w:rsidR="008421CC" w:rsidRPr="008421CC" w:rsidRDefault="008421CC" w:rsidP="002B51DC">
      <w:pPr>
        <w:pStyle w:val="a5"/>
        <w:numPr>
          <w:ilvl w:val="0"/>
          <w:numId w:val="38"/>
        </w:numPr>
        <w:tabs>
          <w:tab w:val="left" w:pos="142"/>
        </w:tabs>
        <w:ind w:left="0" w:firstLine="567"/>
        <w:jc w:val="both"/>
        <w:rPr>
          <w:rFonts w:asciiTheme="majorHAnsi" w:hAnsiTheme="majorHAnsi"/>
          <w:sz w:val="24"/>
          <w:szCs w:val="24"/>
        </w:rPr>
      </w:pPr>
      <w:proofErr w:type="gramStart"/>
      <w:r w:rsidRPr="008421CC">
        <w:rPr>
          <w:rFonts w:asciiTheme="majorHAnsi" w:hAnsiTheme="majorHAnsi"/>
          <w:i/>
          <w:sz w:val="24"/>
          <w:szCs w:val="24"/>
        </w:rPr>
        <w:t>Свободный</w:t>
      </w:r>
      <w:proofErr w:type="gramEnd"/>
      <w:r w:rsidRPr="008421CC">
        <w:rPr>
          <w:rFonts w:asciiTheme="majorHAnsi" w:hAnsiTheme="majorHAnsi"/>
          <w:i/>
          <w:sz w:val="24"/>
          <w:szCs w:val="24"/>
        </w:rPr>
        <w:t xml:space="preserve"> </w:t>
      </w:r>
      <w:proofErr w:type="spellStart"/>
      <w:r w:rsidRPr="008421CC">
        <w:rPr>
          <w:rFonts w:asciiTheme="majorHAnsi" w:hAnsiTheme="majorHAnsi"/>
          <w:i/>
          <w:sz w:val="24"/>
          <w:szCs w:val="24"/>
        </w:rPr>
        <w:t>Minor</w:t>
      </w:r>
      <w:proofErr w:type="spellEnd"/>
      <w:r w:rsidRPr="008421CC">
        <w:rPr>
          <w:rFonts w:asciiTheme="majorHAnsi" w:hAnsiTheme="majorHAnsi"/>
          <w:sz w:val="24"/>
          <w:szCs w:val="24"/>
        </w:rPr>
        <w:t xml:space="preserve"> - совокупность курсов по выбору из общего университетского пула дисциплин вне основного направления подготовки. </w:t>
      </w:r>
    </w:p>
    <w:p w:rsidR="008421CC" w:rsidRPr="008421CC" w:rsidRDefault="008421CC" w:rsidP="002B51DC">
      <w:pPr>
        <w:pStyle w:val="a5"/>
        <w:numPr>
          <w:ilvl w:val="0"/>
          <w:numId w:val="38"/>
        </w:numPr>
        <w:tabs>
          <w:tab w:val="left" w:pos="142"/>
        </w:tabs>
        <w:ind w:left="0" w:firstLine="567"/>
        <w:jc w:val="both"/>
        <w:rPr>
          <w:rFonts w:asciiTheme="majorHAnsi" w:hAnsiTheme="majorHAnsi"/>
          <w:sz w:val="24"/>
          <w:szCs w:val="24"/>
        </w:rPr>
      </w:pPr>
      <w:r w:rsidRPr="008421CC">
        <w:rPr>
          <w:rFonts w:asciiTheme="majorHAnsi" w:hAnsiTheme="majorHAnsi"/>
          <w:i/>
          <w:sz w:val="24"/>
          <w:szCs w:val="24"/>
        </w:rPr>
        <w:t>Фокус</w:t>
      </w:r>
      <w:r w:rsidRPr="008421CC">
        <w:rPr>
          <w:rFonts w:asciiTheme="majorHAnsi" w:hAnsiTheme="majorHAnsi"/>
          <w:sz w:val="24"/>
          <w:szCs w:val="24"/>
        </w:rPr>
        <w:t xml:space="preserve"> - специализация внутри дополнительной образовательной траектории вне подготовки по основному образовательному направлению (</w:t>
      </w:r>
      <w:proofErr w:type="spellStart"/>
      <w:r w:rsidRPr="008421CC">
        <w:rPr>
          <w:rFonts w:asciiTheme="majorHAnsi" w:hAnsiTheme="majorHAnsi"/>
          <w:sz w:val="24"/>
          <w:szCs w:val="24"/>
        </w:rPr>
        <w:t>Minor</w:t>
      </w:r>
      <w:proofErr w:type="spellEnd"/>
      <w:r w:rsidRPr="008421CC">
        <w:rPr>
          <w:rFonts w:asciiTheme="majorHAnsi" w:hAnsiTheme="majorHAnsi"/>
          <w:sz w:val="24"/>
          <w:szCs w:val="24"/>
        </w:rPr>
        <w:t xml:space="preserve">), система курсов с </w:t>
      </w:r>
      <w:proofErr w:type="spellStart"/>
      <w:r w:rsidRPr="008421CC">
        <w:rPr>
          <w:rFonts w:asciiTheme="majorHAnsi" w:hAnsiTheme="majorHAnsi"/>
          <w:sz w:val="24"/>
          <w:szCs w:val="24"/>
        </w:rPr>
        <w:t>пререквизитами</w:t>
      </w:r>
      <w:proofErr w:type="spellEnd"/>
      <w:r w:rsidRPr="008421CC">
        <w:rPr>
          <w:rFonts w:asciiTheme="majorHAnsi" w:hAnsiTheme="majorHAnsi"/>
          <w:sz w:val="24"/>
          <w:szCs w:val="24"/>
        </w:rPr>
        <w:t xml:space="preserve"> (например, общая социология - экономическая социология - количественные методы анализа в социологии и пр.).</w:t>
      </w:r>
    </w:p>
    <w:p w:rsidR="008421CC" w:rsidRPr="008421CC" w:rsidRDefault="008421CC" w:rsidP="008421CC">
      <w:pPr>
        <w:spacing w:after="200" w:line="276" w:lineRule="auto"/>
        <w:jc w:val="both"/>
      </w:pPr>
      <w:r w:rsidRPr="008421CC">
        <w:t xml:space="preserve">Одной из основных задач модернизации модели </w:t>
      </w:r>
      <w:proofErr w:type="spellStart"/>
      <w:r w:rsidRPr="008421CC">
        <w:t>бакалавриата</w:t>
      </w:r>
      <w:proofErr w:type="spellEnd"/>
      <w:r w:rsidRPr="008421CC">
        <w:t xml:space="preserve"> является повышение эффективности самостоятельной работы за счет внедрения новых форм ее организации, а также учета трудозатрат по ее организации/реализации и оценке в нагрузке ППС. Самостоятельная работа студентов является способом активного, целенаправленного приобретения студентом новых для него знаний и умений без непосредственного участия в этом процессе преподавателей. Данная форма работы может быть эффективно реализована при условии четкого определения ее форм и способов оценки, а также организации непрерывного процесса обратной связи. </w:t>
      </w:r>
      <w:proofErr w:type="gramStart"/>
      <w:r w:rsidRPr="008421CC">
        <w:t>Развитие самостоятельной работы студентов приводит к стир</w:t>
      </w:r>
      <w:r>
        <w:t xml:space="preserve">анию привычных рамок «учебной» </w:t>
      </w:r>
      <w:r w:rsidRPr="008421CC">
        <w:t>и «</w:t>
      </w:r>
      <w:proofErr w:type="spellStart"/>
      <w:r w:rsidRPr="008421CC">
        <w:t>неучебной</w:t>
      </w:r>
      <w:proofErr w:type="spellEnd"/>
      <w:r w:rsidRPr="008421CC">
        <w:t xml:space="preserve">» деятельности студентов: так, в рамках научно-исследовательского семинара / проектного семинара в качестве самостоятельной работы могут быть засчитаны участие в работе научно-исследовательских групп и лабораторий, проектно-учебных групп, полевые экспедиции, участие в профильных научных конференциях (с докладом), участие в профильных летних школах (с предварительным отбором). </w:t>
      </w:r>
      <w:proofErr w:type="gramEnd"/>
    </w:p>
    <w:p w:rsidR="008421CC" w:rsidRPr="008421CC" w:rsidRDefault="008421CC" w:rsidP="008421CC">
      <w:pPr>
        <w:spacing w:after="200" w:line="276" w:lineRule="auto"/>
        <w:jc w:val="both"/>
      </w:pPr>
      <w:r w:rsidRPr="008421CC">
        <w:t>Меняется роль и место практик в учебном процессе. Они включаются в более широкий блок проектных форм работы, которые предполагают не только знакомство с профессиональной средой будущей деятельности, но и работу в междисциплинарных командах по выполнению реальных заказов потенциальных работодателей и т.п. Особой задачей в рамках этой  деятельности является внедрение в учебные планы дисциплин и форм работы, поддерживающих подготовку к получению профессиональных сертификатов, признаваемых на рынке труда.</w:t>
      </w:r>
    </w:p>
    <w:p w:rsidR="008421CC" w:rsidRPr="006F6F3C" w:rsidRDefault="008421CC" w:rsidP="00F2642A">
      <w:pPr>
        <w:spacing w:after="200" w:line="276" w:lineRule="auto"/>
        <w:jc w:val="both"/>
      </w:pPr>
      <w:r w:rsidRPr="008421CC">
        <w:t>Отдельным вектором изменений является расширение спектра дисциплин, предлаг</w:t>
      </w:r>
      <w:r w:rsidR="00394557">
        <w:t>а</w:t>
      </w:r>
      <w:r w:rsidRPr="008421CC">
        <w:t xml:space="preserve">емых на иностранном </w:t>
      </w:r>
      <w:proofErr w:type="gramStart"/>
      <w:r w:rsidRPr="008421CC">
        <w:t>языке</w:t>
      </w:r>
      <w:proofErr w:type="gramEnd"/>
      <w:r w:rsidRPr="008421CC">
        <w:t xml:space="preserve"> (особенно английском), вплоть до развития большего числа полностью англоязычных программ. </w:t>
      </w:r>
      <w:proofErr w:type="gramStart"/>
      <w:r w:rsidRPr="008421CC">
        <w:t>Это решает как задачи привлечения большего чи</w:t>
      </w:r>
      <w:r w:rsidR="00394557">
        <w:t>с</w:t>
      </w:r>
      <w:r w:rsidRPr="008421CC">
        <w:t xml:space="preserve">ла иностранных студентов на учебу в НИУ ВШЭ (с одной стороны), так и задачи погружения </w:t>
      </w:r>
      <w:r w:rsidRPr="008421CC">
        <w:lastRenderedPageBreak/>
        <w:t>студентов Вышки в международных научный и профессиональный контекст (с другой стороны).</w:t>
      </w:r>
      <w:proofErr w:type="gramEnd"/>
    </w:p>
    <w:p w:rsidR="005005BC" w:rsidRDefault="005005BC" w:rsidP="005005BC">
      <w:pPr>
        <w:pStyle w:val="2"/>
        <w:numPr>
          <w:ilvl w:val="1"/>
          <w:numId w:val="1"/>
        </w:numPr>
      </w:pPr>
      <w:bookmarkStart w:id="7" w:name="_Toc374030043"/>
      <w:r>
        <w:t>Анализ учебных планов образовательных программ</w:t>
      </w:r>
      <w:bookmarkEnd w:id="7"/>
      <w:r>
        <w:t xml:space="preserve"> </w:t>
      </w:r>
    </w:p>
    <w:p w:rsidR="00FE6F60" w:rsidRPr="009D7775" w:rsidRDefault="009D7775" w:rsidP="009D7775">
      <w:pPr>
        <w:spacing w:after="200" w:line="276" w:lineRule="auto"/>
        <w:jc w:val="both"/>
      </w:pPr>
      <w:r>
        <w:t>В</w:t>
      </w:r>
      <w:r w:rsidR="00FE6F60" w:rsidRPr="009D7775">
        <w:t xml:space="preserve"> 2012 году были разработаны 143 базовых учебных плана (далее - БУП) всего (Москва и МИЭМ): по направлениям подготовки магистров 84 и 6 </w:t>
      </w:r>
      <w:proofErr w:type="spellStart"/>
      <w:r w:rsidR="00FE6F60" w:rsidRPr="009D7775">
        <w:t>БУПов</w:t>
      </w:r>
      <w:proofErr w:type="spellEnd"/>
      <w:r w:rsidR="00FE6F60" w:rsidRPr="009D7775">
        <w:t xml:space="preserve"> соответственно, по направлениям подготовки бакалавров 34 и 19 </w:t>
      </w:r>
      <w:proofErr w:type="spellStart"/>
      <w:r w:rsidR="00FE6F60" w:rsidRPr="009D7775">
        <w:t>БУПов</w:t>
      </w:r>
      <w:proofErr w:type="spellEnd"/>
      <w:r w:rsidR="00FE6F60" w:rsidRPr="009D7775">
        <w:t xml:space="preserve"> соответственно. </w:t>
      </w:r>
    </w:p>
    <w:p w:rsidR="00FE6F60" w:rsidRPr="009D7775" w:rsidRDefault="00FE6F60" w:rsidP="009D7775">
      <w:pPr>
        <w:spacing w:after="200" w:line="276" w:lineRule="auto"/>
        <w:jc w:val="both"/>
      </w:pPr>
      <w:r w:rsidRPr="009D7775">
        <w:t>Данные о количестве дисциплин в базовых учебных планах набора 2012 основных образовательных программ (далее - ООП) направлений подготовки магистра, реализуемых в НИУ ВШЭ (Москва), приведены в Приложении</w:t>
      </w:r>
      <w:r w:rsidR="009D7775">
        <w:t>.</w:t>
      </w:r>
      <w:r w:rsidRPr="009D7775">
        <w:t xml:space="preserve"> Так, среднее количество обязательных дисциплин в ООП  магистров равно 3,2 (в </w:t>
      </w:r>
      <w:proofErr w:type="spellStart"/>
      <w:r w:rsidRPr="009D7775">
        <w:t>БУПах</w:t>
      </w:r>
      <w:proofErr w:type="spellEnd"/>
      <w:r w:rsidRPr="009D7775">
        <w:t xml:space="preserve"> набора 2012 года -5,3), что соответствует внутреннему регламенту планирования магистерских программ – не более 6. Дисциплин по выбору в среднем – 9,1 (в </w:t>
      </w:r>
      <w:proofErr w:type="spellStart"/>
      <w:r w:rsidRPr="009D7775">
        <w:t>БУПах</w:t>
      </w:r>
      <w:proofErr w:type="spellEnd"/>
      <w:r w:rsidRPr="009D7775">
        <w:t xml:space="preserve"> набора 2012 года -7,5), что соответствует внутреннему регламенту планирования магистерских программ – не менее 6. Всего дисциплин в рамках ООП магистров предлагается в среднем 12,2 (для набора 2012 года – 12,5), что также соответствует нормам НИУ ВШЭ – от 12 до 14 дисциплин.</w:t>
      </w:r>
    </w:p>
    <w:p w:rsidR="00FE6F60" w:rsidRDefault="00FE6F60" w:rsidP="009D7775">
      <w:pPr>
        <w:spacing w:after="200" w:line="276" w:lineRule="auto"/>
        <w:jc w:val="both"/>
      </w:pPr>
      <w:r w:rsidRPr="009D7775">
        <w:t xml:space="preserve">Количество в среднем  дисциплин по циклам в </w:t>
      </w:r>
      <w:proofErr w:type="spellStart"/>
      <w:r w:rsidRPr="009D7775">
        <w:t>БУПах</w:t>
      </w:r>
      <w:proofErr w:type="spellEnd"/>
      <w:r w:rsidRPr="009D7775">
        <w:t xml:space="preserve"> магистров набора 2012 и набора 201</w:t>
      </w:r>
      <w:r w:rsidR="009D7775" w:rsidRPr="009D7775">
        <w:t>3гг. можно увидеть на диаграмме</w:t>
      </w:r>
      <w:r w:rsidR="00394557">
        <w:t xml:space="preserve"> 3.2.1</w:t>
      </w:r>
    </w:p>
    <w:p w:rsidR="00394557" w:rsidRPr="00394557" w:rsidRDefault="00394557" w:rsidP="009D7775">
      <w:pPr>
        <w:spacing w:after="200" w:line="276" w:lineRule="auto"/>
        <w:jc w:val="both"/>
        <w:rPr>
          <w:b/>
        </w:rPr>
      </w:pPr>
      <w:r w:rsidRPr="00394557">
        <w:rPr>
          <w:b/>
        </w:rPr>
        <w:t>Диаграмма 3.2.1.</w:t>
      </w:r>
    </w:p>
    <w:p w:rsidR="00FE6F60" w:rsidRPr="00812263" w:rsidRDefault="00FE6F60" w:rsidP="00FE6F60">
      <w:pPr>
        <w:rPr>
          <w:rFonts w:ascii="Times New Roman" w:hAnsi="Times New Roman"/>
        </w:rPr>
      </w:pPr>
      <w:r w:rsidRPr="00BF123D">
        <w:rPr>
          <w:rFonts w:ascii="Times New Roman" w:hAnsi="Times New Roman"/>
          <w:noProof/>
        </w:rPr>
        <w:drawing>
          <wp:inline distT="0" distB="0" distL="0" distR="0">
            <wp:extent cx="4550228" cy="2307772"/>
            <wp:effectExtent l="0" t="0" r="22225" b="16510"/>
            <wp:docPr id="3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E6F60" w:rsidRPr="009D7775" w:rsidRDefault="00FE6F60" w:rsidP="009D7775">
      <w:pPr>
        <w:spacing w:after="200" w:line="276" w:lineRule="auto"/>
        <w:jc w:val="both"/>
      </w:pPr>
      <w:r w:rsidRPr="009D7775">
        <w:t xml:space="preserve">Количество дисциплин в </w:t>
      </w:r>
      <w:proofErr w:type="spellStart"/>
      <w:r w:rsidRPr="009D7775">
        <w:t>БУПа</w:t>
      </w:r>
      <w:proofErr w:type="spellEnd"/>
      <w:r w:rsidRPr="009D7775">
        <w:t xml:space="preserve"> бакалавров набора 2012г. на один план в среднем </w:t>
      </w:r>
      <w:proofErr w:type="gramStart"/>
      <w:r w:rsidRPr="009D7775">
        <w:t>составляет 30,3 дисциплины и колеблется</w:t>
      </w:r>
      <w:proofErr w:type="gramEnd"/>
      <w:r w:rsidRPr="009D7775">
        <w:t xml:space="preserve"> в пределах от 21 до 42 дисциплин, что соответствует установленным в 2010 г. в университете рамкам. Количество дисциплин в БУП бакалавров набора 2012г. на один план в среднем </w:t>
      </w:r>
      <w:proofErr w:type="gramStart"/>
      <w:r w:rsidRPr="009D7775">
        <w:t>составляет 31 дисциплину и колеблется</w:t>
      </w:r>
      <w:proofErr w:type="gramEnd"/>
      <w:r w:rsidRPr="009D7775">
        <w:t xml:space="preserve"> в пределах от 22 до 40 дисциплин, что так же  соответствует установленным в 2010 г. в университете рамкам.</w:t>
      </w:r>
    </w:p>
    <w:p w:rsidR="00FE6F60" w:rsidRPr="009D7775" w:rsidRDefault="00FE6F60" w:rsidP="009D7775">
      <w:pPr>
        <w:spacing w:after="200" w:line="276" w:lineRule="auto"/>
        <w:jc w:val="both"/>
      </w:pPr>
      <w:r w:rsidRPr="009D7775">
        <w:t xml:space="preserve">Для </w:t>
      </w:r>
      <w:proofErr w:type="spellStart"/>
      <w:r w:rsidRPr="009D7775">
        <w:t>БУПов</w:t>
      </w:r>
      <w:proofErr w:type="spellEnd"/>
      <w:r w:rsidRPr="009D7775">
        <w:t xml:space="preserve"> бакалавров набора 2012 года процесс сокращения количества дисциплин </w:t>
      </w:r>
      <w:proofErr w:type="gramStart"/>
      <w:r w:rsidRPr="009D7775">
        <w:t>стабилизировался и в целом соответствует</w:t>
      </w:r>
      <w:proofErr w:type="gramEnd"/>
      <w:r w:rsidRPr="009D7775">
        <w:t xml:space="preserve">  оригинальным образовательным стандартам НИУ ВШЭ 2010 года. </w:t>
      </w:r>
    </w:p>
    <w:p w:rsidR="00FE6F60" w:rsidRPr="00D534C4" w:rsidRDefault="00FE6F60" w:rsidP="00D534C4">
      <w:pPr>
        <w:spacing w:after="200" w:line="276" w:lineRule="auto"/>
        <w:jc w:val="both"/>
      </w:pPr>
      <w:r w:rsidRPr="009D7775">
        <w:lastRenderedPageBreak/>
        <w:t>Динам</w:t>
      </w:r>
      <w:r w:rsidR="009D7775" w:rsidRPr="009D7775">
        <w:t>ика изменений представлена на д</w:t>
      </w:r>
      <w:r w:rsidRPr="009D7775">
        <w:t xml:space="preserve">иаграмме </w:t>
      </w:r>
      <w:r w:rsidR="009D7775" w:rsidRPr="009D7775">
        <w:t>ниже</w:t>
      </w:r>
      <w:r w:rsidRPr="009D7775">
        <w:t xml:space="preserve"> (анализ проводился по автоматически полученным  из системы АСАВ данным, не по подразделениям, а по направлениям подготовки):</w:t>
      </w:r>
    </w:p>
    <w:p w:rsidR="00A40F68" w:rsidRDefault="00394557" w:rsidP="000C0E36">
      <w:pPr>
        <w:spacing w:after="200" w:line="276" w:lineRule="auto"/>
        <w:jc w:val="both"/>
      </w:pPr>
      <w:r w:rsidRPr="00394557">
        <w:rPr>
          <w:b/>
        </w:rPr>
        <w:t>Диаграмма 3.2.2.</w:t>
      </w:r>
      <w:r>
        <w:t xml:space="preserve"> </w:t>
      </w:r>
    </w:p>
    <w:p w:rsidR="00FE6F60" w:rsidRPr="000C0E36" w:rsidRDefault="00A40F68" w:rsidP="000C0E36">
      <w:pPr>
        <w:spacing w:after="200" w:line="276" w:lineRule="auto"/>
        <w:jc w:val="both"/>
      </w:pPr>
      <w:r w:rsidRPr="00985D9D">
        <w:rPr>
          <w:rFonts w:ascii="Times New Roman" w:hAnsi="Times New Roman"/>
          <w:noProof/>
        </w:rPr>
        <w:drawing>
          <wp:inline distT="0" distB="0" distL="0" distR="0">
            <wp:extent cx="5714365" cy="4471208"/>
            <wp:effectExtent l="0" t="0" r="635" b="0"/>
            <wp:docPr id="47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FE6F60" w:rsidRPr="000C0E36">
        <w:t xml:space="preserve"> </w:t>
      </w:r>
      <w:r w:rsidRPr="000C0E36">
        <w:t xml:space="preserve">Анализ базовых учебных планов набора 2012 года показал сохранение концептуального распределения  дисциплин по </w:t>
      </w:r>
      <w:r w:rsidR="00FE6F60" w:rsidRPr="000C0E36">
        <w:t>выбору по г</w:t>
      </w:r>
      <w:r w:rsidR="00394557">
        <w:t>.</w:t>
      </w:r>
      <w:r w:rsidRPr="000C0E36">
        <w:t xml:space="preserve"> </w:t>
      </w:r>
      <w:r w:rsidR="00FE6F60" w:rsidRPr="000C0E36">
        <w:t>одам обучения. Так</w:t>
      </w:r>
      <w:r w:rsidR="000C0E36">
        <w:t xml:space="preserve"> </w:t>
      </w:r>
      <w:r w:rsidR="00FE6F60" w:rsidRPr="000C0E36">
        <w:t xml:space="preserve">в магистратуре  количество дисциплин по выбору, изучаемых на 1 и 2 курсах, примерно равно, а в </w:t>
      </w:r>
      <w:proofErr w:type="spellStart"/>
      <w:r w:rsidR="00FE6F60" w:rsidRPr="000C0E36">
        <w:t>бакалавриате</w:t>
      </w:r>
      <w:proofErr w:type="spellEnd"/>
      <w:r w:rsidR="00FE6F60" w:rsidRPr="000C0E36">
        <w:t xml:space="preserve">  традиционно наблюдается увеличение  числа дисциплин по выбору на 3 и 4 курсах.</w:t>
      </w:r>
    </w:p>
    <w:p w:rsidR="00FE6F60" w:rsidRPr="000C0E36" w:rsidRDefault="00FE6F60" w:rsidP="000C0E36">
      <w:pPr>
        <w:spacing w:after="200" w:line="276" w:lineRule="auto"/>
        <w:jc w:val="both"/>
      </w:pPr>
      <w:r w:rsidRPr="000C0E36">
        <w:t xml:space="preserve">В течение учебного года в базовые и рабочие учебные планы было внесено 512 изменений. 10,5 % от всех  изменений относятся к </w:t>
      </w:r>
      <w:proofErr w:type="spellStart"/>
      <w:r w:rsidRPr="000C0E36">
        <w:t>БУПам</w:t>
      </w:r>
      <w:proofErr w:type="spellEnd"/>
      <w:r w:rsidRPr="000C0E36">
        <w:t xml:space="preserve">, а 89,5% - к </w:t>
      </w:r>
      <w:proofErr w:type="spellStart"/>
      <w:r w:rsidRPr="000C0E36">
        <w:t>РУПам</w:t>
      </w:r>
      <w:proofErr w:type="spellEnd"/>
      <w:r w:rsidRPr="000C0E36">
        <w:t>. Результат  содержательного анализа изменений  демонстрирует следующее распределение по категориям:</w:t>
      </w:r>
    </w:p>
    <w:p w:rsidR="00FE6F60" w:rsidRPr="000C0E36" w:rsidRDefault="00FE6F60" w:rsidP="002B51DC">
      <w:pPr>
        <w:pStyle w:val="a5"/>
        <w:numPr>
          <w:ilvl w:val="0"/>
          <w:numId w:val="39"/>
        </w:numPr>
        <w:spacing w:line="240" w:lineRule="auto"/>
        <w:rPr>
          <w:rFonts w:asciiTheme="majorHAnsi" w:hAnsiTheme="majorHAnsi"/>
          <w:sz w:val="24"/>
          <w:szCs w:val="24"/>
        </w:rPr>
      </w:pPr>
      <w:r w:rsidRPr="000C0E36">
        <w:rPr>
          <w:rFonts w:asciiTheme="majorHAnsi" w:hAnsiTheme="majorHAnsi"/>
          <w:sz w:val="24"/>
          <w:szCs w:val="24"/>
        </w:rPr>
        <w:t>изменение модуля реализации дисциплины – 21,3%;</w:t>
      </w:r>
    </w:p>
    <w:p w:rsidR="00FE6F60" w:rsidRPr="000C0E36" w:rsidRDefault="00FE6F60" w:rsidP="002B51DC">
      <w:pPr>
        <w:pStyle w:val="a5"/>
        <w:numPr>
          <w:ilvl w:val="0"/>
          <w:numId w:val="39"/>
        </w:numPr>
        <w:spacing w:line="240" w:lineRule="auto"/>
        <w:rPr>
          <w:rFonts w:asciiTheme="majorHAnsi" w:hAnsiTheme="majorHAnsi"/>
          <w:sz w:val="24"/>
          <w:szCs w:val="24"/>
        </w:rPr>
      </w:pPr>
      <w:r w:rsidRPr="000C0E36">
        <w:rPr>
          <w:rFonts w:asciiTheme="majorHAnsi" w:hAnsiTheme="majorHAnsi"/>
          <w:sz w:val="24"/>
          <w:szCs w:val="24"/>
        </w:rPr>
        <w:t>замена дисциплин  - 20,1%;</w:t>
      </w:r>
    </w:p>
    <w:p w:rsidR="00FE6F60" w:rsidRPr="000C0E36" w:rsidRDefault="00FE6F60" w:rsidP="002B51DC">
      <w:pPr>
        <w:pStyle w:val="a5"/>
        <w:numPr>
          <w:ilvl w:val="0"/>
          <w:numId w:val="39"/>
        </w:numPr>
        <w:spacing w:line="240" w:lineRule="auto"/>
        <w:rPr>
          <w:rFonts w:asciiTheme="majorHAnsi" w:hAnsiTheme="majorHAnsi"/>
          <w:sz w:val="24"/>
          <w:szCs w:val="24"/>
        </w:rPr>
      </w:pPr>
      <w:r w:rsidRPr="000C0E36">
        <w:rPr>
          <w:rFonts w:asciiTheme="majorHAnsi" w:hAnsiTheme="majorHAnsi"/>
          <w:sz w:val="24"/>
          <w:szCs w:val="24"/>
        </w:rPr>
        <w:t>кафедральные перестановки  - 19,5%;</w:t>
      </w:r>
    </w:p>
    <w:p w:rsidR="00FE6F60" w:rsidRPr="000C0E36" w:rsidRDefault="00FE6F60" w:rsidP="002B51DC">
      <w:pPr>
        <w:pStyle w:val="a5"/>
        <w:numPr>
          <w:ilvl w:val="0"/>
          <w:numId w:val="39"/>
        </w:numPr>
        <w:spacing w:line="240" w:lineRule="auto"/>
        <w:rPr>
          <w:rFonts w:asciiTheme="majorHAnsi" w:hAnsiTheme="majorHAnsi"/>
          <w:sz w:val="24"/>
          <w:szCs w:val="24"/>
        </w:rPr>
      </w:pPr>
      <w:r w:rsidRPr="000C0E36">
        <w:rPr>
          <w:rFonts w:asciiTheme="majorHAnsi" w:hAnsiTheme="majorHAnsi"/>
          <w:sz w:val="24"/>
          <w:szCs w:val="24"/>
        </w:rPr>
        <w:t>перераспределение аудиторной нагрузки – 11,9%.</w:t>
      </w:r>
    </w:p>
    <w:p w:rsidR="00FE6F60" w:rsidRPr="000C0E36" w:rsidRDefault="00FE6F60" w:rsidP="002B51DC">
      <w:pPr>
        <w:pStyle w:val="a5"/>
        <w:numPr>
          <w:ilvl w:val="0"/>
          <w:numId w:val="39"/>
        </w:numPr>
        <w:spacing w:line="240" w:lineRule="auto"/>
        <w:rPr>
          <w:rFonts w:asciiTheme="majorHAnsi" w:hAnsiTheme="majorHAnsi"/>
          <w:sz w:val="24"/>
          <w:szCs w:val="24"/>
        </w:rPr>
      </w:pPr>
      <w:r w:rsidRPr="000C0E36">
        <w:rPr>
          <w:rFonts w:asciiTheme="majorHAnsi" w:hAnsiTheme="majorHAnsi"/>
          <w:sz w:val="24"/>
          <w:szCs w:val="24"/>
        </w:rPr>
        <w:t>включение новых дисциплин  -  12,3%;</w:t>
      </w:r>
    </w:p>
    <w:p w:rsidR="00FE6F60" w:rsidRPr="000C0E36" w:rsidRDefault="00FE6F60" w:rsidP="002B51DC">
      <w:pPr>
        <w:pStyle w:val="a5"/>
        <w:numPr>
          <w:ilvl w:val="0"/>
          <w:numId w:val="39"/>
        </w:numPr>
        <w:spacing w:line="240" w:lineRule="auto"/>
        <w:rPr>
          <w:rFonts w:asciiTheme="majorHAnsi" w:hAnsiTheme="majorHAnsi"/>
          <w:sz w:val="24"/>
          <w:szCs w:val="24"/>
        </w:rPr>
      </w:pPr>
      <w:r w:rsidRPr="000C0E36">
        <w:rPr>
          <w:rFonts w:asciiTheme="majorHAnsi" w:hAnsiTheme="majorHAnsi"/>
          <w:sz w:val="24"/>
          <w:szCs w:val="24"/>
        </w:rPr>
        <w:t xml:space="preserve">изменение </w:t>
      </w:r>
      <w:proofErr w:type="gramStart"/>
      <w:r w:rsidRPr="000C0E36">
        <w:rPr>
          <w:rFonts w:asciiTheme="majorHAnsi" w:hAnsiTheme="majorHAnsi"/>
          <w:sz w:val="24"/>
          <w:szCs w:val="24"/>
        </w:rPr>
        <w:t>текущего</w:t>
      </w:r>
      <w:proofErr w:type="gramEnd"/>
      <w:r w:rsidRPr="000C0E36">
        <w:rPr>
          <w:rFonts w:asciiTheme="majorHAnsi" w:hAnsiTheme="majorHAnsi"/>
          <w:sz w:val="24"/>
          <w:szCs w:val="24"/>
        </w:rPr>
        <w:t xml:space="preserve"> контроля – 8,7%.</w:t>
      </w:r>
    </w:p>
    <w:p w:rsidR="000C0E36" w:rsidRDefault="00FE6F60" w:rsidP="000C0E36">
      <w:pPr>
        <w:spacing w:after="200" w:line="276" w:lineRule="auto"/>
        <w:jc w:val="both"/>
      </w:pPr>
      <w:r w:rsidRPr="000C0E36">
        <w:lastRenderedPageBreak/>
        <w:t xml:space="preserve">Больше всего изменений внесено в планы факультета прикладной политологии (62), факультета экономики (49) и факультета менеджмента (36). Меньше всего изменений внесено в планы факультета философии (5), отделения прикладной математики и информатики (2) и факультета </w:t>
      </w:r>
      <w:proofErr w:type="gramStart"/>
      <w:r w:rsidRPr="000C0E36">
        <w:t>бизнес-информатики</w:t>
      </w:r>
      <w:proofErr w:type="gramEnd"/>
      <w:r w:rsidRPr="000C0E36">
        <w:t xml:space="preserve"> (2).</w:t>
      </w:r>
    </w:p>
    <w:p w:rsidR="00FE6F60" w:rsidRPr="000C0E36" w:rsidRDefault="00FE6F60" w:rsidP="000C0E36">
      <w:pPr>
        <w:spacing w:after="200" w:line="276" w:lineRule="auto"/>
        <w:jc w:val="both"/>
      </w:pPr>
      <w:r w:rsidRPr="000C0E36">
        <w:t>Сравнение рабочих учебных планов за 3 последних учебных года проводилось по основным параметрам учебного процесса (доля самостоятельной работы студентов, недельная аудиторная нагрузка, испытания итогового контроля, доля дисциплин по выбору).</w:t>
      </w:r>
    </w:p>
    <w:p w:rsidR="00FE6F60" w:rsidRPr="00C54526" w:rsidRDefault="00FE6F60" w:rsidP="006278F7">
      <w:pPr>
        <w:spacing w:after="200" w:line="276" w:lineRule="auto"/>
        <w:jc w:val="both"/>
      </w:pPr>
      <w:proofErr w:type="gramStart"/>
      <w:r w:rsidRPr="000C0E36">
        <w:t xml:space="preserve">Динамика средней доли самостоятельной работы по уровням подготовки </w:t>
      </w:r>
      <w:r w:rsidRPr="000C0E36">
        <w:br/>
        <w:t xml:space="preserve">за 2010/2011-2012/2013 учебные годы представлены на диаграммах: отдельно по </w:t>
      </w:r>
      <w:proofErr w:type="spellStart"/>
      <w:r w:rsidRPr="000C0E36">
        <w:t>бакалавриату</w:t>
      </w:r>
      <w:proofErr w:type="spellEnd"/>
      <w:r w:rsidRPr="000C0E36">
        <w:t xml:space="preserve"> (Диаграмма 3.2.</w:t>
      </w:r>
      <w:r w:rsidR="00394557">
        <w:t>3</w:t>
      </w:r>
      <w:r w:rsidRPr="000C0E36">
        <w:t>) и магистратуре (Диаграмма 3.2.</w:t>
      </w:r>
      <w:r w:rsidR="00394557">
        <w:t>4</w:t>
      </w:r>
      <w:r w:rsidRPr="000C0E36">
        <w:t xml:space="preserve">) (полные данные о доле самостоятельной работы на факультетах и отделениях НИУ ВШЭ (Москва) </w:t>
      </w:r>
      <w:r w:rsidR="000C0E36">
        <w:t xml:space="preserve">и </w:t>
      </w:r>
      <w:r w:rsidRPr="000C0E36">
        <w:t xml:space="preserve">по филиалам университета за 2010/2011-2012/2013 учебные годы - </w:t>
      </w:r>
      <w:r w:rsidRPr="00D534C4">
        <w:t xml:space="preserve">в </w:t>
      </w:r>
      <w:r w:rsidR="006C2158" w:rsidRPr="00D534C4">
        <w:t>Приложение к отчету</w:t>
      </w:r>
      <w:r w:rsidR="006D7861" w:rsidRPr="00D534C4">
        <w:t xml:space="preserve"> № </w:t>
      </w:r>
      <w:r w:rsidR="005A1621" w:rsidRPr="00D534C4">
        <w:t>2</w:t>
      </w:r>
      <w:r w:rsidRPr="00D534C4">
        <w:t>).</w:t>
      </w:r>
      <w:proofErr w:type="gramEnd"/>
    </w:p>
    <w:p w:rsidR="00FE6F60" w:rsidRPr="000C0E36" w:rsidRDefault="00FE6F60" w:rsidP="000C0E36">
      <w:pPr>
        <w:pStyle w:val="af"/>
        <w:rPr>
          <w:rFonts w:asciiTheme="majorHAnsi" w:hAnsiTheme="majorHAnsi"/>
          <w:color w:val="auto"/>
          <w:sz w:val="24"/>
          <w:szCs w:val="24"/>
        </w:rPr>
      </w:pPr>
      <w:r w:rsidRPr="000C0E36">
        <w:rPr>
          <w:rFonts w:asciiTheme="majorHAnsi" w:hAnsiTheme="majorHAnsi"/>
          <w:color w:val="auto"/>
          <w:sz w:val="24"/>
          <w:szCs w:val="24"/>
        </w:rPr>
        <w:t xml:space="preserve">Диаграмма </w:t>
      </w:r>
      <w:r w:rsidR="000C0E36">
        <w:rPr>
          <w:rFonts w:asciiTheme="majorHAnsi" w:hAnsiTheme="majorHAnsi"/>
          <w:color w:val="auto"/>
          <w:sz w:val="24"/>
          <w:szCs w:val="24"/>
        </w:rPr>
        <w:t>3.2.</w:t>
      </w:r>
      <w:r w:rsidR="00394557">
        <w:rPr>
          <w:rFonts w:asciiTheme="majorHAnsi" w:hAnsiTheme="majorHAnsi"/>
          <w:color w:val="auto"/>
          <w:sz w:val="24"/>
          <w:szCs w:val="24"/>
        </w:rPr>
        <w:t>3</w:t>
      </w:r>
      <w:r w:rsidR="006278F7">
        <w:rPr>
          <w:rFonts w:asciiTheme="majorHAnsi" w:hAnsiTheme="majorHAnsi"/>
          <w:color w:val="auto"/>
          <w:sz w:val="24"/>
          <w:szCs w:val="24"/>
        </w:rPr>
        <w:t>.</w:t>
      </w:r>
    </w:p>
    <w:p w:rsidR="00FE6F60" w:rsidRPr="007D7303" w:rsidRDefault="00FE6F60" w:rsidP="00FE6F60">
      <w:pPr>
        <w:jc w:val="both"/>
        <w:rPr>
          <w:rFonts w:ascii="Times New Roman" w:hAnsi="Times New Roman"/>
          <w:bCs/>
          <w:noProof/>
        </w:rPr>
      </w:pPr>
      <w:r w:rsidRPr="005C07D9">
        <w:rPr>
          <w:rFonts w:ascii="Times New Roman" w:hAnsi="Times New Roman"/>
          <w:bCs/>
          <w:noProof/>
        </w:rPr>
        <w:drawing>
          <wp:inline distT="0" distB="0" distL="0" distR="0">
            <wp:extent cx="4114800" cy="2103120"/>
            <wp:effectExtent l="0" t="0" r="0" b="0"/>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E6F60" w:rsidRDefault="00FE6F60" w:rsidP="00FE6F60">
      <w:pPr>
        <w:jc w:val="both"/>
        <w:rPr>
          <w:noProof/>
        </w:rPr>
      </w:pPr>
      <w:bookmarkStart w:id="8" w:name="_Ref277684005"/>
    </w:p>
    <w:p w:rsidR="00FE6F60" w:rsidRPr="000C0E36" w:rsidRDefault="00FE6F60" w:rsidP="000C0E36">
      <w:pPr>
        <w:pStyle w:val="af"/>
        <w:rPr>
          <w:rFonts w:asciiTheme="majorHAnsi" w:hAnsiTheme="majorHAnsi"/>
          <w:color w:val="auto"/>
          <w:sz w:val="24"/>
          <w:szCs w:val="24"/>
        </w:rPr>
      </w:pPr>
      <w:r w:rsidRPr="000C0E36">
        <w:rPr>
          <w:rFonts w:asciiTheme="majorHAnsi" w:hAnsiTheme="majorHAnsi"/>
          <w:color w:val="auto"/>
          <w:sz w:val="24"/>
          <w:szCs w:val="24"/>
        </w:rPr>
        <w:t xml:space="preserve">Диаграмма </w:t>
      </w:r>
      <w:r w:rsidR="000C0E36">
        <w:rPr>
          <w:rFonts w:asciiTheme="majorHAnsi" w:hAnsiTheme="majorHAnsi"/>
          <w:color w:val="auto"/>
          <w:sz w:val="24"/>
          <w:szCs w:val="24"/>
        </w:rPr>
        <w:t>3.2.</w:t>
      </w:r>
      <w:r w:rsidR="00394557">
        <w:rPr>
          <w:rFonts w:asciiTheme="majorHAnsi" w:hAnsiTheme="majorHAnsi"/>
          <w:color w:val="auto"/>
          <w:sz w:val="24"/>
          <w:szCs w:val="24"/>
        </w:rPr>
        <w:t>3</w:t>
      </w:r>
      <w:r w:rsidRPr="000C0E36">
        <w:rPr>
          <w:rFonts w:asciiTheme="majorHAnsi" w:hAnsiTheme="majorHAnsi"/>
          <w:color w:val="auto"/>
          <w:sz w:val="24"/>
          <w:szCs w:val="24"/>
        </w:rPr>
        <w:t xml:space="preserve">. </w:t>
      </w:r>
    </w:p>
    <w:p w:rsidR="00FE6F60" w:rsidRPr="005C07D9" w:rsidRDefault="00FE6F60" w:rsidP="00FE6F60">
      <w:pPr>
        <w:jc w:val="both"/>
        <w:rPr>
          <w:rFonts w:ascii="Times New Roman" w:hAnsi="Times New Roman"/>
          <w:bCs/>
          <w:noProof/>
        </w:rPr>
      </w:pPr>
      <w:r w:rsidRPr="005C07D9">
        <w:rPr>
          <w:rFonts w:ascii="Times New Roman" w:hAnsi="Times New Roman"/>
          <w:bCs/>
          <w:noProof/>
        </w:rPr>
        <w:drawing>
          <wp:inline distT="0" distB="0" distL="0" distR="0">
            <wp:extent cx="4513277" cy="2055302"/>
            <wp:effectExtent l="0" t="0" r="1905" b="2540"/>
            <wp:docPr id="5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E6F60" w:rsidRPr="000C0E36" w:rsidRDefault="00FE6F60" w:rsidP="000C0E36">
      <w:pPr>
        <w:spacing w:after="200" w:line="276" w:lineRule="auto"/>
        <w:jc w:val="both"/>
      </w:pPr>
      <w:bookmarkStart w:id="9" w:name="_Ref277683621"/>
      <w:bookmarkEnd w:id="8"/>
      <w:r w:rsidRPr="000C0E36">
        <w:t xml:space="preserve">Данные диаграмм демонстрируют, что в </w:t>
      </w:r>
      <w:proofErr w:type="spellStart"/>
      <w:r w:rsidRPr="000C0E36">
        <w:t>бакалавриате</w:t>
      </w:r>
      <w:proofErr w:type="spellEnd"/>
      <w:r w:rsidRPr="000C0E36">
        <w:t xml:space="preserve"> Санкт-Петербургского и Нижегородского филиалов доля самостоятельной работы снизилась, тогда как в НИУ ВШЭ (Москва) и Пермском филиале показатель несколько увеличился. Для магистратуры наблюдается рост доли самостоятельной работы везде. (</w:t>
      </w:r>
      <w:r w:rsidR="000C0E36">
        <w:t>Таблица 3.2.</w:t>
      </w:r>
      <w:r w:rsidRPr="000C0E36">
        <w:t>1).</w:t>
      </w:r>
    </w:p>
    <w:bookmarkEnd w:id="9"/>
    <w:p w:rsidR="00FE6F60" w:rsidRPr="000C0E36" w:rsidRDefault="00FE6F60" w:rsidP="000C0E36">
      <w:pPr>
        <w:pStyle w:val="af"/>
        <w:rPr>
          <w:rFonts w:asciiTheme="majorHAnsi" w:hAnsiTheme="majorHAnsi"/>
          <w:color w:val="auto"/>
          <w:sz w:val="24"/>
          <w:szCs w:val="24"/>
        </w:rPr>
      </w:pPr>
      <w:r w:rsidRPr="000C0E36">
        <w:rPr>
          <w:rFonts w:asciiTheme="majorHAnsi" w:hAnsiTheme="majorHAnsi"/>
          <w:color w:val="auto"/>
          <w:sz w:val="24"/>
          <w:szCs w:val="24"/>
        </w:rPr>
        <w:lastRenderedPageBreak/>
        <w:t>Табли</w:t>
      </w:r>
      <w:r w:rsidR="000C0E36">
        <w:rPr>
          <w:rFonts w:asciiTheme="majorHAnsi" w:hAnsiTheme="majorHAnsi"/>
          <w:color w:val="auto"/>
          <w:sz w:val="24"/>
          <w:szCs w:val="24"/>
        </w:rPr>
        <w:t>ца 3.2</w:t>
      </w:r>
      <w:r w:rsidRPr="000C0E36">
        <w:rPr>
          <w:rFonts w:asciiTheme="majorHAnsi" w:hAnsiTheme="majorHAnsi"/>
          <w:color w:val="auto"/>
          <w:sz w:val="24"/>
          <w:szCs w:val="24"/>
        </w:rPr>
        <w:t>.1</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46"/>
        <w:gridCol w:w="568"/>
        <w:gridCol w:w="708"/>
        <w:gridCol w:w="572"/>
        <w:gridCol w:w="700"/>
        <w:gridCol w:w="681"/>
        <w:gridCol w:w="597"/>
        <w:gridCol w:w="670"/>
        <w:gridCol w:w="704"/>
        <w:gridCol w:w="704"/>
        <w:gridCol w:w="704"/>
        <w:gridCol w:w="693"/>
      </w:tblGrid>
      <w:tr w:rsidR="00FE6F60" w:rsidRPr="000C0E36" w:rsidTr="000C0E36">
        <w:trPr>
          <w:trHeight w:val="643"/>
        </w:trPr>
        <w:tc>
          <w:tcPr>
            <w:tcW w:w="741" w:type="pct"/>
            <w:vMerge w:val="restart"/>
            <w:vAlign w:val="center"/>
          </w:tcPr>
          <w:p w:rsidR="00FE6F60" w:rsidRPr="000C0E36" w:rsidRDefault="00FE6F60" w:rsidP="00FE6F60">
            <w:pPr>
              <w:rPr>
                <w:rFonts w:asciiTheme="majorHAnsi" w:hAnsiTheme="majorHAnsi"/>
              </w:rPr>
            </w:pPr>
          </w:p>
        </w:tc>
        <w:tc>
          <w:tcPr>
            <w:tcW w:w="1109" w:type="pct"/>
            <w:gridSpan w:val="3"/>
            <w:vAlign w:val="center"/>
          </w:tcPr>
          <w:p w:rsidR="00FE6F60" w:rsidRPr="000C0E36" w:rsidRDefault="00FE6F60" w:rsidP="00FE6F60">
            <w:pPr>
              <w:jc w:val="center"/>
              <w:rPr>
                <w:rFonts w:asciiTheme="majorHAnsi" w:hAnsiTheme="majorHAnsi"/>
              </w:rPr>
            </w:pPr>
            <w:r w:rsidRPr="000C0E36">
              <w:rPr>
                <w:rFonts w:asciiTheme="majorHAnsi" w:hAnsiTheme="majorHAnsi"/>
              </w:rPr>
              <w:t>Москва</w:t>
            </w:r>
          </w:p>
        </w:tc>
        <w:tc>
          <w:tcPr>
            <w:tcW w:w="1021" w:type="pct"/>
            <w:gridSpan w:val="3"/>
            <w:vAlign w:val="center"/>
          </w:tcPr>
          <w:p w:rsidR="00FE6F60" w:rsidRPr="000C0E36" w:rsidRDefault="00FE6F60" w:rsidP="00FE6F60">
            <w:pPr>
              <w:jc w:val="center"/>
              <w:rPr>
                <w:rFonts w:asciiTheme="majorHAnsi" w:hAnsiTheme="majorHAnsi"/>
              </w:rPr>
            </w:pPr>
            <w:r w:rsidRPr="000C0E36">
              <w:rPr>
                <w:rFonts w:asciiTheme="majorHAnsi" w:hAnsiTheme="majorHAnsi"/>
              </w:rPr>
              <w:t>Нижний Новгород</w:t>
            </w:r>
          </w:p>
        </w:tc>
        <w:tc>
          <w:tcPr>
            <w:tcW w:w="1030" w:type="pct"/>
            <w:gridSpan w:val="3"/>
            <w:vAlign w:val="center"/>
          </w:tcPr>
          <w:p w:rsidR="00FE6F60" w:rsidRPr="000C0E36" w:rsidRDefault="00FE6F60" w:rsidP="00FE6F60">
            <w:pPr>
              <w:jc w:val="center"/>
              <w:rPr>
                <w:rFonts w:asciiTheme="majorHAnsi" w:hAnsiTheme="majorHAnsi"/>
              </w:rPr>
            </w:pPr>
            <w:r w:rsidRPr="000C0E36">
              <w:rPr>
                <w:rFonts w:asciiTheme="majorHAnsi" w:hAnsiTheme="majorHAnsi"/>
              </w:rPr>
              <w:t>Санкт-Петербург</w:t>
            </w:r>
          </w:p>
        </w:tc>
        <w:tc>
          <w:tcPr>
            <w:tcW w:w="1098" w:type="pct"/>
            <w:gridSpan w:val="3"/>
            <w:vAlign w:val="center"/>
          </w:tcPr>
          <w:p w:rsidR="00FE6F60" w:rsidRPr="000C0E36" w:rsidRDefault="00FE6F60" w:rsidP="00FE6F60">
            <w:pPr>
              <w:jc w:val="center"/>
              <w:rPr>
                <w:rFonts w:asciiTheme="majorHAnsi" w:hAnsiTheme="majorHAnsi"/>
              </w:rPr>
            </w:pPr>
            <w:r w:rsidRPr="000C0E36">
              <w:rPr>
                <w:rFonts w:asciiTheme="majorHAnsi" w:hAnsiTheme="majorHAnsi"/>
              </w:rPr>
              <w:t>Пермь</w:t>
            </w:r>
          </w:p>
        </w:tc>
      </w:tr>
      <w:tr w:rsidR="00FE6F60" w:rsidRPr="000C0E36" w:rsidTr="000C0E36">
        <w:trPr>
          <w:cantSplit/>
          <w:trHeight w:val="950"/>
        </w:trPr>
        <w:tc>
          <w:tcPr>
            <w:tcW w:w="741" w:type="pct"/>
            <w:vMerge/>
            <w:vAlign w:val="center"/>
          </w:tcPr>
          <w:p w:rsidR="00FE6F60" w:rsidRPr="000C0E36" w:rsidRDefault="00FE6F60" w:rsidP="00FE6F60">
            <w:pPr>
              <w:rPr>
                <w:rFonts w:asciiTheme="majorHAnsi" w:hAnsiTheme="majorHAnsi"/>
              </w:rPr>
            </w:pPr>
          </w:p>
        </w:tc>
        <w:tc>
          <w:tcPr>
            <w:tcW w:w="442" w:type="pct"/>
            <w:textDirection w:val="btLr"/>
            <w:vAlign w:val="center"/>
          </w:tcPr>
          <w:p w:rsidR="00FE6F60" w:rsidRPr="000C0E36" w:rsidRDefault="00FE6F60" w:rsidP="00FE6F60">
            <w:pPr>
              <w:rPr>
                <w:rFonts w:asciiTheme="majorHAnsi" w:hAnsiTheme="majorHAnsi"/>
                <w:vertAlign w:val="superscript"/>
              </w:rPr>
            </w:pPr>
            <w:r w:rsidRPr="000C0E36">
              <w:rPr>
                <w:rFonts w:asciiTheme="majorHAnsi" w:hAnsiTheme="majorHAnsi"/>
                <w:vertAlign w:val="superscript"/>
              </w:rPr>
              <w:t>2010/2011</w:t>
            </w:r>
          </w:p>
        </w:tc>
        <w:tc>
          <w:tcPr>
            <w:tcW w:w="297" w:type="pct"/>
            <w:textDirection w:val="btLr"/>
            <w:vAlign w:val="center"/>
          </w:tcPr>
          <w:p w:rsidR="00FE6F60" w:rsidRPr="000C0E36" w:rsidRDefault="00FE6F60" w:rsidP="00FE6F60">
            <w:pPr>
              <w:rPr>
                <w:rFonts w:asciiTheme="majorHAnsi" w:hAnsiTheme="majorHAnsi"/>
                <w:vertAlign w:val="superscript"/>
              </w:rPr>
            </w:pPr>
            <w:r w:rsidRPr="000C0E36">
              <w:rPr>
                <w:rFonts w:asciiTheme="majorHAnsi" w:hAnsiTheme="majorHAnsi"/>
                <w:vertAlign w:val="superscript"/>
              </w:rPr>
              <w:t>2011/2012</w:t>
            </w:r>
          </w:p>
        </w:tc>
        <w:tc>
          <w:tcPr>
            <w:tcW w:w="370" w:type="pct"/>
            <w:textDirection w:val="btLr"/>
            <w:vAlign w:val="center"/>
          </w:tcPr>
          <w:p w:rsidR="00FE6F60" w:rsidRPr="000C0E36" w:rsidRDefault="00FE6F60" w:rsidP="00FE6F60">
            <w:pPr>
              <w:rPr>
                <w:rFonts w:asciiTheme="majorHAnsi" w:hAnsiTheme="majorHAnsi"/>
                <w:vertAlign w:val="superscript"/>
              </w:rPr>
            </w:pPr>
            <w:r w:rsidRPr="000C0E36">
              <w:rPr>
                <w:rFonts w:asciiTheme="majorHAnsi" w:hAnsiTheme="majorHAnsi"/>
                <w:vertAlign w:val="superscript"/>
              </w:rPr>
              <w:t>2012/2013</w:t>
            </w:r>
          </w:p>
        </w:tc>
        <w:tc>
          <w:tcPr>
            <w:tcW w:w="299" w:type="pct"/>
            <w:textDirection w:val="btLr"/>
            <w:vAlign w:val="center"/>
          </w:tcPr>
          <w:p w:rsidR="00FE6F60" w:rsidRPr="000C0E36" w:rsidRDefault="00FE6F60" w:rsidP="00FE6F60">
            <w:pPr>
              <w:rPr>
                <w:rFonts w:asciiTheme="majorHAnsi" w:hAnsiTheme="majorHAnsi"/>
                <w:vertAlign w:val="superscript"/>
              </w:rPr>
            </w:pPr>
            <w:r w:rsidRPr="000C0E36">
              <w:rPr>
                <w:rFonts w:asciiTheme="majorHAnsi" w:hAnsiTheme="majorHAnsi"/>
                <w:vertAlign w:val="superscript"/>
              </w:rPr>
              <w:t>2010/2011</w:t>
            </w:r>
          </w:p>
        </w:tc>
        <w:tc>
          <w:tcPr>
            <w:tcW w:w="366" w:type="pct"/>
            <w:textDirection w:val="btLr"/>
            <w:vAlign w:val="center"/>
          </w:tcPr>
          <w:p w:rsidR="00FE6F60" w:rsidRPr="000C0E36" w:rsidRDefault="00FE6F60" w:rsidP="00FE6F60">
            <w:pPr>
              <w:rPr>
                <w:rFonts w:asciiTheme="majorHAnsi" w:hAnsiTheme="majorHAnsi"/>
                <w:vertAlign w:val="superscript"/>
              </w:rPr>
            </w:pPr>
            <w:r w:rsidRPr="000C0E36">
              <w:rPr>
                <w:rFonts w:asciiTheme="majorHAnsi" w:hAnsiTheme="majorHAnsi"/>
                <w:vertAlign w:val="superscript"/>
              </w:rPr>
              <w:t>2011/2012</w:t>
            </w:r>
          </w:p>
        </w:tc>
        <w:tc>
          <w:tcPr>
            <w:tcW w:w="356" w:type="pct"/>
            <w:textDirection w:val="btLr"/>
            <w:vAlign w:val="center"/>
          </w:tcPr>
          <w:p w:rsidR="00FE6F60" w:rsidRPr="000C0E36" w:rsidRDefault="00FE6F60" w:rsidP="00FE6F60">
            <w:pPr>
              <w:rPr>
                <w:rFonts w:asciiTheme="majorHAnsi" w:hAnsiTheme="majorHAnsi"/>
                <w:vertAlign w:val="superscript"/>
              </w:rPr>
            </w:pPr>
            <w:r w:rsidRPr="000C0E36">
              <w:rPr>
                <w:rFonts w:asciiTheme="majorHAnsi" w:hAnsiTheme="majorHAnsi"/>
                <w:vertAlign w:val="superscript"/>
              </w:rPr>
              <w:t>2012/2013</w:t>
            </w:r>
          </w:p>
        </w:tc>
        <w:tc>
          <w:tcPr>
            <w:tcW w:w="312" w:type="pct"/>
            <w:textDirection w:val="btLr"/>
            <w:vAlign w:val="center"/>
          </w:tcPr>
          <w:p w:rsidR="00FE6F60" w:rsidRPr="000C0E36" w:rsidRDefault="00FE6F60" w:rsidP="00FE6F60">
            <w:pPr>
              <w:rPr>
                <w:rFonts w:asciiTheme="majorHAnsi" w:hAnsiTheme="majorHAnsi"/>
                <w:vertAlign w:val="superscript"/>
              </w:rPr>
            </w:pPr>
            <w:r w:rsidRPr="000C0E36">
              <w:rPr>
                <w:rFonts w:asciiTheme="majorHAnsi" w:hAnsiTheme="majorHAnsi"/>
                <w:vertAlign w:val="superscript"/>
              </w:rPr>
              <w:t>2010/2011</w:t>
            </w:r>
          </w:p>
        </w:tc>
        <w:tc>
          <w:tcPr>
            <w:tcW w:w="350" w:type="pct"/>
            <w:textDirection w:val="btLr"/>
            <w:vAlign w:val="center"/>
          </w:tcPr>
          <w:p w:rsidR="00FE6F60" w:rsidRPr="000C0E36" w:rsidRDefault="00FE6F60" w:rsidP="00FE6F60">
            <w:pPr>
              <w:rPr>
                <w:rFonts w:asciiTheme="majorHAnsi" w:hAnsiTheme="majorHAnsi"/>
                <w:vertAlign w:val="superscript"/>
              </w:rPr>
            </w:pPr>
            <w:r w:rsidRPr="000C0E36">
              <w:rPr>
                <w:rFonts w:asciiTheme="majorHAnsi" w:hAnsiTheme="majorHAnsi"/>
                <w:vertAlign w:val="superscript"/>
              </w:rPr>
              <w:t>2011/2012</w:t>
            </w:r>
          </w:p>
        </w:tc>
        <w:tc>
          <w:tcPr>
            <w:tcW w:w="368" w:type="pct"/>
            <w:textDirection w:val="btLr"/>
            <w:vAlign w:val="center"/>
          </w:tcPr>
          <w:p w:rsidR="00FE6F60" w:rsidRPr="000C0E36" w:rsidRDefault="00FE6F60" w:rsidP="00FE6F60">
            <w:pPr>
              <w:rPr>
                <w:rFonts w:asciiTheme="majorHAnsi" w:hAnsiTheme="majorHAnsi"/>
                <w:vertAlign w:val="superscript"/>
              </w:rPr>
            </w:pPr>
            <w:r w:rsidRPr="000C0E36">
              <w:rPr>
                <w:rFonts w:asciiTheme="majorHAnsi" w:hAnsiTheme="majorHAnsi"/>
                <w:vertAlign w:val="superscript"/>
              </w:rPr>
              <w:t>2012/2013</w:t>
            </w:r>
          </w:p>
        </w:tc>
        <w:tc>
          <w:tcPr>
            <w:tcW w:w="368" w:type="pct"/>
            <w:textDirection w:val="btLr"/>
            <w:vAlign w:val="center"/>
          </w:tcPr>
          <w:p w:rsidR="00FE6F60" w:rsidRPr="000C0E36" w:rsidRDefault="00FE6F60" w:rsidP="00FE6F60">
            <w:pPr>
              <w:rPr>
                <w:rFonts w:asciiTheme="majorHAnsi" w:hAnsiTheme="majorHAnsi"/>
                <w:vertAlign w:val="superscript"/>
              </w:rPr>
            </w:pPr>
            <w:r w:rsidRPr="000C0E36">
              <w:rPr>
                <w:rFonts w:asciiTheme="majorHAnsi" w:hAnsiTheme="majorHAnsi"/>
                <w:vertAlign w:val="superscript"/>
              </w:rPr>
              <w:t>2010/2011</w:t>
            </w:r>
          </w:p>
        </w:tc>
        <w:tc>
          <w:tcPr>
            <w:tcW w:w="368" w:type="pct"/>
            <w:textDirection w:val="btLr"/>
            <w:vAlign w:val="center"/>
          </w:tcPr>
          <w:p w:rsidR="00FE6F60" w:rsidRPr="000C0E36" w:rsidRDefault="00FE6F60" w:rsidP="00FE6F60">
            <w:pPr>
              <w:rPr>
                <w:rFonts w:asciiTheme="majorHAnsi" w:hAnsiTheme="majorHAnsi"/>
                <w:vertAlign w:val="superscript"/>
              </w:rPr>
            </w:pPr>
            <w:r w:rsidRPr="000C0E36">
              <w:rPr>
                <w:rFonts w:asciiTheme="majorHAnsi" w:hAnsiTheme="majorHAnsi"/>
                <w:vertAlign w:val="superscript"/>
              </w:rPr>
              <w:t>2011/2012</w:t>
            </w:r>
          </w:p>
        </w:tc>
        <w:tc>
          <w:tcPr>
            <w:tcW w:w="362" w:type="pct"/>
            <w:textDirection w:val="btLr"/>
            <w:vAlign w:val="center"/>
          </w:tcPr>
          <w:p w:rsidR="00FE6F60" w:rsidRPr="000C0E36" w:rsidRDefault="00FE6F60" w:rsidP="00FE6F60">
            <w:pPr>
              <w:rPr>
                <w:rFonts w:asciiTheme="majorHAnsi" w:hAnsiTheme="majorHAnsi"/>
                <w:vertAlign w:val="superscript"/>
              </w:rPr>
            </w:pPr>
            <w:r w:rsidRPr="000C0E36">
              <w:rPr>
                <w:rFonts w:asciiTheme="majorHAnsi" w:hAnsiTheme="majorHAnsi"/>
                <w:vertAlign w:val="superscript"/>
              </w:rPr>
              <w:t>2012/2013</w:t>
            </w:r>
          </w:p>
        </w:tc>
      </w:tr>
      <w:tr w:rsidR="00FE6F60" w:rsidRPr="000C0E36" w:rsidTr="000C0E36">
        <w:trPr>
          <w:trHeight w:val="357"/>
        </w:trPr>
        <w:tc>
          <w:tcPr>
            <w:tcW w:w="741" w:type="pct"/>
            <w:vAlign w:val="center"/>
          </w:tcPr>
          <w:p w:rsidR="00FE6F60" w:rsidRPr="000C0E36" w:rsidRDefault="00FE6F60" w:rsidP="00FE6F60">
            <w:pPr>
              <w:ind w:left="-108" w:right="-107"/>
              <w:rPr>
                <w:rFonts w:asciiTheme="majorHAnsi" w:hAnsiTheme="majorHAnsi"/>
              </w:rPr>
            </w:pPr>
            <w:proofErr w:type="spellStart"/>
            <w:r w:rsidRPr="000C0E36">
              <w:rPr>
                <w:rFonts w:asciiTheme="majorHAnsi" w:hAnsiTheme="majorHAnsi"/>
              </w:rPr>
              <w:t>Бакалавриат</w:t>
            </w:r>
            <w:proofErr w:type="spellEnd"/>
            <w:r w:rsidRPr="000C0E36">
              <w:rPr>
                <w:rFonts w:asciiTheme="majorHAnsi" w:hAnsiTheme="majorHAnsi"/>
              </w:rPr>
              <w:t xml:space="preserve">, </w:t>
            </w:r>
          </w:p>
          <w:p w:rsidR="00FE6F60" w:rsidRPr="000C0E36" w:rsidRDefault="00FE6F60" w:rsidP="00FE6F60">
            <w:pPr>
              <w:ind w:left="-108" w:right="-107"/>
              <w:rPr>
                <w:rFonts w:asciiTheme="majorHAnsi" w:hAnsiTheme="majorHAnsi"/>
              </w:rPr>
            </w:pPr>
            <w:r w:rsidRPr="000C0E36">
              <w:rPr>
                <w:rFonts w:asciiTheme="majorHAnsi" w:hAnsiTheme="majorHAnsi"/>
              </w:rPr>
              <w:t>в %</w:t>
            </w:r>
          </w:p>
        </w:tc>
        <w:tc>
          <w:tcPr>
            <w:tcW w:w="442" w:type="pct"/>
            <w:vAlign w:val="center"/>
          </w:tcPr>
          <w:p w:rsidR="00FE6F60" w:rsidRPr="000C0E36" w:rsidRDefault="00FE6F60" w:rsidP="00FE6F60">
            <w:pPr>
              <w:rPr>
                <w:rFonts w:asciiTheme="majorHAnsi" w:hAnsiTheme="majorHAnsi"/>
              </w:rPr>
            </w:pPr>
            <w:r w:rsidRPr="000C0E36">
              <w:rPr>
                <w:rFonts w:asciiTheme="majorHAnsi" w:hAnsiTheme="majorHAnsi"/>
              </w:rPr>
              <w:t>60,6</w:t>
            </w:r>
          </w:p>
        </w:tc>
        <w:tc>
          <w:tcPr>
            <w:tcW w:w="297" w:type="pct"/>
            <w:vAlign w:val="center"/>
          </w:tcPr>
          <w:p w:rsidR="00FE6F60" w:rsidRPr="000C0E36" w:rsidRDefault="00FE6F60" w:rsidP="00FE6F60">
            <w:pPr>
              <w:rPr>
                <w:rFonts w:asciiTheme="majorHAnsi" w:hAnsiTheme="majorHAnsi"/>
              </w:rPr>
            </w:pPr>
            <w:r w:rsidRPr="000C0E36">
              <w:rPr>
                <w:rFonts w:asciiTheme="majorHAnsi" w:hAnsiTheme="majorHAnsi"/>
              </w:rPr>
              <w:t>57,3</w:t>
            </w:r>
          </w:p>
        </w:tc>
        <w:tc>
          <w:tcPr>
            <w:tcW w:w="370" w:type="pct"/>
            <w:vAlign w:val="center"/>
          </w:tcPr>
          <w:p w:rsidR="00FE6F60" w:rsidRPr="000C0E36" w:rsidRDefault="00FE6F60" w:rsidP="00FE6F60">
            <w:pPr>
              <w:rPr>
                <w:rFonts w:asciiTheme="majorHAnsi" w:hAnsiTheme="majorHAnsi"/>
              </w:rPr>
            </w:pPr>
            <w:r w:rsidRPr="000C0E36">
              <w:rPr>
                <w:rFonts w:asciiTheme="majorHAnsi" w:hAnsiTheme="majorHAnsi"/>
              </w:rPr>
              <w:t>62,2</w:t>
            </w:r>
          </w:p>
        </w:tc>
        <w:tc>
          <w:tcPr>
            <w:tcW w:w="299" w:type="pct"/>
            <w:vAlign w:val="center"/>
          </w:tcPr>
          <w:p w:rsidR="00FE6F60" w:rsidRPr="000C0E36" w:rsidRDefault="00FE6F60" w:rsidP="00FE6F60">
            <w:pPr>
              <w:rPr>
                <w:rFonts w:asciiTheme="majorHAnsi" w:hAnsiTheme="majorHAnsi"/>
              </w:rPr>
            </w:pPr>
            <w:r w:rsidRPr="000C0E36">
              <w:rPr>
                <w:rFonts w:asciiTheme="majorHAnsi" w:hAnsiTheme="majorHAnsi"/>
              </w:rPr>
              <w:t>57</w:t>
            </w:r>
          </w:p>
        </w:tc>
        <w:tc>
          <w:tcPr>
            <w:tcW w:w="366" w:type="pct"/>
            <w:vAlign w:val="center"/>
          </w:tcPr>
          <w:p w:rsidR="00FE6F60" w:rsidRPr="000C0E36" w:rsidRDefault="00FE6F60" w:rsidP="00FE6F60">
            <w:pPr>
              <w:rPr>
                <w:rFonts w:asciiTheme="majorHAnsi" w:hAnsiTheme="majorHAnsi"/>
              </w:rPr>
            </w:pPr>
            <w:r w:rsidRPr="000C0E36">
              <w:rPr>
                <w:rFonts w:asciiTheme="majorHAnsi" w:hAnsiTheme="majorHAnsi"/>
              </w:rPr>
              <w:t>61,5</w:t>
            </w:r>
          </w:p>
        </w:tc>
        <w:tc>
          <w:tcPr>
            <w:tcW w:w="356" w:type="pct"/>
            <w:vAlign w:val="center"/>
          </w:tcPr>
          <w:p w:rsidR="00FE6F60" w:rsidRPr="000C0E36" w:rsidRDefault="00FE6F60" w:rsidP="00FE6F60">
            <w:pPr>
              <w:rPr>
                <w:rFonts w:asciiTheme="majorHAnsi" w:hAnsiTheme="majorHAnsi"/>
              </w:rPr>
            </w:pPr>
            <w:r w:rsidRPr="000C0E36">
              <w:rPr>
                <w:rFonts w:asciiTheme="majorHAnsi" w:hAnsiTheme="majorHAnsi"/>
              </w:rPr>
              <w:t>61,4</w:t>
            </w:r>
          </w:p>
        </w:tc>
        <w:tc>
          <w:tcPr>
            <w:tcW w:w="312" w:type="pct"/>
            <w:vAlign w:val="center"/>
          </w:tcPr>
          <w:p w:rsidR="00FE6F60" w:rsidRPr="000C0E36" w:rsidRDefault="00FE6F60" w:rsidP="00FE6F60">
            <w:pPr>
              <w:rPr>
                <w:rFonts w:asciiTheme="majorHAnsi" w:hAnsiTheme="majorHAnsi"/>
              </w:rPr>
            </w:pPr>
            <w:r w:rsidRPr="000C0E36">
              <w:rPr>
                <w:rFonts w:asciiTheme="majorHAnsi" w:hAnsiTheme="majorHAnsi"/>
              </w:rPr>
              <w:t>59</w:t>
            </w:r>
          </w:p>
        </w:tc>
        <w:tc>
          <w:tcPr>
            <w:tcW w:w="350" w:type="pct"/>
            <w:vAlign w:val="center"/>
          </w:tcPr>
          <w:p w:rsidR="00FE6F60" w:rsidRPr="000C0E36" w:rsidRDefault="00FE6F60" w:rsidP="00FE6F60">
            <w:pPr>
              <w:rPr>
                <w:rFonts w:asciiTheme="majorHAnsi" w:hAnsiTheme="majorHAnsi"/>
              </w:rPr>
            </w:pPr>
            <w:r w:rsidRPr="000C0E36">
              <w:rPr>
                <w:rFonts w:asciiTheme="majorHAnsi" w:hAnsiTheme="majorHAnsi"/>
              </w:rPr>
              <w:t>62,8</w:t>
            </w:r>
          </w:p>
        </w:tc>
        <w:tc>
          <w:tcPr>
            <w:tcW w:w="368" w:type="pct"/>
            <w:vAlign w:val="center"/>
          </w:tcPr>
          <w:p w:rsidR="00FE6F60" w:rsidRPr="000C0E36" w:rsidRDefault="00FE6F60" w:rsidP="00FE6F60">
            <w:pPr>
              <w:rPr>
                <w:rFonts w:asciiTheme="majorHAnsi" w:hAnsiTheme="majorHAnsi"/>
              </w:rPr>
            </w:pPr>
            <w:r w:rsidRPr="000C0E36">
              <w:rPr>
                <w:rFonts w:asciiTheme="majorHAnsi" w:hAnsiTheme="majorHAnsi"/>
              </w:rPr>
              <w:t>61,4</w:t>
            </w:r>
          </w:p>
        </w:tc>
        <w:tc>
          <w:tcPr>
            <w:tcW w:w="368" w:type="pct"/>
            <w:vAlign w:val="center"/>
          </w:tcPr>
          <w:p w:rsidR="00FE6F60" w:rsidRPr="000C0E36" w:rsidRDefault="00FE6F60" w:rsidP="00FE6F60">
            <w:pPr>
              <w:rPr>
                <w:rFonts w:asciiTheme="majorHAnsi" w:hAnsiTheme="majorHAnsi"/>
              </w:rPr>
            </w:pPr>
            <w:r w:rsidRPr="000C0E36">
              <w:rPr>
                <w:rFonts w:asciiTheme="majorHAnsi" w:hAnsiTheme="majorHAnsi"/>
              </w:rPr>
              <w:t>54,5</w:t>
            </w:r>
          </w:p>
        </w:tc>
        <w:tc>
          <w:tcPr>
            <w:tcW w:w="368" w:type="pct"/>
            <w:vAlign w:val="center"/>
          </w:tcPr>
          <w:p w:rsidR="00FE6F60" w:rsidRPr="000C0E36" w:rsidRDefault="00FE6F60" w:rsidP="00FE6F60">
            <w:pPr>
              <w:rPr>
                <w:rFonts w:asciiTheme="majorHAnsi" w:hAnsiTheme="majorHAnsi"/>
              </w:rPr>
            </w:pPr>
            <w:r w:rsidRPr="000C0E36">
              <w:rPr>
                <w:rFonts w:asciiTheme="majorHAnsi" w:hAnsiTheme="majorHAnsi"/>
              </w:rPr>
              <w:t>63,5</w:t>
            </w:r>
          </w:p>
        </w:tc>
        <w:tc>
          <w:tcPr>
            <w:tcW w:w="362" w:type="pct"/>
            <w:vAlign w:val="center"/>
          </w:tcPr>
          <w:p w:rsidR="00FE6F60" w:rsidRPr="000C0E36" w:rsidRDefault="00FE6F60" w:rsidP="00FE6F60">
            <w:pPr>
              <w:rPr>
                <w:rFonts w:asciiTheme="majorHAnsi" w:hAnsiTheme="majorHAnsi"/>
              </w:rPr>
            </w:pPr>
            <w:r w:rsidRPr="000C0E36">
              <w:rPr>
                <w:rFonts w:asciiTheme="majorHAnsi" w:hAnsiTheme="majorHAnsi"/>
              </w:rPr>
              <w:t>64,7</w:t>
            </w:r>
          </w:p>
        </w:tc>
      </w:tr>
      <w:tr w:rsidR="00FE6F60" w:rsidRPr="000C0E36" w:rsidTr="000C0E36">
        <w:trPr>
          <w:trHeight w:val="340"/>
        </w:trPr>
        <w:tc>
          <w:tcPr>
            <w:tcW w:w="741" w:type="pct"/>
            <w:vAlign w:val="center"/>
          </w:tcPr>
          <w:p w:rsidR="00FE6F60" w:rsidRPr="000C0E36" w:rsidRDefault="00FE6F60" w:rsidP="00FE6F60">
            <w:pPr>
              <w:ind w:left="-108" w:right="-107"/>
              <w:rPr>
                <w:rFonts w:asciiTheme="majorHAnsi" w:hAnsiTheme="majorHAnsi"/>
              </w:rPr>
            </w:pPr>
            <w:proofErr w:type="spellStart"/>
            <w:r w:rsidRPr="000C0E36">
              <w:rPr>
                <w:rFonts w:asciiTheme="majorHAnsi" w:hAnsiTheme="majorHAnsi"/>
              </w:rPr>
              <w:t>Специалитет</w:t>
            </w:r>
            <w:proofErr w:type="spellEnd"/>
            <w:r w:rsidRPr="000C0E36">
              <w:rPr>
                <w:rFonts w:asciiTheme="majorHAnsi" w:hAnsiTheme="majorHAnsi"/>
              </w:rPr>
              <w:t>,</w:t>
            </w:r>
          </w:p>
          <w:p w:rsidR="00FE6F60" w:rsidRPr="000C0E36" w:rsidRDefault="00FE6F60" w:rsidP="00FE6F60">
            <w:pPr>
              <w:ind w:left="-108" w:right="-107"/>
              <w:rPr>
                <w:rFonts w:asciiTheme="majorHAnsi" w:hAnsiTheme="majorHAnsi"/>
              </w:rPr>
            </w:pPr>
            <w:r w:rsidRPr="000C0E36">
              <w:rPr>
                <w:rFonts w:asciiTheme="majorHAnsi" w:hAnsiTheme="majorHAnsi"/>
              </w:rPr>
              <w:t xml:space="preserve"> в %</w:t>
            </w:r>
          </w:p>
        </w:tc>
        <w:tc>
          <w:tcPr>
            <w:tcW w:w="442" w:type="pct"/>
            <w:vAlign w:val="center"/>
          </w:tcPr>
          <w:p w:rsidR="00FE6F60" w:rsidRPr="000C0E36" w:rsidRDefault="00FE6F60" w:rsidP="00FE6F60">
            <w:pPr>
              <w:rPr>
                <w:rFonts w:asciiTheme="majorHAnsi" w:hAnsiTheme="majorHAnsi"/>
              </w:rPr>
            </w:pPr>
            <w:r w:rsidRPr="000C0E36">
              <w:rPr>
                <w:rFonts w:asciiTheme="majorHAnsi" w:hAnsiTheme="majorHAnsi"/>
              </w:rPr>
              <w:t>69,5</w:t>
            </w:r>
          </w:p>
        </w:tc>
        <w:tc>
          <w:tcPr>
            <w:tcW w:w="297" w:type="pct"/>
            <w:vAlign w:val="center"/>
          </w:tcPr>
          <w:p w:rsidR="00FE6F60" w:rsidRPr="000C0E36" w:rsidRDefault="00FE6F60" w:rsidP="00FE6F60">
            <w:pPr>
              <w:rPr>
                <w:rFonts w:asciiTheme="majorHAnsi" w:hAnsiTheme="majorHAnsi"/>
              </w:rPr>
            </w:pPr>
            <w:r w:rsidRPr="000C0E36">
              <w:rPr>
                <w:rFonts w:asciiTheme="majorHAnsi" w:hAnsiTheme="majorHAnsi"/>
              </w:rPr>
              <w:t>58</w:t>
            </w:r>
          </w:p>
        </w:tc>
        <w:tc>
          <w:tcPr>
            <w:tcW w:w="370" w:type="pct"/>
            <w:vAlign w:val="center"/>
          </w:tcPr>
          <w:p w:rsidR="00FE6F60" w:rsidRPr="000C0E36" w:rsidRDefault="00FE6F60" w:rsidP="00FE6F60">
            <w:pPr>
              <w:rPr>
                <w:rFonts w:asciiTheme="majorHAnsi" w:hAnsiTheme="majorHAnsi"/>
              </w:rPr>
            </w:pPr>
            <w:r w:rsidRPr="000C0E36">
              <w:rPr>
                <w:rFonts w:asciiTheme="majorHAnsi" w:hAnsiTheme="majorHAnsi"/>
              </w:rPr>
              <w:t>80,7</w:t>
            </w:r>
          </w:p>
        </w:tc>
        <w:tc>
          <w:tcPr>
            <w:tcW w:w="299" w:type="pct"/>
            <w:vAlign w:val="center"/>
          </w:tcPr>
          <w:p w:rsidR="00FE6F60" w:rsidRPr="000C0E36" w:rsidRDefault="00FE6F60" w:rsidP="00FE6F60">
            <w:pPr>
              <w:rPr>
                <w:rFonts w:asciiTheme="majorHAnsi" w:hAnsiTheme="majorHAnsi"/>
              </w:rPr>
            </w:pPr>
            <w:r w:rsidRPr="000C0E36">
              <w:rPr>
                <w:rFonts w:asciiTheme="majorHAnsi" w:hAnsiTheme="majorHAnsi"/>
              </w:rPr>
              <w:t>66,7</w:t>
            </w:r>
          </w:p>
        </w:tc>
        <w:tc>
          <w:tcPr>
            <w:tcW w:w="366" w:type="pct"/>
            <w:vAlign w:val="center"/>
          </w:tcPr>
          <w:p w:rsidR="00FE6F60" w:rsidRPr="000C0E36" w:rsidRDefault="00FE6F60" w:rsidP="00FE6F60">
            <w:pPr>
              <w:rPr>
                <w:rFonts w:asciiTheme="majorHAnsi" w:hAnsiTheme="majorHAnsi"/>
              </w:rPr>
            </w:pPr>
            <w:r w:rsidRPr="000C0E36">
              <w:rPr>
                <w:rFonts w:asciiTheme="majorHAnsi" w:hAnsiTheme="majorHAnsi"/>
              </w:rPr>
              <w:t>76,1</w:t>
            </w:r>
          </w:p>
        </w:tc>
        <w:tc>
          <w:tcPr>
            <w:tcW w:w="356" w:type="pct"/>
            <w:vAlign w:val="center"/>
          </w:tcPr>
          <w:p w:rsidR="00FE6F60" w:rsidRPr="000C0E36" w:rsidRDefault="00FE6F60" w:rsidP="00FE6F60">
            <w:pPr>
              <w:rPr>
                <w:rFonts w:asciiTheme="majorHAnsi" w:hAnsiTheme="majorHAnsi"/>
              </w:rPr>
            </w:pPr>
            <w:r w:rsidRPr="000C0E36">
              <w:rPr>
                <w:rFonts w:asciiTheme="majorHAnsi" w:hAnsiTheme="majorHAnsi"/>
              </w:rPr>
              <w:t>77,6</w:t>
            </w:r>
          </w:p>
        </w:tc>
        <w:tc>
          <w:tcPr>
            <w:tcW w:w="312" w:type="pct"/>
            <w:vAlign w:val="center"/>
          </w:tcPr>
          <w:p w:rsidR="00FE6F60" w:rsidRPr="000C0E36" w:rsidRDefault="00FE6F60" w:rsidP="00FE6F60">
            <w:pPr>
              <w:rPr>
                <w:rFonts w:asciiTheme="majorHAnsi" w:hAnsiTheme="majorHAnsi"/>
              </w:rPr>
            </w:pPr>
            <w:r w:rsidRPr="000C0E36">
              <w:rPr>
                <w:rFonts w:asciiTheme="majorHAnsi" w:hAnsiTheme="majorHAnsi"/>
              </w:rPr>
              <w:t>64</w:t>
            </w:r>
          </w:p>
        </w:tc>
        <w:tc>
          <w:tcPr>
            <w:tcW w:w="350" w:type="pct"/>
            <w:vAlign w:val="center"/>
          </w:tcPr>
          <w:p w:rsidR="00FE6F60" w:rsidRPr="000C0E36" w:rsidRDefault="00FE6F60" w:rsidP="00FE6F60">
            <w:pPr>
              <w:rPr>
                <w:rFonts w:asciiTheme="majorHAnsi" w:hAnsiTheme="majorHAnsi"/>
              </w:rPr>
            </w:pPr>
            <w:r w:rsidRPr="000C0E36">
              <w:rPr>
                <w:rFonts w:asciiTheme="majorHAnsi" w:hAnsiTheme="majorHAnsi"/>
              </w:rPr>
              <w:t>79,8</w:t>
            </w:r>
          </w:p>
        </w:tc>
        <w:tc>
          <w:tcPr>
            <w:tcW w:w="368" w:type="pct"/>
            <w:vAlign w:val="center"/>
          </w:tcPr>
          <w:p w:rsidR="00FE6F60" w:rsidRPr="000C0E36" w:rsidRDefault="00FE6F60" w:rsidP="00FE6F60">
            <w:pPr>
              <w:rPr>
                <w:rFonts w:asciiTheme="majorHAnsi" w:hAnsiTheme="majorHAnsi"/>
              </w:rPr>
            </w:pPr>
            <w:r w:rsidRPr="000C0E36">
              <w:rPr>
                <w:rFonts w:asciiTheme="majorHAnsi" w:hAnsiTheme="majorHAnsi"/>
              </w:rPr>
              <w:t>79,3</w:t>
            </w:r>
          </w:p>
        </w:tc>
        <w:tc>
          <w:tcPr>
            <w:tcW w:w="368" w:type="pct"/>
            <w:vAlign w:val="center"/>
          </w:tcPr>
          <w:p w:rsidR="00FE6F60" w:rsidRPr="000C0E36" w:rsidRDefault="00FE6F60" w:rsidP="00FE6F60">
            <w:pPr>
              <w:rPr>
                <w:rFonts w:asciiTheme="majorHAnsi" w:hAnsiTheme="majorHAnsi"/>
              </w:rPr>
            </w:pPr>
            <w:r w:rsidRPr="000C0E36">
              <w:rPr>
                <w:rFonts w:asciiTheme="majorHAnsi" w:hAnsiTheme="majorHAnsi"/>
              </w:rPr>
              <w:t>-</w:t>
            </w:r>
          </w:p>
        </w:tc>
        <w:tc>
          <w:tcPr>
            <w:tcW w:w="368" w:type="pct"/>
            <w:vAlign w:val="center"/>
          </w:tcPr>
          <w:p w:rsidR="00FE6F60" w:rsidRPr="000C0E36" w:rsidRDefault="00FE6F60" w:rsidP="00FE6F60">
            <w:pPr>
              <w:rPr>
                <w:rFonts w:asciiTheme="majorHAnsi" w:hAnsiTheme="majorHAnsi"/>
              </w:rPr>
            </w:pPr>
            <w:r w:rsidRPr="000C0E36">
              <w:rPr>
                <w:rFonts w:asciiTheme="majorHAnsi" w:hAnsiTheme="majorHAnsi"/>
              </w:rPr>
              <w:t>-</w:t>
            </w:r>
          </w:p>
        </w:tc>
        <w:tc>
          <w:tcPr>
            <w:tcW w:w="362" w:type="pct"/>
            <w:vAlign w:val="center"/>
          </w:tcPr>
          <w:p w:rsidR="00FE6F60" w:rsidRPr="000C0E36" w:rsidRDefault="00FE6F60" w:rsidP="00FE6F60">
            <w:pPr>
              <w:rPr>
                <w:rFonts w:asciiTheme="majorHAnsi" w:hAnsiTheme="majorHAnsi"/>
              </w:rPr>
            </w:pPr>
            <w:r w:rsidRPr="000C0E36">
              <w:rPr>
                <w:rFonts w:asciiTheme="majorHAnsi" w:hAnsiTheme="majorHAnsi"/>
              </w:rPr>
              <w:t>-</w:t>
            </w:r>
          </w:p>
        </w:tc>
      </w:tr>
      <w:tr w:rsidR="00FE6F60" w:rsidRPr="000C0E36" w:rsidTr="000C0E36">
        <w:trPr>
          <w:trHeight w:val="689"/>
        </w:trPr>
        <w:tc>
          <w:tcPr>
            <w:tcW w:w="741" w:type="pct"/>
            <w:vAlign w:val="center"/>
          </w:tcPr>
          <w:p w:rsidR="00FE6F60" w:rsidRPr="000C0E36" w:rsidRDefault="00FE6F60" w:rsidP="00FE6F60">
            <w:pPr>
              <w:ind w:left="-108" w:right="-107"/>
              <w:rPr>
                <w:rFonts w:asciiTheme="majorHAnsi" w:hAnsiTheme="majorHAnsi"/>
              </w:rPr>
            </w:pPr>
            <w:r w:rsidRPr="000C0E36">
              <w:rPr>
                <w:rFonts w:asciiTheme="majorHAnsi" w:hAnsiTheme="majorHAnsi"/>
              </w:rPr>
              <w:t xml:space="preserve">Магистратура, </w:t>
            </w:r>
            <w:proofErr w:type="gramStart"/>
            <w:r w:rsidRPr="000C0E36">
              <w:rPr>
                <w:rFonts w:asciiTheme="majorHAnsi" w:hAnsiTheme="majorHAnsi"/>
              </w:rPr>
              <w:t>в</w:t>
            </w:r>
            <w:proofErr w:type="gramEnd"/>
            <w:r w:rsidRPr="000C0E36">
              <w:rPr>
                <w:rFonts w:asciiTheme="majorHAnsi" w:hAnsiTheme="majorHAnsi"/>
              </w:rPr>
              <w:t xml:space="preserve"> %</w:t>
            </w:r>
          </w:p>
        </w:tc>
        <w:tc>
          <w:tcPr>
            <w:tcW w:w="442" w:type="pct"/>
            <w:vAlign w:val="center"/>
          </w:tcPr>
          <w:p w:rsidR="00FE6F60" w:rsidRPr="000C0E36" w:rsidRDefault="00FE6F60" w:rsidP="00FE6F60">
            <w:pPr>
              <w:rPr>
                <w:rFonts w:asciiTheme="majorHAnsi" w:hAnsiTheme="majorHAnsi"/>
              </w:rPr>
            </w:pPr>
            <w:r w:rsidRPr="000C0E36">
              <w:rPr>
                <w:rFonts w:asciiTheme="majorHAnsi" w:hAnsiTheme="majorHAnsi"/>
              </w:rPr>
              <w:t>75,7</w:t>
            </w:r>
          </w:p>
        </w:tc>
        <w:tc>
          <w:tcPr>
            <w:tcW w:w="297" w:type="pct"/>
            <w:vAlign w:val="center"/>
          </w:tcPr>
          <w:p w:rsidR="00FE6F60" w:rsidRPr="000C0E36" w:rsidRDefault="00FE6F60" w:rsidP="00FE6F60">
            <w:pPr>
              <w:rPr>
                <w:rFonts w:asciiTheme="majorHAnsi" w:hAnsiTheme="majorHAnsi"/>
              </w:rPr>
            </w:pPr>
            <w:r w:rsidRPr="000C0E36">
              <w:rPr>
                <w:rFonts w:asciiTheme="majorHAnsi" w:hAnsiTheme="majorHAnsi"/>
              </w:rPr>
              <w:t>75,1</w:t>
            </w:r>
          </w:p>
        </w:tc>
        <w:tc>
          <w:tcPr>
            <w:tcW w:w="370" w:type="pct"/>
            <w:vAlign w:val="center"/>
          </w:tcPr>
          <w:p w:rsidR="00FE6F60" w:rsidRPr="000C0E36" w:rsidRDefault="00FE6F60" w:rsidP="00FE6F60">
            <w:pPr>
              <w:rPr>
                <w:rFonts w:asciiTheme="majorHAnsi" w:hAnsiTheme="majorHAnsi"/>
              </w:rPr>
            </w:pPr>
            <w:r w:rsidRPr="000C0E36">
              <w:rPr>
                <w:rFonts w:asciiTheme="majorHAnsi" w:hAnsiTheme="majorHAnsi"/>
              </w:rPr>
              <w:t>76,7</w:t>
            </w:r>
          </w:p>
        </w:tc>
        <w:tc>
          <w:tcPr>
            <w:tcW w:w="299" w:type="pct"/>
            <w:vAlign w:val="center"/>
          </w:tcPr>
          <w:p w:rsidR="00FE6F60" w:rsidRPr="000C0E36" w:rsidRDefault="00FE6F60" w:rsidP="00FE6F60">
            <w:pPr>
              <w:rPr>
                <w:rFonts w:asciiTheme="majorHAnsi" w:hAnsiTheme="majorHAnsi"/>
              </w:rPr>
            </w:pPr>
            <w:r w:rsidRPr="000C0E36">
              <w:rPr>
                <w:rFonts w:asciiTheme="majorHAnsi" w:hAnsiTheme="majorHAnsi"/>
              </w:rPr>
              <w:t>67,6</w:t>
            </w:r>
          </w:p>
        </w:tc>
        <w:tc>
          <w:tcPr>
            <w:tcW w:w="366" w:type="pct"/>
            <w:vAlign w:val="center"/>
          </w:tcPr>
          <w:p w:rsidR="00FE6F60" w:rsidRPr="000C0E36" w:rsidRDefault="00FE6F60" w:rsidP="00FE6F60">
            <w:pPr>
              <w:rPr>
                <w:rFonts w:asciiTheme="majorHAnsi" w:hAnsiTheme="majorHAnsi"/>
              </w:rPr>
            </w:pPr>
            <w:r w:rsidRPr="000C0E36">
              <w:rPr>
                <w:rFonts w:asciiTheme="majorHAnsi" w:hAnsiTheme="majorHAnsi"/>
              </w:rPr>
              <w:t>76,9</w:t>
            </w:r>
          </w:p>
        </w:tc>
        <w:tc>
          <w:tcPr>
            <w:tcW w:w="356" w:type="pct"/>
            <w:vAlign w:val="center"/>
          </w:tcPr>
          <w:p w:rsidR="00FE6F60" w:rsidRPr="000C0E36" w:rsidRDefault="00FE6F60" w:rsidP="00FE6F60">
            <w:pPr>
              <w:rPr>
                <w:rFonts w:asciiTheme="majorHAnsi" w:hAnsiTheme="majorHAnsi"/>
              </w:rPr>
            </w:pPr>
            <w:r w:rsidRPr="000C0E36">
              <w:rPr>
                <w:rFonts w:asciiTheme="majorHAnsi" w:hAnsiTheme="majorHAnsi"/>
              </w:rPr>
              <w:t>77,4</w:t>
            </w:r>
          </w:p>
        </w:tc>
        <w:tc>
          <w:tcPr>
            <w:tcW w:w="312" w:type="pct"/>
            <w:vAlign w:val="center"/>
          </w:tcPr>
          <w:p w:rsidR="00FE6F60" w:rsidRPr="000C0E36" w:rsidRDefault="00FE6F60" w:rsidP="00FE6F60">
            <w:pPr>
              <w:rPr>
                <w:rFonts w:asciiTheme="majorHAnsi" w:hAnsiTheme="majorHAnsi"/>
              </w:rPr>
            </w:pPr>
            <w:r w:rsidRPr="000C0E36">
              <w:rPr>
                <w:rFonts w:asciiTheme="majorHAnsi" w:hAnsiTheme="majorHAnsi"/>
              </w:rPr>
              <w:t>62,1</w:t>
            </w:r>
          </w:p>
        </w:tc>
        <w:tc>
          <w:tcPr>
            <w:tcW w:w="350" w:type="pct"/>
            <w:vAlign w:val="center"/>
          </w:tcPr>
          <w:p w:rsidR="00FE6F60" w:rsidRPr="000C0E36" w:rsidRDefault="00FE6F60" w:rsidP="00FE6F60">
            <w:pPr>
              <w:rPr>
                <w:rFonts w:asciiTheme="majorHAnsi" w:hAnsiTheme="majorHAnsi"/>
              </w:rPr>
            </w:pPr>
            <w:r w:rsidRPr="000C0E36">
              <w:rPr>
                <w:rFonts w:asciiTheme="majorHAnsi" w:hAnsiTheme="majorHAnsi"/>
              </w:rPr>
              <w:t>75,8</w:t>
            </w:r>
          </w:p>
        </w:tc>
        <w:tc>
          <w:tcPr>
            <w:tcW w:w="368" w:type="pct"/>
            <w:vAlign w:val="center"/>
          </w:tcPr>
          <w:p w:rsidR="00FE6F60" w:rsidRPr="000C0E36" w:rsidRDefault="00FE6F60" w:rsidP="00FE6F60">
            <w:pPr>
              <w:rPr>
                <w:rFonts w:asciiTheme="majorHAnsi" w:hAnsiTheme="majorHAnsi"/>
              </w:rPr>
            </w:pPr>
            <w:r w:rsidRPr="000C0E36">
              <w:rPr>
                <w:rFonts w:asciiTheme="majorHAnsi" w:hAnsiTheme="majorHAnsi"/>
              </w:rPr>
              <w:t>77,3</w:t>
            </w:r>
          </w:p>
        </w:tc>
        <w:tc>
          <w:tcPr>
            <w:tcW w:w="368" w:type="pct"/>
            <w:vAlign w:val="center"/>
          </w:tcPr>
          <w:p w:rsidR="00FE6F60" w:rsidRPr="000C0E36" w:rsidRDefault="00FE6F60" w:rsidP="00FE6F60">
            <w:pPr>
              <w:rPr>
                <w:rFonts w:asciiTheme="majorHAnsi" w:hAnsiTheme="majorHAnsi"/>
              </w:rPr>
            </w:pPr>
            <w:r w:rsidRPr="000C0E36">
              <w:rPr>
                <w:rFonts w:asciiTheme="majorHAnsi" w:hAnsiTheme="majorHAnsi"/>
              </w:rPr>
              <w:t>73,6</w:t>
            </w:r>
          </w:p>
        </w:tc>
        <w:tc>
          <w:tcPr>
            <w:tcW w:w="368" w:type="pct"/>
            <w:vAlign w:val="center"/>
          </w:tcPr>
          <w:p w:rsidR="00FE6F60" w:rsidRPr="000C0E36" w:rsidRDefault="00FE6F60" w:rsidP="00FE6F60">
            <w:pPr>
              <w:rPr>
                <w:rFonts w:asciiTheme="majorHAnsi" w:hAnsiTheme="majorHAnsi"/>
              </w:rPr>
            </w:pPr>
            <w:r w:rsidRPr="000C0E36">
              <w:rPr>
                <w:rFonts w:asciiTheme="majorHAnsi" w:hAnsiTheme="majorHAnsi"/>
              </w:rPr>
              <w:t>77</w:t>
            </w:r>
          </w:p>
        </w:tc>
        <w:tc>
          <w:tcPr>
            <w:tcW w:w="362" w:type="pct"/>
            <w:vAlign w:val="center"/>
          </w:tcPr>
          <w:p w:rsidR="00FE6F60" w:rsidRPr="000C0E36" w:rsidRDefault="00FE6F60" w:rsidP="00FE6F60">
            <w:pPr>
              <w:rPr>
                <w:rFonts w:asciiTheme="majorHAnsi" w:hAnsiTheme="majorHAnsi"/>
              </w:rPr>
            </w:pPr>
            <w:r w:rsidRPr="000C0E36">
              <w:rPr>
                <w:rFonts w:asciiTheme="majorHAnsi" w:hAnsiTheme="majorHAnsi"/>
              </w:rPr>
              <w:t>77,5</w:t>
            </w:r>
          </w:p>
        </w:tc>
      </w:tr>
    </w:tbl>
    <w:p w:rsidR="00FE6F60" w:rsidRPr="000C0E36" w:rsidRDefault="00FE6F60" w:rsidP="000C0E36">
      <w:pPr>
        <w:spacing w:after="200" w:line="276" w:lineRule="auto"/>
        <w:jc w:val="both"/>
      </w:pPr>
      <w:r w:rsidRPr="000C0E36">
        <w:t xml:space="preserve">Данные о распределении средней аудиторной недельной нагрузки по факультетам и уровням подготовки в НИУ ВШЭ (Москва) в 2010/2011-2012/2013 уч. г. учебных годах </w:t>
      </w:r>
      <w:proofErr w:type="gramStart"/>
      <w:r w:rsidRPr="000C0E36">
        <w:t xml:space="preserve">содержатся </w:t>
      </w:r>
      <w:r w:rsidR="000C0E36">
        <w:t xml:space="preserve"> и </w:t>
      </w:r>
      <w:r w:rsidRPr="000C0E36">
        <w:t>для филиалов униве</w:t>
      </w:r>
      <w:r w:rsidR="000C0E36">
        <w:t>рситета содержится</w:t>
      </w:r>
      <w:proofErr w:type="gramEnd"/>
      <w:r w:rsidR="000C0E36">
        <w:t xml:space="preserve"> в Приложениях.</w:t>
      </w:r>
    </w:p>
    <w:p w:rsidR="006278F7" w:rsidRPr="00472DB1" w:rsidRDefault="00FE6F60" w:rsidP="00472DB1">
      <w:pPr>
        <w:spacing w:after="200" w:line="276" w:lineRule="auto"/>
        <w:jc w:val="both"/>
      </w:pPr>
      <w:r w:rsidRPr="000C0E36">
        <w:t xml:space="preserve">Динамика средней аудиторной недельной нагрузки по уровням подготовки за 2010/2011-2012/2013 уч. г. учебный год отражена на следующих </w:t>
      </w:r>
      <w:proofErr w:type="gramStart"/>
      <w:r w:rsidRPr="000C0E36">
        <w:t>диаграммах</w:t>
      </w:r>
      <w:proofErr w:type="gramEnd"/>
      <w:r w:rsidRPr="000C0E36">
        <w:t xml:space="preserve"> (Диаграмма </w:t>
      </w:r>
      <w:r w:rsidR="000C0E36">
        <w:t>3.2.</w:t>
      </w:r>
      <w:r w:rsidR="00394557">
        <w:t>5</w:t>
      </w:r>
      <w:r w:rsidRPr="000C0E36">
        <w:t xml:space="preserve"> и  </w:t>
      </w:r>
      <w:r w:rsidR="007A6D69">
        <w:fldChar w:fldCharType="begin"/>
      </w:r>
      <w:r w:rsidR="007A6D69">
        <w:instrText xml:space="preserve"> REF _Ref277684149 \h  \* MERGEFORMAT </w:instrText>
      </w:r>
      <w:r w:rsidR="007A6D69">
        <w:fldChar w:fldCharType="separate"/>
      </w:r>
      <w:r w:rsidRPr="000C0E36">
        <w:t xml:space="preserve">Диаграмма </w:t>
      </w:r>
      <w:r w:rsidR="007A6D69">
        <w:fldChar w:fldCharType="end"/>
      </w:r>
      <w:r w:rsidR="000C0E36">
        <w:t>3.2.</w:t>
      </w:r>
      <w:r w:rsidR="00394557">
        <w:t>6</w:t>
      </w:r>
      <w:r w:rsidRPr="000C0E36">
        <w:t>.).</w:t>
      </w:r>
      <w:bookmarkStart w:id="10" w:name="_Ref277684137"/>
    </w:p>
    <w:p w:rsidR="00FE6F60" w:rsidRPr="000C0E36" w:rsidRDefault="00FE6F60" w:rsidP="000C0E36">
      <w:pPr>
        <w:pStyle w:val="af"/>
        <w:rPr>
          <w:rFonts w:asciiTheme="majorHAnsi" w:hAnsiTheme="majorHAnsi"/>
          <w:color w:val="auto"/>
          <w:sz w:val="24"/>
          <w:szCs w:val="24"/>
        </w:rPr>
      </w:pPr>
      <w:r w:rsidRPr="000C0E36">
        <w:rPr>
          <w:rFonts w:asciiTheme="majorHAnsi" w:hAnsiTheme="majorHAnsi"/>
          <w:color w:val="auto"/>
          <w:sz w:val="24"/>
          <w:szCs w:val="24"/>
        </w:rPr>
        <w:t xml:space="preserve">Диаграмма </w:t>
      </w:r>
      <w:bookmarkEnd w:id="10"/>
      <w:r w:rsidR="000C0E36">
        <w:rPr>
          <w:rFonts w:asciiTheme="majorHAnsi" w:hAnsiTheme="majorHAnsi"/>
          <w:color w:val="auto"/>
          <w:sz w:val="24"/>
          <w:szCs w:val="24"/>
        </w:rPr>
        <w:t>3.2</w:t>
      </w:r>
      <w:r w:rsidRPr="000C0E36">
        <w:rPr>
          <w:rFonts w:asciiTheme="majorHAnsi" w:hAnsiTheme="majorHAnsi"/>
          <w:color w:val="auto"/>
          <w:sz w:val="24"/>
          <w:szCs w:val="24"/>
        </w:rPr>
        <w:t>.</w:t>
      </w:r>
      <w:r w:rsidR="00394557">
        <w:rPr>
          <w:rFonts w:asciiTheme="majorHAnsi" w:hAnsiTheme="majorHAnsi"/>
          <w:color w:val="auto"/>
          <w:sz w:val="24"/>
          <w:szCs w:val="24"/>
        </w:rPr>
        <w:t>5</w:t>
      </w:r>
      <w:r w:rsidRPr="000C0E36">
        <w:rPr>
          <w:rFonts w:asciiTheme="majorHAnsi" w:hAnsiTheme="majorHAnsi"/>
          <w:color w:val="auto"/>
          <w:sz w:val="24"/>
          <w:szCs w:val="24"/>
        </w:rPr>
        <w:t xml:space="preserve"> </w:t>
      </w:r>
      <w:r w:rsidR="000C0E36">
        <w:rPr>
          <w:rFonts w:asciiTheme="majorHAnsi" w:hAnsiTheme="majorHAnsi"/>
          <w:color w:val="auto"/>
          <w:sz w:val="24"/>
          <w:szCs w:val="24"/>
        </w:rPr>
        <w:t xml:space="preserve"> </w:t>
      </w:r>
      <w:r w:rsidRPr="000C0E36">
        <w:rPr>
          <w:rFonts w:asciiTheme="majorHAnsi" w:hAnsiTheme="majorHAnsi"/>
          <w:color w:val="auto"/>
          <w:sz w:val="24"/>
          <w:szCs w:val="24"/>
        </w:rPr>
        <w:t xml:space="preserve">Динамика средней аудиторной недельной нагрузки в </w:t>
      </w:r>
      <w:proofErr w:type="spellStart"/>
      <w:r w:rsidRPr="000C0E36">
        <w:rPr>
          <w:rFonts w:asciiTheme="majorHAnsi" w:hAnsiTheme="majorHAnsi"/>
          <w:color w:val="auto"/>
          <w:sz w:val="24"/>
          <w:szCs w:val="24"/>
        </w:rPr>
        <w:t>бакалавриате</w:t>
      </w:r>
      <w:proofErr w:type="spellEnd"/>
      <w:r w:rsidRPr="000C0E36">
        <w:rPr>
          <w:rFonts w:asciiTheme="majorHAnsi" w:hAnsiTheme="majorHAnsi"/>
          <w:color w:val="auto"/>
          <w:sz w:val="24"/>
          <w:szCs w:val="24"/>
        </w:rPr>
        <w:t xml:space="preserve"> за 2010/2011-2012/2013 уч. г. </w:t>
      </w:r>
    </w:p>
    <w:p w:rsidR="00FE6F60" w:rsidRDefault="00FE6F60" w:rsidP="00FE6F60">
      <w:pPr>
        <w:spacing w:before="240"/>
        <w:jc w:val="both"/>
        <w:rPr>
          <w:rFonts w:ascii="Times New Roman" w:hAnsi="Times New Roman"/>
        </w:rPr>
      </w:pPr>
      <w:r w:rsidRPr="004E0A58">
        <w:rPr>
          <w:noProof/>
        </w:rPr>
        <w:drawing>
          <wp:inline distT="0" distB="0" distL="0" distR="0">
            <wp:extent cx="4328719" cy="1526796"/>
            <wp:effectExtent l="0" t="0" r="0" b="0"/>
            <wp:docPr id="5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Start w:id="11" w:name="_Ref277684149"/>
    </w:p>
    <w:p w:rsidR="00FE6F60" w:rsidRPr="000C0E36" w:rsidRDefault="00FE6F60" w:rsidP="000C0E36">
      <w:pPr>
        <w:pStyle w:val="af"/>
        <w:rPr>
          <w:rFonts w:asciiTheme="majorHAnsi" w:hAnsiTheme="majorHAnsi"/>
          <w:color w:val="auto"/>
          <w:sz w:val="24"/>
          <w:szCs w:val="24"/>
        </w:rPr>
      </w:pPr>
      <w:r w:rsidRPr="000C0E36">
        <w:rPr>
          <w:rFonts w:asciiTheme="majorHAnsi" w:hAnsiTheme="majorHAnsi"/>
          <w:color w:val="auto"/>
          <w:sz w:val="24"/>
          <w:szCs w:val="24"/>
        </w:rPr>
        <w:t xml:space="preserve">Диаграмма </w:t>
      </w:r>
      <w:bookmarkEnd w:id="11"/>
      <w:r w:rsidRPr="000C0E36">
        <w:rPr>
          <w:rFonts w:asciiTheme="majorHAnsi" w:hAnsiTheme="majorHAnsi"/>
          <w:color w:val="auto"/>
          <w:sz w:val="24"/>
          <w:szCs w:val="24"/>
        </w:rPr>
        <w:t>3.</w:t>
      </w:r>
      <w:r w:rsidR="000C0E36">
        <w:rPr>
          <w:rFonts w:asciiTheme="majorHAnsi" w:hAnsiTheme="majorHAnsi"/>
          <w:color w:val="auto"/>
          <w:sz w:val="24"/>
          <w:szCs w:val="24"/>
        </w:rPr>
        <w:t>2</w:t>
      </w:r>
      <w:r w:rsidRPr="000C0E36">
        <w:rPr>
          <w:rFonts w:asciiTheme="majorHAnsi" w:hAnsiTheme="majorHAnsi"/>
          <w:color w:val="auto"/>
          <w:sz w:val="24"/>
          <w:szCs w:val="24"/>
        </w:rPr>
        <w:t>.</w:t>
      </w:r>
      <w:r w:rsidR="00394557">
        <w:rPr>
          <w:rFonts w:asciiTheme="majorHAnsi" w:hAnsiTheme="majorHAnsi"/>
          <w:color w:val="auto"/>
          <w:sz w:val="24"/>
          <w:szCs w:val="24"/>
        </w:rPr>
        <w:t>6</w:t>
      </w:r>
      <w:r w:rsidR="000C0E36">
        <w:rPr>
          <w:rFonts w:asciiTheme="majorHAnsi" w:hAnsiTheme="majorHAnsi"/>
          <w:color w:val="auto"/>
          <w:sz w:val="24"/>
          <w:szCs w:val="24"/>
        </w:rPr>
        <w:t xml:space="preserve"> </w:t>
      </w:r>
      <w:r w:rsidRPr="000C0E36">
        <w:rPr>
          <w:rFonts w:asciiTheme="majorHAnsi" w:hAnsiTheme="majorHAnsi"/>
          <w:color w:val="auto"/>
          <w:sz w:val="24"/>
          <w:szCs w:val="24"/>
        </w:rPr>
        <w:t xml:space="preserve">Динамика средней аудиторной недельной нагрузки в магистратуре за 2010/2011-2012/2013 учебные годы </w:t>
      </w:r>
    </w:p>
    <w:p w:rsidR="00FE6F60" w:rsidRPr="007D7303" w:rsidRDefault="00FE6F60" w:rsidP="00FE6F60">
      <w:pPr>
        <w:spacing w:before="240"/>
        <w:jc w:val="both"/>
        <w:rPr>
          <w:b/>
          <w:bCs/>
          <w:noProof/>
        </w:rPr>
      </w:pPr>
      <w:r w:rsidRPr="004E0A58">
        <w:rPr>
          <w:noProof/>
        </w:rPr>
        <w:drawing>
          <wp:inline distT="0" distB="0" distL="0" distR="0">
            <wp:extent cx="5172075" cy="2102081"/>
            <wp:effectExtent l="0" t="0" r="0" b="0"/>
            <wp:docPr id="5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E6F60" w:rsidRPr="007D7303" w:rsidRDefault="00FE6F60" w:rsidP="00FE6F60">
      <w:pPr>
        <w:jc w:val="center"/>
        <w:rPr>
          <w:rFonts w:ascii="Times New Roman" w:hAnsi="Times New Roman"/>
        </w:rPr>
      </w:pPr>
    </w:p>
    <w:p w:rsidR="00FE6F60" w:rsidRPr="000C0E36" w:rsidRDefault="00FE6F60" w:rsidP="000C0E36">
      <w:pPr>
        <w:spacing w:after="200" w:line="276" w:lineRule="auto"/>
        <w:jc w:val="both"/>
      </w:pPr>
      <w:proofErr w:type="gramStart"/>
      <w:r w:rsidRPr="000C0E36">
        <w:lastRenderedPageBreak/>
        <w:t xml:space="preserve">Как видно из диаграмм, в среднем по университету в </w:t>
      </w:r>
      <w:proofErr w:type="spellStart"/>
      <w:r w:rsidRPr="000C0E36">
        <w:t>бакалавриате</w:t>
      </w:r>
      <w:proofErr w:type="spellEnd"/>
      <w:r w:rsidRPr="000C0E36">
        <w:t xml:space="preserve"> и магистратуре наблюдается рост средней недельной аудиторной нагрузки по сравнению с 2011-2012 уч. годом, при этом в Московском кампусе – снижение средней недельной аудиторной нагрузки как в </w:t>
      </w:r>
      <w:proofErr w:type="spellStart"/>
      <w:r w:rsidRPr="000C0E36">
        <w:t>бакалавриате</w:t>
      </w:r>
      <w:proofErr w:type="spellEnd"/>
      <w:r w:rsidRPr="000C0E36">
        <w:t xml:space="preserve">, так и в магистратуре, в Нижегородском кампусе – увеличение средней недельной аудиторной нагрузки как в </w:t>
      </w:r>
      <w:proofErr w:type="spellStart"/>
      <w:r w:rsidRPr="000C0E36">
        <w:t>бакалавриате</w:t>
      </w:r>
      <w:proofErr w:type="spellEnd"/>
      <w:r w:rsidRPr="000C0E36">
        <w:t>, так и в магистратуре, в Санкт-Петербургском кампусе в</w:t>
      </w:r>
      <w:proofErr w:type="gramEnd"/>
      <w:r w:rsidRPr="000C0E36">
        <w:t xml:space="preserve"> </w:t>
      </w:r>
      <w:proofErr w:type="spellStart"/>
      <w:r w:rsidRPr="000C0E36">
        <w:t>бакалавриате</w:t>
      </w:r>
      <w:proofErr w:type="spellEnd"/>
      <w:r w:rsidRPr="000C0E36">
        <w:t xml:space="preserve"> и магистратуре наблюдается рост средней недельной аудиторной нагрузки, в Пермском кампусе - в </w:t>
      </w:r>
      <w:proofErr w:type="spellStart"/>
      <w:r w:rsidRPr="000C0E36">
        <w:t>бакалвриате</w:t>
      </w:r>
      <w:proofErr w:type="spellEnd"/>
      <w:r w:rsidRPr="000C0E36">
        <w:t xml:space="preserve"> рост средней недельной аудиторной нагрузки, в магистратуре - снижение средней недельной аудиторной нагрузки.</w:t>
      </w:r>
    </w:p>
    <w:p w:rsidR="00FE6F60" w:rsidRPr="006278F7" w:rsidRDefault="00FE6F60" w:rsidP="006278F7">
      <w:pPr>
        <w:spacing w:after="200" w:line="276" w:lineRule="auto"/>
        <w:jc w:val="both"/>
      </w:pPr>
      <w:r w:rsidRPr="000C0E36">
        <w:t xml:space="preserve">Динамика средней величины аудиторной нагрузки в неделю за 2010/2011-2012/2013 учебные годы в </w:t>
      </w:r>
      <w:proofErr w:type="spellStart"/>
      <w:r w:rsidRPr="000C0E36">
        <w:t>бакалавриате</w:t>
      </w:r>
      <w:proofErr w:type="spellEnd"/>
      <w:r w:rsidRPr="000C0E36">
        <w:t xml:space="preserve"> и в магистратуре по факультетам НИУ ВШЭ (Москва) отражена на следующих графиках (</w:t>
      </w:r>
      <w:r w:rsidR="007A6D69">
        <w:fldChar w:fldCharType="begin"/>
      </w:r>
      <w:r w:rsidR="007A6D69">
        <w:instrText xml:space="preserve"> REF _Ref277684407 \h  \* MERGEFORMAT </w:instrText>
      </w:r>
      <w:r w:rsidR="007A6D69">
        <w:fldChar w:fldCharType="separate"/>
      </w:r>
      <w:r w:rsidRPr="000C0E36">
        <w:t>Диаграмма</w:t>
      </w:r>
      <w:r w:rsidR="007A6D69">
        <w:fldChar w:fldCharType="end"/>
      </w:r>
      <w:r w:rsidR="001B7576">
        <w:t xml:space="preserve"> </w:t>
      </w:r>
      <w:r w:rsidR="000C0E36">
        <w:t>3.2</w:t>
      </w:r>
      <w:r w:rsidRPr="000C0E36">
        <w:t>.</w:t>
      </w:r>
      <w:r w:rsidR="00394557">
        <w:t>7</w:t>
      </w:r>
      <w:r w:rsidRPr="000C0E36">
        <w:t xml:space="preserve"> и </w:t>
      </w:r>
      <w:r w:rsidR="007A6D69">
        <w:fldChar w:fldCharType="begin"/>
      </w:r>
      <w:r w:rsidR="007A6D69">
        <w:instrText xml:space="preserve"> REF _Ref277684453 \h  \* MERGEFORMAT </w:instrText>
      </w:r>
      <w:r w:rsidR="007A6D69">
        <w:fldChar w:fldCharType="separate"/>
      </w:r>
      <w:r w:rsidRPr="000C0E36">
        <w:t xml:space="preserve">Диаграмма </w:t>
      </w:r>
      <w:r w:rsidR="007A6D69">
        <w:fldChar w:fldCharType="end"/>
      </w:r>
      <w:r w:rsidR="000C0E36">
        <w:t>3.2.</w:t>
      </w:r>
      <w:r w:rsidR="00394557">
        <w:t>8</w:t>
      </w:r>
      <w:r>
        <w:t>)</w:t>
      </w:r>
      <w:r w:rsidRPr="000C0E36">
        <w:t>.</w:t>
      </w:r>
    </w:p>
    <w:p w:rsidR="00FE6F60" w:rsidRPr="000C0E36" w:rsidRDefault="00FE6F60" w:rsidP="00FE6F60">
      <w:pPr>
        <w:pStyle w:val="af"/>
        <w:rPr>
          <w:rFonts w:asciiTheme="majorHAnsi" w:hAnsiTheme="majorHAnsi"/>
          <w:color w:val="auto"/>
          <w:sz w:val="24"/>
          <w:szCs w:val="24"/>
        </w:rPr>
      </w:pPr>
      <w:bookmarkStart w:id="12" w:name="_Ref277684407"/>
      <w:r w:rsidRPr="000C0E36">
        <w:rPr>
          <w:rFonts w:asciiTheme="majorHAnsi" w:hAnsiTheme="majorHAnsi"/>
          <w:color w:val="auto"/>
          <w:sz w:val="24"/>
          <w:szCs w:val="24"/>
        </w:rPr>
        <w:t>Диаграмма</w:t>
      </w:r>
      <w:bookmarkEnd w:id="12"/>
      <w:r w:rsidR="000C0E36">
        <w:rPr>
          <w:rFonts w:asciiTheme="majorHAnsi" w:hAnsiTheme="majorHAnsi"/>
          <w:color w:val="auto"/>
          <w:sz w:val="24"/>
          <w:szCs w:val="24"/>
        </w:rPr>
        <w:t xml:space="preserve"> 3.2</w:t>
      </w:r>
      <w:r w:rsidRPr="000C0E36">
        <w:rPr>
          <w:rFonts w:asciiTheme="majorHAnsi" w:hAnsiTheme="majorHAnsi"/>
          <w:color w:val="auto"/>
          <w:sz w:val="24"/>
          <w:szCs w:val="24"/>
        </w:rPr>
        <w:t>.</w:t>
      </w:r>
      <w:r w:rsidR="00394557">
        <w:rPr>
          <w:rFonts w:asciiTheme="majorHAnsi" w:hAnsiTheme="majorHAnsi"/>
          <w:color w:val="auto"/>
          <w:sz w:val="24"/>
          <w:szCs w:val="24"/>
        </w:rPr>
        <w:t>7</w:t>
      </w:r>
    </w:p>
    <w:p w:rsidR="00FE6F60" w:rsidRPr="007D7303" w:rsidRDefault="00FE6F60" w:rsidP="00FE6F60">
      <w:pPr>
        <w:rPr>
          <w:rFonts w:ascii="Times New Roman" w:hAnsi="Times New Roman"/>
        </w:rPr>
      </w:pPr>
      <w:r w:rsidRPr="00615D8E">
        <w:rPr>
          <w:rFonts w:ascii="Times New Roman" w:hAnsi="Times New Roman"/>
          <w:noProof/>
        </w:rPr>
        <w:drawing>
          <wp:inline distT="0" distB="0" distL="0" distR="0">
            <wp:extent cx="5600065" cy="2964526"/>
            <wp:effectExtent l="0" t="0" r="0" b="0"/>
            <wp:docPr id="5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E6F60" w:rsidRPr="000C0E36" w:rsidRDefault="00FE6F60" w:rsidP="00FE6F60">
      <w:pPr>
        <w:pStyle w:val="af"/>
        <w:rPr>
          <w:rFonts w:asciiTheme="majorHAnsi" w:hAnsiTheme="majorHAnsi"/>
          <w:color w:val="auto"/>
          <w:sz w:val="24"/>
          <w:szCs w:val="24"/>
        </w:rPr>
      </w:pPr>
      <w:bookmarkStart w:id="13" w:name="_Ref277684453"/>
      <w:r w:rsidRPr="000C0E36">
        <w:rPr>
          <w:rFonts w:asciiTheme="majorHAnsi" w:hAnsiTheme="majorHAnsi"/>
          <w:color w:val="auto"/>
          <w:sz w:val="24"/>
          <w:szCs w:val="24"/>
        </w:rPr>
        <w:t xml:space="preserve">Диаграмма </w:t>
      </w:r>
      <w:bookmarkEnd w:id="13"/>
      <w:r w:rsidR="000C0E36">
        <w:rPr>
          <w:rFonts w:asciiTheme="majorHAnsi" w:hAnsiTheme="majorHAnsi"/>
          <w:color w:val="auto"/>
          <w:sz w:val="24"/>
          <w:szCs w:val="24"/>
        </w:rPr>
        <w:t>3.</w:t>
      </w:r>
      <w:r w:rsidRPr="000C0E36">
        <w:rPr>
          <w:rFonts w:asciiTheme="majorHAnsi" w:hAnsiTheme="majorHAnsi"/>
          <w:color w:val="auto"/>
          <w:sz w:val="24"/>
          <w:szCs w:val="24"/>
        </w:rPr>
        <w:t>2.</w:t>
      </w:r>
      <w:r w:rsidR="00394557">
        <w:rPr>
          <w:rFonts w:asciiTheme="majorHAnsi" w:hAnsiTheme="majorHAnsi"/>
          <w:color w:val="auto"/>
          <w:sz w:val="24"/>
          <w:szCs w:val="24"/>
        </w:rPr>
        <w:t>8</w:t>
      </w:r>
    </w:p>
    <w:p w:rsidR="00FE6F60" w:rsidRPr="007D7303" w:rsidRDefault="00FE6F60" w:rsidP="00FE6F60">
      <w:pPr>
        <w:jc w:val="both"/>
        <w:rPr>
          <w:rFonts w:ascii="Times New Roman" w:hAnsi="Times New Roman"/>
          <w:noProof/>
        </w:rPr>
      </w:pPr>
      <w:r w:rsidRPr="00615D8E">
        <w:rPr>
          <w:rFonts w:ascii="Times New Roman" w:hAnsi="Times New Roman"/>
          <w:noProof/>
        </w:rPr>
        <w:drawing>
          <wp:inline distT="0" distB="0" distL="0" distR="0">
            <wp:extent cx="5029200" cy="2479964"/>
            <wp:effectExtent l="0" t="0" r="0" b="0"/>
            <wp:docPr id="1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E6F60" w:rsidRPr="000C0E36" w:rsidRDefault="00FE6F60" w:rsidP="000C0E36">
      <w:pPr>
        <w:spacing w:after="200" w:line="276" w:lineRule="auto"/>
        <w:jc w:val="both"/>
      </w:pPr>
      <w:r w:rsidRPr="000C0E36">
        <w:lastRenderedPageBreak/>
        <w:t xml:space="preserve">Таким образом, мы видим незначительное уменьшение средней величины аудиторной нагрузки в неделю практически по всем направлениям подготовки в </w:t>
      </w:r>
      <w:proofErr w:type="spellStart"/>
      <w:r w:rsidRPr="000C0E36">
        <w:t>бакалавриате</w:t>
      </w:r>
      <w:proofErr w:type="spellEnd"/>
      <w:r w:rsidRPr="000C0E36">
        <w:t xml:space="preserve"> (за исключением экономики и культурологии) и примерное сохранение этого показателя </w:t>
      </w:r>
      <w:proofErr w:type="gramStart"/>
      <w:r w:rsidRPr="000C0E36">
        <w:t>в</w:t>
      </w:r>
      <w:proofErr w:type="gramEnd"/>
      <w:r w:rsidRPr="000C0E36">
        <w:t xml:space="preserve"> магистратуре, за исключением факультетов логистики, математики и отделения статистики,  анализа данных и демографии; значительного сокращения средней недельной аудиторной нагрузки в магистратуре удалось достичь на факультете истории. </w:t>
      </w:r>
    </w:p>
    <w:p w:rsidR="00FE6F60" w:rsidRPr="000C0E36" w:rsidRDefault="00FE6F60" w:rsidP="000C0E36">
      <w:pPr>
        <w:spacing w:after="200" w:line="276" w:lineRule="auto"/>
        <w:jc w:val="both"/>
      </w:pPr>
      <w:r w:rsidRPr="000C0E36">
        <w:t xml:space="preserve">Тенденция уменьшения величины аудиторной нагрузки сохранилась и в </w:t>
      </w:r>
      <w:proofErr w:type="spellStart"/>
      <w:r w:rsidRPr="000C0E36">
        <w:t>РУПах</w:t>
      </w:r>
      <w:proofErr w:type="spellEnd"/>
      <w:r w:rsidRPr="000C0E36">
        <w:t xml:space="preserve"> 2012/2013 учебного года (диаграмма</w:t>
      </w:r>
      <w:r w:rsidR="001B7576">
        <w:t>)</w:t>
      </w:r>
      <w:r w:rsidRPr="000C0E36">
        <w:t>. Среднее значение аудиторной нагрузки по НИУ ВШЭ (Москва и филиалы) уменьшилось на 0,92 часа. В среднем аудиторная нагрузка (в процентах) уменьшилась на 2,06 % (по соотношению с самостоятельной работой) и составила 26,49 % от всех часов в рабочих учебных планах 2012/2013 учебного года.</w:t>
      </w:r>
    </w:p>
    <w:p w:rsidR="00FE6F60" w:rsidRPr="000C0E36" w:rsidRDefault="00FE6F60" w:rsidP="000C0E36">
      <w:pPr>
        <w:pStyle w:val="af"/>
        <w:rPr>
          <w:rFonts w:asciiTheme="majorHAnsi" w:hAnsiTheme="majorHAnsi"/>
          <w:color w:val="auto"/>
          <w:sz w:val="24"/>
          <w:szCs w:val="24"/>
        </w:rPr>
      </w:pPr>
      <w:r w:rsidRPr="000C0E36">
        <w:rPr>
          <w:rFonts w:asciiTheme="majorHAnsi" w:hAnsiTheme="majorHAnsi"/>
          <w:color w:val="auto"/>
          <w:sz w:val="24"/>
          <w:szCs w:val="24"/>
        </w:rPr>
        <w:t xml:space="preserve">Диаграмма </w:t>
      </w:r>
      <w:r w:rsidR="000C0E36" w:rsidRPr="000C0E36">
        <w:rPr>
          <w:rFonts w:asciiTheme="majorHAnsi" w:hAnsiTheme="majorHAnsi"/>
          <w:color w:val="auto"/>
          <w:sz w:val="24"/>
          <w:szCs w:val="24"/>
        </w:rPr>
        <w:t>3.2</w:t>
      </w:r>
      <w:r w:rsidRPr="000C0E36">
        <w:rPr>
          <w:rFonts w:asciiTheme="majorHAnsi" w:hAnsiTheme="majorHAnsi"/>
          <w:color w:val="auto"/>
          <w:sz w:val="24"/>
          <w:szCs w:val="24"/>
        </w:rPr>
        <w:t>.</w:t>
      </w:r>
      <w:r w:rsidR="00394557">
        <w:rPr>
          <w:rFonts w:asciiTheme="majorHAnsi" w:hAnsiTheme="majorHAnsi"/>
          <w:color w:val="auto"/>
          <w:sz w:val="24"/>
          <w:szCs w:val="24"/>
        </w:rPr>
        <w:t>9</w:t>
      </w:r>
    </w:p>
    <w:p w:rsidR="00FE6F60" w:rsidRPr="007D7303" w:rsidRDefault="00FE6F60" w:rsidP="00FE6F60">
      <w:pPr>
        <w:jc w:val="both"/>
        <w:rPr>
          <w:rFonts w:ascii="Times New Roman" w:hAnsi="Times New Roman"/>
          <w:noProof/>
        </w:rPr>
      </w:pPr>
      <w:r w:rsidRPr="00650E64">
        <w:rPr>
          <w:rFonts w:ascii="Times New Roman" w:hAnsi="Times New Roman"/>
          <w:noProof/>
        </w:rPr>
        <w:t xml:space="preserve"> </w:t>
      </w:r>
      <w:r w:rsidRPr="00650E64">
        <w:rPr>
          <w:rFonts w:ascii="Times New Roman" w:hAnsi="Times New Roman"/>
          <w:noProof/>
        </w:rPr>
        <w:drawing>
          <wp:inline distT="0" distB="0" distL="0" distR="0">
            <wp:extent cx="4294909" cy="2549237"/>
            <wp:effectExtent l="0" t="0" r="0" b="3810"/>
            <wp:docPr id="5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E6F60" w:rsidRPr="000C0E36" w:rsidRDefault="00FE6F60" w:rsidP="000C0E36">
      <w:pPr>
        <w:spacing w:after="200" w:line="276" w:lineRule="auto"/>
        <w:jc w:val="both"/>
      </w:pPr>
      <w:r w:rsidRPr="000C0E36">
        <w:t xml:space="preserve">Распределение среднего числа форм итогового контроля по модулям и семестрам в университете, включая филиалы, согласно РУП на 2010/2011 и 2012/2013 учебные годы представлены в следующих диаграммах: по </w:t>
      </w:r>
      <w:proofErr w:type="spellStart"/>
      <w:r w:rsidRPr="000C0E36">
        <w:t>бакалавриату</w:t>
      </w:r>
      <w:proofErr w:type="spellEnd"/>
      <w:r w:rsidRPr="000C0E36">
        <w:t xml:space="preserve"> (</w:t>
      </w:r>
      <w:r w:rsidR="007A6D69">
        <w:fldChar w:fldCharType="begin"/>
      </w:r>
      <w:r w:rsidR="007A6D69">
        <w:instrText xml:space="preserve"> REF _Ref277684663 \h  \* MERGEFORMAT </w:instrText>
      </w:r>
      <w:r w:rsidR="007A6D69">
        <w:fldChar w:fldCharType="separate"/>
      </w:r>
      <w:r w:rsidRPr="000C0E36">
        <w:t xml:space="preserve">Диаграмма </w:t>
      </w:r>
      <w:r w:rsidR="007A6D69">
        <w:fldChar w:fldCharType="end"/>
      </w:r>
      <w:r w:rsidR="00394557">
        <w:t>3.2.10</w:t>
      </w:r>
      <w:r w:rsidRPr="000C0E36">
        <w:t xml:space="preserve">), </w:t>
      </w:r>
      <w:proofErr w:type="spellStart"/>
      <w:r w:rsidRPr="000C0E36">
        <w:t>специалитету</w:t>
      </w:r>
      <w:proofErr w:type="spellEnd"/>
      <w:r w:rsidRPr="000C0E36">
        <w:t xml:space="preserve"> (</w:t>
      </w:r>
      <w:r w:rsidR="007A6D69">
        <w:fldChar w:fldCharType="begin"/>
      </w:r>
      <w:r w:rsidR="007A6D69">
        <w:instrText xml:space="preserve"> REF _Ref277684856 \h  \* MERGEFORMAT </w:instrText>
      </w:r>
      <w:r w:rsidR="007A6D69">
        <w:fldChar w:fldCharType="separate"/>
      </w:r>
      <w:r w:rsidRPr="000C0E36">
        <w:t xml:space="preserve">Диаграмма </w:t>
      </w:r>
      <w:r w:rsidR="007A6D69">
        <w:fldChar w:fldCharType="end"/>
      </w:r>
      <w:r w:rsidR="000C0E36">
        <w:t>3.</w:t>
      </w:r>
      <w:r w:rsidRPr="000C0E36">
        <w:t>2.</w:t>
      </w:r>
      <w:r w:rsidR="00394557">
        <w:t>11</w:t>
      </w:r>
      <w:r w:rsidRPr="000C0E36">
        <w:t>) и магистратуре (</w:t>
      </w:r>
      <w:r w:rsidR="007A6D69">
        <w:fldChar w:fldCharType="begin"/>
      </w:r>
      <w:r w:rsidR="007A6D69">
        <w:instrText xml:space="preserve"> REF _Ref277684931 \h  \* MERGEFORMAT </w:instrText>
      </w:r>
      <w:r w:rsidR="007A6D69">
        <w:fldChar w:fldCharType="separate"/>
      </w:r>
      <w:r w:rsidRPr="000C0E36">
        <w:t>Диаграмма</w:t>
      </w:r>
      <w:r w:rsidR="007A6D69">
        <w:fldChar w:fldCharType="end"/>
      </w:r>
      <w:r>
        <w:t xml:space="preserve"> </w:t>
      </w:r>
      <w:r w:rsidR="000C0E36">
        <w:t>3.2.</w:t>
      </w:r>
      <w:r w:rsidRPr="000C0E36">
        <w:t>1</w:t>
      </w:r>
      <w:r w:rsidR="00394557">
        <w:t>2</w:t>
      </w:r>
      <w:r w:rsidRPr="000C0E36">
        <w:t>).</w:t>
      </w:r>
    </w:p>
    <w:p w:rsidR="00FE6F60" w:rsidRPr="000C0E36" w:rsidRDefault="00FE6F60" w:rsidP="00FE6F60">
      <w:pPr>
        <w:pStyle w:val="af"/>
        <w:rPr>
          <w:rFonts w:asciiTheme="majorHAnsi" w:hAnsiTheme="majorHAnsi"/>
          <w:color w:val="auto"/>
          <w:sz w:val="24"/>
          <w:szCs w:val="24"/>
        </w:rPr>
      </w:pPr>
      <w:bookmarkStart w:id="14" w:name="_Ref277684663"/>
      <w:r w:rsidRPr="000C0E36">
        <w:rPr>
          <w:rFonts w:asciiTheme="majorHAnsi" w:hAnsiTheme="majorHAnsi"/>
          <w:color w:val="auto"/>
          <w:sz w:val="24"/>
          <w:szCs w:val="24"/>
        </w:rPr>
        <w:t xml:space="preserve">Диаграмма </w:t>
      </w:r>
      <w:bookmarkEnd w:id="14"/>
      <w:r w:rsidR="000C0E36">
        <w:rPr>
          <w:rFonts w:asciiTheme="majorHAnsi" w:hAnsiTheme="majorHAnsi"/>
          <w:color w:val="auto"/>
          <w:sz w:val="24"/>
          <w:szCs w:val="24"/>
        </w:rPr>
        <w:t>3.2</w:t>
      </w:r>
      <w:r w:rsidRPr="000C0E36">
        <w:rPr>
          <w:rFonts w:asciiTheme="majorHAnsi" w:hAnsiTheme="majorHAnsi"/>
          <w:color w:val="auto"/>
          <w:sz w:val="24"/>
          <w:szCs w:val="24"/>
        </w:rPr>
        <w:t>.</w:t>
      </w:r>
      <w:r w:rsidR="00394557">
        <w:rPr>
          <w:rFonts w:asciiTheme="majorHAnsi" w:hAnsiTheme="majorHAnsi"/>
          <w:color w:val="auto"/>
          <w:sz w:val="24"/>
          <w:szCs w:val="24"/>
        </w:rPr>
        <w:t>10</w:t>
      </w:r>
    </w:p>
    <w:p w:rsidR="00FE6F60" w:rsidRPr="007D7303" w:rsidRDefault="00FE6F60" w:rsidP="00FE6F60">
      <w:pPr>
        <w:jc w:val="center"/>
        <w:rPr>
          <w:rFonts w:ascii="Times New Roman" w:hAnsi="Times New Roman"/>
        </w:rPr>
      </w:pPr>
      <w:r w:rsidRPr="002355FF">
        <w:rPr>
          <w:rFonts w:ascii="Times New Roman" w:hAnsi="Times New Roman"/>
          <w:noProof/>
        </w:rPr>
        <w:drawing>
          <wp:inline distT="0" distB="0" distL="0" distR="0">
            <wp:extent cx="4509135" cy="2353599"/>
            <wp:effectExtent l="0" t="0" r="12065" b="8890"/>
            <wp:docPr id="5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E6F60" w:rsidRPr="000C0E36" w:rsidRDefault="00FE6F60" w:rsidP="000C0E36">
      <w:pPr>
        <w:pStyle w:val="af"/>
        <w:rPr>
          <w:rFonts w:asciiTheme="majorHAnsi" w:hAnsiTheme="majorHAnsi"/>
          <w:color w:val="auto"/>
          <w:sz w:val="24"/>
          <w:szCs w:val="24"/>
        </w:rPr>
      </w:pPr>
      <w:bookmarkStart w:id="15" w:name="_Ref277684856"/>
      <w:r w:rsidRPr="000C0E36">
        <w:rPr>
          <w:rFonts w:asciiTheme="majorHAnsi" w:hAnsiTheme="majorHAnsi"/>
          <w:color w:val="auto"/>
          <w:sz w:val="24"/>
          <w:szCs w:val="24"/>
        </w:rPr>
        <w:lastRenderedPageBreak/>
        <w:t xml:space="preserve">Диаграмма </w:t>
      </w:r>
      <w:bookmarkEnd w:id="15"/>
      <w:r w:rsidR="000C0E36">
        <w:rPr>
          <w:rFonts w:asciiTheme="majorHAnsi" w:hAnsiTheme="majorHAnsi"/>
          <w:color w:val="auto"/>
          <w:sz w:val="24"/>
          <w:szCs w:val="24"/>
        </w:rPr>
        <w:t>3.2.</w:t>
      </w:r>
      <w:r w:rsidR="00394557">
        <w:rPr>
          <w:rFonts w:asciiTheme="majorHAnsi" w:hAnsiTheme="majorHAnsi"/>
          <w:color w:val="auto"/>
          <w:sz w:val="24"/>
          <w:szCs w:val="24"/>
        </w:rPr>
        <w:t>11</w:t>
      </w:r>
    </w:p>
    <w:p w:rsidR="00FE6F60" w:rsidRDefault="00FE6F60" w:rsidP="00D80056">
      <w:pPr>
        <w:jc w:val="center"/>
        <w:rPr>
          <w:rFonts w:ascii="Times New Roman" w:hAnsi="Times New Roman"/>
        </w:rPr>
      </w:pPr>
      <w:r w:rsidRPr="002355FF">
        <w:rPr>
          <w:rFonts w:ascii="Times New Roman" w:hAnsi="Times New Roman"/>
          <w:noProof/>
        </w:rPr>
        <w:drawing>
          <wp:inline distT="0" distB="0" distL="0" distR="0" wp14:anchorId="01F85F3B" wp14:editId="306A109C">
            <wp:extent cx="4406265" cy="2195599"/>
            <wp:effectExtent l="0" t="0" r="0" b="0"/>
            <wp:docPr id="6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Start w:id="16" w:name="_Ref277684931"/>
    </w:p>
    <w:p w:rsidR="00FE6F60" w:rsidRPr="000C0E36" w:rsidRDefault="00FE6F60" w:rsidP="00FE6F60">
      <w:pPr>
        <w:pStyle w:val="af"/>
        <w:rPr>
          <w:rFonts w:asciiTheme="majorHAnsi" w:hAnsiTheme="majorHAnsi"/>
          <w:color w:val="auto"/>
          <w:sz w:val="24"/>
          <w:szCs w:val="24"/>
        </w:rPr>
      </w:pPr>
      <w:r w:rsidRPr="000C0E36">
        <w:rPr>
          <w:rFonts w:asciiTheme="majorHAnsi" w:hAnsiTheme="majorHAnsi"/>
          <w:color w:val="auto"/>
          <w:sz w:val="24"/>
          <w:szCs w:val="24"/>
        </w:rPr>
        <w:t>Диаграмма</w:t>
      </w:r>
      <w:bookmarkEnd w:id="16"/>
      <w:r w:rsidRPr="000C0E36">
        <w:rPr>
          <w:rFonts w:asciiTheme="majorHAnsi" w:hAnsiTheme="majorHAnsi"/>
          <w:color w:val="auto"/>
          <w:sz w:val="24"/>
          <w:szCs w:val="24"/>
        </w:rPr>
        <w:t xml:space="preserve"> </w:t>
      </w:r>
      <w:r w:rsidR="000C0E36" w:rsidRPr="000C0E36">
        <w:rPr>
          <w:rFonts w:asciiTheme="majorHAnsi" w:hAnsiTheme="majorHAnsi"/>
          <w:color w:val="auto"/>
          <w:sz w:val="24"/>
          <w:szCs w:val="24"/>
        </w:rPr>
        <w:t>3.2.</w:t>
      </w:r>
      <w:r w:rsidRPr="000C0E36">
        <w:rPr>
          <w:rFonts w:asciiTheme="majorHAnsi" w:hAnsiTheme="majorHAnsi"/>
          <w:color w:val="auto"/>
          <w:sz w:val="24"/>
          <w:szCs w:val="24"/>
        </w:rPr>
        <w:t>1</w:t>
      </w:r>
      <w:r w:rsidR="00394557">
        <w:rPr>
          <w:rFonts w:asciiTheme="majorHAnsi" w:hAnsiTheme="majorHAnsi"/>
          <w:color w:val="auto"/>
          <w:sz w:val="24"/>
          <w:szCs w:val="24"/>
        </w:rPr>
        <w:t>2</w:t>
      </w:r>
    </w:p>
    <w:p w:rsidR="00FE6F60" w:rsidRPr="007D7303" w:rsidRDefault="00FE6F60" w:rsidP="00FE6F60">
      <w:pPr>
        <w:jc w:val="center"/>
        <w:rPr>
          <w:rFonts w:ascii="Times New Roman" w:hAnsi="Times New Roman"/>
        </w:rPr>
      </w:pPr>
      <w:r w:rsidRPr="002355FF">
        <w:rPr>
          <w:rFonts w:ascii="Times New Roman" w:hAnsi="Times New Roman"/>
          <w:noProof/>
        </w:rPr>
        <w:drawing>
          <wp:inline distT="0" distB="0" distL="0" distR="0">
            <wp:extent cx="4572000" cy="2286000"/>
            <wp:effectExtent l="19050" t="0" r="19050" b="0"/>
            <wp:docPr id="6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E6F60" w:rsidRPr="000C0E36" w:rsidRDefault="00FE6F60" w:rsidP="000C0E36">
      <w:pPr>
        <w:spacing w:after="200" w:line="276" w:lineRule="auto"/>
        <w:jc w:val="both"/>
      </w:pPr>
      <w:r w:rsidRPr="000C0E36">
        <w:t>Распределение испытаний итогового контроля в НИУ ВШЭ (Москва) и филиалах университета в   2012/2013 учебном году не является равномерным: максимум зачетов и экзаменов приходится на второй и четвертый модули; минимум зачетов и экзаменов приходится на первый модуль.</w:t>
      </w:r>
    </w:p>
    <w:p w:rsidR="00FE6F60" w:rsidRPr="000C0E36" w:rsidRDefault="00FE6F60" w:rsidP="000C0E36">
      <w:pPr>
        <w:spacing w:after="200" w:line="276" w:lineRule="auto"/>
        <w:jc w:val="both"/>
      </w:pPr>
      <w:r w:rsidRPr="000C0E36">
        <w:t>Наблюдается сокращение числа форм итогового контроля для магистров и специалистов, при   увеличении этого числа для бакалавров (таблица 3.2.2.2). Но, тем не менее,  все данные  соответствуют годовой норме -10 экзаменов и 12 зачетов.</w:t>
      </w:r>
    </w:p>
    <w:p w:rsidR="00FE6F60" w:rsidRPr="000C0E36" w:rsidRDefault="00FE6F60" w:rsidP="00FE6F60">
      <w:pPr>
        <w:pStyle w:val="af"/>
        <w:rPr>
          <w:rFonts w:asciiTheme="majorHAnsi" w:hAnsiTheme="majorHAnsi"/>
          <w:color w:val="auto"/>
          <w:sz w:val="24"/>
          <w:szCs w:val="24"/>
        </w:rPr>
      </w:pPr>
      <w:bookmarkStart w:id="17" w:name="_Ref277684553"/>
      <w:r w:rsidRPr="000C0E36">
        <w:rPr>
          <w:rFonts w:asciiTheme="majorHAnsi" w:hAnsiTheme="majorHAnsi"/>
          <w:color w:val="auto"/>
          <w:sz w:val="24"/>
          <w:szCs w:val="24"/>
        </w:rPr>
        <w:t xml:space="preserve">Таблица </w:t>
      </w:r>
      <w:bookmarkEnd w:id="17"/>
      <w:r w:rsidR="000C0E36" w:rsidRPr="000C0E36">
        <w:rPr>
          <w:rFonts w:asciiTheme="majorHAnsi" w:hAnsiTheme="majorHAnsi"/>
          <w:color w:val="auto"/>
          <w:sz w:val="24"/>
          <w:szCs w:val="24"/>
        </w:rPr>
        <w:t>3.2</w:t>
      </w:r>
      <w:r w:rsidRPr="000C0E36">
        <w:rPr>
          <w:rFonts w:asciiTheme="majorHAnsi" w:hAnsiTheme="majorHAnsi"/>
          <w:color w:val="auto"/>
          <w:sz w:val="24"/>
          <w:szCs w:val="24"/>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220"/>
        <w:gridCol w:w="918"/>
        <w:gridCol w:w="762"/>
        <w:gridCol w:w="1220"/>
        <w:gridCol w:w="918"/>
        <w:gridCol w:w="762"/>
        <w:gridCol w:w="1872"/>
      </w:tblGrid>
      <w:tr w:rsidR="00FE6F60" w:rsidRPr="000C0E36" w:rsidTr="00FE6F60">
        <w:trPr>
          <w:trHeight w:val="645"/>
          <w:jc w:val="center"/>
        </w:trPr>
        <w:tc>
          <w:tcPr>
            <w:tcW w:w="1031" w:type="pct"/>
            <w:vMerge w:val="restart"/>
            <w:vAlign w:val="center"/>
          </w:tcPr>
          <w:p w:rsidR="00FE6F60" w:rsidRPr="000C0E36" w:rsidRDefault="00FE6F60" w:rsidP="00FE6F60">
            <w:pPr>
              <w:jc w:val="center"/>
              <w:rPr>
                <w:rFonts w:asciiTheme="majorHAnsi" w:hAnsiTheme="majorHAnsi"/>
              </w:rPr>
            </w:pPr>
            <w:r w:rsidRPr="000C0E36">
              <w:rPr>
                <w:rFonts w:asciiTheme="majorHAnsi" w:hAnsiTheme="majorHAnsi"/>
              </w:rPr>
              <w:t>Уровни подготовки</w:t>
            </w:r>
          </w:p>
        </w:tc>
        <w:tc>
          <w:tcPr>
            <w:tcW w:w="2989" w:type="pct"/>
            <w:gridSpan w:val="6"/>
            <w:vAlign w:val="center"/>
          </w:tcPr>
          <w:p w:rsidR="00FE6F60" w:rsidRPr="000C0E36" w:rsidRDefault="00FE6F60" w:rsidP="00FE6F60">
            <w:pPr>
              <w:jc w:val="center"/>
              <w:rPr>
                <w:rFonts w:asciiTheme="majorHAnsi" w:hAnsiTheme="majorHAnsi"/>
              </w:rPr>
            </w:pPr>
            <w:r w:rsidRPr="000C0E36">
              <w:rPr>
                <w:rFonts w:asciiTheme="majorHAnsi" w:hAnsiTheme="majorHAnsi"/>
              </w:rPr>
              <w:t xml:space="preserve">Учебные годы, </w:t>
            </w:r>
            <w:r w:rsidRPr="000C0E36">
              <w:rPr>
                <w:rFonts w:asciiTheme="majorHAnsi" w:hAnsiTheme="majorHAnsi"/>
              </w:rPr>
              <w:br/>
              <w:t xml:space="preserve">среднее число форм </w:t>
            </w:r>
            <w:proofErr w:type="gramStart"/>
            <w:r w:rsidRPr="000C0E36">
              <w:rPr>
                <w:rFonts w:asciiTheme="majorHAnsi" w:hAnsiTheme="majorHAnsi"/>
              </w:rPr>
              <w:t>итогового</w:t>
            </w:r>
            <w:proofErr w:type="gramEnd"/>
            <w:r w:rsidRPr="000C0E36">
              <w:rPr>
                <w:rFonts w:asciiTheme="majorHAnsi" w:hAnsiTheme="majorHAnsi"/>
              </w:rPr>
              <w:t xml:space="preserve"> контроля</w:t>
            </w:r>
          </w:p>
        </w:tc>
        <w:tc>
          <w:tcPr>
            <w:tcW w:w="980" w:type="pct"/>
            <w:vMerge w:val="restart"/>
            <w:vAlign w:val="center"/>
          </w:tcPr>
          <w:p w:rsidR="00FE6F60" w:rsidRPr="000C0E36" w:rsidRDefault="00FE6F60" w:rsidP="00FE6F60">
            <w:pPr>
              <w:jc w:val="center"/>
              <w:rPr>
                <w:rFonts w:asciiTheme="majorHAnsi" w:hAnsiTheme="majorHAnsi"/>
              </w:rPr>
            </w:pPr>
            <w:r w:rsidRPr="000C0E36">
              <w:rPr>
                <w:rFonts w:asciiTheme="majorHAnsi" w:hAnsiTheme="majorHAnsi"/>
              </w:rPr>
              <w:t>Количественная оценка динамики</w:t>
            </w:r>
          </w:p>
        </w:tc>
      </w:tr>
      <w:tr w:rsidR="00FE6F60" w:rsidRPr="000C0E36" w:rsidTr="00FE6F60">
        <w:trPr>
          <w:trHeight w:val="317"/>
          <w:jc w:val="center"/>
        </w:trPr>
        <w:tc>
          <w:tcPr>
            <w:tcW w:w="1031" w:type="pct"/>
            <w:vMerge/>
            <w:vAlign w:val="center"/>
          </w:tcPr>
          <w:p w:rsidR="00FE6F60" w:rsidRPr="000C0E36" w:rsidRDefault="00FE6F60" w:rsidP="00FE6F60">
            <w:pPr>
              <w:jc w:val="center"/>
              <w:rPr>
                <w:rFonts w:asciiTheme="majorHAnsi" w:hAnsiTheme="majorHAnsi"/>
              </w:rPr>
            </w:pPr>
          </w:p>
        </w:tc>
        <w:tc>
          <w:tcPr>
            <w:tcW w:w="1494" w:type="pct"/>
            <w:gridSpan w:val="3"/>
            <w:vAlign w:val="center"/>
          </w:tcPr>
          <w:p w:rsidR="00FE6F60" w:rsidRPr="000C0E36" w:rsidRDefault="00FE6F60" w:rsidP="00FE6F60">
            <w:pPr>
              <w:jc w:val="center"/>
              <w:rPr>
                <w:rFonts w:asciiTheme="majorHAnsi" w:hAnsiTheme="majorHAnsi"/>
              </w:rPr>
            </w:pPr>
            <w:r w:rsidRPr="000C0E36">
              <w:rPr>
                <w:rFonts w:asciiTheme="majorHAnsi" w:hAnsiTheme="majorHAnsi"/>
              </w:rPr>
              <w:t>2011/2012</w:t>
            </w:r>
          </w:p>
        </w:tc>
        <w:tc>
          <w:tcPr>
            <w:tcW w:w="1495" w:type="pct"/>
            <w:gridSpan w:val="3"/>
            <w:shd w:val="clear" w:color="auto" w:fill="auto"/>
            <w:vAlign w:val="center"/>
          </w:tcPr>
          <w:p w:rsidR="00FE6F60" w:rsidRPr="000C0E36" w:rsidRDefault="00FE6F60" w:rsidP="00FE6F60">
            <w:pPr>
              <w:jc w:val="center"/>
              <w:rPr>
                <w:rFonts w:asciiTheme="majorHAnsi" w:hAnsiTheme="majorHAnsi"/>
              </w:rPr>
            </w:pPr>
            <w:r w:rsidRPr="000C0E36">
              <w:rPr>
                <w:rFonts w:asciiTheme="majorHAnsi" w:hAnsiTheme="majorHAnsi"/>
              </w:rPr>
              <w:t>2012/2013</w:t>
            </w:r>
          </w:p>
        </w:tc>
        <w:tc>
          <w:tcPr>
            <w:tcW w:w="980" w:type="pct"/>
            <w:vMerge/>
            <w:shd w:val="clear" w:color="auto" w:fill="auto"/>
            <w:vAlign w:val="center"/>
          </w:tcPr>
          <w:p w:rsidR="00FE6F60" w:rsidRPr="000C0E36" w:rsidRDefault="00FE6F60" w:rsidP="00FE6F60">
            <w:pPr>
              <w:jc w:val="center"/>
              <w:rPr>
                <w:rFonts w:asciiTheme="majorHAnsi" w:hAnsiTheme="majorHAnsi"/>
              </w:rPr>
            </w:pPr>
          </w:p>
        </w:tc>
      </w:tr>
      <w:tr w:rsidR="00FE6F60" w:rsidRPr="000C0E36" w:rsidTr="00FE6F60">
        <w:trPr>
          <w:trHeight w:val="408"/>
          <w:jc w:val="center"/>
        </w:trPr>
        <w:tc>
          <w:tcPr>
            <w:tcW w:w="1031" w:type="pct"/>
            <w:vMerge/>
            <w:vAlign w:val="center"/>
          </w:tcPr>
          <w:p w:rsidR="00FE6F60" w:rsidRPr="000C0E36" w:rsidRDefault="00FE6F60" w:rsidP="00FE6F60">
            <w:pPr>
              <w:rPr>
                <w:rFonts w:asciiTheme="majorHAnsi" w:hAnsiTheme="majorHAnsi"/>
              </w:rPr>
            </w:pPr>
          </w:p>
        </w:tc>
        <w:tc>
          <w:tcPr>
            <w:tcW w:w="620" w:type="pct"/>
            <w:vAlign w:val="center"/>
          </w:tcPr>
          <w:p w:rsidR="00FE6F60" w:rsidRPr="000C0E36" w:rsidRDefault="00FE6F60" w:rsidP="00FE6F60">
            <w:pPr>
              <w:jc w:val="center"/>
              <w:rPr>
                <w:rFonts w:asciiTheme="majorHAnsi" w:hAnsiTheme="majorHAnsi"/>
              </w:rPr>
            </w:pPr>
            <w:r w:rsidRPr="000C0E36">
              <w:rPr>
                <w:rFonts w:asciiTheme="majorHAnsi" w:hAnsiTheme="majorHAnsi"/>
              </w:rPr>
              <w:t>экзамены</w:t>
            </w:r>
          </w:p>
        </w:tc>
        <w:tc>
          <w:tcPr>
            <w:tcW w:w="476" w:type="pct"/>
            <w:vAlign w:val="center"/>
          </w:tcPr>
          <w:p w:rsidR="00FE6F60" w:rsidRPr="000C0E36" w:rsidRDefault="00FE6F60" w:rsidP="00FE6F60">
            <w:pPr>
              <w:jc w:val="center"/>
              <w:rPr>
                <w:rFonts w:asciiTheme="majorHAnsi" w:hAnsiTheme="majorHAnsi"/>
              </w:rPr>
            </w:pPr>
            <w:r w:rsidRPr="000C0E36">
              <w:rPr>
                <w:rFonts w:asciiTheme="majorHAnsi" w:hAnsiTheme="majorHAnsi"/>
              </w:rPr>
              <w:t>зачеты</w:t>
            </w:r>
          </w:p>
        </w:tc>
        <w:tc>
          <w:tcPr>
            <w:tcW w:w="398" w:type="pct"/>
            <w:vAlign w:val="center"/>
          </w:tcPr>
          <w:p w:rsidR="00FE6F60" w:rsidRPr="000C0E36" w:rsidRDefault="00FE6F60" w:rsidP="00FE6F60">
            <w:pPr>
              <w:jc w:val="center"/>
              <w:rPr>
                <w:rFonts w:asciiTheme="majorHAnsi" w:hAnsiTheme="majorHAnsi"/>
              </w:rPr>
            </w:pPr>
            <w:r w:rsidRPr="000C0E36">
              <w:rPr>
                <w:rFonts w:asciiTheme="majorHAnsi" w:hAnsiTheme="majorHAnsi"/>
              </w:rPr>
              <w:t>всего</w:t>
            </w:r>
          </w:p>
        </w:tc>
        <w:tc>
          <w:tcPr>
            <w:tcW w:w="620" w:type="pct"/>
            <w:shd w:val="clear" w:color="auto" w:fill="auto"/>
            <w:vAlign w:val="center"/>
          </w:tcPr>
          <w:p w:rsidR="00FE6F60" w:rsidRPr="000C0E36" w:rsidRDefault="00FE6F60" w:rsidP="00FE6F60">
            <w:pPr>
              <w:jc w:val="center"/>
              <w:rPr>
                <w:rFonts w:asciiTheme="majorHAnsi" w:hAnsiTheme="majorHAnsi"/>
              </w:rPr>
            </w:pPr>
            <w:r w:rsidRPr="000C0E36">
              <w:rPr>
                <w:rFonts w:asciiTheme="majorHAnsi" w:hAnsiTheme="majorHAnsi"/>
              </w:rPr>
              <w:t>экзамены</w:t>
            </w:r>
          </w:p>
        </w:tc>
        <w:tc>
          <w:tcPr>
            <w:tcW w:w="476" w:type="pct"/>
            <w:shd w:val="clear" w:color="auto" w:fill="auto"/>
            <w:vAlign w:val="center"/>
          </w:tcPr>
          <w:p w:rsidR="00FE6F60" w:rsidRPr="000C0E36" w:rsidRDefault="00FE6F60" w:rsidP="00FE6F60">
            <w:pPr>
              <w:jc w:val="center"/>
              <w:rPr>
                <w:rFonts w:asciiTheme="majorHAnsi" w:hAnsiTheme="majorHAnsi"/>
              </w:rPr>
            </w:pPr>
            <w:r w:rsidRPr="000C0E36">
              <w:rPr>
                <w:rFonts w:asciiTheme="majorHAnsi" w:hAnsiTheme="majorHAnsi"/>
              </w:rPr>
              <w:t>зачеты</w:t>
            </w:r>
          </w:p>
        </w:tc>
        <w:tc>
          <w:tcPr>
            <w:tcW w:w="399" w:type="pct"/>
            <w:shd w:val="clear" w:color="auto" w:fill="auto"/>
            <w:vAlign w:val="center"/>
          </w:tcPr>
          <w:p w:rsidR="00FE6F60" w:rsidRPr="000C0E36" w:rsidRDefault="00FE6F60" w:rsidP="00FE6F60">
            <w:pPr>
              <w:jc w:val="center"/>
              <w:rPr>
                <w:rFonts w:asciiTheme="majorHAnsi" w:hAnsiTheme="majorHAnsi"/>
              </w:rPr>
            </w:pPr>
            <w:r w:rsidRPr="000C0E36">
              <w:rPr>
                <w:rFonts w:asciiTheme="majorHAnsi" w:hAnsiTheme="majorHAnsi"/>
              </w:rPr>
              <w:t>всего</w:t>
            </w:r>
          </w:p>
        </w:tc>
        <w:tc>
          <w:tcPr>
            <w:tcW w:w="980" w:type="pct"/>
            <w:vMerge/>
            <w:shd w:val="clear" w:color="auto" w:fill="auto"/>
            <w:vAlign w:val="center"/>
          </w:tcPr>
          <w:p w:rsidR="00FE6F60" w:rsidRPr="000C0E36" w:rsidRDefault="00FE6F60" w:rsidP="00FE6F60">
            <w:pPr>
              <w:jc w:val="center"/>
              <w:rPr>
                <w:rFonts w:asciiTheme="majorHAnsi" w:hAnsiTheme="majorHAnsi"/>
              </w:rPr>
            </w:pPr>
          </w:p>
        </w:tc>
      </w:tr>
      <w:tr w:rsidR="00FE6F60" w:rsidRPr="000C0E36" w:rsidTr="00FE6F60">
        <w:trPr>
          <w:trHeight w:val="221"/>
          <w:jc w:val="center"/>
        </w:trPr>
        <w:tc>
          <w:tcPr>
            <w:tcW w:w="1031" w:type="pct"/>
            <w:vAlign w:val="center"/>
          </w:tcPr>
          <w:p w:rsidR="00FE6F60" w:rsidRPr="000C0E36" w:rsidRDefault="00FE6F60" w:rsidP="00FE6F60">
            <w:pPr>
              <w:rPr>
                <w:rFonts w:asciiTheme="majorHAnsi" w:hAnsiTheme="majorHAnsi"/>
              </w:rPr>
            </w:pPr>
            <w:proofErr w:type="spellStart"/>
            <w:r w:rsidRPr="000C0E36">
              <w:rPr>
                <w:rFonts w:asciiTheme="majorHAnsi" w:hAnsiTheme="majorHAnsi"/>
              </w:rPr>
              <w:t>Бакалавриат</w:t>
            </w:r>
            <w:proofErr w:type="spellEnd"/>
          </w:p>
        </w:tc>
        <w:tc>
          <w:tcPr>
            <w:tcW w:w="620" w:type="pct"/>
            <w:vAlign w:val="center"/>
          </w:tcPr>
          <w:p w:rsidR="00FE6F60" w:rsidRPr="000C0E36" w:rsidRDefault="00FE6F60" w:rsidP="00FE6F60">
            <w:pPr>
              <w:jc w:val="center"/>
              <w:rPr>
                <w:rFonts w:asciiTheme="majorHAnsi" w:hAnsiTheme="majorHAnsi"/>
              </w:rPr>
            </w:pPr>
            <w:r w:rsidRPr="000C0E36">
              <w:rPr>
                <w:rFonts w:asciiTheme="majorHAnsi" w:hAnsiTheme="majorHAnsi"/>
              </w:rPr>
              <w:t>8,1</w:t>
            </w:r>
          </w:p>
        </w:tc>
        <w:tc>
          <w:tcPr>
            <w:tcW w:w="476" w:type="pct"/>
            <w:vAlign w:val="center"/>
          </w:tcPr>
          <w:p w:rsidR="00FE6F60" w:rsidRPr="000C0E36" w:rsidRDefault="00FE6F60" w:rsidP="00FE6F60">
            <w:pPr>
              <w:jc w:val="center"/>
              <w:rPr>
                <w:rFonts w:asciiTheme="majorHAnsi" w:hAnsiTheme="majorHAnsi"/>
              </w:rPr>
            </w:pPr>
            <w:r w:rsidRPr="000C0E36">
              <w:rPr>
                <w:rFonts w:asciiTheme="majorHAnsi" w:hAnsiTheme="majorHAnsi"/>
              </w:rPr>
              <w:t>9,9</w:t>
            </w:r>
          </w:p>
        </w:tc>
        <w:tc>
          <w:tcPr>
            <w:tcW w:w="398" w:type="pct"/>
            <w:vAlign w:val="center"/>
          </w:tcPr>
          <w:p w:rsidR="00FE6F60" w:rsidRPr="000C0E36" w:rsidRDefault="00FE6F60" w:rsidP="00FE6F60">
            <w:pPr>
              <w:jc w:val="center"/>
              <w:rPr>
                <w:rFonts w:asciiTheme="majorHAnsi" w:hAnsiTheme="majorHAnsi"/>
              </w:rPr>
            </w:pPr>
            <w:r w:rsidRPr="000C0E36">
              <w:rPr>
                <w:rFonts w:asciiTheme="majorHAnsi" w:hAnsiTheme="majorHAnsi"/>
              </w:rPr>
              <w:t>18</w:t>
            </w:r>
          </w:p>
        </w:tc>
        <w:tc>
          <w:tcPr>
            <w:tcW w:w="620" w:type="pct"/>
            <w:shd w:val="clear" w:color="auto" w:fill="auto"/>
            <w:vAlign w:val="center"/>
          </w:tcPr>
          <w:p w:rsidR="00FE6F60" w:rsidRPr="000C0E36" w:rsidRDefault="00FE6F60" w:rsidP="00FE6F60">
            <w:pPr>
              <w:jc w:val="center"/>
              <w:rPr>
                <w:rFonts w:asciiTheme="majorHAnsi" w:hAnsiTheme="majorHAnsi"/>
              </w:rPr>
            </w:pPr>
            <w:r w:rsidRPr="000C0E36">
              <w:rPr>
                <w:rFonts w:asciiTheme="majorHAnsi" w:hAnsiTheme="majorHAnsi"/>
              </w:rPr>
              <w:t>8,3</w:t>
            </w:r>
          </w:p>
        </w:tc>
        <w:tc>
          <w:tcPr>
            <w:tcW w:w="476" w:type="pct"/>
            <w:shd w:val="clear" w:color="auto" w:fill="auto"/>
            <w:vAlign w:val="center"/>
          </w:tcPr>
          <w:p w:rsidR="00FE6F60" w:rsidRPr="000C0E36" w:rsidRDefault="00FE6F60" w:rsidP="00FE6F60">
            <w:pPr>
              <w:jc w:val="center"/>
              <w:rPr>
                <w:rFonts w:asciiTheme="majorHAnsi" w:hAnsiTheme="majorHAnsi"/>
              </w:rPr>
            </w:pPr>
            <w:r w:rsidRPr="000C0E36">
              <w:rPr>
                <w:rFonts w:asciiTheme="majorHAnsi" w:hAnsiTheme="majorHAnsi"/>
              </w:rPr>
              <w:t>9,9</w:t>
            </w:r>
          </w:p>
        </w:tc>
        <w:tc>
          <w:tcPr>
            <w:tcW w:w="399" w:type="pct"/>
            <w:shd w:val="clear" w:color="auto" w:fill="auto"/>
            <w:vAlign w:val="center"/>
          </w:tcPr>
          <w:p w:rsidR="00FE6F60" w:rsidRPr="000C0E36" w:rsidRDefault="00FE6F60" w:rsidP="00FE6F60">
            <w:pPr>
              <w:jc w:val="center"/>
              <w:rPr>
                <w:rFonts w:asciiTheme="majorHAnsi" w:hAnsiTheme="majorHAnsi"/>
              </w:rPr>
            </w:pPr>
            <w:r w:rsidRPr="000C0E36">
              <w:rPr>
                <w:rFonts w:asciiTheme="majorHAnsi" w:hAnsiTheme="majorHAnsi"/>
              </w:rPr>
              <w:t>18,2</w:t>
            </w:r>
          </w:p>
        </w:tc>
        <w:tc>
          <w:tcPr>
            <w:tcW w:w="980" w:type="pct"/>
            <w:shd w:val="clear" w:color="auto" w:fill="auto"/>
            <w:vAlign w:val="center"/>
          </w:tcPr>
          <w:p w:rsidR="00FE6F60" w:rsidRPr="000C0E36" w:rsidRDefault="00FE6F60" w:rsidP="00FE6F60">
            <w:pPr>
              <w:jc w:val="center"/>
              <w:rPr>
                <w:rFonts w:asciiTheme="majorHAnsi" w:hAnsiTheme="majorHAnsi"/>
              </w:rPr>
            </w:pPr>
            <w:r w:rsidRPr="000C0E36">
              <w:rPr>
                <w:rFonts w:asciiTheme="majorHAnsi" w:hAnsiTheme="majorHAnsi"/>
              </w:rPr>
              <w:t>+0,2</w:t>
            </w:r>
          </w:p>
        </w:tc>
      </w:tr>
      <w:tr w:rsidR="00FE6F60" w:rsidRPr="000C0E36" w:rsidTr="00FE6F60">
        <w:trPr>
          <w:trHeight w:val="281"/>
          <w:jc w:val="center"/>
        </w:trPr>
        <w:tc>
          <w:tcPr>
            <w:tcW w:w="1031" w:type="pct"/>
            <w:vAlign w:val="center"/>
          </w:tcPr>
          <w:p w:rsidR="00FE6F60" w:rsidRPr="000C0E36" w:rsidRDefault="00FE6F60" w:rsidP="00FE6F60">
            <w:pPr>
              <w:rPr>
                <w:rFonts w:asciiTheme="majorHAnsi" w:hAnsiTheme="majorHAnsi"/>
              </w:rPr>
            </w:pPr>
            <w:proofErr w:type="spellStart"/>
            <w:r w:rsidRPr="000C0E36">
              <w:rPr>
                <w:rFonts w:asciiTheme="majorHAnsi" w:hAnsiTheme="majorHAnsi"/>
              </w:rPr>
              <w:t>Специалитет</w:t>
            </w:r>
            <w:proofErr w:type="spellEnd"/>
          </w:p>
        </w:tc>
        <w:tc>
          <w:tcPr>
            <w:tcW w:w="620" w:type="pct"/>
            <w:vAlign w:val="center"/>
          </w:tcPr>
          <w:p w:rsidR="00FE6F60" w:rsidRPr="000C0E36" w:rsidRDefault="00FE6F60" w:rsidP="00FE6F60">
            <w:pPr>
              <w:jc w:val="center"/>
              <w:rPr>
                <w:rFonts w:asciiTheme="majorHAnsi" w:hAnsiTheme="majorHAnsi"/>
              </w:rPr>
            </w:pPr>
            <w:r w:rsidRPr="000C0E36">
              <w:rPr>
                <w:rFonts w:asciiTheme="majorHAnsi" w:hAnsiTheme="majorHAnsi"/>
              </w:rPr>
              <w:t>6,3</w:t>
            </w:r>
          </w:p>
        </w:tc>
        <w:tc>
          <w:tcPr>
            <w:tcW w:w="476" w:type="pct"/>
            <w:vAlign w:val="center"/>
          </w:tcPr>
          <w:p w:rsidR="00FE6F60" w:rsidRPr="000C0E36" w:rsidRDefault="00FE6F60" w:rsidP="00FE6F60">
            <w:pPr>
              <w:jc w:val="center"/>
              <w:rPr>
                <w:rFonts w:asciiTheme="majorHAnsi" w:hAnsiTheme="majorHAnsi"/>
              </w:rPr>
            </w:pPr>
            <w:r w:rsidRPr="000C0E36">
              <w:rPr>
                <w:rFonts w:asciiTheme="majorHAnsi" w:hAnsiTheme="majorHAnsi"/>
              </w:rPr>
              <w:t>9</w:t>
            </w:r>
          </w:p>
        </w:tc>
        <w:tc>
          <w:tcPr>
            <w:tcW w:w="398" w:type="pct"/>
            <w:vAlign w:val="center"/>
          </w:tcPr>
          <w:p w:rsidR="00FE6F60" w:rsidRPr="000C0E36" w:rsidRDefault="00FE6F60" w:rsidP="00FE6F60">
            <w:pPr>
              <w:jc w:val="center"/>
              <w:rPr>
                <w:rFonts w:asciiTheme="majorHAnsi" w:hAnsiTheme="majorHAnsi"/>
              </w:rPr>
            </w:pPr>
            <w:r w:rsidRPr="000C0E36">
              <w:rPr>
                <w:rFonts w:asciiTheme="majorHAnsi" w:hAnsiTheme="majorHAnsi"/>
              </w:rPr>
              <w:t>15,3</w:t>
            </w:r>
          </w:p>
        </w:tc>
        <w:tc>
          <w:tcPr>
            <w:tcW w:w="620" w:type="pct"/>
            <w:shd w:val="clear" w:color="auto" w:fill="auto"/>
            <w:vAlign w:val="center"/>
          </w:tcPr>
          <w:p w:rsidR="00FE6F60" w:rsidRPr="000C0E36" w:rsidRDefault="00FE6F60" w:rsidP="00FE6F60">
            <w:pPr>
              <w:jc w:val="center"/>
              <w:rPr>
                <w:rFonts w:asciiTheme="majorHAnsi" w:hAnsiTheme="majorHAnsi"/>
              </w:rPr>
            </w:pPr>
            <w:r w:rsidRPr="000C0E36">
              <w:rPr>
                <w:rFonts w:asciiTheme="majorHAnsi" w:hAnsiTheme="majorHAnsi"/>
              </w:rPr>
              <w:t>6,5</w:t>
            </w:r>
          </w:p>
        </w:tc>
        <w:tc>
          <w:tcPr>
            <w:tcW w:w="476" w:type="pct"/>
            <w:shd w:val="clear" w:color="auto" w:fill="auto"/>
            <w:vAlign w:val="center"/>
          </w:tcPr>
          <w:p w:rsidR="00FE6F60" w:rsidRPr="000C0E36" w:rsidRDefault="00FE6F60" w:rsidP="00FE6F60">
            <w:pPr>
              <w:jc w:val="center"/>
              <w:rPr>
                <w:rFonts w:asciiTheme="majorHAnsi" w:hAnsiTheme="majorHAnsi"/>
              </w:rPr>
            </w:pPr>
            <w:r w:rsidRPr="000C0E36">
              <w:rPr>
                <w:rFonts w:asciiTheme="majorHAnsi" w:hAnsiTheme="majorHAnsi"/>
              </w:rPr>
              <w:t>8</w:t>
            </w:r>
          </w:p>
        </w:tc>
        <w:tc>
          <w:tcPr>
            <w:tcW w:w="399" w:type="pct"/>
            <w:shd w:val="clear" w:color="auto" w:fill="auto"/>
            <w:vAlign w:val="center"/>
          </w:tcPr>
          <w:p w:rsidR="00FE6F60" w:rsidRPr="000C0E36" w:rsidRDefault="00FE6F60" w:rsidP="00FE6F60">
            <w:pPr>
              <w:jc w:val="center"/>
              <w:rPr>
                <w:rFonts w:asciiTheme="majorHAnsi" w:hAnsiTheme="majorHAnsi"/>
              </w:rPr>
            </w:pPr>
            <w:r w:rsidRPr="000C0E36">
              <w:rPr>
                <w:rFonts w:asciiTheme="majorHAnsi" w:hAnsiTheme="majorHAnsi"/>
              </w:rPr>
              <w:t>14,5</w:t>
            </w:r>
          </w:p>
        </w:tc>
        <w:tc>
          <w:tcPr>
            <w:tcW w:w="980" w:type="pct"/>
            <w:shd w:val="clear" w:color="auto" w:fill="auto"/>
            <w:vAlign w:val="center"/>
          </w:tcPr>
          <w:p w:rsidR="00FE6F60" w:rsidRPr="000C0E36" w:rsidRDefault="00FE6F60" w:rsidP="00FE6F60">
            <w:pPr>
              <w:jc w:val="center"/>
              <w:rPr>
                <w:rFonts w:asciiTheme="majorHAnsi" w:hAnsiTheme="majorHAnsi"/>
              </w:rPr>
            </w:pPr>
            <w:r w:rsidRPr="000C0E36">
              <w:rPr>
                <w:rFonts w:asciiTheme="majorHAnsi" w:hAnsiTheme="majorHAnsi"/>
              </w:rPr>
              <w:t>-0,8</w:t>
            </w:r>
          </w:p>
        </w:tc>
      </w:tr>
      <w:tr w:rsidR="00FE6F60" w:rsidRPr="000C0E36" w:rsidTr="00FE6F60">
        <w:trPr>
          <w:trHeight w:val="257"/>
          <w:jc w:val="center"/>
        </w:trPr>
        <w:tc>
          <w:tcPr>
            <w:tcW w:w="1031" w:type="pct"/>
            <w:vAlign w:val="center"/>
          </w:tcPr>
          <w:p w:rsidR="00FE6F60" w:rsidRPr="000C0E36" w:rsidRDefault="00FE6F60" w:rsidP="00FE6F60">
            <w:pPr>
              <w:rPr>
                <w:rFonts w:asciiTheme="majorHAnsi" w:hAnsiTheme="majorHAnsi"/>
              </w:rPr>
            </w:pPr>
            <w:r w:rsidRPr="000C0E36">
              <w:rPr>
                <w:rFonts w:asciiTheme="majorHAnsi" w:hAnsiTheme="majorHAnsi"/>
              </w:rPr>
              <w:t>Магистратура</w:t>
            </w:r>
          </w:p>
        </w:tc>
        <w:tc>
          <w:tcPr>
            <w:tcW w:w="620" w:type="pct"/>
            <w:vAlign w:val="center"/>
          </w:tcPr>
          <w:p w:rsidR="00FE6F60" w:rsidRPr="000C0E36" w:rsidRDefault="00FE6F60" w:rsidP="00FE6F60">
            <w:pPr>
              <w:jc w:val="center"/>
              <w:rPr>
                <w:rFonts w:asciiTheme="majorHAnsi" w:hAnsiTheme="majorHAnsi"/>
              </w:rPr>
            </w:pPr>
            <w:r w:rsidRPr="000C0E36">
              <w:rPr>
                <w:rFonts w:asciiTheme="majorHAnsi" w:hAnsiTheme="majorHAnsi"/>
              </w:rPr>
              <w:t>4,7</w:t>
            </w:r>
          </w:p>
        </w:tc>
        <w:tc>
          <w:tcPr>
            <w:tcW w:w="476" w:type="pct"/>
            <w:vAlign w:val="center"/>
          </w:tcPr>
          <w:p w:rsidR="00FE6F60" w:rsidRPr="000C0E36" w:rsidRDefault="00FE6F60" w:rsidP="00FE6F60">
            <w:pPr>
              <w:jc w:val="center"/>
              <w:rPr>
                <w:rFonts w:asciiTheme="majorHAnsi" w:hAnsiTheme="majorHAnsi"/>
              </w:rPr>
            </w:pPr>
            <w:r w:rsidRPr="000C0E36">
              <w:rPr>
                <w:rFonts w:asciiTheme="majorHAnsi" w:hAnsiTheme="majorHAnsi"/>
              </w:rPr>
              <w:t>6,2</w:t>
            </w:r>
          </w:p>
        </w:tc>
        <w:tc>
          <w:tcPr>
            <w:tcW w:w="398" w:type="pct"/>
            <w:vAlign w:val="center"/>
          </w:tcPr>
          <w:p w:rsidR="00FE6F60" w:rsidRPr="000C0E36" w:rsidRDefault="00FE6F60" w:rsidP="00FE6F60">
            <w:pPr>
              <w:jc w:val="center"/>
              <w:rPr>
                <w:rFonts w:asciiTheme="majorHAnsi" w:hAnsiTheme="majorHAnsi"/>
              </w:rPr>
            </w:pPr>
            <w:r w:rsidRPr="000C0E36">
              <w:rPr>
                <w:rFonts w:asciiTheme="majorHAnsi" w:hAnsiTheme="majorHAnsi"/>
              </w:rPr>
              <w:t>10,9</w:t>
            </w:r>
          </w:p>
        </w:tc>
        <w:tc>
          <w:tcPr>
            <w:tcW w:w="620" w:type="pct"/>
            <w:shd w:val="clear" w:color="auto" w:fill="auto"/>
            <w:vAlign w:val="center"/>
          </w:tcPr>
          <w:p w:rsidR="00FE6F60" w:rsidRPr="000C0E36" w:rsidRDefault="00FE6F60" w:rsidP="00FE6F60">
            <w:pPr>
              <w:jc w:val="center"/>
              <w:rPr>
                <w:rFonts w:asciiTheme="majorHAnsi" w:hAnsiTheme="majorHAnsi"/>
              </w:rPr>
            </w:pPr>
            <w:r w:rsidRPr="000C0E36">
              <w:rPr>
                <w:rFonts w:asciiTheme="majorHAnsi" w:hAnsiTheme="majorHAnsi"/>
              </w:rPr>
              <w:t>4,8</w:t>
            </w:r>
          </w:p>
        </w:tc>
        <w:tc>
          <w:tcPr>
            <w:tcW w:w="476" w:type="pct"/>
            <w:shd w:val="clear" w:color="auto" w:fill="auto"/>
            <w:vAlign w:val="center"/>
          </w:tcPr>
          <w:p w:rsidR="00FE6F60" w:rsidRPr="000C0E36" w:rsidRDefault="00FE6F60" w:rsidP="00FE6F60">
            <w:pPr>
              <w:jc w:val="center"/>
              <w:rPr>
                <w:rFonts w:asciiTheme="majorHAnsi" w:hAnsiTheme="majorHAnsi"/>
              </w:rPr>
            </w:pPr>
            <w:r w:rsidRPr="000C0E36">
              <w:rPr>
                <w:rFonts w:asciiTheme="majorHAnsi" w:hAnsiTheme="majorHAnsi"/>
              </w:rPr>
              <w:t>5,9</w:t>
            </w:r>
          </w:p>
        </w:tc>
        <w:tc>
          <w:tcPr>
            <w:tcW w:w="399" w:type="pct"/>
            <w:shd w:val="clear" w:color="auto" w:fill="auto"/>
            <w:vAlign w:val="center"/>
          </w:tcPr>
          <w:p w:rsidR="00FE6F60" w:rsidRPr="000C0E36" w:rsidRDefault="00FE6F60" w:rsidP="00FE6F60">
            <w:pPr>
              <w:jc w:val="center"/>
              <w:rPr>
                <w:rFonts w:asciiTheme="majorHAnsi" w:hAnsiTheme="majorHAnsi"/>
              </w:rPr>
            </w:pPr>
            <w:r w:rsidRPr="000C0E36">
              <w:rPr>
                <w:rFonts w:asciiTheme="majorHAnsi" w:hAnsiTheme="majorHAnsi"/>
              </w:rPr>
              <w:t>10,7</w:t>
            </w:r>
          </w:p>
        </w:tc>
        <w:tc>
          <w:tcPr>
            <w:tcW w:w="980" w:type="pct"/>
            <w:shd w:val="clear" w:color="auto" w:fill="auto"/>
            <w:vAlign w:val="center"/>
          </w:tcPr>
          <w:p w:rsidR="00FE6F60" w:rsidRPr="000C0E36" w:rsidRDefault="00FE6F60" w:rsidP="00FE6F60">
            <w:pPr>
              <w:jc w:val="center"/>
              <w:rPr>
                <w:rFonts w:asciiTheme="majorHAnsi" w:hAnsiTheme="majorHAnsi"/>
              </w:rPr>
            </w:pPr>
            <w:r w:rsidRPr="000C0E36">
              <w:rPr>
                <w:rFonts w:asciiTheme="majorHAnsi" w:hAnsiTheme="majorHAnsi"/>
              </w:rPr>
              <w:t>-0,2</w:t>
            </w:r>
          </w:p>
        </w:tc>
      </w:tr>
    </w:tbl>
    <w:p w:rsidR="00FE6F60" w:rsidRDefault="00FE6F60" w:rsidP="00FE6F60">
      <w:pPr>
        <w:rPr>
          <w:rFonts w:ascii="Times New Roman" w:hAnsi="Times New Roman"/>
          <w:b/>
        </w:rPr>
      </w:pPr>
      <w:bookmarkStart w:id="18" w:name="_Ref277685329"/>
    </w:p>
    <w:p w:rsidR="00D80056" w:rsidRDefault="00D80056" w:rsidP="00FE6F60">
      <w:pPr>
        <w:rPr>
          <w:rFonts w:asciiTheme="majorHAnsi" w:hAnsiTheme="majorHAnsi"/>
          <w:b/>
        </w:rPr>
      </w:pPr>
    </w:p>
    <w:p w:rsidR="00FE6F60" w:rsidRPr="000C0E36" w:rsidRDefault="00FE6F60" w:rsidP="00FE6F60">
      <w:pPr>
        <w:rPr>
          <w:rFonts w:asciiTheme="majorHAnsi" w:hAnsiTheme="majorHAnsi"/>
          <w:b/>
        </w:rPr>
      </w:pPr>
      <w:r w:rsidRPr="000C0E36">
        <w:rPr>
          <w:rFonts w:asciiTheme="majorHAnsi" w:hAnsiTheme="majorHAnsi"/>
          <w:b/>
        </w:rPr>
        <w:lastRenderedPageBreak/>
        <w:t xml:space="preserve">Диаграмма </w:t>
      </w:r>
      <w:bookmarkEnd w:id="18"/>
      <w:r w:rsidRPr="000C0E36">
        <w:rPr>
          <w:rFonts w:asciiTheme="majorHAnsi" w:hAnsiTheme="majorHAnsi"/>
          <w:b/>
        </w:rPr>
        <w:t>3.2.</w:t>
      </w:r>
      <w:r w:rsidR="00C1068C">
        <w:rPr>
          <w:rFonts w:asciiTheme="majorHAnsi" w:hAnsiTheme="majorHAnsi"/>
          <w:b/>
        </w:rPr>
        <w:t>13</w:t>
      </w:r>
      <w:r w:rsidR="000C0E36">
        <w:rPr>
          <w:rFonts w:asciiTheme="majorHAnsi" w:hAnsiTheme="majorHAnsi"/>
        </w:rPr>
        <w:t xml:space="preserve"> </w:t>
      </w:r>
      <w:r w:rsidRPr="000C0E36">
        <w:rPr>
          <w:rFonts w:asciiTheme="majorHAnsi" w:hAnsiTheme="majorHAnsi"/>
          <w:b/>
        </w:rPr>
        <w:t xml:space="preserve">Распределение количества дисциплин по выбору (фактических и предлагаемых) по курсам каждого уровня подготовки в </w:t>
      </w:r>
      <w:proofErr w:type="spellStart"/>
      <w:r w:rsidRPr="000C0E36">
        <w:rPr>
          <w:rFonts w:asciiTheme="majorHAnsi" w:hAnsiTheme="majorHAnsi"/>
          <w:b/>
        </w:rPr>
        <w:t>РУПах</w:t>
      </w:r>
      <w:proofErr w:type="spellEnd"/>
      <w:r w:rsidRPr="000C0E36">
        <w:rPr>
          <w:rFonts w:asciiTheme="majorHAnsi" w:hAnsiTheme="majorHAnsi"/>
          <w:b/>
        </w:rPr>
        <w:t xml:space="preserve"> 2012/13 учебного года</w:t>
      </w:r>
    </w:p>
    <w:p w:rsidR="00FE6F60" w:rsidRPr="002424D2" w:rsidRDefault="00FE6F60" w:rsidP="00FE6F60">
      <w:pPr>
        <w:rPr>
          <w:rFonts w:ascii="Times New Roman" w:hAnsi="Times New Roman"/>
          <w:b/>
        </w:rPr>
      </w:pPr>
      <w:r>
        <w:rPr>
          <w:rFonts w:ascii="Times New Roman" w:hAnsi="Times New Roman"/>
          <w:b/>
          <w:noProof/>
        </w:rPr>
        <w:drawing>
          <wp:inline distT="0" distB="0" distL="0" distR="0">
            <wp:extent cx="5122199" cy="2833601"/>
            <wp:effectExtent l="0" t="0" r="8890" b="1143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E6F60" w:rsidRPr="000C0E36" w:rsidRDefault="00FE6F60" w:rsidP="000C0E36">
      <w:pPr>
        <w:spacing w:after="200" w:line="276" w:lineRule="auto"/>
        <w:jc w:val="both"/>
      </w:pPr>
      <w:r w:rsidRPr="000C0E36">
        <w:t>Как видно из диаграмм</w:t>
      </w:r>
      <w:r w:rsidR="000C0E36">
        <w:t>ы 3.2.</w:t>
      </w:r>
      <w:r w:rsidRPr="000C0E36">
        <w:t>1</w:t>
      </w:r>
      <w:r w:rsidR="00C1068C">
        <w:t>3</w:t>
      </w:r>
      <w:r w:rsidRPr="000C0E36">
        <w:t xml:space="preserve">, наибольшее количество дисциплин, предлагаемых студентам для выбора,  приходится на курс, </w:t>
      </w:r>
      <w:proofErr w:type="gramStart"/>
      <w:r w:rsidRPr="000C0E36">
        <w:t>предыдущий</w:t>
      </w:r>
      <w:proofErr w:type="gramEnd"/>
      <w:r w:rsidRPr="000C0E36">
        <w:t xml:space="preserve"> перед выпуском (для специалистов – 4 курс, для бакалавров – 3 курс, для магистрантов – 1 курс).  В рамках реализации регламента планирования и организации дисциплин по выбору происходит уменьшение количества дисциплин, предлагаемых студентам для выбора (как следствие, сокращается число не выбираемых студентами дисциплин). В целом динамика такова, что количество выбираемых дисциплин стремится к количеству предлагаемых для выбора. При определении числа предлагаемых к выбору дисциплин факультеты ориентируются на минимальное число студентов, при котором курс становится реализуемым.  </w:t>
      </w:r>
    </w:p>
    <w:p w:rsidR="00FE6F60" w:rsidRPr="000C0E36" w:rsidRDefault="00FE6F60" w:rsidP="000C0E36">
      <w:pPr>
        <w:spacing w:after="200" w:line="276" w:lineRule="auto"/>
        <w:jc w:val="both"/>
      </w:pPr>
      <w:r w:rsidRPr="000C0E36">
        <w:t xml:space="preserve">Проведенный анализ количества зачетных единиц, выделяемых на дисциплины по выбору в зависимости от уровня подготовки и  курса,  показал, что магистратура по-прежнему является лидером  по реализации выборных дисциплин – в среднем 13,8 </w:t>
      </w:r>
      <w:proofErr w:type="spellStart"/>
      <w:r w:rsidRPr="000C0E36">
        <w:t>з.е</w:t>
      </w:r>
      <w:proofErr w:type="spellEnd"/>
      <w:r w:rsidRPr="000C0E36">
        <w:t xml:space="preserve">. на план (16,1 – 1 курс, 11,5 – второй курс).  В </w:t>
      </w:r>
      <w:proofErr w:type="spellStart"/>
      <w:r w:rsidRPr="000C0E36">
        <w:t>бакалавриате</w:t>
      </w:r>
      <w:proofErr w:type="spellEnd"/>
      <w:r w:rsidRPr="000C0E36">
        <w:t xml:space="preserve"> прослеживается общая тенденция  увеличения числа дисциплин по выбору (на 4,5% по сравнению с </w:t>
      </w:r>
      <w:proofErr w:type="spellStart"/>
      <w:r w:rsidRPr="000C0E36">
        <w:t>РУПами</w:t>
      </w:r>
      <w:proofErr w:type="spellEnd"/>
      <w:r w:rsidRPr="000C0E36">
        <w:t xml:space="preserve"> 2011-2012 учебного года), что демонстрирует потенциальную возможность формирования индивидуальных траекторий студента:</w:t>
      </w:r>
    </w:p>
    <w:p w:rsidR="00FE6F60" w:rsidRPr="000C0E36" w:rsidRDefault="00FE6F60" w:rsidP="001E2775">
      <w:pPr>
        <w:jc w:val="both"/>
      </w:pPr>
      <w:r w:rsidRPr="000C0E36">
        <w:t xml:space="preserve">1 курс: - 7 </w:t>
      </w:r>
      <w:proofErr w:type="spellStart"/>
      <w:r w:rsidRPr="000C0E36">
        <w:t>з.е</w:t>
      </w:r>
      <w:proofErr w:type="spellEnd"/>
      <w:r w:rsidRPr="000C0E36">
        <w:t xml:space="preserve">.; </w:t>
      </w:r>
    </w:p>
    <w:p w:rsidR="00FE6F60" w:rsidRPr="000C0E36" w:rsidRDefault="00FE6F60" w:rsidP="001E2775">
      <w:pPr>
        <w:jc w:val="both"/>
      </w:pPr>
      <w:r w:rsidRPr="000C0E36">
        <w:t xml:space="preserve">2 курс: - 5,4з.е.; </w:t>
      </w:r>
    </w:p>
    <w:p w:rsidR="00FE6F60" w:rsidRPr="000C0E36" w:rsidRDefault="00FE6F60" w:rsidP="001E2775">
      <w:pPr>
        <w:jc w:val="both"/>
      </w:pPr>
      <w:r w:rsidRPr="000C0E36">
        <w:t xml:space="preserve">3 курс: - 11,8 </w:t>
      </w:r>
      <w:proofErr w:type="spellStart"/>
      <w:r w:rsidRPr="000C0E36">
        <w:t>з.е</w:t>
      </w:r>
      <w:proofErr w:type="spellEnd"/>
      <w:r w:rsidRPr="000C0E36">
        <w:t xml:space="preserve">.; </w:t>
      </w:r>
    </w:p>
    <w:p w:rsidR="00FE6F60" w:rsidRPr="000C0E36" w:rsidRDefault="00FE6F60" w:rsidP="001E2775">
      <w:pPr>
        <w:jc w:val="both"/>
      </w:pPr>
      <w:r w:rsidRPr="000C0E36">
        <w:t xml:space="preserve">4 курс: - 9,8 </w:t>
      </w:r>
      <w:proofErr w:type="spellStart"/>
      <w:r w:rsidRPr="000C0E36">
        <w:t>з.е</w:t>
      </w:r>
      <w:proofErr w:type="spellEnd"/>
      <w:r w:rsidRPr="000C0E36">
        <w:t>.</w:t>
      </w:r>
    </w:p>
    <w:p w:rsidR="00FE6F60" w:rsidRPr="000C0E36" w:rsidRDefault="00FE6F60" w:rsidP="000C0E36">
      <w:pPr>
        <w:spacing w:after="200" w:line="276" w:lineRule="auto"/>
        <w:jc w:val="both"/>
      </w:pPr>
      <w:r w:rsidRPr="000C0E36">
        <w:t xml:space="preserve"> Распределение дисциплин различного вида, приходящихся на </w:t>
      </w:r>
      <w:proofErr w:type="spellStart"/>
      <w:r w:rsidRPr="000C0E36">
        <w:t>РУПы</w:t>
      </w:r>
      <w:proofErr w:type="spellEnd"/>
      <w:r w:rsidRPr="000C0E36">
        <w:t xml:space="preserve"> 2-5 курсов направлений подготовки бакалавров и специальностей, 1-2 курсов магистратуры на 2012/2013 учебный год в НИУ ВШЭ (Москва), представлено на диаграмме  </w:t>
      </w:r>
      <w:r w:rsidR="004416A2">
        <w:fldChar w:fldCharType="begin"/>
      </w:r>
      <w:r w:rsidRPr="002355FF">
        <w:instrText xml:space="preserve"> </w:instrText>
      </w:r>
      <w:r>
        <w:instrText>REF</w:instrText>
      </w:r>
      <w:r w:rsidRPr="002355FF">
        <w:instrText xml:space="preserve"> _</w:instrText>
      </w:r>
      <w:r>
        <w:instrText>Ref</w:instrText>
      </w:r>
      <w:r w:rsidRPr="002355FF">
        <w:instrText>277685382 \</w:instrText>
      </w:r>
      <w:r>
        <w:instrText>h</w:instrText>
      </w:r>
      <w:r w:rsidRPr="002355FF">
        <w:instrText xml:space="preserve">  \* </w:instrText>
      </w:r>
      <w:r>
        <w:instrText>MERGEFORMAT</w:instrText>
      </w:r>
      <w:r w:rsidRPr="002355FF">
        <w:instrText xml:space="preserve"> </w:instrText>
      </w:r>
      <w:r w:rsidR="004416A2">
        <w:fldChar w:fldCharType="separate"/>
      </w:r>
      <w:r w:rsidRPr="000C0E36">
        <w:t>Диаграмма  3.2.</w:t>
      </w:r>
      <w:r w:rsidR="00C1068C">
        <w:t>14</w:t>
      </w:r>
      <w:r w:rsidRPr="000C0E36">
        <w:t xml:space="preserve">. </w:t>
      </w:r>
    </w:p>
    <w:p w:rsidR="009060A4" w:rsidRDefault="004416A2" w:rsidP="000C0E36">
      <w:pPr>
        <w:spacing w:after="200" w:line="276" w:lineRule="auto"/>
        <w:jc w:val="both"/>
      </w:pPr>
      <w:r>
        <w:fldChar w:fldCharType="end"/>
      </w:r>
      <w:bookmarkStart w:id="19" w:name="_Ref277685382"/>
    </w:p>
    <w:p w:rsidR="00FE6F60" w:rsidRPr="00B34489" w:rsidRDefault="00FE6F60" w:rsidP="000C0E36">
      <w:pPr>
        <w:spacing w:after="200" w:line="276" w:lineRule="auto"/>
        <w:jc w:val="both"/>
        <w:rPr>
          <w:rFonts w:asciiTheme="majorHAnsi" w:hAnsiTheme="majorHAnsi"/>
          <w:b/>
        </w:rPr>
      </w:pPr>
      <w:r w:rsidRPr="00B34489">
        <w:rPr>
          <w:rFonts w:asciiTheme="majorHAnsi" w:hAnsiTheme="majorHAnsi"/>
          <w:b/>
        </w:rPr>
        <w:lastRenderedPageBreak/>
        <w:t>Д</w:t>
      </w:r>
      <w:r w:rsidRPr="00B34489">
        <w:rPr>
          <w:rFonts w:asciiTheme="majorHAnsi" w:hAnsiTheme="majorHAnsi"/>
          <w:b/>
          <w:noProof/>
        </w:rPr>
        <w:t xml:space="preserve">иаграмма  </w:t>
      </w:r>
      <w:r w:rsidR="000C0E36" w:rsidRPr="00B34489">
        <w:rPr>
          <w:rFonts w:asciiTheme="majorHAnsi" w:hAnsiTheme="majorHAnsi"/>
          <w:b/>
        </w:rPr>
        <w:t>3.2.</w:t>
      </w:r>
      <w:r w:rsidRPr="00B34489">
        <w:rPr>
          <w:rFonts w:asciiTheme="majorHAnsi" w:hAnsiTheme="majorHAnsi"/>
          <w:b/>
        </w:rPr>
        <w:t>1</w:t>
      </w:r>
      <w:r w:rsidR="00C1068C" w:rsidRPr="00B34489">
        <w:rPr>
          <w:rFonts w:asciiTheme="majorHAnsi" w:hAnsiTheme="majorHAnsi"/>
          <w:b/>
        </w:rPr>
        <w:t>4</w:t>
      </w:r>
      <w:r w:rsidRPr="00B34489">
        <w:rPr>
          <w:rFonts w:asciiTheme="majorHAnsi" w:hAnsiTheme="majorHAnsi"/>
          <w:b/>
        </w:rPr>
        <w:t xml:space="preserve">. </w:t>
      </w:r>
      <w:bookmarkEnd w:id="19"/>
      <w:r w:rsidRPr="00B34489">
        <w:rPr>
          <w:rFonts w:asciiTheme="majorHAnsi" w:hAnsiTheme="majorHAnsi"/>
          <w:b/>
        </w:rPr>
        <w:t>Распределение дисциплин по курсам разных уровней подготовки в 2012/13 учебном году</w:t>
      </w:r>
    </w:p>
    <w:p w:rsidR="00FE6F60" w:rsidRDefault="00FE6F60" w:rsidP="00FE6F60">
      <w:pPr>
        <w:rPr>
          <w:highlight w:val="yellow"/>
        </w:rPr>
      </w:pPr>
      <w:r w:rsidRPr="000202F9">
        <w:rPr>
          <w:noProof/>
        </w:rPr>
        <w:drawing>
          <wp:inline distT="0" distB="0" distL="0" distR="0">
            <wp:extent cx="5600180" cy="3151563"/>
            <wp:effectExtent l="0" t="0" r="0" b="0"/>
            <wp:docPr id="6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E6F60" w:rsidRPr="000202F9" w:rsidRDefault="00FE6F60" w:rsidP="00FE6F60">
      <w:pPr>
        <w:rPr>
          <w:highlight w:val="yellow"/>
        </w:rPr>
      </w:pPr>
    </w:p>
    <w:p w:rsidR="00FE6F60" w:rsidRPr="000C0E36" w:rsidRDefault="00FE6F60" w:rsidP="000C0E36">
      <w:pPr>
        <w:spacing w:after="200" w:line="276" w:lineRule="auto"/>
        <w:jc w:val="both"/>
      </w:pPr>
      <w:r w:rsidRPr="000C0E36">
        <w:t xml:space="preserve">Из диаграммы видно, что наибольшее общее количество дисциплин также запланировано на 3-их </w:t>
      </w:r>
      <w:proofErr w:type="gramStart"/>
      <w:r w:rsidRPr="000C0E36">
        <w:t>курсах</w:t>
      </w:r>
      <w:proofErr w:type="gramEnd"/>
      <w:r w:rsidRPr="000C0E36">
        <w:t xml:space="preserve"> </w:t>
      </w:r>
      <w:proofErr w:type="spellStart"/>
      <w:r w:rsidRPr="000C0E36">
        <w:t>бакалавриата</w:t>
      </w:r>
      <w:proofErr w:type="spellEnd"/>
      <w:r w:rsidRPr="000C0E36">
        <w:t xml:space="preserve">, 4-ых курсах </w:t>
      </w:r>
      <w:proofErr w:type="spellStart"/>
      <w:r w:rsidRPr="000C0E36">
        <w:t>специалитета</w:t>
      </w:r>
      <w:proofErr w:type="spellEnd"/>
      <w:r w:rsidRPr="000C0E36">
        <w:t xml:space="preserve"> и на 1-ых курсах магистратуры – то есть перед выпускными курсами.</w:t>
      </w:r>
    </w:p>
    <w:p w:rsidR="00FE6F60" w:rsidRPr="000C0E36" w:rsidRDefault="00FE6F60" w:rsidP="000C0E36">
      <w:pPr>
        <w:spacing w:after="200" w:line="276" w:lineRule="auto"/>
        <w:jc w:val="both"/>
      </w:pPr>
      <w:r w:rsidRPr="000C0E36">
        <w:t>В соотве</w:t>
      </w:r>
      <w:r w:rsidR="0080660A">
        <w:t>т</w:t>
      </w:r>
      <w:r w:rsidRPr="000C0E36">
        <w:t xml:space="preserve">ствии с ранее принятыми решениями, в </w:t>
      </w:r>
      <w:proofErr w:type="spellStart"/>
      <w:r w:rsidRPr="000C0E36">
        <w:t>РУПы</w:t>
      </w:r>
      <w:proofErr w:type="spellEnd"/>
      <w:r w:rsidRPr="000C0E36">
        <w:t xml:space="preserve"> второго-третьего курса </w:t>
      </w:r>
      <w:proofErr w:type="spellStart"/>
      <w:r w:rsidRPr="000C0E36">
        <w:t>бакалавриата</w:t>
      </w:r>
      <w:proofErr w:type="spellEnd"/>
      <w:r w:rsidRPr="000C0E36">
        <w:t xml:space="preserve"> в 2012/2013 уч. году, так же как и в 2011/2012 уч. году в обязательном порядке включалось не менее 1 курса базовой части, читаемого на английском языке (предпочтительно преподавателем </w:t>
      </w:r>
      <w:proofErr w:type="gramStart"/>
      <w:r w:rsidRPr="000C0E36">
        <w:t>–н</w:t>
      </w:r>
      <w:proofErr w:type="gramEnd"/>
      <w:r w:rsidRPr="000C0E36">
        <w:t xml:space="preserve">осителем языка).  Динамика среднего  </w:t>
      </w:r>
      <w:proofErr w:type="gramStart"/>
      <w:r w:rsidRPr="000C0E36">
        <w:t>количестве</w:t>
      </w:r>
      <w:proofErr w:type="gramEnd"/>
      <w:r w:rsidRPr="000C0E36">
        <w:t xml:space="preserve"> кредитов, выделяемы</w:t>
      </w:r>
      <w:r w:rsidR="00C1068C">
        <w:t>х на такие курсы (Таблица 3.2.</w:t>
      </w:r>
      <w:r w:rsidRPr="000C0E36">
        <w:t xml:space="preserve">3), дает представление о том, что выбранные для чтения на английском языке дисциплины действительно относятся к базовым, «длинным» курсам.  По существующим регламентам, не весь курс, а какой-то его модуль может быть предложен студентам на </w:t>
      </w:r>
      <w:proofErr w:type="gramStart"/>
      <w:r w:rsidRPr="000C0E36">
        <w:t>английском</w:t>
      </w:r>
      <w:proofErr w:type="gramEnd"/>
      <w:r w:rsidRPr="000C0E36">
        <w:t xml:space="preserve"> языке. </w:t>
      </w:r>
      <w:proofErr w:type="gramStart"/>
      <w:r w:rsidRPr="000C0E36">
        <w:t>Если таких модулей (тем) более половины (по часам/зачетным единицам), курс считается изученным на английском языке соответствующая запись делается в дипломе).</w:t>
      </w:r>
      <w:proofErr w:type="gramEnd"/>
    </w:p>
    <w:p w:rsidR="00FE6F60" w:rsidRPr="000C0E36" w:rsidRDefault="00FE6F60" w:rsidP="00FE6F60">
      <w:pPr>
        <w:spacing w:line="360" w:lineRule="auto"/>
        <w:jc w:val="both"/>
        <w:rPr>
          <w:rFonts w:asciiTheme="majorHAnsi" w:hAnsiTheme="majorHAnsi"/>
          <w:noProof/>
        </w:rPr>
      </w:pPr>
      <w:r w:rsidRPr="000C0E36">
        <w:rPr>
          <w:rFonts w:asciiTheme="majorHAnsi" w:hAnsiTheme="majorHAnsi"/>
          <w:b/>
          <w:noProof/>
        </w:rPr>
        <w:t xml:space="preserve">Таблица </w:t>
      </w:r>
      <w:r w:rsidR="000C0E36" w:rsidRPr="000C0E36">
        <w:rPr>
          <w:rFonts w:asciiTheme="majorHAnsi" w:hAnsiTheme="majorHAnsi"/>
          <w:b/>
          <w:noProof/>
        </w:rPr>
        <w:t>3.2.</w:t>
      </w:r>
      <w:r w:rsidRPr="000C0E36">
        <w:rPr>
          <w:rFonts w:asciiTheme="majorHAnsi" w:hAnsiTheme="majorHAnsi"/>
          <w:b/>
          <w:noProof/>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1230"/>
        <w:gridCol w:w="1039"/>
        <w:gridCol w:w="1305"/>
        <w:gridCol w:w="1039"/>
        <w:gridCol w:w="1245"/>
        <w:gridCol w:w="1133"/>
      </w:tblGrid>
      <w:tr w:rsidR="00FE6F60" w:rsidRPr="000C0E36" w:rsidTr="000C0E36">
        <w:trPr>
          <w:jc w:val="center"/>
        </w:trPr>
        <w:tc>
          <w:tcPr>
            <w:tcW w:w="2278"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Уровень подготовки</w:t>
            </w:r>
          </w:p>
        </w:tc>
        <w:tc>
          <w:tcPr>
            <w:tcW w:w="2269" w:type="dxa"/>
            <w:gridSpan w:val="2"/>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Количество дисциплин (всего)</w:t>
            </w:r>
          </w:p>
        </w:tc>
        <w:tc>
          <w:tcPr>
            <w:tcW w:w="2344" w:type="dxa"/>
            <w:gridSpan w:val="2"/>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Среднее количество часов на дисциплину</w:t>
            </w:r>
          </w:p>
        </w:tc>
        <w:tc>
          <w:tcPr>
            <w:tcW w:w="2378" w:type="dxa"/>
            <w:gridSpan w:val="2"/>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Среднее количество зачетных единиц  на дисциплину</w:t>
            </w:r>
          </w:p>
        </w:tc>
      </w:tr>
      <w:tr w:rsidR="00FE6F60" w:rsidRPr="000C0E36" w:rsidTr="000C0E36">
        <w:trPr>
          <w:jc w:val="center"/>
        </w:trPr>
        <w:tc>
          <w:tcPr>
            <w:tcW w:w="2278" w:type="dxa"/>
            <w:vAlign w:val="center"/>
          </w:tcPr>
          <w:p w:rsidR="00FE6F60" w:rsidRPr="000C0E36" w:rsidRDefault="00FE6F60" w:rsidP="00FE6F60">
            <w:pPr>
              <w:jc w:val="both"/>
              <w:rPr>
                <w:rFonts w:asciiTheme="majorHAnsi" w:hAnsiTheme="majorHAnsi"/>
                <w:noProof/>
              </w:rPr>
            </w:pPr>
            <w:r w:rsidRPr="000C0E36">
              <w:rPr>
                <w:rFonts w:asciiTheme="majorHAnsi" w:hAnsiTheme="majorHAnsi"/>
                <w:noProof/>
              </w:rPr>
              <w:t>Учебный год</w:t>
            </w:r>
          </w:p>
        </w:tc>
        <w:tc>
          <w:tcPr>
            <w:tcW w:w="1230"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2011/12</w:t>
            </w:r>
          </w:p>
        </w:tc>
        <w:tc>
          <w:tcPr>
            <w:tcW w:w="1039"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2012/13</w:t>
            </w:r>
          </w:p>
        </w:tc>
        <w:tc>
          <w:tcPr>
            <w:tcW w:w="1305"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2011/12</w:t>
            </w:r>
          </w:p>
        </w:tc>
        <w:tc>
          <w:tcPr>
            <w:tcW w:w="1039"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2012/13</w:t>
            </w:r>
          </w:p>
        </w:tc>
        <w:tc>
          <w:tcPr>
            <w:tcW w:w="1245"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2011/12</w:t>
            </w:r>
          </w:p>
        </w:tc>
        <w:tc>
          <w:tcPr>
            <w:tcW w:w="1133"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2012/13</w:t>
            </w:r>
          </w:p>
        </w:tc>
      </w:tr>
      <w:tr w:rsidR="00FE6F60" w:rsidRPr="000C0E36" w:rsidTr="000C0E36">
        <w:trPr>
          <w:jc w:val="center"/>
        </w:trPr>
        <w:tc>
          <w:tcPr>
            <w:tcW w:w="2278" w:type="dxa"/>
            <w:vAlign w:val="center"/>
          </w:tcPr>
          <w:p w:rsidR="00FE6F60" w:rsidRPr="000C0E36" w:rsidRDefault="00FE6F60" w:rsidP="00FE6F60">
            <w:pPr>
              <w:jc w:val="both"/>
              <w:rPr>
                <w:rFonts w:asciiTheme="majorHAnsi" w:hAnsiTheme="majorHAnsi"/>
                <w:noProof/>
              </w:rPr>
            </w:pPr>
            <w:r w:rsidRPr="000C0E36">
              <w:rPr>
                <w:rFonts w:asciiTheme="majorHAnsi" w:hAnsiTheme="majorHAnsi"/>
                <w:noProof/>
              </w:rPr>
              <w:t xml:space="preserve">Бакалавриат </w:t>
            </w:r>
          </w:p>
        </w:tc>
        <w:tc>
          <w:tcPr>
            <w:tcW w:w="1230"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50</w:t>
            </w:r>
          </w:p>
        </w:tc>
        <w:tc>
          <w:tcPr>
            <w:tcW w:w="1039"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88</w:t>
            </w:r>
          </w:p>
        </w:tc>
        <w:tc>
          <w:tcPr>
            <w:tcW w:w="1305"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168,9</w:t>
            </w:r>
          </w:p>
        </w:tc>
        <w:tc>
          <w:tcPr>
            <w:tcW w:w="1039"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163,9</w:t>
            </w:r>
          </w:p>
        </w:tc>
        <w:tc>
          <w:tcPr>
            <w:tcW w:w="1245"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5,1</w:t>
            </w:r>
          </w:p>
        </w:tc>
        <w:tc>
          <w:tcPr>
            <w:tcW w:w="1133"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4,6</w:t>
            </w:r>
          </w:p>
        </w:tc>
      </w:tr>
      <w:tr w:rsidR="00FE6F60" w:rsidRPr="000C0E36" w:rsidTr="000C0E36">
        <w:trPr>
          <w:jc w:val="center"/>
        </w:trPr>
        <w:tc>
          <w:tcPr>
            <w:tcW w:w="2278" w:type="dxa"/>
            <w:vAlign w:val="center"/>
          </w:tcPr>
          <w:p w:rsidR="00FE6F60" w:rsidRPr="000C0E36" w:rsidRDefault="00FE6F60" w:rsidP="00FE6F60">
            <w:pPr>
              <w:jc w:val="both"/>
              <w:rPr>
                <w:rFonts w:asciiTheme="majorHAnsi" w:hAnsiTheme="majorHAnsi"/>
                <w:noProof/>
              </w:rPr>
            </w:pPr>
            <w:r w:rsidRPr="000C0E36">
              <w:rPr>
                <w:rFonts w:asciiTheme="majorHAnsi" w:hAnsiTheme="majorHAnsi"/>
                <w:noProof/>
              </w:rPr>
              <w:t>Бакалавриат,</w:t>
            </w:r>
            <w:r w:rsidRPr="000C0E36">
              <w:rPr>
                <w:rFonts w:asciiTheme="majorHAnsi" w:hAnsiTheme="majorHAnsi"/>
                <w:noProof/>
              </w:rPr>
              <w:br/>
              <w:t xml:space="preserve">без МИЭФ </w:t>
            </w:r>
          </w:p>
        </w:tc>
        <w:tc>
          <w:tcPr>
            <w:tcW w:w="1230"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29</w:t>
            </w:r>
          </w:p>
        </w:tc>
        <w:tc>
          <w:tcPr>
            <w:tcW w:w="1039"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56</w:t>
            </w:r>
          </w:p>
        </w:tc>
        <w:tc>
          <w:tcPr>
            <w:tcW w:w="1305"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113,5</w:t>
            </w:r>
          </w:p>
        </w:tc>
        <w:tc>
          <w:tcPr>
            <w:tcW w:w="1039"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112,3</w:t>
            </w:r>
          </w:p>
        </w:tc>
        <w:tc>
          <w:tcPr>
            <w:tcW w:w="1245"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3,4</w:t>
            </w:r>
          </w:p>
        </w:tc>
        <w:tc>
          <w:tcPr>
            <w:tcW w:w="1133"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3,3</w:t>
            </w:r>
          </w:p>
        </w:tc>
      </w:tr>
      <w:tr w:rsidR="00FE6F60" w:rsidRPr="000C0E36" w:rsidTr="000C0E36">
        <w:trPr>
          <w:jc w:val="center"/>
        </w:trPr>
        <w:tc>
          <w:tcPr>
            <w:tcW w:w="2278" w:type="dxa"/>
            <w:vAlign w:val="center"/>
          </w:tcPr>
          <w:p w:rsidR="00FE6F60" w:rsidRPr="000C0E36" w:rsidRDefault="00FE6F60" w:rsidP="00FE6F60">
            <w:pPr>
              <w:jc w:val="both"/>
              <w:rPr>
                <w:rFonts w:asciiTheme="majorHAnsi" w:hAnsiTheme="majorHAnsi"/>
                <w:noProof/>
              </w:rPr>
            </w:pPr>
            <w:r w:rsidRPr="000C0E36">
              <w:rPr>
                <w:rFonts w:asciiTheme="majorHAnsi" w:hAnsiTheme="majorHAnsi"/>
                <w:noProof/>
              </w:rPr>
              <w:t xml:space="preserve">Магистратура </w:t>
            </w:r>
          </w:p>
        </w:tc>
        <w:tc>
          <w:tcPr>
            <w:tcW w:w="1230"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118</w:t>
            </w:r>
          </w:p>
        </w:tc>
        <w:tc>
          <w:tcPr>
            <w:tcW w:w="1039"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198</w:t>
            </w:r>
          </w:p>
        </w:tc>
        <w:tc>
          <w:tcPr>
            <w:tcW w:w="1305"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163,5</w:t>
            </w:r>
          </w:p>
        </w:tc>
        <w:tc>
          <w:tcPr>
            <w:tcW w:w="1039"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161</w:t>
            </w:r>
          </w:p>
        </w:tc>
        <w:tc>
          <w:tcPr>
            <w:tcW w:w="1245"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4,5</w:t>
            </w:r>
          </w:p>
        </w:tc>
        <w:tc>
          <w:tcPr>
            <w:tcW w:w="1133"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4,9</w:t>
            </w:r>
          </w:p>
        </w:tc>
      </w:tr>
      <w:tr w:rsidR="00FE6F60" w:rsidRPr="000C0E36" w:rsidTr="000C0E36">
        <w:trPr>
          <w:jc w:val="center"/>
        </w:trPr>
        <w:tc>
          <w:tcPr>
            <w:tcW w:w="2278" w:type="dxa"/>
            <w:vAlign w:val="center"/>
          </w:tcPr>
          <w:p w:rsidR="00FE6F60" w:rsidRPr="000C0E36" w:rsidRDefault="00FE6F60" w:rsidP="00FE6F60">
            <w:pPr>
              <w:jc w:val="both"/>
              <w:rPr>
                <w:rFonts w:asciiTheme="majorHAnsi" w:hAnsiTheme="majorHAnsi"/>
                <w:noProof/>
              </w:rPr>
            </w:pPr>
            <w:r w:rsidRPr="000C0E36">
              <w:rPr>
                <w:rFonts w:asciiTheme="majorHAnsi" w:hAnsiTheme="majorHAnsi"/>
                <w:noProof/>
              </w:rPr>
              <w:t>Магистратура,</w:t>
            </w:r>
            <w:r w:rsidRPr="000C0E36">
              <w:rPr>
                <w:rFonts w:asciiTheme="majorHAnsi" w:hAnsiTheme="majorHAnsi"/>
                <w:noProof/>
              </w:rPr>
              <w:br/>
              <w:t xml:space="preserve">без МИЭФ </w:t>
            </w:r>
          </w:p>
        </w:tc>
        <w:tc>
          <w:tcPr>
            <w:tcW w:w="1230"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102</w:t>
            </w:r>
          </w:p>
        </w:tc>
        <w:tc>
          <w:tcPr>
            <w:tcW w:w="1039"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180</w:t>
            </w:r>
          </w:p>
        </w:tc>
        <w:tc>
          <w:tcPr>
            <w:tcW w:w="1305"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164,8</w:t>
            </w:r>
          </w:p>
        </w:tc>
        <w:tc>
          <w:tcPr>
            <w:tcW w:w="1039"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160</w:t>
            </w:r>
          </w:p>
        </w:tc>
        <w:tc>
          <w:tcPr>
            <w:tcW w:w="1245"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4,6</w:t>
            </w:r>
          </w:p>
        </w:tc>
        <w:tc>
          <w:tcPr>
            <w:tcW w:w="1133" w:type="dxa"/>
            <w:vAlign w:val="center"/>
          </w:tcPr>
          <w:p w:rsidR="00FE6F60" w:rsidRPr="000C0E36" w:rsidRDefault="00FE6F60" w:rsidP="00FE6F60">
            <w:pPr>
              <w:jc w:val="center"/>
              <w:rPr>
                <w:rFonts w:asciiTheme="majorHAnsi" w:hAnsiTheme="majorHAnsi"/>
                <w:noProof/>
              </w:rPr>
            </w:pPr>
            <w:r w:rsidRPr="000C0E36">
              <w:rPr>
                <w:rFonts w:asciiTheme="majorHAnsi" w:hAnsiTheme="majorHAnsi"/>
                <w:noProof/>
              </w:rPr>
              <w:t>4,4</w:t>
            </w:r>
          </w:p>
        </w:tc>
      </w:tr>
    </w:tbl>
    <w:p w:rsidR="00567B2A" w:rsidRDefault="005005BC" w:rsidP="00567B2A">
      <w:pPr>
        <w:pStyle w:val="2"/>
        <w:numPr>
          <w:ilvl w:val="1"/>
          <w:numId w:val="1"/>
        </w:numPr>
        <w:jc w:val="both"/>
      </w:pPr>
      <w:bookmarkStart w:id="20" w:name="_Toc374030044"/>
      <w:r>
        <w:lastRenderedPageBreak/>
        <w:t xml:space="preserve">Динамика численности </w:t>
      </w:r>
      <w:r w:rsidR="00072DE6">
        <w:t>студентов</w:t>
      </w:r>
      <w:bookmarkEnd w:id="20"/>
    </w:p>
    <w:p w:rsidR="00072DE6" w:rsidRDefault="00072DE6" w:rsidP="00567B2A">
      <w:pPr>
        <w:jc w:val="both"/>
      </w:pPr>
    </w:p>
    <w:p w:rsidR="00567B2A" w:rsidRPr="00BB0B20" w:rsidRDefault="00567B2A" w:rsidP="00567B2A">
      <w:pPr>
        <w:jc w:val="both"/>
      </w:pPr>
      <w:r w:rsidRPr="00BB0B20">
        <w:t>Общий контингент студентов НИУ ВШЭ с учетом всех форм обучения на 1 октября 201</w:t>
      </w:r>
      <w:r>
        <w:t>3</w:t>
      </w:r>
      <w:r w:rsidRPr="00BB0B20">
        <w:t xml:space="preserve"> года составляет </w:t>
      </w:r>
      <w:r w:rsidRPr="00BB0B20">
        <w:rPr>
          <w:b/>
        </w:rPr>
        <w:t>2</w:t>
      </w:r>
      <w:r>
        <w:rPr>
          <w:b/>
        </w:rPr>
        <w:t xml:space="preserve">4547 </w:t>
      </w:r>
      <w:r w:rsidRPr="00BB0B20">
        <w:t xml:space="preserve">студентов. </w:t>
      </w:r>
    </w:p>
    <w:p w:rsidR="00567B2A" w:rsidRPr="00BB0B20" w:rsidRDefault="00567B2A" w:rsidP="00567B2A">
      <w:pPr>
        <w:jc w:val="both"/>
      </w:pPr>
    </w:p>
    <w:p w:rsidR="00567B2A" w:rsidRDefault="00567B2A" w:rsidP="00567B2A">
      <w:pPr>
        <w:jc w:val="both"/>
      </w:pPr>
      <w:proofErr w:type="gramStart"/>
      <w:r w:rsidRPr="008760CB">
        <w:rPr>
          <w:b/>
        </w:rPr>
        <w:t>Москва</w:t>
      </w:r>
      <w:r w:rsidRPr="008760CB">
        <w:t xml:space="preserve"> – </w:t>
      </w:r>
      <w:r w:rsidRPr="008203B2">
        <w:rPr>
          <w:b/>
        </w:rPr>
        <w:t>17467</w:t>
      </w:r>
      <w:r>
        <w:rPr>
          <w:rFonts w:cs="Arial"/>
          <w:b/>
          <w:bCs/>
          <w:color w:val="FF0000"/>
          <w:sz w:val="20"/>
          <w:szCs w:val="20"/>
        </w:rPr>
        <w:t xml:space="preserve"> </w:t>
      </w:r>
      <w:r w:rsidRPr="008760CB">
        <w:t xml:space="preserve"> чел. (очное отделение – 1</w:t>
      </w:r>
      <w:r>
        <w:t>6182</w:t>
      </w:r>
      <w:r w:rsidRPr="008760CB">
        <w:t xml:space="preserve"> чел.; очно-заочное – 1</w:t>
      </w:r>
      <w:r>
        <w:t>242</w:t>
      </w:r>
      <w:r w:rsidRPr="008760CB">
        <w:t xml:space="preserve"> чел. (из них ДПО</w:t>
      </w:r>
      <w:r>
        <w:t xml:space="preserve"> 494 чел.</w:t>
      </w:r>
      <w:r w:rsidRPr="008760CB">
        <w:t xml:space="preserve">); заочное – </w:t>
      </w:r>
      <w:r>
        <w:t>43</w:t>
      </w:r>
      <w:r w:rsidRPr="008760CB">
        <w:t xml:space="preserve"> чел. (</w:t>
      </w:r>
      <w:r>
        <w:t>из них 36 чел. - ДПО)</w:t>
      </w:r>
      <w:proofErr w:type="gramEnd"/>
    </w:p>
    <w:p w:rsidR="00567B2A" w:rsidRPr="008760CB" w:rsidRDefault="00567B2A" w:rsidP="00567B2A">
      <w:pPr>
        <w:jc w:val="both"/>
      </w:pPr>
    </w:p>
    <w:p w:rsidR="00567B2A" w:rsidRPr="008760CB" w:rsidRDefault="00567B2A" w:rsidP="00567B2A">
      <w:pPr>
        <w:spacing w:after="240"/>
        <w:jc w:val="both"/>
        <w:rPr>
          <w:color w:val="000000"/>
        </w:rPr>
      </w:pPr>
      <w:proofErr w:type="gramStart"/>
      <w:r w:rsidRPr="008760CB">
        <w:rPr>
          <w:b/>
        </w:rPr>
        <w:t>Пермский филиал</w:t>
      </w:r>
      <w:r w:rsidRPr="008760CB">
        <w:t xml:space="preserve"> – </w:t>
      </w:r>
      <w:r w:rsidRPr="008760CB">
        <w:rPr>
          <w:color w:val="000000"/>
        </w:rPr>
        <w:t>1</w:t>
      </w:r>
      <w:r>
        <w:rPr>
          <w:color w:val="000000"/>
        </w:rPr>
        <w:t>805</w:t>
      </w:r>
      <w:r w:rsidRPr="008760CB">
        <w:rPr>
          <w:color w:val="000000"/>
        </w:rPr>
        <w:t xml:space="preserve"> чел. (очное отделение – </w:t>
      </w:r>
      <w:r>
        <w:rPr>
          <w:color w:val="000000"/>
        </w:rPr>
        <w:t>1258</w:t>
      </w:r>
      <w:r w:rsidRPr="008760CB">
        <w:rPr>
          <w:color w:val="000000"/>
        </w:rPr>
        <w:t xml:space="preserve"> чел.; очно-заочное – </w:t>
      </w:r>
      <w:r>
        <w:rPr>
          <w:color w:val="000000"/>
        </w:rPr>
        <w:t>352</w:t>
      </w:r>
      <w:r w:rsidRPr="008760CB">
        <w:rPr>
          <w:color w:val="000000"/>
        </w:rPr>
        <w:t xml:space="preserve"> чел. (полностью реализуются в структурах ДПО); заочное – </w:t>
      </w:r>
      <w:r>
        <w:rPr>
          <w:color w:val="000000"/>
        </w:rPr>
        <w:t>195</w:t>
      </w:r>
      <w:r w:rsidRPr="008760CB">
        <w:rPr>
          <w:color w:val="000000"/>
        </w:rPr>
        <w:t xml:space="preserve"> чел. (полностью реализуются в структурах ДПО)</w:t>
      </w:r>
      <w:r>
        <w:rPr>
          <w:color w:val="000000"/>
        </w:rPr>
        <w:t>.</w:t>
      </w:r>
      <w:proofErr w:type="gramEnd"/>
    </w:p>
    <w:p w:rsidR="00567B2A" w:rsidRPr="008760CB" w:rsidRDefault="00567B2A" w:rsidP="00567B2A">
      <w:pPr>
        <w:spacing w:after="240"/>
        <w:jc w:val="both"/>
        <w:rPr>
          <w:color w:val="000000"/>
        </w:rPr>
      </w:pPr>
      <w:proofErr w:type="gramStart"/>
      <w:r w:rsidRPr="008760CB">
        <w:rPr>
          <w:b/>
        </w:rPr>
        <w:t>Нижегородский филиал</w:t>
      </w:r>
      <w:r w:rsidRPr="008760CB">
        <w:t xml:space="preserve"> – </w:t>
      </w:r>
      <w:r w:rsidRPr="008760CB">
        <w:rPr>
          <w:color w:val="000000"/>
        </w:rPr>
        <w:t>26</w:t>
      </w:r>
      <w:r>
        <w:rPr>
          <w:color w:val="000000"/>
        </w:rPr>
        <w:t>05</w:t>
      </w:r>
      <w:r w:rsidRPr="008760CB">
        <w:rPr>
          <w:color w:val="000000"/>
        </w:rPr>
        <w:t xml:space="preserve"> чел. (очное отделение – 2</w:t>
      </w:r>
      <w:r>
        <w:rPr>
          <w:color w:val="000000"/>
        </w:rPr>
        <w:t>223</w:t>
      </w:r>
      <w:r w:rsidRPr="008760CB">
        <w:rPr>
          <w:color w:val="000000"/>
        </w:rPr>
        <w:t xml:space="preserve"> чел., очно-заочное – </w:t>
      </w:r>
      <w:r>
        <w:rPr>
          <w:color w:val="000000"/>
        </w:rPr>
        <w:t>346</w:t>
      </w:r>
      <w:r w:rsidRPr="008760CB">
        <w:rPr>
          <w:color w:val="000000"/>
        </w:rPr>
        <w:t xml:space="preserve"> чел. (из них ДПО – </w:t>
      </w:r>
      <w:r w:rsidRPr="000506C6">
        <w:t>320 чел.);</w:t>
      </w:r>
      <w:r w:rsidRPr="008760CB">
        <w:rPr>
          <w:color w:val="000000"/>
        </w:rPr>
        <w:t xml:space="preserve">  заочное – </w:t>
      </w:r>
      <w:r>
        <w:rPr>
          <w:color w:val="000000"/>
        </w:rPr>
        <w:t>36</w:t>
      </w:r>
      <w:r w:rsidRPr="008760CB">
        <w:rPr>
          <w:color w:val="000000"/>
        </w:rPr>
        <w:t xml:space="preserve"> чел (полностью</w:t>
      </w:r>
      <w:r>
        <w:rPr>
          <w:color w:val="000000"/>
        </w:rPr>
        <w:t xml:space="preserve"> </w:t>
      </w:r>
      <w:r w:rsidRPr="008760CB">
        <w:rPr>
          <w:color w:val="000000"/>
        </w:rPr>
        <w:t>реализуются в структурах ДПО).</w:t>
      </w:r>
      <w:proofErr w:type="gramEnd"/>
    </w:p>
    <w:p w:rsidR="00567B2A" w:rsidRPr="008760CB" w:rsidRDefault="00567B2A" w:rsidP="00567B2A">
      <w:pPr>
        <w:spacing w:after="240"/>
        <w:jc w:val="both"/>
        <w:rPr>
          <w:color w:val="000000"/>
        </w:rPr>
      </w:pPr>
      <w:proofErr w:type="gramStart"/>
      <w:r w:rsidRPr="008760CB">
        <w:rPr>
          <w:b/>
          <w:color w:val="000000"/>
        </w:rPr>
        <w:t>Санкт-Петербургский филиал</w:t>
      </w:r>
      <w:r w:rsidRPr="008760CB">
        <w:rPr>
          <w:color w:val="000000"/>
        </w:rPr>
        <w:t xml:space="preserve"> – 2</w:t>
      </w:r>
      <w:r>
        <w:rPr>
          <w:color w:val="000000"/>
        </w:rPr>
        <w:t>670</w:t>
      </w:r>
      <w:r w:rsidRPr="008760CB">
        <w:rPr>
          <w:color w:val="000000"/>
        </w:rPr>
        <w:t xml:space="preserve"> чел. (очное отделение – </w:t>
      </w:r>
      <w:r>
        <w:rPr>
          <w:color w:val="000000"/>
        </w:rPr>
        <w:t>2435</w:t>
      </w:r>
      <w:r w:rsidRPr="008760CB">
        <w:rPr>
          <w:color w:val="000000"/>
        </w:rPr>
        <w:t xml:space="preserve"> чел.; очно-заочное – 1</w:t>
      </w:r>
      <w:r>
        <w:rPr>
          <w:color w:val="000000"/>
        </w:rPr>
        <w:t>34</w:t>
      </w:r>
      <w:r w:rsidRPr="008760CB">
        <w:rPr>
          <w:color w:val="000000"/>
        </w:rPr>
        <w:t xml:space="preserve"> чел. (из них ДПО – </w:t>
      </w:r>
      <w:r w:rsidRPr="000506C6">
        <w:t>68</w:t>
      </w:r>
      <w:r w:rsidRPr="008760CB">
        <w:rPr>
          <w:color w:val="000000"/>
        </w:rPr>
        <w:t xml:space="preserve"> чел.); заочная – 1</w:t>
      </w:r>
      <w:r>
        <w:rPr>
          <w:color w:val="000000"/>
        </w:rPr>
        <w:t>01</w:t>
      </w:r>
      <w:r w:rsidRPr="008760CB">
        <w:rPr>
          <w:color w:val="000000"/>
        </w:rPr>
        <w:t xml:space="preserve"> чел. (полностью реализуются в структурах ДПО).</w:t>
      </w:r>
      <w:proofErr w:type="gramEnd"/>
    </w:p>
    <w:p w:rsidR="00567B2A" w:rsidRPr="00BB0B20" w:rsidRDefault="00567B2A" w:rsidP="00567B2A">
      <w:pPr>
        <w:spacing w:after="200" w:line="276" w:lineRule="auto"/>
        <w:jc w:val="both"/>
      </w:pPr>
      <w:r w:rsidRPr="00BB0B20">
        <w:t xml:space="preserve">Очно-заочный контингент студентов состоит из студентов, обучающихся по </w:t>
      </w:r>
      <w:r>
        <w:t>сокращенным программам на базе среднего профессионального или высшего образования (реализуемым</w:t>
      </w:r>
      <w:r w:rsidRPr="00BB0B20">
        <w:t xml:space="preserve"> в структурах ДПО)</w:t>
      </w:r>
      <w:r>
        <w:t>,</w:t>
      </w:r>
      <w:r w:rsidRPr="00BB0B20">
        <w:t xml:space="preserve"> и студентов, получающих высшее образование впервые (</w:t>
      </w:r>
      <w:r>
        <w:t xml:space="preserve">обучающихся на </w:t>
      </w:r>
      <w:r w:rsidRPr="00BB0B20">
        <w:t>факультета</w:t>
      </w:r>
      <w:r>
        <w:t>х</w:t>
      </w:r>
      <w:r w:rsidRPr="00BB0B20">
        <w:t>/отделения</w:t>
      </w:r>
      <w:r>
        <w:t>х</w:t>
      </w:r>
      <w:r w:rsidRPr="00BB0B20">
        <w:t>).</w:t>
      </w:r>
    </w:p>
    <w:p w:rsidR="00567B2A" w:rsidRPr="00B84338" w:rsidRDefault="00567B2A" w:rsidP="00567B2A">
      <w:pPr>
        <w:spacing w:after="200" w:line="276" w:lineRule="auto"/>
        <w:jc w:val="both"/>
      </w:pPr>
      <w:r w:rsidRPr="009B41FC">
        <w:t>Общее количество студентов очной формы обучения на 1 октября</w:t>
      </w:r>
      <w:r>
        <w:t xml:space="preserve"> 2013 года</w:t>
      </w:r>
      <w:r w:rsidRPr="00B84338">
        <w:t xml:space="preserve"> </w:t>
      </w:r>
      <w:r>
        <w:t xml:space="preserve">по Москве и </w:t>
      </w:r>
      <w:r w:rsidRPr="00B84338">
        <w:t>филиалам соста</w:t>
      </w:r>
      <w:r>
        <w:t>вляет</w:t>
      </w:r>
      <w:r w:rsidRPr="00B84338">
        <w:t xml:space="preserve"> </w:t>
      </w:r>
      <w:r w:rsidRPr="00892361">
        <w:rPr>
          <w:b/>
        </w:rPr>
        <w:t>2</w:t>
      </w:r>
      <w:r>
        <w:rPr>
          <w:b/>
        </w:rPr>
        <w:t>2098</w:t>
      </w:r>
      <w:r w:rsidRPr="00B84338">
        <w:t xml:space="preserve"> </w:t>
      </w:r>
      <w:r w:rsidRPr="00D534C4">
        <w:t>человек</w:t>
      </w:r>
      <w:r w:rsidR="006D7861" w:rsidRPr="00D534C4">
        <w:t xml:space="preserve"> (</w:t>
      </w:r>
      <w:r w:rsidR="006C2158" w:rsidRPr="00D534C4">
        <w:t>Приложение к отчету № 4</w:t>
      </w:r>
      <w:r w:rsidR="006D7861" w:rsidRPr="00D534C4">
        <w:t xml:space="preserve">) </w:t>
      </w:r>
      <w:r w:rsidRPr="00D534C4">
        <w:t>,</w:t>
      </w:r>
      <w:r w:rsidRPr="00B84338">
        <w:t xml:space="preserve"> </w:t>
      </w:r>
      <w:r w:rsidR="006D7861">
        <w:t xml:space="preserve">что </w:t>
      </w:r>
      <w:r w:rsidRPr="00B84338">
        <w:t xml:space="preserve">на </w:t>
      </w:r>
      <w:r>
        <w:t>1881</w:t>
      </w:r>
      <w:r w:rsidRPr="00B84338">
        <w:t xml:space="preserve"> человек больше по сравнению с тем же периодом прошлого года, в том числе: </w:t>
      </w:r>
    </w:p>
    <w:p w:rsidR="00567B2A" w:rsidRPr="00966268" w:rsidRDefault="00567B2A" w:rsidP="00F27C45">
      <w:pPr>
        <w:pStyle w:val="a5"/>
        <w:numPr>
          <w:ilvl w:val="0"/>
          <w:numId w:val="3"/>
        </w:numPr>
        <w:spacing w:after="0" w:line="240" w:lineRule="auto"/>
        <w:jc w:val="both"/>
        <w:rPr>
          <w:sz w:val="24"/>
          <w:szCs w:val="24"/>
          <w:lang w:eastAsia="ru-RU"/>
        </w:rPr>
      </w:pPr>
      <w:r>
        <w:rPr>
          <w:sz w:val="24"/>
          <w:szCs w:val="24"/>
          <w:lang w:eastAsia="ru-RU"/>
        </w:rPr>
        <w:t xml:space="preserve">Студентов магистратуры  - </w:t>
      </w:r>
      <w:r w:rsidRPr="00966268">
        <w:rPr>
          <w:sz w:val="24"/>
          <w:szCs w:val="24"/>
          <w:lang w:eastAsia="ru-RU"/>
        </w:rPr>
        <w:t>4450 студента, на 396 человек больше, чем в 2012/2013 учебном году;</w:t>
      </w:r>
    </w:p>
    <w:p w:rsidR="00567B2A" w:rsidRPr="00966268" w:rsidRDefault="00567B2A" w:rsidP="00F27C45">
      <w:pPr>
        <w:pStyle w:val="a5"/>
        <w:numPr>
          <w:ilvl w:val="0"/>
          <w:numId w:val="3"/>
        </w:numPr>
        <w:spacing w:after="0" w:line="240" w:lineRule="auto"/>
        <w:jc w:val="both"/>
        <w:rPr>
          <w:sz w:val="24"/>
          <w:szCs w:val="24"/>
          <w:lang w:eastAsia="ru-RU"/>
        </w:rPr>
      </w:pPr>
      <w:r>
        <w:rPr>
          <w:sz w:val="24"/>
          <w:szCs w:val="24"/>
          <w:lang w:eastAsia="ru-RU"/>
        </w:rPr>
        <w:t xml:space="preserve">Студентов </w:t>
      </w:r>
      <w:proofErr w:type="spellStart"/>
      <w:r>
        <w:rPr>
          <w:sz w:val="24"/>
          <w:szCs w:val="24"/>
          <w:lang w:eastAsia="ru-RU"/>
        </w:rPr>
        <w:t>бакалавриата</w:t>
      </w:r>
      <w:proofErr w:type="spellEnd"/>
      <w:r w:rsidRPr="00966268">
        <w:rPr>
          <w:sz w:val="24"/>
          <w:szCs w:val="24"/>
          <w:lang w:eastAsia="ru-RU"/>
        </w:rPr>
        <w:t xml:space="preserve"> – 16187 студентов, на 2573 человек больше; </w:t>
      </w:r>
    </w:p>
    <w:p w:rsidR="00567B2A" w:rsidRPr="00966268" w:rsidRDefault="00567B2A" w:rsidP="00F27C45">
      <w:pPr>
        <w:pStyle w:val="a5"/>
        <w:numPr>
          <w:ilvl w:val="0"/>
          <w:numId w:val="3"/>
        </w:numPr>
        <w:spacing w:after="0" w:line="240" w:lineRule="auto"/>
        <w:ind w:left="714" w:hanging="357"/>
        <w:jc w:val="both"/>
        <w:rPr>
          <w:sz w:val="24"/>
          <w:szCs w:val="24"/>
          <w:lang w:eastAsia="ru-RU"/>
        </w:rPr>
      </w:pPr>
      <w:r>
        <w:rPr>
          <w:sz w:val="24"/>
          <w:szCs w:val="24"/>
          <w:lang w:eastAsia="ru-RU"/>
        </w:rPr>
        <w:t xml:space="preserve">Студентов </w:t>
      </w:r>
      <w:proofErr w:type="spellStart"/>
      <w:r>
        <w:rPr>
          <w:sz w:val="24"/>
          <w:szCs w:val="24"/>
          <w:lang w:eastAsia="ru-RU"/>
        </w:rPr>
        <w:t>специалитета</w:t>
      </w:r>
      <w:proofErr w:type="spellEnd"/>
      <w:r w:rsidRPr="00966268">
        <w:rPr>
          <w:sz w:val="24"/>
          <w:szCs w:val="24"/>
          <w:lang w:eastAsia="ru-RU"/>
        </w:rPr>
        <w:t xml:space="preserve">- 1461, на 1088 человек меньше (уменьшение числа специалистов обусловлено </w:t>
      </w:r>
      <w:r>
        <w:rPr>
          <w:sz w:val="24"/>
          <w:szCs w:val="24"/>
          <w:lang w:eastAsia="ru-RU"/>
        </w:rPr>
        <w:t xml:space="preserve">прекращением набора на большинство специальностей в 2011 году, за исключением одной программы «Компьютерная безопасность», которая и далее будет отнесена к уровню </w:t>
      </w:r>
      <w:proofErr w:type="spellStart"/>
      <w:r>
        <w:rPr>
          <w:sz w:val="24"/>
          <w:szCs w:val="24"/>
          <w:lang w:eastAsia="ru-RU"/>
        </w:rPr>
        <w:t>специалитета</w:t>
      </w:r>
      <w:proofErr w:type="spellEnd"/>
      <w:r w:rsidRPr="00966268">
        <w:rPr>
          <w:sz w:val="24"/>
          <w:szCs w:val="24"/>
          <w:lang w:eastAsia="ru-RU"/>
        </w:rPr>
        <w:t xml:space="preserve">). </w:t>
      </w:r>
    </w:p>
    <w:p w:rsidR="00567B2A" w:rsidRPr="00567B2A" w:rsidRDefault="00567B2A" w:rsidP="00567B2A">
      <w:pPr>
        <w:spacing w:line="276" w:lineRule="auto"/>
      </w:pPr>
      <w:r w:rsidRPr="00567B2A">
        <w:t>Контингент студентов по Москве и отдельно филиалам составляет:</w:t>
      </w:r>
    </w:p>
    <w:p w:rsidR="00567B2A" w:rsidRPr="00567B2A" w:rsidRDefault="00567B2A" w:rsidP="00567B2A">
      <w:pPr>
        <w:spacing w:line="276" w:lineRule="auto"/>
        <w:rPr>
          <w:b/>
          <w:bCs/>
          <w:color w:val="000000"/>
        </w:rPr>
      </w:pPr>
      <w:r w:rsidRPr="00567B2A">
        <w:rPr>
          <w:b/>
        </w:rPr>
        <w:t>Москва (очная форма обучения)</w:t>
      </w:r>
      <w:r w:rsidRPr="00567B2A">
        <w:t xml:space="preserve"> – 16182</w:t>
      </w:r>
      <w:r w:rsidRPr="00567B2A">
        <w:rPr>
          <w:b/>
          <w:bCs/>
          <w:color w:val="000000"/>
        </w:rPr>
        <w:t xml:space="preserve"> </w:t>
      </w:r>
      <w:r w:rsidRPr="00567B2A">
        <w:rPr>
          <w:bCs/>
          <w:color w:val="000000"/>
        </w:rPr>
        <w:t>чел., из них:</w:t>
      </w:r>
      <w:r w:rsidRPr="00567B2A">
        <w:rPr>
          <w:b/>
          <w:bCs/>
          <w:color w:val="000000"/>
        </w:rPr>
        <w:t xml:space="preserve"> </w:t>
      </w:r>
    </w:p>
    <w:p w:rsidR="00567B2A" w:rsidRPr="00567B2A" w:rsidRDefault="00567B2A" w:rsidP="00F27C45">
      <w:pPr>
        <w:pStyle w:val="a5"/>
        <w:numPr>
          <w:ilvl w:val="0"/>
          <w:numId w:val="6"/>
        </w:numPr>
        <w:rPr>
          <w:color w:val="000000"/>
          <w:sz w:val="24"/>
          <w:szCs w:val="24"/>
        </w:rPr>
      </w:pPr>
      <w:r w:rsidRPr="00567B2A">
        <w:rPr>
          <w:bCs/>
          <w:color w:val="000000"/>
          <w:sz w:val="24"/>
          <w:szCs w:val="24"/>
        </w:rPr>
        <w:t xml:space="preserve">магистрантов – </w:t>
      </w:r>
      <w:r w:rsidRPr="00567B2A">
        <w:rPr>
          <w:color w:val="000000"/>
          <w:sz w:val="24"/>
          <w:szCs w:val="24"/>
        </w:rPr>
        <w:t>3533</w:t>
      </w:r>
      <w:r w:rsidRPr="00567B2A">
        <w:rPr>
          <w:color w:val="000000"/>
          <w:sz w:val="24"/>
          <w:szCs w:val="24"/>
          <w:lang w:val="en-US"/>
        </w:rPr>
        <w:t xml:space="preserve"> </w:t>
      </w:r>
      <w:r w:rsidRPr="00567B2A">
        <w:rPr>
          <w:color w:val="000000"/>
          <w:sz w:val="24"/>
          <w:szCs w:val="24"/>
        </w:rPr>
        <w:t>чел.</w:t>
      </w:r>
    </w:p>
    <w:p w:rsidR="00567B2A" w:rsidRPr="00567B2A" w:rsidRDefault="00567B2A" w:rsidP="00F27C45">
      <w:pPr>
        <w:pStyle w:val="a5"/>
        <w:numPr>
          <w:ilvl w:val="0"/>
          <w:numId w:val="6"/>
        </w:numPr>
        <w:rPr>
          <w:color w:val="000000"/>
          <w:sz w:val="24"/>
          <w:szCs w:val="24"/>
        </w:rPr>
      </w:pPr>
      <w:r w:rsidRPr="00567B2A">
        <w:rPr>
          <w:bCs/>
          <w:color w:val="000000"/>
          <w:sz w:val="24"/>
          <w:szCs w:val="24"/>
        </w:rPr>
        <w:t xml:space="preserve">бакалавров – </w:t>
      </w:r>
      <w:r w:rsidRPr="00567B2A">
        <w:rPr>
          <w:color w:val="000000"/>
          <w:sz w:val="24"/>
          <w:szCs w:val="24"/>
        </w:rPr>
        <w:t>11467 чел.</w:t>
      </w:r>
    </w:p>
    <w:p w:rsidR="00567B2A" w:rsidRPr="00567B2A" w:rsidRDefault="00567B2A" w:rsidP="00F27C45">
      <w:pPr>
        <w:pStyle w:val="a5"/>
        <w:numPr>
          <w:ilvl w:val="0"/>
          <w:numId w:val="6"/>
        </w:numPr>
        <w:rPr>
          <w:color w:val="000000"/>
          <w:sz w:val="24"/>
          <w:szCs w:val="24"/>
        </w:rPr>
      </w:pPr>
      <w:r w:rsidRPr="00567B2A">
        <w:rPr>
          <w:bCs/>
          <w:color w:val="000000"/>
          <w:sz w:val="24"/>
          <w:szCs w:val="24"/>
        </w:rPr>
        <w:t>специалистов –</w:t>
      </w:r>
      <w:r w:rsidRPr="00567B2A">
        <w:rPr>
          <w:b/>
          <w:bCs/>
          <w:color w:val="000000"/>
          <w:sz w:val="24"/>
          <w:szCs w:val="24"/>
        </w:rPr>
        <w:t xml:space="preserve"> </w:t>
      </w:r>
      <w:r w:rsidRPr="00567B2A">
        <w:rPr>
          <w:color w:val="000000"/>
          <w:sz w:val="24"/>
          <w:szCs w:val="24"/>
        </w:rPr>
        <w:t>1182 чел.</w:t>
      </w:r>
    </w:p>
    <w:p w:rsidR="00567B2A" w:rsidRPr="00567B2A" w:rsidRDefault="00567B2A" w:rsidP="00567B2A">
      <w:pPr>
        <w:spacing w:after="200" w:line="276" w:lineRule="auto"/>
        <w:jc w:val="both"/>
      </w:pPr>
      <w:r w:rsidRPr="00567B2A">
        <w:t xml:space="preserve">Второй год, проводился набор студентов на пятилетнее </w:t>
      </w:r>
      <w:proofErr w:type="gramStart"/>
      <w:r w:rsidRPr="00567B2A">
        <w:t>обучение по специальности</w:t>
      </w:r>
      <w:proofErr w:type="gramEnd"/>
      <w:r w:rsidRPr="00567B2A">
        <w:t xml:space="preserve"> 090301 «Компьютерная безопасность». </w:t>
      </w:r>
    </w:p>
    <w:p w:rsidR="00567B2A" w:rsidRPr="00567B2A" w:rsidRDefault="00567B2A" w:rsidP="00567B2A">
      <w:pPr>
        <w:rPr>
          <w:color w:val="000000"/>
        </w:rPr>
      </w:pPr>
      <w:r w:rsidRPr="00567B2A">
        <w:rPr>
          <w:rStyle w:val="a4"/>
          <w:rFonts w:eastAsiaTheme="majorEastAsia"/>
          <w:b/>
          <w:noProof/>
          <w:color w:val="auto"/>
          <w:u w:val="none"/>
        </w:rPr>
        <w:t>Санкт-Петербург (очная форма обучения</w:t>
      </w:r>
      <w:r w:rsidRPr="00567B2A">
        <w:rPr>
          <w:rStyle w:val="a4"/>
          <w:rFonts w:eastAsiaTheme="majorEastAsia"/>
          <w:noProof/>
          <w:color w:val="auto"/>
          <w:u w:val="none"/>
        </w:rPr>
        <w:t>)</w:t>
      </w:r>
      <w:r w:rsidRPr="00567B2A">
        <w:rPr>
          <w:rStyle w:val="a4"/>
          <w:rFonts w:eastAsiaTheme="majorEastAsia"/>
          <w:noProof/>
          <w:u w:val="none"/>
        </w:rPr>
        <w:t xml:space="preserve"> – </w:t>
      </w:r>
      <w:r w:rsidRPr="00567B2A">
        <w:rPr>
          <w:b/>
          <w:color w:val="000000"/>
        </w:rPr>
        <w:t xml:space="preserve">2435 </w:t>
      </w:r>
      <w:r w:rsidRPr="00567B2A">
        <w:rPr>
          <w:color w:val="000000"/>
        </w:rPr>
        <w:t>чел.,</w:t>
      </w:r>
      <w:r w:rsidRPr="00567B2A">
        <w:rPr>
          <w:b/>
          <w:color w:val="000000"/>
        </w:rPr>
        <w:t xml:space="preserve"> </w:t>
      </w:r>
      <w:r w:rsidRPr="00567B2A">
        <w:rPr>
          <w:color w:val="000000"/>
        </w:rPr>
        <w:t>из них:</w:t>
      </w:r>
    </w:p>
    <w:p w:rsidR="00567B2A" w:rsidRPr="00567B2A" w:rsidRDefault="00567B2A" w:rsidP="00F27C45">
      <w:pPr>
        <w:pStyle w:val="a5"/>
        <w:numPr>
          <w:ilvl w:val="0"/>
          <w:numId w:val="7"/>
        </w:numPr>
        <w:rPr>
          <w:sz w:val="24"/>
          <w:szCs w:val="24"/>
        </w:rPr>
      </w:pPr>
      <w:r w:rsidRPr="00567B2A">
        <w:rPr>
          <w:rStyle w:val="a4"/>
          <w:rFonts w:eastAsiaTheme="majorEastAsia"/>
          <w:noProof/>
          <w:color w:val="auto"/>
          <w:sz w:val="24"/>
          <w:szCs w:val="24"/>
          <w:u w:val="none"/>
        </w:rPr>
        <w:t xml:space="preserve">магистрантов – </w:t>
      </w:r>
      <w:r w:rsidRPr="00567B2A">
        <w:rPr>
          <w:sz w:val="24"/>
          <w:szCs w:val="24"/>
        </w:rPr>
        <w:t>306  чел.</w:t>
      </w:r>
    </w:p>
    <w:p w:rsidR="00567B2A" w:rsidRPr="00567B2A" w:rsidRDefault="00567B2A" w:rsidP="00F27C45">
      <w:pPr>
        <w:pStyle w:val="a5"/>
        <w:numPr>
          <w:ilvl w:val="0"/>
          <w:numId w:val="7"/>
        </w:numPr>
        <w:rPr>
          <w:sz w:val="24"/>
          <w:szCs w:val="24"/>
        </w:rPr>
      </w:pPr>
      <w:r w:rsidRPr="00567B2A">
        <w:rPr>
          <w:rStyle w:val="a4"/>
          <w:rFonts w:eastAsiaTheme="majorEastAsia"/>
          <w:noProof/>
          <w:color w:val="auto"/>
          <w:sz w:val="24"/>
          <w:szCs w:val="24"/>
          <w:u w:val="none"/>
        </w:rPr>
        <w:t xml:space="preserve">бакалавров - </w:t>
      </w:r>
      <w:r w:rsidRPr="00567B2A">
        <w:rPr>
          <w:sz w:val="24"/>
          <w:szCs w:val="24"/>
        </w:rPr>
        <w:t>1963 чел.</w:t>
      </w:r>
    </w:p>
    <w:p w:rsidR="00567B2A" w:rsidRPr="00567B2A" w:rsidRDefault="00567B2A" w:rsidP="00F27C45">
      <w:pPr>
        <w:pStyle w:val="a5"/>
        <w:numPr>
          <w:ilvl w:val="0"/>
          <w:numId w:val="7"/>
        </w:numPr>
        <w:rPr>
          <w:rStyle w:val="a4"/>
          <w:rFonts w:eastAsiaTheme="majorEastAsia"/>
          <w:color w:val="000000"/>
          <w:sz w:val="24"/>
          <w:szCs w:val="24"/>
          <w:u w:val="none"/>
        </w:rPr>
      </w:pPr>
      <w:r w:rsidRPr="00567B2A">
        <w:rPr>
          <w:rStyle w:val="a4"/>
          <w:rFonts w:eastAsiaTheme="majorEastAsia"/>
          <w:noProof/>
          <w:color w:val="auto"/>
          <w:sz w:val="24"/>
          <w:szCs w:val="24"/>
          <w:u w:val="none"/>
        </w:rPr>
        <w:t>специалистов</w:t>
      </w:r>
      <w:r w:rsidRPr="00567B2A">
        <w:rPr>
          <w:rStyle w:val="a4"/>
          <w:rFonts w:eastAsiaTheme="majorEastAsia"/>
          <w:noProof/>
          <w:sz w:val="24"/>
          <w:szCs w:val="24"/>
          <w:u w:val="none"/>
        </w:rPr>
        <w:t xml:space="preserve"> - </w:t>
      </w:r>
      <w:r w:rsidRPr="00567B2A">
        <w:rPr>
          <w:color w:val="000000"/>
          <w:sz w:val="24"/>
          <w:szCs w:val="24"/>
        </w:rPr>
        <w:t xml:space="preserve">166 чел. </w:t>
      </w:r>
    </w:p>
    <w:p w:rsidR="00567B2A" w:rsidRPr="00567B2A" w:rsidRDefault="00567B2A" w:rsidP="00567B2A">
      <w:pPr>
        <w:rPr>
          <w:color w:val="000000"/>
        </w:rPr>
      </w:pPr>
      <w:r w:rsidRPr="00567B2A">
        <w:rPr>
          <w:rStyle w:val="a4"/>
          <w:rFonts w:eastAsiaTheme="majorEastAsia"/>
          <w:b/>
          <w:noProof/>
          <w:color w:val="auto"/>
          <w:u w:val="none"/>
        </w:rPr>
        <w:lastRenderedPageBreak/>
        <w:t>Нижний Новгород (очная форма обучения</w:t>
      </w:r>
      <w:r w:rsidRPr="00567B2A">
        <w:rPr>
          <w:rStyle w:val="a4"/>
          <w:rFonts w:eastAsiaTheme="majorEastAsia"/>
          <w:noProof/>
          <w:color w:val="auto"/>
          <w:u w:val="none"/>
        </w:rPr>
        <w:t>)</w:t>
      </w:r>
      <w:r w:rsidRPr="00567B2A">
        <w:rPr>
          <w:color w:val="000000"/>
        </w:rPr>
        <w:t xml:space="preserve"> – </w:t>
      </w:r>
      <w:r w:rsidRPr="00567B2A">
        <w:rPr>
          <w:b/>
          <w:color w:val="000000"/>
        </w:rPr>
        <w:t xml:space="preserve">2223 </w:t>
      </w:r>
      <w:r w:rsidRPr="00567B2A">
        <w:rPr>
          <w:color w:val="000000"/>
        </w:rPr>
        <w:t>чел.,</w:t>
      </w:r>
      <w:r w:rsidRPr="00567B2A">
        <w:rPr>
          <w:b/>
          <w:color w:val="000000"/>
        </w:rPr>
        <w:t xml:space="preserve"> </w:t>
      </w:r>
      <w:r w:rsidRPr="00567B2A">
        <w:rPr>
          <w:color w:val="000000"/>
        </w:rPr>
        <w:t>из них:</w:t>
      </w:r>
    </w:p>
    <w:p w:rsidR="00567B2A" w:rsidRPr="00567B2A" w:rsidRDefault="00567B2A" w:rsidP="00F27C45">
      <w:pPr>
        <w:pStyle w:val="a5"/>
        <w:numPr>
          <w:ilvl w:val="0"/>
          <w:numId w:val="8"/>
        </w:numPr>
        <w:rPr>
          <w:color w:val="000000"/>
          <w:sz w:val="24"/>
          <w:szCs w:val="24"/>
        </w:rPr>
      </w:pPr>
      <w:r w:rsidRPr="00567B2A">
        <w:rPr>
          <w:color w:val="000000"/>
          <w:sz w:val="24"/>
          <w:szCs w:val="24"/>
        </w:rPr>
        <w:t>магистрантов - 434 чел.</w:t>
      </w:r>
    </w:p>
    <w:p w:rsidR="00567B2A" w:rsidRPr="00567B2A" w:rsidRDefault="00567B2A" w:rsidP="00F27C45">
      <w:pPr>
        <w:pStyle w:val="a5"/>
        <w:numPr>
          <w:ilvl w:val="0"/>
          <w:numId w:val="8"/>
        </w:numPr>
        <w:rPr>
          <w:color w:val="000000"/>
          <w:sz w:val="24"/>
          <w:szCs w:val="24"/>
        </w:rPr>
      </w:pPr>
      <w:r w:rsidRPr="00567B2A">
        <w:rPr>
          <w:color w:val="000000"/>
          <w:sz w:val="24"/>
          <w:szCs w:val="24"/>
        </w:rPr>
        <w:t>бакалавров – 1676 чел.</w:t>
      </w:r>
    </w:p>
    <w:p w:rsidR="00567B2A" w:rsidRPr="00567B2A" w:rsidRDefault="00567B2A" w:rsidP="00F27C45">
      <w:pPr>
        <w:pStyle w:val="a5"/>
        <w:numPr>
          <w:ilvl w:val="0"/>
          <w:numId w:val="8"/>
        </w:numPr>
        <w:rPr>
          <w:color w:val="000000"/>
          <w:sz w:val="24"/>
          <w:szCs w:val="24"/>
        </w:rPr>
      </w:pPr>
      <w:r w:rsidRPr="00567B2A">
        <w:rPr>
          <w:color w:val="000000"/>
          <w:sz w:val="24"/>
          <w:szCs w:val="24"/>
        </w:rPr>
        <w:t>специалистов - 113 чел.</w:t>
      </w:r>
    </w:p>
    <w:p w:rsidR="00567B2A" w:rsidRPr="00567B2A" w:rsidRDefault="00567B2A" w:rsidP="00567B2A">
      <w:pPr>
        <w:rPr>
          <w:color w:val="000000"/>
        </w:rPr>
      </w:pPr>
      <w:r w:rsidRPr="00567B2A">
        <w:rPr>
          <w:b/>
          <w:color w:val="000000"/>
        </w:rPr>
        <w:t>Пермь</w:t>
      </w:r>
      <w:r w:rsidRPr="00567B2A">
        <w:rPr>
          <w:color w:val="000000"/>
        </w:rPr>
        <w:t xml:space="preserve"> </w:t>
      </w:r>
      <w:r w:rsidRPr="00567B2A">
        <w:rPr>
          <w:b/>
          <w:color w:val="000000"/>
        </w:rPr>
        <w:t>(очная форма обучения</w:t>
      </w:r>
      <w:r w:rsidRPr="00567B2A">
        <w:rPr>
          <w:color w:val="000000"/>
        </w:rPr>
        <w:t xml:space="preserve">) – </w:t>
      </w:r>
      <w:r w:rsidRPr="00567B2A">
        <w:rPr>
          <w:b/>
          <w:color w:val="000000"/>
        </w:rPr>
        <w:t xml:space="preserve">1258 </w:t>
      </w:r>
      <w:r w:rsidRPr="00567B2A">
        <w:rPr>
          <w:color w:val="000000"/>
        </w:rPr>
        <w:t>чел.,</w:t>
      </w:r>
      <w:r w:rsidRPr="00567B2A">
        <w:rPr>
          <w:b/>
          <w:color w:val="000000"/>
        </w:rPr>
        <w:t xml:space="preserve"> </w:t>
      </w:r>
      <w:r w:rsidRPr="00567B2A">
        <w:rPr>
          <w:color w:val="000000"/>
        </w:rPr>
        <w:t>из них:</w:t>
      </w:r>
    </w:p>
    <w:p w:rsidR="00567B2A" w:rsidRPr="00567B2A" w:rsidRDefault="00567B2A" w:rsidP="00F27C45">
      <w:pPr>
        <w:pStyle w:val="a5"/>
        <w:numPr>
          <w:ilvl w:val="0"/>
          <w:numId w:val="9"/>
        </w:numPr>
        <w:rPr>
          <w:color w:val="000000"/>
          <w:sz w:val="24"/>
          <w:szCs w:val="24"/>
        </w:rPr>
      </w:pPr>
      <w:r w:rsidRPr="00567B2A">
        <w:rPr>
          <w:color w:val="000000"/>
          <w:sz w:val="24"/>
          <w:szCs w:val="24"/>
        </w:rPr>
        <w:t>магистрантов - 177 чел.</w:t>
      </w:r>
    </w:p>
    <w:p w:rsidR="00567B2A" w:rsidRPr="00567B2A" w:rsidRDefault="00567B2A" w:rsidP="00F27C45">
      <w:pPr>
        <w:pStyle w:val="a5"/>
        <w:numPr>
          <w:ilvl w:val="0"/>
          <w:numId w:val="9"/>
        </w:numPr>
        <w:rPr>
          <w:color w:val="000000"/>
          <w:sz w:val="24"/>
          <w:szCs w:val="24"/>
        </w:rPr>
      </w:pPr>
      <w:r w:rsidRPr="00567B2A">
        <w:rPr>
          <w:color w:val="000000"/>
          <w:sz w:val="24"/>
          <w:szCs w:val="24"/>
        </w:rPr>
        <w:t>бакалавров - 1081 чел.</w:t>
      </w:r>
    </w:p>
    <w:p w:rsidR="00567B2A" w:rsidRPr="00567B2A" w:rsidRDefault="00567B2A" w:rsidP="00F27C45">
      <w:pPr>
        <w:pStyle w:val="a5"/>
        <w:numPr>
          <w:ilvl w:val="0"/>
          <w:numId w:val="9"/>
        </w:numPr>
        <w:rPr>
          <w:rStyle w:val="a4"/>
          <w:rFonts w:eastAsiaTheme="majorEastAsia"/>
          <w:color w:val="000000"/>
          <w:sz w:val="24"/>
          <w:szCs w:val="24"/>
          <w:u w:val="none"/>
        </w:rPr>
      </w:pPr>
      <w:r w:rsidRPr="00567B2A">
        <w:rPr>
          <w:color w:val="000000"/>
          <w:sz w:val="24"/>
          <w:szCs w:val="24"/>
        </w:rPr>
        <w:t>специалистов – нет.</w:t>
      </w:r>
    </w:p>
    <w:p w:rsidR="00567B2A" w:rsidRPr="00567B2A" w:rsidRDefault="00567B2A" w:rsidP="00567B2A">
      <w:pPr>
        <w:spacing w:after="200" w:line="276" w:lineRule="auto"/>
        <w:jc w:val="both"/>
      </w:pPr>
      <w:r w:rsidRPr="00567B2A">
        <w:t xml:space="preserve">Увеличение контингента студентов очной формы обучения </w:t>
      </w:r>
      <w:r w:rsidRPr="00567B2A">
        <w:rPr>
          <w:szCs w:val="26"/>
          <w:lang w:eastAsia="en-US"/>
        </w:rPr>
        <w:t>обусловлено</w:t>
      </w:r>
      <w:r w:rsidRPr="00567B2A">
        <w:t xml:space="preserve"> возросшим набором и открытием новых магистерских программ. </w:t>
      </w:r>
    </w:p>
    <w:p w:rsidR="00567B2A" w:rsidRPr="00567B2A" w:rsidRDefault="00567B2A" w:rsidP="00567B2A">
      <w:pPr>
        <w:spacing w:line="360" w:lineRule="auto"/>
        <w:jc w:val="both"/>
        <w:rPr>
          <w:rStyle w:val="a4"/>
          <w:rFonts w:eastAsiaTheme="majorEastAsia"/>
          <w:bCs/>
          <w:noProof/>
          <w:color w:val="auto"/>
          <w:u w:val="none"/>
        </w:rPr>
      </w:pPr>
      <w:r w:rsidRPr="00567B2A">
        <w:rPr>
          <w:rStyle w:val="a4"/>
          <w:rFonts w:eastAsiaTheme="majorEastAsia"/>
          <w:noProof/>
          <w:color w:val="auto"/>
          <w:u w:val="none"/>
        </w:rPr>
        <w:t>Численность студентов НИУ ВШЭ на 1 октября 2013 года по очно-заочной форме обучения без учета студентов, обучающихся по сокращенным программам в структурах ДПО, составляет 840 чел., из них:</w:t>
      </w:r>
    </w:p>
    <w:p w:rsidR="00567B2A" w:rsidRPr="00567B2A" w:rsidRDefault="00567B2A" w:rsidP="00567B2A">
      <w:pPr>
        <w:spacing w:line="360" w:lineRule="auto"/>
        <w:jc w:val="both"/>
        <w:rPr>
          <w:rStyle w:val="a4"/>
          <w:rFonts w:eastAsiaTheme="majorEastAsia"/>
          <w:bCs/>
          <w:noProof/>
          <w:u w:val="none"/>
        </w:rPr>
      </w:pPr>
      <w:r w:rsidRPr="00567B2A">
        <w:rPr>
          <w:rStyle w:val="a4"/>
          <w:rFonts w:eastAsiaTheme="majorEastAsia"/>
          <w:noProof/>
          <w:color w:val="auto"/>
          <w:u w:val="none"/>
        </w:rPr>
        <w:t>Москва (очно-заочная форма обучения), без учета ДПО - 748 чел., из них:</w:t>
      </w:r>
    </w:p>
    <w:p w:rsidR="00BF4D7B" w:rsidRPr="00BF4D7B" w:rsidRDefault="00BF4D7B" w:rsidP="00FD63E0">
      <w:pPr>
        <w:jc w:val="both"/>
        <w:rPr>
          <w:rStyle w:val="a4"/>
          <w:rFonts w:eastAsiaTheme="majorEastAsia"/>
          <w:noProof/>
          <w:color w:val="auto"/>
          <w:u w:val="none"/>
          <w:lang w:eastAsia="en-US"/>
        </w:rPr>
      </w:pPr>
      <w:proofErr w:type="gramStart"/>
      <w:r w:rsidRPr="00BF4D7B">
        <w:rPr>
          <w:rStyle w:val="a4"/>
          <w:rFonts w:eastAsiaTheme="majorEastAsia"/>
          <w:noProof/>
          <w:color w:val="auto"/>
          <w:u w:val="none"/>
          <w:lang w:eastAsia="en-US"/>
        </w:rPr>
        <w:t>-</w:t>
      </w:r>
      <w:r w:rsidRPr="00BF4D7B">
        <w:rPr>
          <w:rStyle w:val="a4"/>
          <w:rFonts w:eastAsiaTheme="majorEastAsia"/>
          <w:noProof/>
          <w:color w:val="auto"/>
          <w:u w:val="none"/>
          <w:lang w:eastAsia="en-US"/>
        </w:rPr>
        <w:tab/>
        <w:t xml:space="preserve">магистрантов – 515 чел. (из них: 483 чел.- студенты </w:t>
      </w:r>
      <w:r>
        <w:rPr>
          <w:rStyle w:val="a4"/>
          <w:rFonts w:eastAsiaTheme="majorEastAsia"/>
          <w:noProof/>
          <w:color w:val="auto"/>
          <w:u w:val="none"/>
          <w:lang w:eastAsia="en-US"/>
        </w:rPr>
        <w:t xml:space="preserve">института образования - </w:t>
      </w:r>
      <w:r w:rsidRPr="00BF4D7B">
        <w:rPr>
          <w:rStyle w:val="a4"/>
          <w:rFonts w:eastAsiaTheme="majorEastAsia"/>
          <w:noProof/>
          <w:color w:val="auto"/>
          <w:u w:val="none"/>
          <w:lang w:eastAsia="en-US"/>
        </w:rPr>
        <w:t>ИО, 23 чел.- В</w:t>
      </w:r>
      <w:r>
        <w:rPr>
          <w:rStyle w:val="a4"/>
          <w:rFonts w:eastAsiaTheme="majorEastAsia"/>
          <w:noProof/>
          <w:color w:val="auto"/>
          <w:u w:val="none"/>
          <w:lang w:eastAsia="en-US"/>
        </w:rPr>
        <w:t xml:space="preserve">ысшая </w:t>
      </w:r>
      <w:r w:rsidRPr="00BF4D7B">
        <w:rPr>
          <w:rStyle w:val="a4"/>
          <w:rFonts w:eastAsiaTheme="majorEastAsia"/>
          <w:noProof/>
          <w:color w:val="auto"/>
          <w:u w:val="none"/>
          <w:lang w:eastAsia="en-US"/>
        </w:rPr>
        <w:t>Ш</w:t>
      </w:r>
      <w:r>
        <w:rPr>
          <w:rStyle w:val="a4"/>
          <w:rFonts w:eastAsiaTheme="majorEastAsia"/>
          <w:noProof/>
          <w:color w:val="auto"/>
          <w:u w:val="none"/>
          <w:lang w:eastAsia="en-US"/>
        </w:rPr>
        <w:t xml:space="preserve">кола </w:t>
      </w:r>
      <w:r w:rsidRPr="00BF4D7B">
        <w:rPr>
          <w:rStyle w:val="a4"/>
          <w:rFonts w:eastAsiaTheme="majorEastAsia"/>
          <w:noProof/>
          <w:color w:val="auto"/>
          <w:u w:val="none"/>
          <w:lang w:eastAsia="en-US"/>
        </w:rPr>
        <w:t>У</w:t>
      </w:r>
      <w:r>
        <w:rPr>
          <w:rStyle w:val="a4"/>
          <w:rFonts w:eastAsiaTheme="majorEastAsia"/>
          <w:noProof/>
          <w:color w:val="auto"/>
          <w:u w:val="none"/>
          <w:lang w:eastAsia="en-US"/>
        </w:rPr>
        <w:t>рбанистики</w:t>
      </w:r>
      <w:r w:rsidRPr="00BF4D7B">
        <w:rPr>
          <w:rStyle w:val="a4"/>
          <w:rFonts w:eastAsiaTheme="majorEastAsia"/>
          <w:noProof/>
          <w:color w:val="auto"/>
          <w:u w:val="none"/>
          <w:lang w:eastAsia="en-US"/>
        </w:rPr>
        <w:t xml:space="preserve"> и 9 чел. -</w:t>
      </w:r>
      <w:r>
        <w:rPr>
          <w:rStyle w:val="a4"/>
          <w:rFonts w:eastAsiaTheme="majorEastAsia"/>
          <w:noProof/>
          <w:color w:val="auto"/>
          <w:u w:val="none"/>
          <w:lang w:eastAsia="en-US"/>
        </w:rPr>
        <w:t xml:space="preserve"> </w:t>
      </w:r>
      <w:r w:rsidRPr="00BF4D7B">
        <w:rPr>
          <w:rStyle w:val="a4"/>
          <w:rFonts w:eastAsiaTheme="majorEastAsia"/>
          <w:noProof/>
          <w:color w:val="auto"/>
          <w:u w:val="none"/>
          <w:lang w:eastAsia="en-US"/>
        </w:rPr>
        <w:t>Институт менеджмента инноваций), из них коммерческих – 58 чел.</w:t>
      </w:r>
      <w:proofErr w:type="gramEnd"/>
    </w:p>
    <w:p w:rsidR="00BF4D7B" w:rsidRPr="00BF4D7B" w:rsidRDefault="00BF4D7B" w:rsidP="00FD63E0">
      <w:pPr>
        <w:jc w:val="both"/>
        <w:rPr>
          <w:rStyle w:val="a4"/>
          <w:rFonts w:eastAsiaTheme="majorEastAsia"/>
          <w:noProof/>
          <w:color w:val="auto"/>
          <w:u w:val="none"/>
          <w:lang w:eastAsia="en-US"/>
        </w:rPr>
      </w:pPr>
      <w:r w:rsidRPr="00BF4D7B">
        <w:rPr>
          <w:rStyle w:val="a4"/>
          <w:rFonts w:eastAsiaTheme="majorEastAsia"/>
          <w:noProof/>
          <w:color w:val="auto"/>
          <w:u w:val="none"/>
          <w:lang w:eastAsia="en-US"/>
        </w:rPr>
        <w:t>-</w:t>
      </w:r>
      <w:r w:rsidRPr="00BF4D7B">
        <w:rPr>
          <w:rStyle w:val="a4"/>
          <w:rFonts w:eastAsiaTheme="majorEastAsia"/>
          <w:noProof/>
          <w:color w:val="auto"/>
          <w:u w:val="none"/>
          <w:lang w:eastAsia="en-US"/>
        </w:rPr>
        <w:tab/>
        <w:t>бакалавров – 102 чел. (все студенты МИЭМ), из них коммерческих – 84 чел.</w:t>
      </w:r>
    </w:p>
    <w:p w:rsidR="00BF4D7B" w:rsidRPr="00BF4D7B" w:rsidRDefault="00BF4D7B" w:rsidP="00FD63E0">
      <w:pPr>
        <w:jc w:val="both"/>
        <w:rPr>
          <w:rStyle w:val="a4"/>
          <w:rFonts w:eastAsiaTheme="majorEastAsia"/>
          <w:noProof/>
          <w:color w:val="auto"/>
          <w:u w:val="none"/>
          <w:lang w:eastAsia="en-US"/>
        </w:rPr>
      </w:pPr>
      <w:r w:rsidRPr="00BF4D7B">
        <w:rPr>
          <w:rStyle w:val="a4"/>
          <w:rFonts w:eastAsiaTheme="majorEastAsia"/>
          <w:noProof/>
          <w:color w:val="auto"/>
          <w:u w:val="none"/>
          <w:lang w:eastAsia="en-US"/>
        </w:rPr>
        <w:t>-</w:t>
      </w:r>
      <w:r w:rsidRPr="00BF4D7B">
        <w:rPr>
          <w:rStyle w:val="a4"/>
          <w:rFonts w:eastAsiaTheme="majorEastAsia"/>
          <w:noProof/>
          <w:color w:val="auto"/>
          <w:u w:val="none"/>
          <w:lang w:eastAsia="en-US"/>
        </w:rPr>
        <w:tab/>
        <w:t>специалистов – 131 чел. (все студенты МИЭМ), из них коммерческих – 72 чел</w:t>
      </w:r>
    </w:p>
    <w:p w:rsidR="00567B2A" w:rsidRPr="00567B2A" w:rsidRDefault="00567B2A" w:rsidP="00567B2A">
      <w:pPr>
        <w:spacing w:line="360" w:lineRule="auto"/>
        <w:jc w:val="both"/>
        <w:rPr>
          <w:rStyle w:val="a4"/>
          <w:rFonts w:eastAsiaTheme="majorEastAsia"/>
          <w:bCs/>
          <w:noProof/>
          <w:color w:val="auto"/>
          <w:u w:val="none"/>
        </w:rPr>
      </w:pPr>
      <w:r w:rsidRPr="00567B2A">
        <w:rPr>
          <w:rStyle w:val="a4"/>
          <w:rFonts w:eastAsiaTheme="majorEastAsia"/>
          <w:noProof/>
          <w:color w:val="auto"/>
          <w:u w:val="none"/>
        </w:rPr>
        <w:t>Москва (заочная форма обучения), без учета ДПО – 7 чел. (бакалавры МИЭМ), все коммерческие.</w:t>
      </w:r>
    </w:p>
    <w:p w:rsidR="00567B2A" w:rsidRPr="00567B2A" w:rsidRDefault="00567B2A" w:rsidP="00567B2A">
      <w:pPr>
        <w:spacing w:line="360" w:lineRule="auto"/>
        <w:jc w:val="both"/>
        <w:rPr>
          <w:rStyle w:val="a4"/>
          <w:rFonts w:eastAsiaTheme="majorEastAsia"/>
          <w:bCs/>
          <w:noProof/>
          <w:color w:val="auto"/>
          <w:u w:val="none"/>
        </w:rPr>
      </w:pPr>
      <w:r w:rsidRPr="00567B2A">
        <w:rPr>
          <w:rStyle w:val="a4"/>
          <w:rFonts w:eastAsiaTheme="majorEastAsia"/>
          <w:noProof/>
          <w:color w:val="auto"/>
          <w:u w:val="none"/>
        </w:rPr>
        <w:t>Нижний Новгород (очно-заочная форма обучения), без учета ДПО – 26 чел. (магистранты ИО), все бюджетные.</w:t>
      </w:r>
    </w:p>
    <w:p w:rsidR="00567B2A" w:rsidRPr="00567B2A" w:rsidRDefault="00567B2A" w:rsidP="00567B2A">
      <w:pPr>
        <w:spacing w:line="360" w:lineRule="auto"/>
        <w:jc w:val="both"/>
        <w:rPr>
          <w:rStyle w:val="a4"/>
          <w:rFonts w:eastAsiaTheme="majorEastAsia"/>
          <w:bCs/>
          <w:noProof/>
          <w:color w:val="auto"/>
          <w:u w:val="none"/>
        </w:rPr>
      </w:pPr>
      <w:r w:rsidRPr="00567B2A">
        <w:rPr>
          <w:rStyle w:val="a4"/>
          <w:rFonts w:eastAsiaTheme="majorEastAsia"/>
          <w:noProof/>
          <w:color w:val="auto"/>
          <w:u w:val="none"/>
        </w:rPr>
        <w:t>Санкт-Петербург (очно-заочная форма обучения), без учета ДПО – 66 чел. (магистры ИО), из них коммерческих – 1.</w:t>
      </w:r>
    </w:p>
    <w:p w:rsidR="00567B2A" w:rsidRPr="00567B2A" w:rsidRDefault="00567B2A" w:rsidP="00567B2A">
      <w:pPr>
        <w:spacing w:line="360" w:lineRule="auto"/>
        <w:jc w:val="both"/>
        <w:rPr>
          <w:rStyle w:val="a4"/>
          <w:rFonts w:eastAsiaTheme="majorEastAsia"/>
          <w:bCs/>
          <w:noProof/>
          <w:color w:val="auto"/>
          <w:u w:val="none"/>
        </w:rPr>
      </w:pPr>
      <w:r w:rsidRPr="00567B2A">
        <w:rPr>
          <w:rStyle w:val="a4"/>
          <w:rFonts w:eastAsiaTheme="majorEastAsia"/>
          <w:noProof/>
          <w:color w:val="auto"/>
          <w:u w:val="none"/>
        </w:rPr>
        <w:t>Пермь – обучение по очно-заочной форме реализуется только в структурах ДПО.</w:t>
      </w:r>
    </w:p>
    <w:p w:rsidR="00567B2A" w:rsidRPr="001C5132" w:rsidRDefault="00567B2A" w:rsidP="001C5132">
      <w:pPr>
        <w:spacing w:after="200" w:line="276" w:lineRule="auto"/>
        <w:jc w:val="both"/>
      </w:pPr>
      <w:r w:rsidRPr="00B84338">
        <w:t xml:space="preserve">Представленные далее </w:t>
      </w:r>
      <w:r w:rsidRPr="003007EC">
        <w:rPr>
          <w:szCs w:val="26"/>
          <w:lang w:eastAsia="en-US"/>
        </w:rPr>
        <w:t>диаграммы</w:t>
      </w:r>
      <w:r w:rsidRPr="00B84338">
        <w:t xml:space="preserve"> </w:t>
      </w:r>
      <w:r w:rsidR="001C5132">
        <w:t>3.</w:t>
      </w:r>
      <w:r w:rsidR="00E35E02">
        <w:t>4</w:t>
      </w:r>
      <w:r>
        <w:t xml:space="preserve">.1 </w:t>
      </w:r>
      <w:r w:rsidRPr="00B84338">
        <w:t xml:space="preserve">и </w:t>
      </w:r>
      <w:r>
        <w:t>3</w:t>
      </w:r>
      <w:r w:rsidR="001C5132">
        <w:t>.</w:t>
      </w:r>
      <w:r w:rsidR="00E35E02">
        <w:t>4</w:t>
      </w:r>
      <w:r w:rsidRPr="00B84338">
        <w:t xml:space="preserve">.2 демонстрируют общую картину динамики численности контингента студентов НИУ ВШЭ. </w:t>
      </w:r>
      <w:r w:rsidRPr="00791806">
        <w:t>Данные по контингенту студентов, обучающихся по очно-заочной форме обучения, приведены без учета студентов, получающих второе высшее образование.</w:t>
      </w:r>
      <w:r>
        <w:t xml:space="preserve"> </w:t>
      </w:r>
    </w:p>
    <w:p w:rsidR="00B1611E" w:rsidRDefault="00B1611E" w:rsidP="00567B2A">
      <w:pPr>
        <w:rPr>
          <w:b/>
        </w:rPr>
      </w:pPr>
    </w:p>
    <w:p w:rsidR="00B1611E" w:rsidRDefault="00B1611E" w:rsidP="00567B2A">
      <w:pPr>
        <w:rPr>
          <w:b/>
        </w:rPr>
      </w:pPr>
    </w:p>
    <w:p w:rsidR="00B1611E" w:rsidRDefault="00B1611E" w:rsidP="00567B2A">
      <w:pPr>
        <w:rPr>
          <w:b/>
        </w:rPr>
      </w:pPr>
    </w:p>
    <w:p w:rsidR="00B1611E" w:rsidRDefault="00B1611E" w:rsidP="00567B2A">
      <w:pPr>
        <w:rPr>
          <w:b/>
        </w:rPr>
      </w:pPr>
    </w:p>
    <w:p w:rsidR="00B1611E" w:rsidRDefault="00B1611E" w:rsidP="00567B2A">
      <w:pPr>
        <w:rPr>
          <w:b/>
        </w:rPr>
      </w:pPr>
    </w:p>
    <w:p w:rsidR="00B1611E" w:rsidRDefault="00B1611E" w:rsidP="00567B2A">
      <w:pPr>
        <w:rPr>
          <w:b/>
        </w:rPr>
      </w:pPr>
    </w:p>
    <w:p w:rsidR="00B1611E" w:rsidRDefault="00B1611E" w:rsidP="00567B2A">
      <w:pPr>
        <w:rPr>
          <w:b/>
        </w:rPr>
      </w:pPr>
    </w:p>
    <w:p w:rsidR="00072DE6" w:rsidRDefault="00072DE6" w:rsidP="00567B2A">
      <w:pPr>
        <w:rPr>
          <w:b/>
        </w:rPr>
      </w:pPr>
    </w:p>
    <w:p w:rsidR="00072DE6" w:rsidRDefault="00072DE6" w:rsidP="00567B2A">
      <w:pPr>
        <w:rPr>
          <w:b/>
        </w:rPr>
      </w:pPr>
    </w:p>
    <w:p w:rsidR="00567B2A" w:rsidRPr="00DA344E" w:rsidRDefault="00567B2A" w:rsidP="00567B2A">
      <w:pPr>
        <w:rPr>
          <w:b/>
        </w:rPr>
      </w:pPr>
      <w:r w:rsidRPr="004F4F46">
        <w:rPr>
          <w:b/>
        </w:rPr>
        <w:lastRenderedPageBreak/>
        <w:t xml:space="preserve">Диаграмма </w:t>
      </w:r>
      <w:r>
        <w:rPr>
          <w:b/>
        </w:rPr>
        <w:t>3</w:t>
      </w:r>
      <w:r w:rsidR="001C5132">
        <w:rPr>
          <w:b/>
        </w:rPr>
        <w:t>.</w:t>
      </w:r>
      <w:r w:rsidR="00E35E02">
        <w:rPr>
          <w:b/>
        </w:rPr>
        <w:t>4</w:t>
      </w:r>
      <w:r w:rsidRPr="004F4F46">
        <w:rPr>
          <w:b/>
        </w:rPr>
        <w:t>.1</w:t>
      </w:r>
    </w:p>
    <w:p w:rsidR="00567B2A" w:rsidRPr="004F4F46" w:rsidRDefault="00567B2A" w:rsidP="00567B2A">
      <w:pPr>
        <w:jc w:val="center"/>
      </w:pPr>
      <w:r w:rsidRPr="00092ABD">
        <w:rPr>
          <w:noProof/>
        </w:rPr>
        <w:t xml:space="preserve"> </w:t>
      </w:r>
      <w:r w:rsidRPr="00C77185">
        <w:rPr>
          <w:noProof/>
        </w:rPr>
        <w:drawing>
          <wp:inline distT="0" distB="0" distL="0" distR="0">
            <wp:extent cx="5542915" cy="6549390"/>
            <wp:effectExtent l="0" t="0" r="0" b="38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67B2A" w:rsidRPr="004F4F46" w:rsidRDefault="00567B2A" w:rsidP="00567B2A"/>
    <w:p w:rsidR="00BF4D7B" w:rsidRPr="00D3194D" w:rsidRDefault="00BF4D7B" w:rsidP="00BB4E43">
      <w:pPr>
        <w:spacing w:after="200"/>
        <w:jc w:val="both"/>
      </w:pPr>
      <w:r w:rsidRPr="00D3194D">
        <w:t>Как видно из диаграммы, общая численность контингента студентов НИУ ВШЭ (очной формы обучения) за 5 лет увеличилась на 8400 (35,3%):</w:t>
      </w:r>
    </w:p>
    <w:p w:rsidR="00BF4D7B" w:rsidRPr="00D3194D" w:rsidRDefault="00BF4D7B" w:rsidP="00F27C45">
      <w:pPr>
        <w:pStyle w:val="a5"/>
        <w:numPr>
          <w:ilvl w:val="0"/>
          <w:numId w:val="5"/>
        </w:numPr>
        <w:spacing w:line="240" w:lineRule="auto"/>
        <w:rPr>
          <w:sz w:val="24"/>
          <w:szCs w:val="24"/>
          <w:lang w:eastAsia="ru-RU"/>
        </w:rPr>
      </w:pPr>
      <w:r w:rsidRPr="00D3194D">
        <w:rPr>
          <w:sz w:val="24"/>
          <w:szCs w:val="24"/>
          <w:lang w:eastAsia="ru-RU"/>
        </w:rPr>
        <w:t>количество магистров увеличилось на 2785 (48,9%);</w:t>
      </w:r>
    </w:p>
    <w:p w:rsidR="00BF4D7B" w:rsidRPr="00D3194D" w:rsidRDefault="00BF4D7B" w:rsidP="00F27C45">
      <w:pPr>
        <w:pStyle w:val="a5"/>
        <w:numPr>
          <w:ilvl w:val="0"/>
          <w:numId w:val="5"/>
        </w:numPr>
        <w:spacing w:line="240" w:lineRule="auto"/>
        <w:rPr>
          <w:sz w:val="24"/>
          <w:szCs w:val="24"/>
          <w:lang w:eastAsia="ru-RU"/>
        </w:rPr>
      </w:pPr>
      <w:r w:rsidRPr="00D3194D">
        <w:rPr>
          <w:sz w:val="24"/>
          <w:szCs w:val="24"/>
          <w:lang w:eastAsia="ru-RU"/>
        </w:rPr>
        <w:t>количество бакалавров увеличилось на 8197 (50,6%);</w:t>
      </w:r>
    </w:p>
    <w:p w:rsidR="00BF4D7B" w:rsidRPr="00D3194D" w:rsidRDefault="00BF4D7B" w:rsidP="00F27C45">
      <w:pPr>
        <w:pStyle w:val="a5"/>
        <w:numPr>
          <w:ilvl w:val="0"/>
          <w:numId w:val="5"/>
        </w:numPr>
        <w:spacing w:line="240" w:lineRule="auto"/>
        <w:rPr>
          <w:sz w:val="24"/>
          <w:szCs w:val="24"/>
          <w:lang w:eastAsia="ru-RU"/>
        </w:rPr>
      </w:pPr>
      <w:r w:rsidRPr="00D3194D">
        <w:rPr>
          <w:sz w:val="24"/>
          <w:szCs w:val="24"/>
          <w:lang w:eastAsia="ru-RU"/>
        </w:rPr>
        <w:t>количество специалистов  уменьшилось на 2582 (</w:t>
      </w:r>
      <w:r>
        <w:rPr>
          <w:sz w:val="24"/>
          <w:szCs w:val="24"/>
          <w:lang w:eastAsia="ru-RU"/>
        </w:rPr>
        <w:t xml:space="preserve">- </w:t>
      </w:r>
      <w:r w:rsidRPr="00D3194D">
        <w:rPr>
          <w:sz w:val="24"/>
          <w:szCs w:val="24"/>
          <w:lang w:eastAsia="ru-RU"/>
        </w:rPr>
        <w:t>63,8%).</w:t>
      </w:r>
    </w:p>
    <w:p w:rsidR="004257DE" w:rsidRPr="00FD63E0" w:rsidRDefault="00BF4D7B" w:rsidP="00FD63E0">
      <w:pPr>
        <w:jc w:val="both"/>
      </w:pPr>
      <w:r w:rsidRPr="00125D5B">
        <w:t>За четыре года численность студентов магистратуры (очно-заочной формы обучения) выросла на 556 чел. (91,6%).</w:t>
      </w:r>
    </w:p>
    <w:p w:rsidR="00472DB1" w:rsidRDefault="00472DB1" w:rsidP="00567B2A">
      <w:pPr>
        <w:rPr>
          <w:b/>
        </w:rPr>
      </w:pPr>
    </w:p>
    <w:p w:rsidR="00472DB1" w:rsidRDefault="00472DB1" w:rsidP="00567B2A">
      <w:pPr>
        <w:rPr>
          <w:b/>
        </w:rPr>
      </w:pPr>
    </w:p>
    <w:p w:rsidR="00472DB1" w:rsidRDefault="00472DB1" w:rsidP="00567B2A">
      <w:pPr>
        <w:rPr>
          <w:b/>
        </w:rPr>
      </w:pPr>
    </w:p>
    <w:p w:rsidR="00472DB1" w:rsidRDefault="00472DB1" w:rsidP="00567B2A">
      <w:pPr>
        <w:rPr>
          <w:b/>
        </w:rPr>
      </w:pPr>
    </w:p>
    <w:p w:rsidR="00567B2A" w:rsidRPr="004F4F46" w:rsidRDefault="00567B2A" w:rsidP="00567B2A">
      <w:pPr>
        <w:rPr>
          <w:b/>
        </w:rPr>
      </w:pPr>
      <w:r w:rsidRPr="004F4F46">
        <w:rPr>
          <w:b/>
        </w:rPr>
        <w:lastRenderedPageBreak/>
        <w:t xml:space="preserve">Диаграмма </w:t>
      </w:r>
      <w:r>
        <w:rPr>
          <w:b/>
        </w:rPr>
        <w:t>3</w:t>
      </w:r>
      <w:r w:rsidR="001C5132">
        <w:rPr>
          <w:b/>
        </w:rPr>
        <w:t>.</w:t>
      </w:r>
      <w:r w:rsidR="00E35E02">
        <w:rPr>
          <w:b/>
        </w:rPr>
        <w:t>4</w:t>
      </w:r>
      <w:r w:rsidRPr="004F4F46">
        <w:rPr>
          <w:b/>
        </w:rPr>
        <w:t>.2</w:t>
      </w:r>
    </w:p>
    <w:p w:rsidR="00567B2A" w:rsidRDefault="00567B2A" w:rsidP="004257DE">
      <w:pPr>
        <w:jc w:val="center"/>
      </w:pPr>
      <w:r w:rsidRPr="00C77185">
        <w:rPr>
          <w:noProof/>
        </w:rPr>
        <w:drawing>
          <wp:inline distT="0" distB="0" distL="0" distR="0">
            <wp:extent cx="5828665" cy="3577590"/>
            <wp:effectExtent l="0" t="0" r="0" b="38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F4D7B" w:rsidRPr="003120BC" w:rsidRDefault="00BF4D7B" w:rsidP="00C82AA5">
      <w:pPr>
        <w:spacing w:after="200"/>
        <w:jc w:val="both"/>
        <w:rPr>
          <w:lang w:eastAsia="en-US"/>
        </w:rPr>
      </w:pPr>
      <w:r w:rsidRPr="003120BC">
        <w:rPr>
          <w:lang w:eastAsia="en-US"/>
        </w:rPr>
        <w:t>Соотношение бакалавров и магистрантов по кампусам НИУ ВШЭ следующее:</w:t>
      </w:r>
      <w:r w:rsidR="00C82AA5">
        <w:rPr>
          <w:lang w:eastAsia="en-US"/>
        </w:rPr>
        <w:t xml:space="preserve"> </w:t>
      </w:r>
      <w:r w:rsidRPr="003120BC">
        <w:t>Москва -3,3:1;</w:t>
      </w:r>
      <w:r w:rsidR="00C82AA5">
        <w:t xml:space="preserve"> </w:t>
      </w:r>
      <w:r w:rsidRPr="003120BC">
        <w:t>С-Петербург – 6:1;</w:t>
      </w:r>
      <w:r w:rsidR="00C82AA5">
        <w:t xml:space="preserve"> </w:t>
      </w:r>
      <w:r w:rsidRPr="003120BC">
        <w:t>Нижний Новгород – 4:1;</w:t>
      </w:r>
      <w:r w:rsidR="00C82AA5">
        <w:t xml:space="preserve"> </w:t>
      </w:r>
      <w:r w:rsidRPr="003120BC">
        <w:t>Пермь – 6</w:t>
      </w:r>
      <w:r>
        <w:t>:1</w:t>
      </w:r>
    </w:p>
    <w:p w:rsidR="00BB4E43" w:rsidRDefault="00567B2A" w:rsidP="00BB4E43">
      <w:pPr>
        <w:spacing w:after="200" w:line="276" w:lineRule="auto"/>
        <w:jc w:val="both"/>
      </w:pPr>
      <w:r w:rsidRPr="001C5132">
        <w:t xml:space="preserve">На диаграммах далее представлено соотношение (в %) структуры контингента студентов НИУ ВШЭ (по уровням образования) в </w:t>
      </w:r>
      <w:r w:rsidR="001C5132">
        <w:t>динамике за 5 лет (Диаграмма 3.</w:t>
      </w:r>
      <w:r w:rsidR="00E35E02">
        <w:t>4</w:t>
      </w:r>
      <w:r w:rsidRPr="001C5132">
        <w:t>.3 показывает соотношение  «Москва и Моск</w:t>
      </w:r>
      <w:r w:rsidR="001C5132">
        <w:t>ва с филиалами»,   Диаграмма 3.</w:t>
      </w:r>
      <w:r w:rsidR="00E35E02">
        <w:t>4</w:t>
      </w:r>
      <w:r w:rsidRPr="001C5132">
        <w:t xml:space="preserve">.4 –«Москва и филиалы») </w:t>
      </w:r>
    </w:p>
    <w:p w:rsidR="00567B2A" w:rsidRPr="004F4F46" w:rsidRDefault="00567B2A" w:rsidP="00B46BE4">
      <w:pPr>
        <w:spacing w:after="200" w:line="276" w:lineRule="auto"/>
        <w:jc w:val="both"/>
      </w:pPr>
      <w:r w:rsidRPr="004F4F46">
        <w:rPr>
          <w:b/>
        </w:rPr>
        <w:t xml:space="preserve">Диаграмма </w:t>
      </w:r>
      <w:r>
        <w:rPr>
          <w:b/>
        </w:rPr>
        <w:t>3</w:t>
      </w:r>
      <w:r w:rsidR="001C5132">
        <w:rPr>
          <w:b/>
        </w:rPr>
        <w:t>.</w:t>
      </w:r>
      <w:r w:rsidR="00E35E02">
        <w:rPr>
          <w:b/>
        </w:rPr>
        <w:t>4</w:t>
      </w:r>
      <w:r w:rsidRPr="004F4F46">
        <w:rPr>
          <w:b/>
        </w:rPr>
        <w:t>.3</w:t>
      </w:r>
    </w:p>
    <w:p w:rsidR="00BB4E43" w:rsidRDefault="00FD63E0" w:rsidP="00567B2A">
      <w:pPr>
        <w:rPr>
          <w:b/>
        </w:rPr>
      </w:pPr>
      <w:r w:rsidRPr="00C77185">
        <w:rPr>
          <w:noProof/>
        </w:rPr>
        <w:drawing>
          <wp:inline distT="0" distB="0" distL="0" distR="0">
            <wp:extent cx="5371580" cy="3443894"/>
            <wp:effectExtent l="0" t="0" r="0" b="1079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82AA5" w:rsidRDefault="00C82AA5" w:rsidP="00567B2A">
      <w:pPr>
        <w:rPr>
          <w:b/>
        </w:rPr>
      </w:pPr>
    </w:p>
    <w:p w:rsidR="001602DC" w:rsidRDefault="001602DC" w:rsidP="00567B2A">
      <w:pPr>
        <w:rPr>
          <w:b/>
        </w:rPr>
      </w:pPr>
    </w:p>
    <w:p w:rsidR="00567B2A" w:rsidRPr="00BB4E43" w:rsidRDefault="00567B2A" w:rsidP="00567B2A">
      <w:pPr>
        <w:rPr>
          <w:b/>
        </w:rPr>
      </w:pPr>
      <w:r w:rsidRPr="004F4F46">
        <w:rPr>
          <w:b/>
        </w:rPr>
        <w:lastRenderedPageBreak/>
        <w:t xml:space="preserve">Диаграмма </w:t>
      </w:r>
      <w:r>
        <w:rPr>
          <w:b/>
        </w:rPr>
        <w:t>3</w:t>
      </w:r>
      <w:r w:rsidR="001C5132">
        <w:rPr>
          <w:b/>
        </w:rPr>
        <w:t>.</w:t>
      </w:r>
      <w:r w:rsidR="00E35E02">
        <w:rPr>
          <w:b/>
        </w:rPr>
        <w:t>4</w:t>
      </w:r>
      <w:r w:rsidRPr="004F4F46">
        <w:rPr>
          <w:b/>
        </w:rPr>
        <w:t>.4</w:t>
      </w:r>
    </w:p>
    <w:p w:rsidR="00567B2A" w:rsidRPr="006456AC" w:rsidRDefault="00567B2A" w:rsidP="006456AC">
      <w:pPr>
        <w:jc w:val="center"/>
      </w:pPr>
      <w:r w:rsidRPr="00C77185">
        <w:rPr>
          <w:noProof/>
        </w:rPr>
        <w:drawing>
          <wp:inline distT="0" distB="0" distL="0" distR="0" wp14:anchorId="7E852340" wp14:editId="54A6587E">
            <wp:extent cx="5780014" cy="5285064"/>
            <wp:effectExtent l="0" t="0" r="11430" b="1143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F4D7B" w:rsidRPr="00F1090A" w:rsidRDefault="00BF4D7B" w:rsidP="00BF4D7B">
      <w:pPr>
        <w:spacing w:after="200" w:line="276" w:lineRule="auto"/>
        <w:jc w:val="both"/>
      </w:pPr>
      <w:r w:rsidRPr="00F1090A">
        <w:t>В Москве</w:t>
      </w:r>
      <w:r>
        <w:t xml:space="preserve"> и Санкт-Петербурге</w:t>
      </w:r>
      <w:r w:rsidRPr="00F1090A">
        <w:t>, в 2013/2014 учебном году, произошло изменение соотношения студентов по уровням образования. При неизменном, по сравнению с прошлым годом, проценте магистров,  увеличилась доля бакалавров на 7%</w:t>
      </w:r>
      <w:r>
        <w:t xml:space="preserve"> и 5% соответственно</w:t>
      </w:r>
      <w:r w:rsidRPr="00F1090A">
        <w:t xml:space="preserve">  (за счет большого набора в текущем году). </w:t>
      </w:r>
    </w:p>
    <w:p w:rsidR="00BF4D7B" w:rsidRPr="00F1090A" w:rsidRDefault="00BF4D7B" w:rsidP="00BF4D7B">
      <w:pPr>
        <w:spacing w:after="200" w:line="276" w:lineRule="auto"/>
        <w:jc w:val="both"/>
      </w:pPr>
      <w:r w:rsidRPr="00F1090A">
        <w:t>В Перми  на протяжении последних 4-х лет незначительно уменьшается число магистров.</w:t>
      </w:r>
    </w:p>
    <w:p w:rsidR="00567B2A" w:rsidRPr="00B85465" w:rsidRDefault="00BF4D7B" w:rsidP="00567B2A">
      <w:pPr>
        <w:spacing w:after="200" w:line="276" w:lineRule="auto"/>
        <w:jc w:val="both"/>
      </w:pPr>
      <w:r w:rsidRPr="00DC323F">
        <w:t xml:space="preserve">В Нижнем Новгороде на протяжение 5-ти стабильно растет контингент бакалавров и магистров. </w:t>
      </w:r>
    </w:p>
    <w:p w:rsidR="00567B2A" w:rsidRPr="00B85465" w:rsidRDefault="00567B2A" w:rsidP="00567B2A">
      <w:pPr>
        <w:spacing w:after="200" w:line="276" w:lineRule="auto"/>
        <w:jc w:val="both"/>
      </w:pPr>
      <w:r w:rsidRPr="00B85465">
        <w:t>Ниже приведена динамика численности студентов НИУ ВШЭ по признаку "бюджет - коммерция"  за последние пять лет по Москве и Москве и филиалам (Диаграмма 3.</w:t>
      </w:r>
      <w:r w:rsidR="00E35E02">
        <w:t>4</w:t>
      </w:r>
      <w:r w:rsidRPr="00B85465">
        <w:t xml:space="preserve">.5) и динамика численности студентов НИУ ВШЭ по признаку "бюджет - коммерция" по Москве и отдельно по </w:t>
      </w:r>
      <w:r w:rsidR="00B85465">
        <w:t>каждому филиалу (Диаграмма 3.</w:t>
      </w:r>
      <w:r w:rsidR="00E35E02">
        <w:t>4</w:t>
      </w:r>
      <w:r w:rsidRPr="00B85465">
        <w:t>.6).</w:t>
      </w:r>
    </w:p>
    <w:p w:rsidR="00A70FEF" w:rsidRDefault="00A70FEF" w:rsidP="004257DE">
      <w:pPr>
        <w:rPr>
          <w:b/>
        </w:rPr>
      </w:pPr>
    </w:p>
    <w:p w:rsidR="00A70FEF" w:rsidRDefault="00A70FEF" w:rsidP="004257DE">
      <w:pPr>
        <w:rPr>
          <w:b/>
        </w:rPr>
      </w:pPr>
    </w:p>
    <w:p w:rsidR="00A70FEF" w:rsidRDefault="00A70FEF" w:rsidP="004257DE">
      <w:pPr>
        <w:rPr>
          <w:b/>
        </w:rPr>
      </w:pPr>
    </w:p>
    <w:p w:rsidR="00A70FEF" w:rsidRDefault="00A70FEF" w:rsidP="004257DE">
      <w:pPr>
        <w:rPr>
          <w:b/>
        </w:rPr>
      </w:pPr>
    </w:p>
    <w:p w:rsidR="00567B2A" w:rsidRPr="00072DE6" w:rsidRDefault="00567B2A" w:rsidP="004257DE">
      <w:pPr>
        <w:rPr>
          <w:b/>
        </w:rPr>
      </w:pPr>
      <w:r w:rsidRPr="004F4F46">
        <w:rPr>
          <w:b/>
        </w:rPr>
        <w:lastRenderedPageBreak/>
        <w:t xml:space="preserve">Диаграмма </w:t>
      </w:r>
      <w:r>
        <w:rPr>
          <w:b/>
        </w:rPr>
        <w:t>3</w:t>
      </w:r>
      <w:r w:rsidR="00B85465">
        <w:rPr>
          <w:b/>
        </w:rPr>
        <w:t>.</w:t>
      </w:r>
      <w:r w:rsidR="00E35E02">
        <w:rPr>
          <w:b/>
        </w:rPr>
        <w:t>4</w:t>
      </w:r>
      <w:r w:rsidR="00072DE6">
        <w:rPr>
          <w:b/>
        </w:rPr>
        <w:t>.5</w:t>
      </w:r>
    </w:p>
    <w:p w:rsidR="00567B2A" w:rsidRPr="00A74D09" w:rsidRDefault="00BB4E43" w:rsidP="00567B2A">
      <w:pPr>
        <w:rPr>
          <w:lang w:val="en-US"/>
        </w:rPr>
      </w:pPr>
      <w:r w:rsidRPr="00C77185">
        <w:rPr>
          <w:noProof/>
        </w:rPr>
        <w:drawing>
          <wp:inline distT="0" distB="0" distL="0" distR="0">
            <wp:extent cx="5939405" cy="2801923"/>
            <wp:effectExtent l="0" t="0" r="23495" b="17780"/>
            <wp:docPr id="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B4E43" w:rsidRPr="004257DE" w:rsidRDefault="00BF4D7B" w:rsidP="004257DE">
      <w:pPr>
        <w:spacing w:after="200" w:line="276" w:lineRule="auto"/>
        <w:jc w:val="both"/>
      </w:pPr>
      <w:r w:rsidRPr="008C784F">
        <w:t xml:space="preserve">За пять лет соотношение студентов по признаку "бюджет - коммерция" изменилось по Москве (с 1,4:1 в 2009 году до 2:1  в 2013 году) и в целом по НИУ ВШЭ  (соответственно </w:t>
      </w:r>
      <w:proofErr w:type="gramStart"/>
      <w:r w:rsidRPr="008C784F">
        <w:t>с</w:t>
      </w:r>
      <w:proofErr w:type="gramEnd"/>
      <w:r w:rsidRPr="008C784F">
        <w:t xml:space="preserve"> 1,6:1 до 2,5:1).</w:t>
      </w:r>
    </w:p>
    <w:p w:rsidR="00567B2A" w:rsidRPr="004F4F46" w:rsidRDefault="00567B2A" w:rsidP="00567B2A">
      <w:pPr>
        <w:rPr>
          <w:b/>
        </w:rPr>
      </w:pPr>
      <w:r w:rsidRPr="004F4F46">
        <w:rPr>
          <w:b/>
        </w:rPr>
        <w:t xml:space="preserve">Диаграмма </w:t>
      </w:r>
      <w:r>
        <w:rPr>
          <w:b/>
        </w:rPr>
        <w:t>3</w:t>
      </w:r>
      <w:r w:rsidR="00A157E0">
        <w:rPr>
          <w:b/>
        </w:rPr>
        <w:t>.</w:t>
      </w:r>
      <w:r w:rsidR="00E35E02">
        <w:rPr>
          <w:b/>
        </w:rPr>
        <w:t>4</w:t>
      </w:r>
      <w:r w:rsidRPr="004F4F46">
        <w:rPr>
          <w:b/>
        </w:rPr>
        <w:t>.6</w:t>
      </w:r>
    </w:p>
    <w:p w:rsidR="00567B2A" w:rsidRPr="001512A3" w:rsidRDefault="00567B2A" w:rsidP="00567B2A">
      <w:pPr>
        <w:jc w:val="center"/>
        <w:rPr>
          <w:lang w:val="en-US"/>
        </w:rPr>
      </w:pPr>
      <w:r w:rsidRPr="00FB5261">
        <w:rPr>
          <w:noProof/>
        </w:rPr>
        <w:drawing>
          <wp:inline distT="0" distB="0" distL="0" distR="0">
            <wp:extent cx="5234731" cy="2801923"/>
            <wp:effectExtent l="0" t="0" r="23495" b="17780"/>
            <wp:docPr id="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F4D7B" w:rsidRPr="00E20F61" w:rsidRDefault="00BF4D7B" w:rsidP="00BF4D7B">
      <w:pPr>
        <w:spacing w:after="200" w:line="276" w:lineRule="auto"/>
        <w:jc w:val="both"/>
      </w:pPr>
      <w:r w:rsidRPr="00E20F61">
        <w:t xml:space="preserve">Соотношение контингента студентов в филиалах по признаку "бюджет - коммерция" за последние пять лет изменилось: </w:t>
      </w:r>
    </w:p>
    <w:p w:rsidR="00BF4D7B" w:rsidRPr="00E20F61" w:rsidRDefault="00BF4D7B" w:rsidP="00F27C45">
      <w:pPr>
        <w:pStyle w:val="a5"/>
        <w:numPr>
          <w:ilvl w:val="0"/>
          <w:numId w:val="4"/>
        </w:numPr>
        <w:spacing w:line="240" w:lineRule="auto"/>
        <w:jc w:val="both"/>
        <w:rPr>
          <w:sz w:val="24"/>
          <w:szCs w:val="24"/>
        </w:rPr>
      </w:pPr>
      <w:r w:rsidRPr="00E20F61">
        <w:rPr>
          <w:sz w:val="24"/>
          <w:szCs w:val="24"/>
        </w:rPr>
        <w:t xml:space="preserve">Санкт - </w:t>
      </w:r>
      <w:proofErr w:type="gramStart"/>
      <w:r w:rsidRPr="00E20F61">
        <w:rPr>
          <w:sz w:val="24"/>
          <w:szCs w:val="24"/>
        </w:rPr>
        <w:t>Петербурге</w:t>
      </w:r>
      <w:proofErr w:type="gramEnd"/>
      <w:r w:rsidRPr="00E20F61">
        <w:rPr>
          <w:sz w:val="24"/>
          <w:szCs w:val="24"/>
        </w:rPr>
        <w:t xml:space="preserve"> - с 4:1 до 6,1:1;</w:t>
      </w:r>
    </w:p>
    <w:p w:rsidR="00BF4D7B" w:rsidRPr="00E20F61" w:rsidRDefault="00BF4D7B" w:rsidP="00F27C45">
      <w:pPr>
        <w:pStyle w:val="a5"/>
        <w:numPr>
          <w:ilvl w:val="0"/>
          <w:numId w:val="4"/>
        </w:numPr>
        <w:spacing w:line="240" w:lineRule="auto"/>
        <w:jc w:val="both"/>
        <w:rPr>
          <w:sz w:val="24"/>
          <w:szCs w:val="24"/>
        </w:rPr>
      </w:pPr>
      <w:r w:rsidRPr="00E20F61">
        <w:rPr>
          <w:sz w:val="24"/>
          <w:szCs w:val="24"/>
        </w:rPr>
        <w:t>Перми - с 2:1 до 4,6:1;</w:t>
      </w:r>
    </w:p>
    <w:p w:rsidR="00BF4D7B" w:rsidRPr="00E20F61" w:rsidRDefault="00BF4D7B" w:rsidP="00F27C45">
      <w:pPr>
        <w:pStyle w:val="a5"/>
        <w:numPr>
          <w:ilvl w:val="0"/>
          <w:numId w:val="4"/>
        </w:numPr>
        <w:spacing w:line="240" w:lineRule="auto"/>
        <w:jc w:val="both"/>
        <w:rPr>
          <w:sz w:val="24"/>
          <w:szCs w:val="24"/>
        </w:rPr>
      </w:pPr>
      <w:r w:rsidRPr="00E20F61">
        <w:rPr>
          <w:sz w:val="24"/>
          <w:szCs w:val="24"/>
        </w:rPr>
        <w:t xml:space="preserve">Нижнем </w:t>
      </w:r>
      <w:proofErr w:type="gramStart"/>
      <w:r w:rsidRPr="00E20F61">
        <w:rPr>
          <w:sz w:val="24"/>
          <w:szCs w:val="24"/>
        </w:rPr>
        <w:t>Новгороде</w:t>
      </w:r>
      <w:proofErr w:type="gramEnd"/>
      <w:r w:rsidRPr="00E20F61">
        <w:rPr>
          <w:sz w:val="24"/>
          <w:szCs w:val="24"/>
        </w:rPr>
        <w:t xml:space="preserve"> - с 1,6:1 до 3,3:1 </w:t>
      </w:r>
    </w:p>
    <w:p w:rsidR="00BF4D7B" w:rsidRDefault="00BF4D7B" w:rsidP="00BF4D7B">
      <w:pPr>
        <w:spacing w:after="200" w:line="276" w:lineRule="auto"/>
        <w:jc w:val="both"/>
      </w:pPr>
      <w:r w:rsidRPr="00004275">
        <w:t>На протяжении пяти лет наибольшая доля бюджетных студентов обучается в Санкт-Петербургском филиале, наименьшая – в Москве.</w:t>
      </w:r>
    </w:p>
    <w:p w:rsidR="00BF4D7B" w:rsidRPr="00004275" w:rsidRDefault="00BF4D7B" w:rsidP="00BF4D7B">
      <w:pPr>
        <w:spacing w:after="200" w:line="276" w:lineRule="auto"/>
        <w:jc w:val="both"/>
      </w:pPr>
      <w:r w:rsidRPr="00004275">
        <w:t>В Москве и Нижнем Новгороде доля коммерческих студентов за последний год  снизилась на 1%,  в Перми и Санкт-Петербурге - возросла на 3% и 1% соответственно.</w:t>
      </w:r>
    </w:p>
    <w:p w:rsidR="00567B2A" w:rsidRPr="008B10F8" w:rsidRDefault="00567B2A" w:rsidP="00567B2A">
      <w:pPr>
        <w:spacing w:after="200" w:line="276" w:lineRule="auto"/>
        <w:jc w:val="both"/>
      </w:pPr>
      <w:r w:rsidRPr="008B10F8">
        <w:lastRenderedPageBreak/>
        <w:t>Структура контингента студентов Москвы и филиалов по уровням образования и п</w:t>
      </w:r>
      <w:r w:rsidR="008B10F8" w:rsidRPr="008B10F8">
        <w:t>ризнаку бюджет/коммерция за 2012/2013</w:t>
      </w:r>
      <w:r w:rsidRPr="008B10F8">
        <w:t xml:space="preserve"> учебный г</w:t>
      </w:r>
      <w:r w:rsidR="00BF4D7B" w:rsidRPr="008B10F8">
        <w:t>од представлена на диаграмме 3.</w:t>
      </w:r>
      <w:r w:rsidR="00E35E02">
        <w:t>4</w:t>
      </w:r>
      <w:r w:rsidRPr="008B10F8">
        <w:t>.7</w:t>
      </w:r>
    </w:p>
    <w:p w:rsidR="00567B2A" w:rsidRPr="00072DE6" w:rsidRDefault="00567B2A" w:rsidP="00072DE6">
      <w:pPr>
        <w:rPr>
          <w:b/>
        </w:rPr>
      </w:pPr>
      <w:r w:rsidRPr="004F4F46">
        <w:rPr>
          <w:b/>
        </w:rPr>
        <w:t xml:space="preserve">Диаграмма </w:t>
      </w:r>
      <w:r>
        <w:rPr>
          <w:b/>
        </w:rPr>
        <w:t>3</w:t>
      </w:r>
      <w:r w:rsidR="00BF4D7B">
        <w:rPr>
          <w:b/>
        </w:rPr>
        <w:t>.</w:t>
      </w:r>
      <w:r w:rsidR="00E35E02">
        <w:rPr>
          <w:b/>
        </w:rPr>
        <w:t>4</w:t>
      </w:r>
      <w:r w:rsidR="00072DE6">
        <w:rPr>
          <w:b/>
        </w:rPr>
        <w:t>.7</w:t>
      </w:r>
    </w:p>
    <w:p w:rsidR="00567B2A" w:rsidRPr="001602DC" w:rsidRDefault="00567B2A" w:rsidP="001602DC">
      <w:pPr>
        <w:jc w:val="center"/>
      </w:pPr>
      <w:r w:rsidRPr="00FB5261">
        <w:rPr>
          <w:noProof/>
        </w:rPr>
        <w:drawing>
          <wp:inline distT="0" distB="0" distL="0" distR="0">
            <wp:extent cx="5595457" cy="2491530"/>
            <wp:effectExtent l="0" t="0" r="24765" b="23495"/>
            <wp:docPr id="1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B10F8" w:rsidRPr="00373B44" w:rsidRDefault="008B10F8" w:rsidP="008B10F8">
      <w:pPr>
        <w:spacing w:after="200" w:line="276" w:lineRule="auto"/>
        <w:jc w:val="both"/>
      </w:pPr>
      <w:r w:rsidRPr="00373B44">
        <w:t xml:space="preserve">В 2012/2013 учебном году лидером по числу коммерческих студентов - магистрантов и бакалавров - являлась Москва (18% и 38% соответственно), по </w:t>
      </w:r>
      <w:proofErr w:type="spellStart"/>
      <w:r w:rsidRPr="00373B44">
        <w:t>специалитету</w:t>
      </w:r>
      <w:proofErr w:type="spellEnd"/>
      <w:r w:rsidRPr="00373B44">
        <w:t xml:space="preserve"> – Нижний Новгород (43%).</w:t>
      </w:r>
    </w:p>
    <w:p w:rsidR="008B10F8" w:rsidRDefault="008B10F8" w:rsidP="008B10F8">
      <w:pPr>
        <w:spacing w:after="200" w:line="276" w:lineRule="auto"/>
        <w:jc w:val="both"/>
      </w:pPr>
      <w:r w:rsidRPr="00373B44">
        <w:t>Наименьшее число студентов, обучающихся с полным возмещением стоимости обучения, по всем уровням образования, - в</w:t>
      </w:r>
      <w:proofErr w:type="gramStart"/>
      <w:r w:rsidRPr="00373B44">
        <w:t xml:space="preserve"> С</w:t>
      </w:r>
      <w:proofErr w:type="gramEnd"/>
      <w:r w:rsidRPr="00373B44">
        <w:t>анкт - Петербургском филиале (магистранты/бакалавры/специалисты соответственно 3%; 14%; 31%).</w:t>
      </w:r>
    </w:p>
    <w:p w:rsidR="00F4234F" w:rsidRDefault="00F4234F" w:rsidP="00F4234F">
      <w:pPr>
        <w:spacing w:after="200" w:line="276" w:lineRule="auto"/>
        <w:jc w:val="both"/>
      </w:pPr>
      <w:r>
        <w:t xml:space="preserve">В 2012/2013 учебном году было принято 537 студентов для </w:t>
      </w:r>
      <w:proofErr w:type="gramStart"/>
      <w:r>
        <w:t>обучения по</w:t>
      </w:r>
      <w:proofErr w:type="gramEnd"/>
      <w:r>
        <w:t xml:space="preserve"> сокращенным программам </w:t>
      </w:r>
      <w:proofErr w:type="spellStart"/>
      <w:r>
        <w:t>бакалавриата</w:t>
      </w:r>
      <w:proofErr w:type="spellEnd"/>
      <w:r>
        <w:t>, координируемыми Дирекцией дополнительных образовательных программ (ДПО), в том числе:</w:t>
      </w:r>
      <w:r w:rsidR="001602DC">
        <w:t xml:space="preserve"> </w:t>
      </w:r>
      <w:r>
        <w:t>Москва – 164 студента;</w:t>
      </w:r>
      <w:r w:rsidR="001602DC">
        <w:t xml:space="preserve"> </w:t>
      </w:r>
      <w:r>
        <w:t>филиалы НИУ ВШЭ – 373 студента.</w:t>
      </w:r>
    </w:p>
    <w:p w:rsidR="00F4234F" w:rsidRDefault="00F4234F" w:rsidP="00F4234F">
      <w:pPr>
        <w:spacing w:after="200" w:line="276" w:lineRule="auto"/>
        <w:jc w:val="both"/>
      </w:pPr>
      <w:r>
        <w:t xml:space="preserve">Динамика приема студентов для </w:t>
      </w:r>
      <w:proofErr w:type="gramStart"/>
      <w:r>
        <w:t>обучения по программам</w:t>
      </w:r>
      <w:proofErr w:type="gramEnd"/>
      <w:r>
        <w:t xml:space="preserve"> </w:t>
      </w:r>
      <w:proofErr w:type="spellStart"/>
      <w:r>
        <w:t>бакалавриата</w:t>
      </w:r>
      <w:proofErr w:type="spellEnd"/>
      <w:r>
        <w:t xml:space="preserve"> и </w:t>
      </w:r>
      <w:proofErr w:type="spellStart"/>
      <w:r>
        <w:t>специалитета</w:t>
      </w:r>
      <w:proofErr w:type="spellEnd"/>
      <w:r>
        <w:t xml:space="preserve"> представлена на диаграмме </w:t>
      </w:r>
      <w:r w:rsidR="00C1068C">
        <w:t>3.</w:t>
      </w:r>
      <w:r w:rsidR="00E35E02">
        <w:t>4</w:t>
      </w:r>
      <w:r w:rsidR="00C1068C">
        <w:t>.8</w:t>
      </w:r>
    </w:p>
    <w:p w:rsidR="00C1068C" w:rsidRPr="00C1068C" w:rsidRDefault="00C1068C" w:rsidP="00F4234F">
      <w:pPr>
        <w:spacing w:after="200" w:line="276" w:lineRule="auto"/>
        <w:jc w:val="both"/>
        <w:rPr>
          <w:b/>
        </w:rPr>
      </w:pPr>
      <w:r w:rsidRPr="00C1068C">
        <w:rPr>
          <w:b/>
        </w:rPr>
        <w:t>Диаграмма 3.</w:t>
      </w:r>
      <w:r w:rsidR="00E35E02">
        <w:rPr>
          <w:b/>
        </w:rPr>
        <w:t>4</w:t>
      </w:r>
      <w:r w:rsidRPr="00C1068C">
        <w:rPr>
          <w:b/>
        </w:rPr>
        <w:t>.8.</w:t>
      </w:r>
    </w:p>
    <w:p w:rsidR="00F4234F" w:rsidRPr="003E36E8" w:rsidRDefault="00F4234F" w:rsidP="00F4234F">
      <w:pPr>
        <w:jc w:val="both"/>
      </w:pPr>
      <w:r>
        <w:rPr>
          <w:noProof/>
        </w:rPr>
        <w:drawing>
          <wp:inline distT="0" distB="0" distL="0" distR="0">
            <wp:extent cx="5486400" cy="2399251"/>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0276" cy="2405319"/>
                    </a:xfrm>
                    <a:prstGeom prst="rect">
                      <a:avLst/>
                    </a:prstGeom>
                    <a:noFill/>
                    <a:ln>
                      <a:noFill/>
                    </a:ln>
                  </pic:spPr>
                </pic:pic>
              </a:graphicData>
            </a:graphic>
          </wp:inline>
        </w:drawing>
      </w:r>
    </w:p>
    <w:p w:rsidR="00F4234F" w:rsidRDefault="00F4234F" w:rsidP="001602DC"/>
    <w:p w:rsidR="00F4234F" w:rsidRDefault="00F4234F" w:rsidP="00F4234F">
      <w:pPr>
        <w:spacing w:after="200" w:line="276" w:lineRule="auto"/>
        <w:jc w:val="both"/>
      </w:pPr>
      <w:r>
        <w:t>В отчетный период было выпущено 726 специалистов и 36 бакалавров, из них:</w:t>
      </w:r>
      <w:r w:rsidR="001602DC">
        <w:t xml:space="preserve"> </w:t>
      </w:r>
      <w:r>
        <w:t>Москва - 214 специалистов</w:t>
      </w:r>
      <w:r w:rsidR="001602DC">
        <w:t xml:space="preserve">;  </w:t>
      </w:r>
      <w:r>
        <w:t>филиалы НИУ ВШЭ – 512 специалистов, 36 бакалавров</w:t>
      </w:r>
    </w:p>
    <w:p w:rsidR="00F4234F" w:rsidRDefault="00F4234F" w:rsidP="00F4234F">
      <w:pPr>
        <w:spacing w:after="200" w:line="276" w:lineRule="auto"/>
        <w:jc w:val="both"/>
      </w:pPr>
      <w:r w:rsidRPr="00D84224">
        <w:t>На 1 июля 201</w:t>
      </w:r>
      <w:r>
        <w:t>3</w:t>
      </w:r>
      <w:r w:rsidRPr="00D84224">
        <w:t xml:space="preserve"> года</w:t>
      </w:r>
      <w:r>
        <w:t xml:space="preserve"> </w:t>
      </w:r>
      <w:r w:rsidRPr="00D84224">
        <w:t>численность студентов</w:t>
      </w:r>
      <w:r>
        <w:t xml:space="preserve"> подразделений ДПО Москвы и филиалов </w:t>
      </w:r>
      <w:r w:rsidRPr="00D84224">
        <w:t>составляла (с учетом выпуска, состоявшегося на этот момент):</w:t>
      </w:r>
      <w:r w:rsidR="001602DC">
        <w:t xml:space="preserve"> </w:t>
      </w:r>
      <w:r w:rsidRPr="00D84224">
        <w:t xml:space="preserve">Москва - </w:t>
      </w:r>
      <w:r>
        <w:t>128</w:t>
      </w:r>
      <w:r w:rsidRPr="00D84224">
        <w:t xml:space="preserve"> специалист</w:t>
      </w:r>
      <w:r>
        <w:t>ов, 194 бакалавра</w:t>
      </w:r>
      <w:r w:rsidR="001602DC">
        <w:t xml:space="preserve">; </w:t>
      </w:r>
      <w:r w:rsidRPr="00D84224">
        <w:t>Филиал</w:t>
      </w:r>
      <w:r>
        <w:t>ы НИУ ВШЭ</w:t>
      </w:r>
      <w:r w:rsidRPr="00D84224">
        <w:t xml:space="preserve"> - </w:t>
      </w:r>
      <w:r>
        <w:t>147</w:t>
      </w:r>
      <w:r w:rsidRPr="00D84224">
        <w:t xml:space="preserve"> специалист</w:t>
      </w:r>
      <w:r>
        <w:t>ов</w:t>
      </w:r>
      <w:r w:rsidRPr="00D84224">
        <w:t xml:space="preserve">, </w:t>
      </w:r>
      <w:r>
        <w:t>580</w:t>
      </w:r>
      <w:r w:rsidRPr="00D84224">
        <w:t xml:space="preserve"> бакалавров.  </w:t>
      </w:r>
    </w:p>
    <w:p w:rsidR="00F4234F" w:rsidRDefault="00F4234F" w:rsidP="001602DC">
      <w:pPr>
        <w:spacing w:after="200" w:line="276" w:lineRule="auto"/>
        <w:jc w:val="both"/>
      </w:pPr>
      <w:r w:rsidRPr="00D84224">
        <w:t>Структура контингента студентов</w:t>
      </w:r>
      <w:r w:rsidR="004B1AAD">
        <w:t>, получаю</w:t>
      </w:r>
      <w:r>
        <w:t>щих высшее образование</w:t>
      </w:r>
      <w:r w:rsidRPr="00D84224">
        <w:t xml:space="preserve"> всех форм обучения по уровням образования </w:t>
      </w:r>
      <w:r>
        <w:t xml:space="preserve">в структурах, координируемых ДПО </w:t>
      </w:r>
      <w:r w:rsidRPr="00D84224">
        <w:t>в 201</w:t>
      </w:r>
      <w:r>
        <w:t>2/</w:t>
      </w:r>
      <w:r w:rsidRPr="00D84224">
        <w:t>201</w:t>
      </w:r>
      <w:r>
        <w:t>3</w:t>
      </w:r>
      <w:r w:rsidRPr="00D84224">
        <w:t xml:space="preserve"> учебном году</w:t>
      </w:r>
      <w:proofErr w:type="gramStart"/>
      <w:r w:rsidRPr="00D84224">
        <w:t xml:space="preserve"> </w:t>
      </w:r>
      <w:r w:rsidR="00E35E02">
        <w:t>,</w:t>
      </w:r>
      <w:proofErr w:type="gramEnd"/>
      <w:r w:rsidR="00E35E02">
        <w:t xml:space="preserve"> </w:t>
      </w:r>
      <w:r w:rsidRPr="00D84224">
        <w:t>представлена на диаграмме</w:t>
      </w:r>
      <w:r>
        <w:t xml:space="preserve"> </w:t>
      </w:r>
      <w:r w:rsidR="00C1068C">
        <w:t>3.</w:t>
      </w:r>
      <w:r w:rsidR="00E35E02">
        <w:t>4</w:t>
      </w:r>
      <w:r w:rsidR="00C1068C">
        <w:t>.9</w:t>
      </w:r>
      <w:r w:rsidRPr="00D84224">
        <w:t xml:space="preserve">. </w:t>
      </w:r>
    </w:p>
    <w:p w:rsidR="00F4234F" w:rsidRPr="00072DE6" w:rsidRDefault="00C1068C" w:rsidP="00B1611E">
      <w:pPr>
        <w:spacing w:after="200" w:line="276" w:lineRule="auto"/>
        <w:jc w:val="both"/>
        <w:rPr>
          <w:b/>
        </w:rPr>
      </w:pPr>
      <w:r w:rsidRPr="00072DE6">
        <w:rPr>
          <w:b/>
        </w:rPr>
        <w:t>Диаграмма 3.</w:t>
      </w:r>
      <w:r w:rsidR="00E35E02">
        <w:rPr>
          <w:b/>
        </w:rPr>
        <w:t>4</w:t>
      </w:r>
      <w:r w:rsidRPr="00072DE6">
        <w:rPr>
          <w:b/>
        </w:rPr>
        <w:t>.9.</w:t>
      </w:r>
    </w:p>
    <w:p w:rsidR="00567B2A" w:rsidRDefault="00F4234F" w:rsidP="00B4083E">
      <w:pPr>
        <w:jc w:val="center"/>
      </w:pPr>
      <w:r>
        <w:rPr>
          <w:noProof/>
        </w:rPr>
        <w:drawing>
          <wp:inline distT="0" distB="0" distL="0" distR="0">
            <wp:extent cx="5258870" cy="2420735"/>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8870" cy="2420735"/>
                    </a:xfrm>
                    <a:prstGeom prst="rect">
                      <a:avLst/>
                    </a:prstGeom>
                    <a:noFill/>
                    <a:ln>
                      <a:noFill/>
                    </a:ln>
                  </pic:spPr>
                </pic:pic>
              </a:graphicData>
            </a:graphic>
          </wp:inline>
        </w:drawing>
      </w:r>
    </w:p>
    <w:p w:rsidR="00567B2A" w:rsidRPr="00567B2A" w:rsidRDefault="00567B2A" w:rsidP="00567B2A"/>
    <w:p w:rsidR="00B4083E" w:rsidRDefault="00B4083E">
      <w:pPr>
        <w:rPr>
          <w:rFonts w:asciiTheme="majorHAnsi" w:eastAsiaTheme="majorEastAsia" w:hAnsiTheme="majorHAnsi" w:cstheme="majorBidi"/>
          <w:b/>
          <w:bCs/>
          <w:color w:val="345A8A" w:themeColor="accent1" w:themeShade="B5"/>
          <w:sz w:val="32"/>
          <w:szCs w:val="32"/>
        </w:rPr>
      </w:pPr>
      <w:r>
        <w:br w:type="page"/>
      </w:r>
    </w:p>
    <w:p w:rsidR="005005BC" w:rsidRPr="005005BC" w:rsidRDefault="005005BC" w:rsidP="005005BC">
      <w:pPr>
        <w:pStyle w:val="1"/>
        <w:keepLines w:val="0"/>
        <w:spacing w:before="240" w:after="60" w:line="276" w:lineRule="auto"/>
      </w:pPr>
      <w:bookmarkStart w:id="21" w:name="_Toc374030045"/>
      <w:r>
        <w:lastRenderedPageBreak/>
        <w:t>Методическое обеспечение образовательного процесса</w:t>
      </w:r>
      <w:bookmarkEnd w:id="21"/>
    </w:p>
    <w:p w:rsidR="007820A2" w:rsidRDefault="007820A2" w:rsidP="005005BC">
      <w:pPr>
        <w:pStyle w:val="2"/>
        <w:numPr>
          <w:ilvl w:val="1"/>
          <w:numId w:val="1"/>
        </w:numPr>
      </w:pPr>
      <w:bookmarkStart w:id="22" w:name="_Toc374030046"/>
      <w:r w:rsidRPr="007820A2">
        <w:t>Опыт ВШЭ  в развитии лучших практик высшего образования</w:t>
      </w:r>
      <w:bookmarkEnd w:id="22"/>
      <w:r w:rsidR="005005BC">
        <w:t xml:space="preserve"> </w:t>
      </w:r>
    </w:p>
    <w:p w:rsidR="00C1068C" w:rsidRDefault="00C1068C" w:rsidP="00C1068C">
      <w:pPr>
        <w:spacing w:after="200" w:line="276" w:lineRule="auto"/>
        <w:jc w:val="both"/>
      </w:pPr>
      <w:r>
        <w:t>В 2012-2013 году продолжалась работа  НИУ ВШЭ в качестве консультационного центра и центра развития лучших практик в области высшего образования.</w:t>
      </w:r>
    </w:p>
    <w:p w:rsidR="00C1068C" w:rsidRDefault="00C1068C" w:rsidP="00C1068C">
      <w:pPr>
        <w:spacing w:after="200" w:line="276" w:lineRule="auto"/>
        <w:jc w:val="both"/>
      </w:pPr>
      <w:r>
        <w:t xml:space="preserve"> В частности, с учетом присоединения МИЭМ НИУ ВШЭ является разработчиком (самостоятельно или в составе консорциума/группы) 5 федеральных государственных образовательных стандартов по направлениям подготовки: «Социология», «Бизнес-информатика», «Экономика», «Управление качеством», «Прикладная математика» (не считая пока вновь введенного направления  «</w:t>
      </w:r>
      <w:proofErr w:type="spellStart"/>
      <w:r>
        <w:t>Медиакоммуникации</w:t>
      </w:r>
      <w:proofErr w:type="spellEnd"/>
      <w:r>
        <w:t xml:space="preserve">»). В связи с вступлением в силу основных положений Федерального Закона № 273-ФЗ «Об образовании в Российской Федерации» коллективами экспертов-разработчиков ФГОС была проделана большая работа по приведению ФГОС в соответствие с требованиями данного ТЗ по подготовленному МОН РФ шаблону (так называемые ФГОС 3+). </w:t>
      </w:r>
      <w:r w:rsidR="0037498C">
        <w:t xml:space="preserve">Для части направлений (Социология, Прикладная математика, Экономика) доработка была связана также и с введением во ФГОС квалификации «прикладной бакалавр» (наряду с квалификацией «академический бакалавр»). </w:t>
      </w:r>
      <w:r>
        <w:t>Кроме того, по всем вышеназванным направлениям подготовки были разработаны проекты ФГОС по аспирантуре в инициативном порядке, однако по перечню</w:t>
      </w:r>
      <w:r w:rsidR="0037498C">
        <w:t xml:space="preserve"> разработчиков для ФГОС МОН РФ,  в качестве обсуждаемых проектов были приняты только проекты ФГОС по направлениям  подготовки кадров высшей квалификации в аспирантуре «Социология», «Экономика».</w:t>
      </w:r>
    </w:p>
    <w:p w:rsidR="0037498C" w:rsidRDefault="0037498C" w:rsidP="00C1068C">
      <w:pPr>
        <w:spacing w:after="200" w:line="276" w:lineRule="auto"/>
        <w:jc w:val="both"/>
      </w:pPr>
      <w:r>
        <w:t>Продолжается активное участие НИУ ВШЭ в работе Ассоциации ведущих вузов в области экономики и менеджмента (АВВЭМ). В 2012-2013 уч. Году наиболее активно представители ВШЭ работали в рабочих группах и комиссиях:</w:t>
      </w:r>
    </w:p>
    <w:p w:rsidR="0037498C" w:rsidRDefault="007909E4" w:rsidP="00C1068C">
      <w:pPr>
        <w:spacing w:after="200" w:line="276" w:lineRule="auto"/>
        <w:jc w:val="both"/>
      </w:pPr>
      <w:hyperlink r:id="rId40" w:history="1">
        <w:r w:rsidR="0037498C" w:rsidRPr="0037498C">
          <w:t>Комиссия по оценке качества образовательных программ и участия в аудите и аккредитации</w:t>
        </w:r>
      </w:hyperlink>
      <w:r w:rsidR="0037498C">
        <w:t xml:space="preserve">, </w:t>
      </w:r>
      <w:hyperlink r:id="rId41" w:history="1">
        <w:r w:rsidR="0037498C" w:rsidRPr="0037498C">
          <w:t>Рабочая группа по разработке методологии общественно-профессиональной аккредитации</w:t>
        </w:r>
      </w:hyperlink>
      <w:r w:rsidR="0037498C">
        <w:t xml:space="preserve">, </w:t>
      </w:r>
      <w:r w:rsidR="0037498C" w:rsidRPr="0037498C">
        <w:t xml:space="preserve">Комиссии по кадровому развитию и развитию профессиональных квалификаций, </w:t>
      </w:r>
      <w:r w:rsidR="0037498C">
        <w:t xml:space="preserve">Рабочая группа по повышению квалификации, Комиссия по развитию программ прикладного </w:t>
      </w:r>
      <w:proofErr w:type="spellStart"/>
      <w:r w:rsidR="0037498C">
        <w:t>бакалавриата</w:t>
      </w:r>
      <w:proofErr w:type="spellEnd"/>
      <w:r w:rsidR="0037498C">
        <w:t xml:space="preserve">. </w:t>
      </w:r>
    </w:p>
    <w:p w:rsidR="0037498C" w:rsidRDefault="0037498C" w:rsidP="00C1068C">
      <w:pPr>
        <w:spacing w:after="200" w:line="276" w:lineRule="auto"/>
        <w:jc w:val="both"/>
      </w:pPr>
      <w:r>
        <w:t xml:space="preserve">Вопросы профессионально-общественной аккредитации, разрабатываемые </w:t>
      </w:r>
      <w:hyperlink r:id="rId42" w:history="1">
        <w:r w:rsidRPr="0037498C">
          <w:t>Комисси</w:t>
        </w:r>
        <w:r>
          <w:t>ей</w:t>
        </w:r>
        <w:r w:rsidRPr="0037498C">
          <w:t xml:space="preserve"> по оценке качества образовательных программ и участия в аудите и аккредитации</w:t>
        </w:r>
      </w:hyperlink>
      <w:r>
        <w:t xml:space="preserve"> и соответствующей рабочей группой, </w:t>
      </w:r>
      <w:proofErr w:type="gramStart"/>
      <w:r>
        <w:t>были представлены Наблюдательному Совету Ассоциации и получили</w:t>
      </w:r>
      <w:proofErr w:type="gramEnd"/>
      <w:r>
        <w:t xml:space="preserve"> его одобрение. Проделанная работа позволила НИУ ВШЭ летом 2013 г. </w:t>
      </w:r>
      <w:proofErr w:type="gramStart"/>
      <w:r>
        <w:t>участвовать в конкурсе проектов в рамках ФЦПРО и выиграть</w:t>
      </w:r>
      <w:proofErr w:type="gramEnd"/>
      <w:r>
        <w:t xml:space="preserve"> государственный контракт на апробацию модели профессионально-общественной аккредитации для ОП направлений подготовки УГС/Н 080000 «Экономика и менеджмент».</w:t>
      </w:r>
      <w:r w:rsidR="00650D82">
        <w:t xml:space="preserve"> Реализация этого Государственного контракта приходится на август-ноябрь 2013 года и подразумевает подготовку экспертов по профессионально-общественной аккредитации (обучено 50 экспертов из 18 вузов РФ) и проведение пробной </w:t>
      </w:r>
      <w:proofErr w:type="spellStart"/>
      <w:r w:rsidR="00650D82">
        <w:t>аккредитационной</w:t>
      </w:r>
      <w:proofErr w:type="spellEnd"/>
      <w:r w:rsidR="00650D82">
        <w:t xml:space="preserve"> экспертизы (представлено на экспертизу 34 образовательных программы)</w:t>
      </w:r>
      <w:proofErr w:type="gramStart"/>
      <w:r w:rsidR="00650D82">
        <w:t xml:space="preserve"> .</w:t>
      </w:r>
      <w:proofErr w:type="gramEnd"/>
      <w:r w:rsidR="00650D82">
        <w:t xml:space="preserve"> В этой работе принимают активное участие представители факультетов менеджмента, экономики, логистики, </w:t>
      </w:r>
      <w:r w:rsidR="00650D82">
        <w:lastRenderedPageBreak/>
        <w:t>бизнес-информатики, государственно-муниципального управления. В конце октября2013 г. НИУ ВШЭ провел в рамках государственного контракта межрегиональную конференцию по общественному обсуждению модели ПОА (</w:t>
      </w:r>
      <w:hyperlink r:id="rId43" w:history="1">
        <w:r w:rsidR="00650D82">
          <w:rPr>
            <w:rStyle w:val="a4"/>
          </w:rPr>
          <w:t>http://aprobaciapoa.hse.ru/</w:t>
        </w:r>
      </w:hyperlink>
      <w:r w:rsidR="00650D82">
        <w:t>).</w:t>
      </w:r>
    </w:p>
    <w:p w:rsidR="00650D82" w:rsidRPr="00650D82" w:rsidRDefault="00650D82" w:rsidP="00C1068C">
      <w:pPr>
        <w:spacing w:after="200" w:line="276" w:lineRule="auto"/>
        <w:jc w:val="both"/>
      </w:pPr>
      <w:r>
        <w:t>Активно работает Центр развития социологического образования,  распространяя опыт НИУ ВШЭ среди вузов – участников Консорциума по социологическому образованию, проводя мероприятия методического и обучающего характера; представители центра участвуют в различных конференциях с докладами, ведут страницы ЦРСО в социальных сетях и сайт Центра на портале ВШЭ.</w:t>
      </w:r>
    </w:p>
    <w:p w:rsidR="00392BBA" w:rsidRDefault="00F5343E" w:rsidP="00985CF7">
      <w:pPr>
        <w:pStyle w:val="2"/>
        <w:numPr>
          <w:ilvl w:val="1"/>
          <w:numId w:val="1"/>
        </w:numPr>
      </w:pPr>
      <w:bookmarkStart w:id="23" w:name="_Toc374030047"/>
      <w:r>
        <w:t xml:space="preserve">Реализация </w:t>
      </w:r>
      <w:proofErr w:type="spellStart"/>
      <w:r>
        <w:t>компете</w:t>
      </w:r>
      <w:r w:rsidR="005005BC">
        <w:t>н</w:t>
      </w:r>
      <w:r>
        <w:t>тн</w:t>
      </w:r>
      <w:r w:rsidR="005005BC">
        <w:t>остного</w:t>
      </w:r>
      <w:proofErr w:type="spellEnd"/>
      <w:r w:rsidR="005005BC">
        <w:t xml:space="preserve"> подхода</w:t>
      </w:r>
      <w:bookmarkEnd w:id="23"/>
    </w:p>
    <w:p w:rsidR="00392BBA" w:rsidRDefault="00392BBA" w:rsidP="00392BBA">
      <w:pPr>
        <w:spacing w:after="200" w:line="276" w:lineRule="auto"/>
        <w:jc w:val="both"/>
      </w:pPr>
      <w:r>
        <w:t xml:space="preserve">В 2012-2013 учебном году продолжается планомерная проработка методологии, задач и технологий воплощения в практике деятельности ВШЭ </w:t>
      </w:r>
      <w:proofErr w:type="spellStart"/>
      <w:r>
        <w:t>компетентностного</w:t>
      </w:r>
      <w:proofErr w:type="spellEnd"/>
      <w:r>
        <w:t xml:space="preserve"> подхода к образованию, который лежит в основе реализации образовательных стандартов НИУ ВШЭ.                                 </w:t>
      </w:r>
    </w:p>
    <w:p w:rsidR="00392BBA" w:rsidRDefault="00392BBA" w:rsidP="00392BBA">
      <w:pPr>
        <w:spacing w:after="200" w:line="276" w:lineRule="auto"/>
        <w:jc w:val="both"/>
      </w:pPr>
      <w:r>
        <w:t xml:space="preserve">Сформирована инициативная группа экспертов-разработчиков методических документов </w:t>
      </w:r>
      <w:proofErr w:type="spellStart"/>
      <w:r>
        <w:t>компетентностного</w:t>
      </w:r>
      <w:proofErr w:type="spellEnd"/>
      <w:r>
        <w:t xml:space="preserve"> формата к образовательным стандартам НИУ ВШЭ (ОС НИУ ВШЭ).  В состав экспертной группы вошли 62 ведущих преподавателя НИУ ВШЭ Москвы и кампусов в  Санкт-Петербурге, Нижнем Новгороде, Перми, сотрудники административно-управленческого аппарата ВШЭ уровня заместителей деканов факультетов/отделений.                              </w:t>
      </w:r>
    </w:p>
    <w:p w:rsidR="00392BBA" w:rsidRDefault="00392BBA" w:rsidP="00392BBA">
      <w:pPr>
        <w:spacing w:after="200" w:line="276" w:lineRule="auto"/>
        <w:jc w:val="both"/>
      </w:pPr>
      <w:r>
        <w:t xml:space="preserve">Разработаны  важнейшие методические документы для формирования комплексной системы, обеспечивающей реализацию </w:t>
      </w:r>
      <w:proofErr w:type="spellStart"/>
      <w:r>
        <w:t>компетентностного</w:t>
      </w:r>
      <w:proofErr w:type="spellEnd"/>
      <w:r>
        <w:t xml:space="preserve"> подхода, зафиксированного в образовательных стандартах НИУ ВШЭ на разных уровнях обучения:</w:t>
      </w:r>
    </w:p>
    <w:p w:rsidR="00392BBA" w:rsidRPr="00A83F6E" w:rsidRDefault="00392BBA" w:rsidP="002B51DC">
      <w:pPr>
        <w:pStyle w:val="a5"/>
        <w:numPr>
          <w:ilvl w:val="1"/>
          <w:numId w:val="34"/>
        </w:numPr>
        <w:rPr>
          <w:sz w:val="24"/>
        </w:rPr>
      </w:pPr>
      <w:r w:rsidRPr="00A83F6E">
        <w:rPr>
          <w:sz w:val="24"/>
        </w:rPr>
        <w:t xml:space="preserve">40 </w:t>
      </w:r>
      <w:proofErr w:type="spellStart"/>
      <w:r w:rsidRPr="00A83F6E">
        <w:rPr>
          <w:sz w:val="24"/>
        </w:rPr>
        <w:t>компетентностных</w:t>
      </w:r>
      <w:proofErr w:type="spellEnd"/>
      <w:r w:rsidRPr="00A83F6E">
        <w:rPr>
          <w:sz w:val="24"/>
        </w:rPr>
        <w:t xml:space="preserve"> профилей направлений подготовки, реализуемых по образовательным стандартам НИУ ВШЭ, и 6 </w:t>
      </w:r>
      <w:proofErr w:type="spellStart"/>
      <w:r w:rsidRPr="00A83F6E">
        <w:rPr>
          <w:sz w:val="24"/>
        </w:rPr>
        <w:t>компетентностных</w:t>
      </w:r>
      <w:proofErr w:type="spellEnd"/>
      <w:r w:rsidRPr="00A83F6E">
        <w:rPr>
          <w:sz w:val="24"/>
        </w:rPr>
        <w:t xml:space="preserve"> профилей направлений подготовки, реализуемых по ФГОС 3 поколения в НИУ ВШЭ МИЭМ.</w:t>
      </w:r>
    </w:p>
    <w:p w:rsidR="00A83F6E" w:rsidRDefault="00392BBA" w:rsidP="002B51DC">
      <w:pPr>
        <w:pStyle w:val="a5"/>
        <w:numPr>
          <w:ilvl w:val="1"/>
          <w:numId w:val="34"/>
        </w:numPr>
        <w:rPr>
          <w:sz w:val="24"/>
        </w:rPr>
      </w:pPr>
      <w:r w:rsidRPr="00A83F6E">
        <w:rPr>
          <w:sz w:val="24"/>
        </w:rPr>
        <w:t xml:space="preserve">Паспорта компетенций </w:t>
      </w:r>
      <w:proofErr w:type="gramStart"/>
      <w:r w:rsidRPr="00A83F6E">
        <w:rPr>
          <w:sz w:val="24"/>
        </w:rPr>
        <w:t>для</w:t>
      </w:r>
      <w:proofErr w:type="gramEnd"/>
      <w:r w:rsidRPr="00A83F6E">
        <w:rPr>
          <w:sz w:val="24"/>
        </w:rPr>
        <w:t xml:space="preserve">: </w:t>
      </w:r>
    </w:p>
    <w:p w:rsidR="00A83F6E" w:rsidRPr="00072DE6" w:rsidRDefault="00392BBA" w:rsidP="002B51DC">
      <w:pPr>
        <w:pStyle w:val="a5"/>
        <w:numPr>
          <w:ilvl w:val="3"/>
          <w:numId w:val="35"/>
        </w:numPr>
        <w:ind w:left="1701" w:hanging="283"/>
        <w:rPr>
          <w:sz w:val="28"/>
        </w:rPr>
      </w:pPr>
      <w:r w:rsidRPr="00072DE6">
        <w:rPr>
          <w:sz w:val="24"/>
        </w:rPr>
        <w:t xml:space="preserve">12 системных компетенций студентов НИУ ВШЭ,                     </w:t>
      </w:r>
    </w:p>
    <w:p w:rsidR="00392BBA" w:rsidRPr="00072DE6" w:rsidRDefault="00392BBA" w:rsidP="002B51DC">
      <w:pPr>
        <w:pStyle w:val="a5"/>
        <w:numPr>
          <w:ilvl w:val="3"/>
          <w:numId w:val="35"/>
        </w:numPr>
        <w:ind w:left="1701" w:hanging="283"/>
        <w:rPr>
          <w:sz w:val="28"/>
        </w:rPr>
      </w:pPr>
      <w:r w:rsidRPr="00072DE6">
        <w:rPr>
          <w:sz w:val="24"/>
        </w:rPr>
        <w:t xml:space="preserve">18 профессиональных социально-личностных компетенций студентов НИУ ВШЭ. </w:t>
      </w:r>
    </w:p>
    <w:p w:rsidR="00392BBA" w:rsidRDefault="00392BBA" w:rsidP="00A83F6E">
      <w:pPr>
        <w:spacing w:after="200" w:line="276" w:lineRule="auto"/>
        <w:jc w:val="both"/>
      </w:pPr>
      <w:r>
        <w:t>Документы разработаны в соответствии с классификацией компетенций обучающихся согласно Единому классификатору компетенций НИУ ВШЭ (ЕКК НИУ ВШЭ) и уровневой системой формирования компетенций.</w:t>
      </w:r>
    </w:p>
    <w:p w:rsidR="00392BBA" w:rsidRDefault="00392BBA" w:rsidP="00A83F6E">
      <w:pPr>
        <w:spacing w:after="200" w:line="276" w:lineRule="auto"/>
        <w:jc w:val="both"/>
      </w:pPr>
      <w:proofErr w:type="spellStart"/>
      <w:r>
        <w:t>Компетентностные</w:t>
      </w:r>
      <w:proofErr w:type="spellEnd"/>
      <w:r>
        <w:t xml:space="preserve"> профили направлений подготовки стали для факультетов материалом для более глубокого анализа образовательных программ с точки зрения их сбалансированности, направленности на формирование именно заявленных компетенций, отсутствия дублирования в формировании определенных результатов обучения. Вторым шагом стал анализ коллективами и ответственными на </w:t>
      </w:r>
      <w:proofErr w:type="gramStart"/>
      <w:r>
        <w:t>факультетах</w:t>
      </w:r>
      <w:proofErr w:type="gramEnd"/>
      <w:r>
        <w:t xml:space="preserve"> программ учебных дисциплин с точки зрения  включения в них тех  компетенций, которые образовательная программ закрепляет за данным блоком учебного плана. Эта работа, в </w:t>
      </w:r>
      <w:r>
        <w:lastRenderedPageBreak/>
        <w:t xml:space="preserve">частности, выявила проблему отсутствия четкого механизма и пространства согласования позиции преподавателя конкретной дисциплины и руководителей образовательной программы по поводу формируемых образовательных результатов, места этой дисциплины в общей структуре образовательных результатов ОП. Если ранее таким местом на </w:t>
      </w:r>
      <w:proofErr w:type="gramStart"/>
      <w:r>
        <w:t>ряде</w:t>
      </w:r>
      <w:proofErr w:type="gramEnd"/>
      <w:r>
        <w:t xml:space="preserve"> факультетов были учебно-методические советы, то теперь роль «согласовательного пространства» должны взять на себя структуры академического управления программой (например, академические советы и т.п.). Особенное значение это приобретает. Когда образовательная программа «заказывает»  образовательные результаты в дисциплине, реализуемой другим подразделением университета. </w:t>
      </w:r>
    </w:p>
    <w:p w:rsidR="00392BBA" w:rsidRDefault="00392BBA" w:rsidP="00A83F6E">
      <w:pPr>
        <w:spacing w:after="200" w:line="276" w:lineRule="auto"/>
        <w:jc w:val="both"/>
      </w:pPr>
      <w:r>
        <w:t xml:space="preserve">Продолжается реализация новых форм проведения   </w:t>
      </w:r>
      <w:proofErr w:type="spellStart"/>
      <w:r>
        <w:t>компетентностно</w:t>
      </w:r>
      <w:proofErr w:type="spellEnd"/>
      <w:r>
        <w:t>-ориентированной итоговой аттестации бакалавров по направлениям подготовки, реализуемым по ОС НИУ ВШЭ.</w:t>
      </w:r>
    </w:p>
    <w:p w:rsidR="00392BBA" w:rsidRDefault="00392BBA" w:rsidP="00A83F6E">
      <w:pPr>
        <w:spacing w:after="200" w:line="276" w:lineRule="auto"/>
        <w:jc w:val="both"/>
      </w:pPr>
      <w:r>
        <w:t xml:space="preserve">В рамках проекта,  выполняемого Методическим управлением совместно с факультетом менеджмента НИУ ВШЭ и рассчитанного на продолжение в 2014 году, </w:t>
      </w:r>
      <w:r w:rsidR="003B3077">
        <w:t>начата работа по разработке концепции,  регламентов и инструкций</w:t>
      </w:r>
      <w:r>
        <w:t xml:space="preserve"> проведения итоговой аттестации бакалавров НИУ ВШЭ  в новой форме, контрольные материалы для проведения итоговой аттестации в новой форме. </w:t>
      </w:r>
    </w:p>
    <w:p w:rsidR="00392BBA" w:rsidRDefault="00392BBA" w:rsidP="00A83F6E">
      <w:pPr>
        <w:spacing w:after="200" w:line="276" w:lineRule="auto"/>
        <w:jc w:val="both"/>
      </w:pPr>
      <w:r>
        <w:t xml:space="preserve">В реализации новых форм проведения итоговой аттестации бакалавров как междисциплинарного экзамена в </w:t>
      </w:r>
      <w:proofErr w:type="spellStart"/>
      <w:r>
        <w:t>компетентностном</w:t>
      </w:r>
      <w:proofErr w:type="spellEnd"/>
      <w:r>
        <w:t xml:space="preserve"> формате активно участвует факультет социологии НИУ ВШЭ. Разработана концепция, </w:t>
      </w:r>
      <w:proofErr w:type="spellStart"/>
      <w:r>
        <w:t>компетентностные</w:t>
      </w:r>
      <w:proofErr w:type="spellEnd"/>
      <w:r>
        <w:t xml:space="preserve"> задачи для проведения итоговой аттестации бакалавров-социологов. В разработке комплектов </w:t>
      </w:r>
      <w:proofErr w:type="spellStart"/>
      <w:r>
        <w:t>компетентностных</w:t>
      </w:r>
      <w:proofErr w:type="spellEnd"/>
      <w:r>
        <w:t xml:space="preserve"> задач задействованы ведущие преподаватели факультета.</w:t>
      </w:r>
    </w:p>
    <w:p w:rsidR="00392BBA" w:rsidRDefault="00392BBA" w:rsidP="00A83F6E">
      <w:pPr>
        <w:spacing w:after="200" w:line="276" w:lineRule="auto"/>
        <w:jc w:val="both"/>
      </w:pPr>
      <w:r>
        <w:t xml:space="preserve">Также преподавателями факультета социологии разработаны экспериментальные интегративные задания по оценке уровня </w:t>
      </w:r>
      <w:proofErr w:type="spellStart"/>
      <w:r>
        <w:t>сформированности</w:t>
      </w:r>
      <w:proofErr w:type="spellEnd"/>
      <w:r>
        <w:t xml:space="preserve"> системных компетенций выпускника </w:t>
      </w:r>
      <w:proofErr w:type="spellStart"/>
      <w:r>
        <w:t>бакалавриата</w:t>
      </w:r>
      <w:proofErr w:type="spellEnd"/>
      <w:r>
        <w:t xml:space="preserve"> направления подготовки «Социология»: 4 </w:t>
      </w:r>
      <w:proofErr w:type="gramStart"/>
      <w:r>
        <w:t>блок-теста</w:t>
      </w:r>
      <w:proofErr w:type="gramEnd"/>
      <w:r>
        <w:t xml:space="preserve"> с обоснованием и инструкциями.</w:t>
      </w:r>
    </w:p>
    <w:p w:rsidR="00392BBA" w:rsidRDefault="00392BBA" w:rsidP="00A83F6E">
      <w:pPr>
        <w:spacing w:after="200" w:line="276" w:lineRule="auto"/>
        <w:jc w:val="both"/>
      </w:pPr>
      <w:proofErr w:type="gramStart"/>
      <w:r>
        <w:t>Системные компетенции являются общими для всех направлений подготовки, реализуемым в НИУ ВШЭ.</w:t>
      </w:r>
      <w:proofErr w:type="gramEnd"/>
      <w:r>
        <w:t xml:space="preserve"> В 2012-2013 гг. совместно с Центром внутреннего мониторинга НИУ ВШЭ была разработана анкета для опроса работодателей по оценке системных компетенций бакалавров НИУ ВШЭ, на основе результатов практик (стажировок) за пределами НИУ ВШЭ в 2013 году. Электронная анкета предлагала к оценке работодателя порядка 17 компетенций, описанных на понятном работодателям </w:t>
      </w:r>
      <w:proofErr w:type="gramStart"/>
      <w:r>
        <w:t>языке</w:t>
      </w:r>
      <w:proofErr w:type="gramEnd"/>
      <w:r>
        <w:t>.</w:t>
      </w:r>
    </w:p>
    <w:p w:rsidR="00392BBA" w:rsidRDefault="00392BBA" w:rsidP="00A83F6E">
      <w:pPr>
        <w:spacing w:after="200" w:line="276" w:lineRule="auto"/>
        <w:jc w:val="both"/>
      </w:pPr>
      <w:r>
        <w:t xml:space="preserve">Пилотное анкетирование работодателей состоялось при сотрудничестве  с компанией «Сименс». </w:t>
      </w:r>
    </w:p>
    <w:p w:rsidR="00392BBA" w:rsidRDefault="00392BBA" w:rsidP="00A83F6E">
      <w:pPr>
        <w:spacing w:after="200" w:line="276" w:lineRule="auto"/>
        <w:jc w:val="both"/>
      </w:pPr>
      <w:r>
        <w:t>Краткие итоги анкетирования выявили</w:t>
      </w:r>
      <w:proofErr w:type="gramStart"/>
      <w:r>
        <w:t xml:space="preserve"> :</w:t>
      </w:r>
      <w:proofErr w:type="gramEnd"/>
    </w:p>
    <w:p w:rsidR="00392BBA" w:rsidRPr="004F0934" w:rsidRDefault="00392BBA" w:rsidP="00392BBA">
      <w:pPr>
        <w:rPr>
          <w:i/>
        </w:rPr>
      </w:pPr>
      <w:r w:rsidRPr="004F0934">
        <w:rPr>
          <w:i/>
        </w:rPr>
        <w:t>Сильные стороны студентов НИУ ВШЭ:</w:t>
      </w:r>
    </w:p>
    <w:p w:rsidR="00392BBA" w:rsidRPr="00A83F6E" w:rsidRDefault="00392BBA" w:rsidP="002B51DC">
      <w:pPr>
        <w:pStyle w:val="a5"/>
        <w:numPr>
          <w:ilvl w:val="0"/>
          <w:numId w:val="36"/>
        </w:numPr>
        <w:rPr>
          <w:sz w:val="24"/>
        </w:rPr>
      </w:pPr>
      <w:r w:rsidRPr="00A83F6E">
        <w:rPr>
          <w:sz w:val="24"/>
        </w:rPr>
        <w:t>Широкий кругозор и знания по специальности;</w:t>
      </w:r>
    </w:p>
    <w:p w:rsidR="00392BBA" w:rsidRPr="00A83F6E" w:rsidRDefault="00392BBA" w:rsidP="002B51DC">
      <w:pPr>
        <w:pStyle w:val="a5"/>
        <w:numPr>
          <w:ilvl w:val="0"/>
          <w:numId w:val="36"/>
        </w:numPr>
        <w:rPr>
          <w:sz w:val="24"/>
        </w:rPr>
      </w:pPr>
      <w:r w:rsidRPr="00A83F6E">
        <w:rPr>
          <w:sz w:val="24"/>
        </w:rPr>
        <w:t>Острота ума, аналитические способности;</w:t>
      </w:r>
    </w:p>
    <w:p w:rsidR="00392BBA" w:rsidRPr="00A83F6E" w:rsidRDefault="00392BBA" w:rsidP="002B51DC">
      <w:pPr>
        <w:pStyle w:val="a5"/>
        <w:numPr>
          <w:ilvl w:val="0"/>
          <w:numId w:val="36"/>
        </w:numPr>
        <w:rPr>
          <w:sz w:val="24"/>
        </w:rPr>
      </w:pPr>
      <w:r w:rsidRPr="00A83F6E">
        <w:rPr>
          <w:sz w:val="24"/>
        </w:rPr>
        <w:lastRenderedPageBreak/>
        <w:t xml:space="preserve">Умение концентрироваться на </w:t>
      </w:r>
      <w:proofErr w:type="gramStart"/>
      <w:r w:rsidRPr="00A83F6E">
        <w:rPr>
          <w:sz w:val="24"/>
        </w:rPr>
        <w:t>достижении</w:t>
      </w:r>
      <w:proofErr w:type="gramEnd"/>
      <w:r w:rsidRPr="00A83F6E">
        <w:rPr>
          <w:sz w:val="24"/>
        </w:rPr>
        <w:t xml:space="preserve"> результата, упорство и желание довести начатое дело до конца;</w:t>
      </w:r>
    </w:p>
    <w:p w:rsidR="00392BBA" w:rsidRPr="00A83F6E" w:rsidRDefault="00392BBA" w:rsidP="002B51DC">
      <w:pPr>
        <w:pStyle w:val="a5"/>
        <w:numPr>
          <w:ilvl w:val="0"/>
          <w:numId w:val="36"/>
        </w:numPr>
        <w:rPr>
          <w:sz w:val="24"/>
        </w:rPr>
      </w:pPr>
      <w:r w:rsidRPr="00A83F6E">
        <w:rPr>
          <w:sz w:val="24"/>
        </w:rPr>
        <w:t>Трудолюбие, трудоспособность.</w:t>
      </w:r>
    </w:p>
    <w:p w:rsidR="00392BBA" w:rsidRDefault="00392BBA" w:rsidP="00A83F6E">
      <w:pPr>
        <w:spacing w:after="200" w:line="276" w:lineRule="auto"/>
        <w:jc w:val="both"/>
      </w:pPr>
      <w:r>
        <w:t>Также  руководители практик обращали внимание на:</w:t>
      </w:r>
    </w:p>
    <w:p w:rsidR="00392BBA" w:rsidRPr="00A83F6E" w:rsidRDefault="00392BBA" w:rsidP="002B51DC">
      <w:pPr>
        <w:pStyle w:val="a5"/>
        <w:numPr>
          <w:ilvl w:val="0"/>
          <w:numId w:val="36"/>
        </w:numPr>
        <w:rPr>
          <w:sz w:val="24"/>
        </w:rPr>
      </w:pPr>
      <w:r w:rsidRPr="00A83F6E">
        <w:rPr>
          <w:sz w:val="24"/>
        </w:rPr>
        <w:t>Стрессоустойчивость,</w:t>
      </w:r>
    </w:p>
    <w:p w:rsidR="00392BBA" w:rsidRPr="00A83F6E" w:rsidRDefault="00392BBA" w:rsidP="002B51DC">
      <w:pPr>
        <w:pStyle w:val="a5"/>
        <w:numPr>
          <w:ilvl w:val="0"/>
          <w:numId w:val="36"/>
        </w:numPr>
        <w:rPr>
          <w:sz w:val="24"/>
        </w:rPr>
      </w:pPr>
      <w:r w:rsidRPr="00A83F6E">
        <w:rPr>
          <w:sz w:val="24"/>
        </w:rPr>
        <w:t>Коммуникационные способности,</w:t>
      </w:r>
    </w:p>
    <w:p w:rsidR="00392BBA" w:rsidRPr="00A83F6E" w:rsidRDefault="00392BBA" w:rsidP="002B51DC">
      <w:pPr>
        <w:pStyle w:val="a5"/>
        <w:numPr>
          <w:ilvl w:val="0"/>
          <w:numId w:val="36"/>
        </w:numPr>
        <w:rPr>
          <w:sz w:val="24"/>
        </w:rPr>
      </w:pPr>
      <w:r w:rsidRPr="00A83F6E">
        <w:rPr>
          <w:sz w:val="24"/>
        </w:rPr>
        <w:t>Знание иностранного языка,</w:t>
      </w:r>
    </w:p>
    <w:p w:rsidR="00392BBA" w:rsidRPr="00A83F6E" w:rsidRDefault="00392BBA" w:rsidP="002B51DC">
      <w:pPr>
        <w:pStyle w:val="a5"/>
        <w:numPr>
          <w:ilvl w:val="0"/>
          <w:numId w:val="36"/>
        </w:numPr>
        <w:rPr>
          <w:sz w:val="24"/>
        </w:rPr>
      </w:pPr>
      <w:r w:rsidRPr="00A83F6E">
        <w:rPr>
          <w:sz w:val="24"/>
        </w:rPr>
        <w:t>Владение информационными технологиями,</w:t>
      </w:r>
    </w:p>
    <w:p w:rsidR="00392BBA" w:rsidRPr="00A83F6E" w:rsidRDefault="00392BBA" w:rsidP="002B51DC">
      <w:pPr>
        <w:pStyle w:val="a5"/>
        <w:numPr>
          <w:ilvl w:val="0"/>
          <w:numId w:val="36"/>
        </w:numPr>
        <w:rPr>
          <w:sz w:val="24"/>
        </w:rPr>
      </w:pPr>
      <w:r w:rsidRPr="00A83F6E">
        <w:rPr>
          <w:sz w:val="24"/>
        </w:rPr>
        <w:t>Быстрая обучаемость;</w:t>
      </w:r>
    </w:p>
    <w:p w:rsidR="00392BBA" w:rsidRPr="00A83F6E" w:rsidRDefault="00392BBA" w:rsidP="002B51DC">
      <w:pPr>
        <w:pStyle w:val="a5"/>
        <w:numPr>
          <w:ilvl w:val="0"/>
          <w:numId w:val="36"/>
        </w:numPr>
        <w:rPr>
          <w:sz w:val="24"/>
        </w:rPr>
      </w:pPr>
      <w:r w:rsidRPr="00A83F6E">
        <w:rPr>
          <w:sz w:val="24"/>
        </w:rPr>
        <w:t>Способность к саморазвитию.</w:t>
      </w:r>
    </w:p>
    <w:p w:rsidR="00392BBA" w:rsidRPr="004F0934" w:rsidRDefault="00392BBA" w:rsidP="00392BBA">
      <w:pPr>
        <w:rPr>
          <w:i/>
        </w:rPr>
      </w:pPr>
      <w:r w:rsidRPr="004F0934">
        <w:rPr>
          <w:i/>
        </w:rPr>
        <w:t>В качестве слабых сторон руководители практик  называли, прежде всего:</w:t>
      </w:r>
    </w:p>
    <w:p w:rsidR="00A83F6E" w:rsidRDefault="00392BBA" w:rsidP="002B51DC">
      <w:pPr>
        <w:pStyle w:val="a5"/>
        <w:numPr>
          <w:ilvl w:val="0"/>
          <w:numId w:val="36"/>
        </w:numPr>
        <w:rPr>
          <w:sz w:val="24"/>
        </w:rPr>
      </w:pPr>
      <w:r w:rsidRPr="00A83F6E">
        <w:rPr>
          <w:sz w:val="24"/>
        </w:rPr>
        <w:t xml:space="preserve">отсутствие опыта, например,  взаимодействия с людьми в профессиональных целях, </w:t>
      </w:r>
    </w:p>
    <w:p w:rsidR="00392BBA" w:rsidRPr="00A83F6E" w:rsidRDefault="00392BBA" w:rsidP="002B51DC">
      <w:pPr>
        <w:pStyle w:val="a5"/>
        <w:numPr>
          <w:ilvl w:val="0"/>
          <w:numId w:val="36"/>
        </w:numPr>
        <w:rPr>
          <w:sz w:val="24"/>
          <w:szCs w:val="24"/>
        </w:rPr>
      </w:pPr>
      <w:r w:rsidRPr="00A83F6E">
        <w:rPr>
          <w:sz w:val="24"/>
          <w:szCs w:val="24"/>
        </w:rPr>
        <w:t xml:space="preserve">нехватку </w:t>
      </w:r>
      <w:proofErr w:type="spellStart"/>
      <w:r w:rsidRPr="00A83F6E">
        <w:rPr>
          <w:sz w:val="24"/>
          <w:szCs w:val="24"/>
        </w:rPr>
        <w:t>проактивной</w:t>
      </w:r>
      <w:proofErr w:type="spellEnd"/>
      <w:r w:rsidRPr="00A83F6E">
        <w:rPr>
          <w:sz w:val="24"/>
          <w:szCs w:val="24"/>
        </w:rPr>
        <w:t xml:space="preserve"> позиции, страх самостоятельно искать и предлагать решения, отстаивать свои предложения, идеи.</w:t>
      </w:r>
    </w:p>
    <w:p w:rsidR="00456032" w:rsidRPr="00456032" w:rsidRDefault="00392BBA" w:rsidP="00456032">
      <w:pPr>
        <w:spacing w:after="200" w:line="276" w:lineRule="auto"/>
        <w:jc w:val="both"/>
      </w:pPr>
      <w:r>
        <w:t>В дальнейшем апробированная в пилотном режиме анкета предложена факультетам для регулярных опросов работодателей и накопления базы знаний отн</w:t>
      </w:r>
      <w:r w:rsidR="00A83F6E">
        <w:t>осительно их оценки достижений студент</w:t>
      </w:r>
      <w:r>
        <w:t>о</w:t>
      </w:r>
      <w:r w:rsidR="00A83F6E">
        <w:t>в</w:t>
      </w:r>
      <w:r>
        <w:t xml:space="preserve"> НИУ ВШЭ </w:t>
      </w:r>
      <w:proofErr w:type="gramStart"/>
      <w:r>
        <w:t>в</w:t>
      </w:r>
      <w:proofErr w:type="gramEnd"/>
      <w:r>
        <w:t xml:space="preserve"> так называемых </w:t>
      </w:r>
      <w:proofErr w:type="spellStart"/>
      <w:r>
        <w:t>soft</w:t>
      </w:r>
      <w:proofErr w:type="spellEnd"/>
      <w:r>
        <w:t xml:space="preserve"> </w:t>
      </w:r>
      <w:proofErr w:type="spellStart"/>
      <w:r>
        <w:t>skills</w:t>
      </w:r>
      <w:proofErr w:type="spellEnd"/>
      <w:r>
        <w:t>.</w:t>
      </w:r>
    </w:p>
    <w:p w:rsidR="00456032" w:rsidRPr="00456032" w:rsidRDefault="00456032" w:rsidP="00456032">
      <w:pPr>
        <w:spacing w:after="200" w:line="276" w:lineRule="auto"/>
        <w:jc w:val="both"/>
      </w:pPr>
      <w:r w:rsidRPr="00456032">
        <w:t xml:space="preserve">Для научно-педагогических работников - разработчиков контрольных измерительных материалов (КИМ) к образовательным стандартам НИУ ВШЭ была </w:t>
      </w:r>
      <w:proofErr w:type="gramStart"/>
      <w:r w:rsidRPr="00456032">
        <w:t>организована и проведена</w:t>
      </w:r>
      <w:proofErr w:type="gramEnd"/>
      <w:r w:rsidRPr="00456032">
        <w:t xml:space="preserve"> серия мероприятий повышения квалификации:</w:t>
      </w:r>
    </w:p>
    <w:p w:rsidR="00456032" w:rsidRPr="00456032" w:rsidRDefault="00456032" w:rsidP="00456032">
      <w:pPr>
        <w:spacing w:after="200" w:line="276" w:lineRule="auto"/>
        <w:jc w:val="both"/>
      </w:pPr>
      <w:r w:rsidRPr="00456032">
        <w:t xml:space="preserve">с 02 апреля по 30 апреля 2013 года  -  дистанционный курс в системе LMS по программе </w:t>
      </w:r>
      <w:bookmarkStart w:id="24" w:name="OLE_LINK3"/>
      <w:bookmarkStart w:id="25" w:name="OLE_LINK4"/>
      <w:r w:rsidRPr="00456032">
        <w:t>«Методика составления контрольных измерительных материалов для оценки результатов обучения»</w:t>
      </w:r>
      <w:bookmarkEnd w:id="24"/>
      <w:bookmarkEnd w:id="25"/>
      <w:r w:rsidRPr="00456032">
        <w:t xml:space="preserve">, срок обучения 36 </w:t>
      </w:r>
      <w:proofErr w:type="spellStart"/>
      <w:r w:rsidRPr="00456032">
        <w:t>ак.ч</w:t>
      </w:r>
      <w:proofErr w:type="spellEnd"/>
      <w:r w:rsidRPr="00456032">
        <w:t xml:space="preserve">. </w:t>
      </w:r>
    </w:p>
    <w:p w:rsidR="00456032" w:rsidRPr="00456032" w:rsidRDefault="00456032" w:rsidP="00456032">
      <w:pPr>
        <w:spacing w:after="200" w:line="276" w:lineRule="auto"/>
        <w:jc w:val="both"/>
      </w:pPr>
      <w:r w:rsidRPr="00456032">
        <w:t>Количество обученных слушателей: 21 чел.;</w:t>
      </w:r>
    </w:p>
    <w:p w:rsidR="00456032" w:rsidRPr="00456032" w:rsidRDefault="00456032" w:rsidP="00456032">
      <w:pPr>
        <w:spacing w:after="200" w:line="276" w:lineRule="auto"/>
        <w:jc w:val="both"/>
      </w:pPr>
      <w:r w:rsidRPr="00456032">
        <w:t xml:space="preserve">с 14 по 28 мая 2013 года - семинар по теме «Формирование </w:t>
      </w:r>
      <w:proofErr w:type="spellStart"/>
      <w:r w:rsidRPr="00456032">
        <w:t>компетентностной</w:t>
      </w:r>
      <w:proofErr w:type="spellEnd"/>
      <w:r w:rsidRPr="00456032">
        <w:t xml:space="preserve"> составляющей </w:t>
      </w:r>
      <w:proofErr w:type="gramStart"/>
      <w:r w:rsidRPr="00456032">
        <w:t>в</w:t>
      </w:r>
      <w:proofErr w:type="gramEnd"/>
      <w:r w:rsidRPr="00456032">
        <w:t xml:space="preserve"> </w:t>
      </w:r>
      <w:proofErr w:type="gramStart"/>
      <w:r w:rsidRPr="00456032">
        <w:t>КИМ</w:t>
      </w:r>
      <w:proofErr w:type="gramEnd"/>
      <w:r w:rsidRPr="00456032">
        <w:t xml:space="preserve"> нового поколения», срок обучения 12 </w:t>
      </w:r>
      <w:proofErr w:type="spellStart"/>
      <w:r w:rsidRPr="00456032">
        <w:t>ак.ч</w:t>
      </w:r>
      <w:proofErr w:type="spellEnd"/>
      <w:r w:rsidRPr="00456032">
        <w:t xml:space="preserve">. </w:t>
      </w:r>
    </w:p>
    <w:p w:rsidR="00456032" w:rsidRPr="00456032" w:rsidRDefault="00456032" w:rsidP="00456032">
      <w:pPr>
        <w:spacing w:after="200" w:line="276" w:lineRule="auto"/>
        <w:jc w:val="both"/>
      </w:pPr>
      <w:r w:rsidRPr="00456032">
        <w:t>Количество обученных слушателей: 24 чел.;</w:t>
      </w:r>
    </w:p>
    <w:p w:rsidR="00456032" w:rsidRPr="00456032" w:rsidRDefault="00456032" w:rsidP="00456032">
      <w:pPr>
        <w:spacing w:after="200" w:line="276" w:lineRule="auto"/>
        <w:jc w:val="both"/>
      </w:pPr>
      <w:r w:rsidRPr="00456032">
        <w:t xml:space="preserve">28 и 29 октября 2013 г. - семинар по теме «Оценка качества КИМ к образовательным стандартам НИУ ВШЭ», срок обучения 12 </w:t>
      </w:r>
      <w:proofErr w:type="spellStart"/>
      <w:r w:rsidRPr="00456032">
        <w:t>ак.ч</w:t>
      </w:r>
      <w:proofErr w:type="spellEnd"/>
      <w:r w:rsidRPr="00456032">
        <w:t xml:space="preserve">. </w:t>
      </w:r>
    </w:p>
    <w:p w:rsidR="00456032" w:rsidRPr="00456032" w:rsidRDefault="00456032" w:rsidP="00456032">
      <w:pPr>
        <w:spacing w:after="200" w:line="276" w:lineRule="auto"/>
        <w:jc w:val="both"/>
      </w:pPr>
      <w:r w:rsidRPr="00456032">
        <w:t>Количество обученных слушателей: 24 чел.;</w:t>
      </w:r>
    </w:p>
    <w:p w:rsidR="00456032" w:rsidRPr="00456032" w:rsidRDefault="00456032" w:rsidP="00456032">
      <w:pPr>
        <w:spacing w:after="200" w:line="276" w:lineRule="auto"/>
        <w:jc w:val="both"/>
      </w:pPr>
      <w:r w:rsidRPr="00456032">
        <w:t xml:space="preserve">08 и 12 ноября 2013 г. – семинар по теме «Интерпретация результатов тестирования и доработка контрольных измерительных материалов к образовательным стандартам НИУ ВШЭ в рамках сертификационных требований», срок обучения – 6 </w:t>
      </w:r>
      <w:proofErr w:type="spellStart"/>
      <w:r w:rsidRPr="00456032">
        <w:t>ак.ч</w:t>
      </w:r>
      <w:proofErr w:type="spellEnd"/>
      <w:r w:rsidRPr="00456032">
        <w:t>. Количество обученных слушателей: 23 чел.</w:t>
      </w:r>
    </w:p>
    <w:p w:rsidR="00456032" w:rsidRPr="00456032" w:rsidRDefault="00456032" w:rsidP="00456032">
      <w:pPr>
        <w:spacing w:after="200" w:line="276" w:lineRule="auto"/>
        <w:jc w:val="both"/>
      </w:pPr>
      <w:r w:rsidRPr="00456032">
        <w:lastRenderedPageBreak/>
        <w:t xml:space="preserve">В рамках обучения методологии </w:t>
      </w:r>
      <w:proofErr w:type="spellStart"/>
      <w:r w:rsidRPr="00456032">
        <w:t>компетентностного</w:t>
      </w:r>
      <w:proofErr w:type="spellEnd"/>
      <w:r w:rsidRPr="00456032">
        <w:t xml:space="preserve"> подхода к образовательным программам, реализуемым в НИУ ВШЭ, были проведены два семинара для целевой группы разработчиков методических документов </w:t>
      </w:r>
      <w:proofErr w:type="spellStart"/>
      <w:r w:rsidRPr="00456032">
        <w:t>компетентностного</w:t>
      </w:r>
      <w:proofErr w:type="spellEnd"/>
      <w:r w:rsidRPr="00456032">
        <w:t xml:space="preserve"> формата:</w:t>
      </w:r>
    </w:p>
    <w:p w:rsidR="00456032" w:rsidRPr="00456032" w:rsidRDefault="00456032" w:rsidP="00456032">
      <w:pPr>
        <w:spacing w:after="200" w:line="276" w:lineRule="auto"/>
        <w:jc w:val="both"/>
      </w:pPr>
      <w:r w:rsidRPr="00456032">
        <w:t xml:space="preserve">с 18 апреля по 06 мая 2013 года  - семинар по теме «Разработка </w:t>
      </w:r>
      <w:proofErr w:type="spellStart"/>
      <w:r w:rsidRPr="00456032">
        <w:t>компетентностных</w:t>
      </w:r>
      <w:proofErr w:type="spellEnd"/>
      <w:r w:rsidRPr="00456032">
        <w:t xml:space="preserve"> профилей направлений подготовки к образовательным стандартам НИУ ВШЭ». Срок обучения – 12 </w:t>
      </w:r>
      <w:proofErr w:type="spellStart"/>
      <w:r w:rsidRPr="00456032">
        <w:t>ак.ч</w:t>
      </w:r>
      <w:proofErr w:type="spellEnd"/>
      <w:r w:rsidRPr="00456032">
        <w:t>. Количество обученных слушателей: 27 чел.</w:t>
      </w:r>
    </w:p>
    <w:p w:rsidR="00456032" w:rsidRPr="00456032" w:rsidRDefault="00456032" w:rsidP="00456032">
      <w:pPr>
        <w:spacing w:after="200" w:line="276" w:lineRule="auto"/>
        <w:jc w:val="both"/>
      </w:pPr>
      <w:r w:rsidRPr="00456032">
        <w:t>25 июня 2013 года – семинар «Разработка паспортов системных компетенций»;</w:t>
      </w:r>
    </w:p>
    <w:p w:rsidR="00456032" w:rsidRPr="00456032" w:rsidRDefault="00456032" w:rsidP="00456032">
      <w:pPr>
        <w:spacing w:after="200" w:line="276" w:lineRule="auto"/>
        <w:jc w:val="both"/>
      </w:pPr>
      <w:r w:rsidRPr="00456032">
        <w:t>01 октября 2013 года – семинар «</w:t>
      </w:r>
      <w:proofErr w:type="spellStart"/>
      <w:r w:rsidRPr="00456032">
        <w:t>Компетентностные</w:t>
      </w:r>
      <w:proofErr w:type="spellEnd"/>
      <w:r w:rsidRPr="00456032">
        <w:t xml:space="preserve"> профили направлений подготовки НИУ ВШЭ: первые итоги работы».</w:t>
      </w:r>
    </w:p>
    <w:p w:rsidR="00456032" w:rsidRPr="00456032" w:rsidRDefault="003B3077" w:rsidP="00456032">
      <w:pPr>
        <w:spacing w:after="200" w:line="276" w:lineRule="auto"/>
        <w:jc w:val="both"/>
      </w:pPr>
      <w:r>
        <w:t>Июнь</w:t>
      </w:r>
      <w:r w:rsidR="00456032" w:rsidRPr="00456032">
        <w:t xml:space="preserve"> 2013 г. </w:t>
      </w:r>
      <w:r>
        <w:t xml:space="preserve"> – семинар </w:t>
      </w:r>
      <w:r w:rsidR="00456032" w:rsidRPr="00456032">
        <w:t xml:space="preserve">с разработчиками паспортов профессиональных социально-личностных компетенций. </w:t>
      </w:r>
    </w:p>
    <w:p w:rsidR="00DB05E6" w:rsidRPr="00DB05E6" w:rsidRDefault="00456032" w:rsidP="00456032">
      <w:pPr>
        <w:spacing w:after="200" w:line="276" w:lineRule="auto"/>
        <w:jc w:val="both"/>
      </w:pPr>
      <w:r w:rsidRPr="00456032">
        <w:t xml:space="preserve">Отдельным блоком было проведено повышение квалификации преподавателей направления подготовки «Социология» НИУ ВШЭ. </w:t>
      </w:r>
      <w:proofErr w:type="gramStart"/>
      <w:r w:rsidRPr="00456032">
        <w:t xml:space="preserve">Это обусловлено несколькими факторами: прохождением в этом году факультетом социологии международных экспертиз качества образовательных программ, реализуемым факультетом, а также активной работой Центра развития социологического образования (ЦРСО), возглавляемого </w:t>
      </w:r>
      <w:proofErr w:type="spellStart"/>
      <w:r w:rsidRPr="00456032">
        <w:t>Бершадской</w:t>
      </w:r>
      <w:proofErr w:type="spellEnd"/>
      <w:r w:rsidRPr="00456032">
        <w:t xml:space="preserve"> М.Д.  Для сотрудников НИУ ВШЭ и представителей ВУЗов - членов Консорциума вузов разработчиков ФГОС ВПО  проведены 01 и 07 ноября 2013 г. семинары по теме «Оценка качества образовательной программы: российский и международный</w:t>
      </w:r>
      <w:proofErr w:type="gramEnd"/>
      <w:r w:rsidRPr="00456032">
        <w:t xml:space="preserve"> опыт» с привлечением ведущих зарубежных специалистов и российских экспертов в области высшего образования</w:t>
      </w:r>
    </w:p>
    <w:p w:rsidR="001E1BEB" w:rsidRDefault="005005BC" w:rsidP="00985CF7">
      <w:pPr>
        <w:pStyle w:val="2"/>
        <w:numPr>
          <w:ilvl w:val="1"/>
          <w:numId w:val="1"/>
        </w:numPr>
      </w:pPr>
      <w:bookmarkStart w:id="26" w:name="_Toc374030048"/>
      <w:r>
        <w:t>Контрольно-измерительные материалы нового поколения</w:t>
      </w:r>
      <w:bookmarkEnd w:id="26"/>
    </w:p>
    <w:p w:rsidR="001E1BEB" w:rsidRDefault="001E1BEB" w:rsidP="001E1BEB">
      <w:pPr>
        <w:spacing w:after="200" w:line="276" w:lineRule="auto"/>
        <w:jc w:val="both"/>
      </w:pPr>
      <w:r>
        <w:t>В 2012-13 учебном году продолжена работа по формированию общеуниверситетского банка</w:t>
      </w:r>
      <w:r w:rsidRPr="001834D2">
        <w:t xml:space="preserve"> измерительных материалов</w:t>
      </w:r>
      <w:r>
        <w:t xml:space="preserve"> как</w:t>
      </w:r>
      <w:r w:rsidRPr="001834D2">
        <w:t xml:space="preserve"> инструмент</w:t>
      </w:r>
      <w:r>
        <w:t>ов</w:t>
      </w:r>
      <w:r w:rsidRPr="001834D2">
        <w:t xml:space="preserve"> для оценки </w:t>
      </w:r>
      <w:proofErr w:type="spellStart"/>
      <w:r w:rsidRPr="001834D2">
        <w:t>сформированности</w:t>
      </w:r>
      <w:proofErr w:type="spellEnd"/>
      <w:r w:rsidRPr="001834D2">
        <w:t xml:space="preserve"> образовательных результатов разного уровня. </w:t>
      </w:r>
    </w:p>
    <w:p w:rsidR="001E1BEB" w:rsidRDefault="001E1BEB" w:rsidP="001E1BEB">
      <w:pPr>
        <w:spacing w:after="200" w:line="276" w:lineRule="auto"/>
        <w:jc w:val="both"/>
      </w:pPr>
      <w:proofErr w:type="gramStart"/>
      <w:r>
        <w:t xml:space="preserve">Разработаны КИМ </w:t>
      </w:r>
      <w:r w:rsidRPr="001E1BEB">
        <w:t>по основным дисциплинам «ядра» направлений подготовки бакалавров и магистров, реализуемым по образовательным стандартам НИУ ВШЭ</w:t>
      </w:r>
      <w:r>
        <w:t>:</w:t>
      </w:r>
      <w:proofErr w:type="gramEnd"/>
    </w:p>
    <w:p w:rsidR="001E1BEB" w:rsidRPr="001E1BEB" w:rsidRDefault="001E1BEB" w:rsidP="002B51DC">
      <w:pPr>
        <w:pStyle w:val="a5"/>
        <w:numPr>
          <w:ilvl w:val="0"/>
          <w:numId w:val="33"/>
        </w:numPr>
        <w:jc w:val="both"/>
        <w:rPr>
          <w:sz w:val="24"/>
        </w:rPr>
      </w:pPr>
      <w:r w:rsidRPr="001E1BEB">
        <w:rPr>
          <w:sz w:val="24"/>
        </w:rPr>
        <w:t xml:space="preserve">98 вариантов тестов для проверки знаний, умений и навыков (остаточных знаний) и уровня </w:t>
      </w:r>
      <w:proofErr w:type="spellStart"/>
      <w:r w:rsidRPr="001E1BEB">
        <w:rPr>
          <w:sz w:val="24"/>
        </w:rPr>
        <w:t>сформированности</w:t>
      </w:r>
      <w:proofErr w:type="spellEnd"/>
      <w:r w:rsidRPr="001E1BEB">
        <w:rPr>
          <w:sz w:val="24"/>
        </w:rPr>
        <w:t xml:space="preserve"> компетенций по 27 направлениям подготовки уровней бакалавров и магистров; </w:t>
      </w:r>
    </w:p>
    <w:p w:rsidR="001E1BEB" w:rsidRPr="001E1BEB" w:rsidRDefault="001E1BEB" w:rsidP="002B51DC">
      <w:pPr>
        <w:pStyle w:val="a5"/>
        <w:numPr>
          <w:ilvl w:val="0"/>
          <w:numId w:val="33"/>
        </w:numPr>
        <w:jc w:val="both"/>
        <w:rPr>
          <w:sz w:val="24"/>
        </w:rPr>
      </w:pPr>
      <w:r w:rsidRPr="001E1BEB">
        <w:rPr>
          <w:sz w:val="24"/>
        </w:rPr>
        <w:t xml:space="preserve">900 </w:t>
      </w:r>
      <w:proofErr w:type="spellStart"/>
      <w:r w:rsidRPr="001E1BEB">
        <w:rPr>
          <w:sz w:val="24"/>
        </w:rPr>
        <w:t>компетентностно</w:t>
      </w:r>
      <w:proofErr w:type="spellEnd"/>
      <w:r w:rsidRPr="001E1BEB">
        <w:rPr>
          <w:sz w:val="24"/>
        </w:rPr>
        <w:t xml:space="preserve">-ориентированных заданий (КОТЗ) по специальному шаблону, </w:t>
      </w:r>
      <w:proofErr w:type="gramStart"/>
      <w:r w:rsidRPr="001E1BEB">
        <w:rPr>
          <w:sz w:val="24"/>
        </w:rPr>
        <w:t>выявляющим</w:t>
      </w:r>
      <w:proofErr w:type="gramEnd"/>
      <w:r w:rsidRPr="001E1BEB">
        <w:rPr>
          <w:sz w:val="24"/>
        </w:rPr>
        <w:t xml:space="preserve"> связь между компетенциями, заявленными в образовательном стандарте.  </w:t>
      </w:r>
    </w:p>
    <w:p w:rsidR="001E1BEB" w:rsidRDefault="001E1BEB" w:rsidP="001E1BEB">
      <w:pPr>
        <w:spacing w:after="200" w:line="276" w:lineRule="auto"/>
        <w:jc w:val="both"/>
      </w:pPr>
      <w:r>
        <w:t>Все договоры на создание КИМ являются договорами авторского заказа. Таким образом, многие преподаватели ВШЭ при поддержке Методического управления активно работают в поле создания результатов интеллектуальной деятельности (РИД) НИУ ВШЭ, пользуясь и оформляя согласно авторскому праву созданные произведения.</w:t>
      </w:r>
    </w:p>
    <w:p w:rsidR="001E1BEB" w:rsidRDefault="001E1BEB" w:rsidP="001E1BEB">
      <w:pPr>
        <w:spacing w:after="200" w:line="276" w:lineRule="auto"/>
        <w:jc w:val="both"/>
      </w:pPr>
      <w:r>
        <w:lastRenderedPageBreak/>
        <w:t xml:space="preserve">Нововведением 2012-13 </w:t>
      </w:r>
      <w:proofErr w:type="spellStart"/>
      <w:r>
        <w:t>уч.г</w:t>
      </w:r>
      <w:proofErr w:type="spellEnd"/>
      <w:r>
        <w:t>. явились разработанные унифицированные шаблоны оформления спецификации и вариантов тестов НИУ ВШЭ согласно внешнему оформлению и использованию логотипа НИУ «Высшая школа экономики».</w:t>
      </w:r>
    </w:p>
    <w:p w:rsidR="001E1BEB" w:rsidRDefault="001E1BEB" w:rsidP="001E1BEB">
      <w:pPr>
        <w:spacing w:after="200" w:line="276" w:lineRule="auto"/>
        <w:jc w:val="both"/>
      </w:pPr>
      <w:r>
        <w:t xml:space="preserve">Разработкой КИМ занимались 53 автора-преподавателя ВШЭ по 44 дисциплинам различных факультетов/отделений ВШЭ. </w:t>
      </w:r>
      <w:proofErr w:type="gramStart"/>
      <w:r>
        <w:t>Созданы и доработаны</w:t>
      </w:r>
      <w:proofErr w:type="gramEnd"/>
      <w:r>
        <w:t xml:space="preserve"> 44 </w:t>
      </w:r>
      <w:proofErr w:type="spellStart"/>
      <w:r>
        <w:t>компетентностные</w:t>
      </w:r>
      <w:proofErr w:type="spellEnd"/>
      <w:r>
        <w:t xml:space="preserve"> карты дисциплин.</w:t>
      </w:r>
    </w:p>
    <w:p w:rsidR="001E1BEB" w:rsidRDefault="001E1BEB" w:rsidP="001E1BEB">
      <w:pPr>
        <w:spacing w:after="200" w:line="276" w:lineRule="auto"/>
        <w:jc w:val="both"/>
      </w:pPr>
      <w:r>
        <w:t xml:space="preserve">Нужно отметить, что в 2012-13 уч. году в разработку КИМ общеуниверситетского банка активно включились Высшая школа </w:t>
      </w:r>
      <w:proofErr w:type="spellStart"/>
      <w:r>
        <w:t>урбанистики</w:t>
      </w:r>
      <w:proofErr w:type="spellEnd"/>
      <w:r>
        <w:t xml:space="preserve"> (ВШУ), факультет логистики, факультет филологии и МИЭМ.</w:t>
      </w:r>
    </w:p>
    <w:p w:rsidR="001E1BEB" w:rsidRPr="001834D2" w:rsidRDefault="001E1BEB" w:rsidP="001E1BEB">
      <w:pPr>
        <w:spacing w:after="200" w:line="276" w:lineRule="auto"/>
        <w:jc w:val="both"/>
      </w:pPr>
      <w:r>
        <w:t xml:space="preserve">Самый большой охват дисциплин по разработке КИМ - у факультета права, экономики, </w:t>
      </w:r>
      <w:proofErr w:type="gramStart"/>
      <w:r>
        <w:t>бизнес-информатики</w:t>
      </w:r>
      <w:proofErr w:type="gramEnd"/>
      <w:r>
        <w:t xml:space="preserve"> НИУ ВШЭ.</w:t>
      </w:r>
    </w:p>
    <w:p w:rsidR="001E1BEB" w:rsidRDefault="001E1BEB" w:rsidP="001E1BEB">
      <w:pPr>
        <w:spacing w:after="200" w:line="276" w:lineRule="auto"/>
        <w:jc w:val="both"/>
      </w:pPr>
      <w:r>
        <w:t xml:space="preserve">Традиционно все КИМ НИУ ВШЭ прошли внутреннюю экспертизу качества педагогических тестовых материалов, включающую в себя предметную, </w:t>
      </w:r>
      <w:proofErr w:type="spellStart"/>
      <w:r>
        <w:t>тестологическую</w:t>
      </w:r>
      <w:proofErr w:type="spellEnd"/>
      <w:r>
        <w:t xml:space="preserve"> и статистическую экспертизы. В группе эксперты КИМ работали ведущие преподаватели  ВШЭ и привлеченные эксперты из других вузов, сотрудники Института образования НИУ ВШЭ, магистры и выпускники программы «Изменения в психологии и образовании». </w:t>
      </w:r>
    </w:p>
    <w:p w:rsidR="001E1BEB" w:rsidRPr="00B023D4" w:rsidRDefault="001E1BEB" w:rsidP="001E1BEB">
      <w:pPr>
        <w:spacing w:after="200" w:line="276" w:lineRule="auto"/>
        <w:jc w:val="both"/>
      </w:pPr>
      <w:r>
        <w:t xml:space="preserve">В 2012-13 уч. г. продолжается процедура сертификации КИМ НИУ ВШЭ </w:t>
      </w:r>
      <w:r w:rsidRPr="00B023D4">
        <w:t>внешним экспертным органом, уполномоченным в области сертификации педагогических тестовых материалов.</w:t>
      </w:r>
      <w:r>
        <w:t xml:space="preserve"> На сертификацию КИМ </w:t>
      </w:r>
      <w:proofErr w:type="gramStart"/>
      <w:r>
        <w:t>выдвинуты</w:t>
      </w:r>
      <w:proofErr w:type="gramEnd"/>
      <w:r>
        <w:t xml:space="preserve"> 47 вариантов тестов, разработанных </w:t>
      </w:r>
      <w:r w:rsidRPr="00B023D4">
        <w:t>преподавателями Университета.</w:t>
      </w:r>
    </w:p>
    <w:p w:rsidR="001E1BEB" w:rsidRDefault="001E1BEB" w:rsidP="001E1BEB">
      <w:pPr>
        <w:spacing w:after="200" w:line="276" w:lineRule="auto"/>
        <w:jc w:val="both"/>
      </w:pPr>
      <w:r w:rsidRPr="00B023D4">
        <w:t>В рамках формирования пула квалифицированных специалистов ВШЭ</w:t>
      </w:r>
      <w:r w:rsidRPr="00B023D4">
        <w:br/>
        <w:t>в области разработки измерителей нового поколения в высшем образовании, подготовлены требования к сертификации КИМ и сертификации разработчиков КИМ. Эта работа проведена в рамках планирования образования Центра сертификации НИУ ВШЭ.</w:t>
      </w:r>
    </w:p>
    <w:p w:rsidR="001E1BEB" w:rsidRPr="009A76C0" w:rsidRDefault="001E1BEB" w:rsidP="001E1BEB">
      <w:pPr>
        <w:spacing w:after="200" w:line="276" w:lineRule="auto"/>
        <w:jc w:val="both"/>
      </w:pPr>
      <w:r>
        <w:t xml:space="preserve">В рамках проекта </w:t>
      </w:r>
      <w:r w:rsidRPr="001834D2">
        <w:t>организовано</w:t>
      </w:r>
      <w:r>
        <w:t xml:space="preserve"> постоянно функционирующее</w:t>
      </w:r>
      <w:r w:rsidRPr="001834D2">
        <w:t xml:space="preserve"> повышение квалификации для </w:t>
      </w:r>
      <w:r>
        <w:t xml:space="preserve"> разработчиков КИМ. Все материалы ПК выложены в системе </w:t>
      </w:r>
      <w:r w:rsidRPr="001E1BEB">
        <w:t>LMS</w:t>
      </w:r>
      <w:r>
        <w:t>.</w:t>
      </w:r>
    </w:p>
    <w:p w:rsidR="001E1BEB" w:rsidRPr="001E1BEB" w:rsidRDefault="001E1BEB" w:rsidP="001E1BEB">
      <w:pPr>
        <w:spacing w:after="200" w:line="276" w:lineRule="auto"/>
        <w:jc w:val="both"/>
      </w:pPr>
      <w:r>
        <w:t xml:space="preserve">В 2012-13 уч. г. начата экспериментальная разработка банков заданий преподавателями ВШЭ для проведения компьютерного адаптивного тестирования (КАТ) при поддержке высококвалифицированных специалистов международного уровня в области КАТ из Института образования НИУ ВШЭ. </w:t>
      </w:r>
      <w:r w:rsidRPr="00E20723">
        <w:t xml:space="preserve">При компьютерном адаптивном тестировании (КАТ) для каждого </w:t>
      </w:r>
      <w:r>
        <w:t>оцениваемого респондента</w:t>
      </w:r>
      <w:r w:rsidRPr="00E20723">
        <w:t xml:space="preserve"> в процессе тестирования формируется индивидуальный набор заданий</w:t>
      </w:r>
      <w:r>
        <w:t xml:space="preserve"> согласно уровню сформированных компетенций.  Разработка, экспертиза и калибровка, формирование калиброванных банков заданий по дисциплинам – первые шаги в формировании </w:t>
      </w:r>
      <w:r w:rsidRPr="00B023D4">
        <w:t>специального модуля LMS КИМ «Автоматизированная среда для создания, хранения и использования тестовых заданий» для проведения КАТ.</w:t>
      </w:r>
    </w:p>
    <w:p w:rsidR="00F53328" w:rsidRDefault="005005BC" w:rsidP="00985CF7">
      <w:pPr>
        <w:pStyle w:val="2"/>
        <w:numPr>
          <w:ilvl w:val="1"/>
          <w:numId w:val="1"/>
        </w:numPr>
      </w:pPr>
      <w:bookmarkStart w:id="27" w:name="_Toc374030049"/>
      <w:r>
        <w:lastRenderedPageBreak/>
        <w:t xml:space="preserve">Анализ размещения программ учебных дисциплин  на </w:t>
      </w:r>
      <w:proofErr w:type="gramStart"/>
      <w:r>
        <w:t>портале</w:t>
      </w:r>
      <w:proofErr w:type="gramEnd"/>
      <w:r>
        <w:t>, выборочный анализ качества программ дисциплин</w:t>
      </w:r>
      <w:bookmarkEnd w:id="27"/>
    </w:p>
    <w:p w:rsidR="00834AEA" w:rsidRDefault="00E96760" w:rsidP="00E96760">
      <w:pPr>
        <w:spacing w:after="200" w:line="276" w:lineRule="auto"/>
        <w:jc w:val="both"/>
      </w:pPr>
      <w:r w:rsidRPr="00E96760">
        <w:t>В 2012-2013 учебном году ситуация с размещением на портале программ учебных дисциплин</w:t>
      </w:r>
      <w:r w:rsidR="00834AEA">
        <w:t xml:space="preserve"> (ПУД)</w:t>
      </w:r>
      <w:r w:rsidRPr="00E96760">
        <w:t xml:space="preserve"> сохраняла ранее применяемый принцип: однажды размещенные в </w:t>
      </w:r>
      <w:r w:rsidR="00834AEA">
        <w:t>базе данных (БД) портала</w:t>
      </w:r>
      <w:r w:rsidRPr="00E96760">
        <w:t xml:space="preserve"> «Учебные курсы» программы закрепляются за годом преподавания и в следующем учебном году попадают в архив. Для актуализации программ текущего учебного года осуществляется их автоматическая загрузка в соответствии с </w:t>
      </w:r>
      <w:r w:rsidR="00834AEA">
        <w:t>рабочими учебными планами (</w:t>
      </w:r>
      <w:proofErr w:type="spellStart"/>
      <w:r w:rsidRPr="00E96760">
        <w:t>РУПами</w:t>
      </w:r>
      <w:proofErr w:type="spellEnd"/>
      <w:r w:rsidR="00834AEA">
        <w:t>)</w:t>
      </w:r>
      <w:r w:rsidRPr="00E96760">
        <w:t xml:space="preserve"> и проверка авторами-разработчиками и ответственными за размещение ПУД на портале от кафедр/факультетов. Возможность автоматического перенесения программы, с одной стороны, удобна тем, что сокращает рутинный труд преподавателей и сотрудников </w:t>
      </w:r>
      <w:proofErr w:type="gramStart"/>
      <w:r w:rsidRPr="00E96760">
        <w:t>кафедр</w:t>
      </w:r>
      <w:proofErr w:type="gramEnd"/>
      <w:r w:rsidRPr="00E96760">
        <w:t xml:space="preserve"> по размещению утвержденных и действующих программ, с другой стороны –  допускает недобросовестное отношение к необходимости обновления размещенной на портале информации. Например, на начало 2012 -2013 учебного года размещение программ по некоторым подразделениям в количественном отношении попадало в интервал 0-30% (в основном, это касалось подразделений  присоединившегося МИЭМ). Отсутствие на </w:t>
      </w:r>
      <w:proofErr w:type="gramStart"/>
      <w:r w:rsidRPr="00E96760">
        <w:t>портале</w:t>
      </w:r>
      <w:proofErr w:type="gramEnd"/>
      <w:r w:rsidRPr="00E96760">
        <w:t xml:space="preserve"> программ дисциплин пагубно сказывалось на возможностях выбора студентами </w:t>
      </w:r>
      <w:proofErr w:type="spellStart"/>
      <w:r w:rsidRPr="00E96760">
        <w:t>элективов</w:t>
      </w:r>
      <w:proofErr w:type="spellEnd"/>
      <w:r w:rsidRPr="00E96760">
        <w:t xml:space="preserve"> и факультативов. </w:t>
      </w:r>
    </w:p>
    <w:p w:rsidR="00E96760" w:rsidRPr="00E96760" w:rsidRDefault="00E96760" w:rsidP="00E96760">
      <w:pPr>
        <w:spacing w:after="200" w:line="276" w:lineRule="auto"/>
        <w:jc w:val="both"/>
      </w:pPr>
      <w:r w:rsidRPr="00E96760">
        <w:t xml:space="preserve">В течение </w:t>
      </w:r>
      <w:r w:rsidR="00834AEA">
        <w:t xml:space="preserve">года силами помощника первого проректора </w:t>
      </w:r>
      <w:proofErr w:type="spellStart"/>
      <w:r w:rsidR="00834AEA">
        <w:t>Радаева</w:t>
      </w:r>
      <w:proofErr w:type="spellEnd"/>
      <w:r w:rsidR="00834AEA">
        <w:t xml:space="preserve"> В.В.</w:t>
      </w:r>
      <w:r w:rsidRPr="00E96760">
        <w:t xml:space="preserve"> и Методического управления проводилась работа по анализу </w:t>
      </w:r>
      <w:proofErr w:type="gramStart"/>
      <w:r w:rsidRPr="00E96760">
        <w:t>причин отсутствия  программ учебных дисциплин конкретных преподавателей</w:t>
      </w:r>
      <w:proofErr w:type="gramEnd"/>
      <w:r w:rsidRPr="00E96760">
        <w:t xml:space="preserve"> и кафедр/департаментов. Анализ выявил ряд системных недочетов (в частности, связанных с потерей данных о программе дисциплины в связи с техническими обновлениями </w:t>
      </w:r>
      <w:proofErr w:type="spellStart"/>
      <w:r w:rsidRPr="00E96760">
        <w:t>РУПов</w:t>
      </w:r>
      <w:proofErr w:type="spellEnd"/>
      <w:r w:rsidRPr="00E96760">
        <w:t xml:space="preserve"> на портале; множественным учетом сотрудников, совмещающих преподавание на разных кафедрах и т.п.), но и влияние человеческого фактора. Например, </w:t>
      </w:r>
      <w:proofErr w:type="gramStart"/>
      <w:r w:rsidRPr="00E96760">
        <w:t>ряд сотрудников считал программы учебных дисциплин авторским продуктом и отказывался размещать</w:t>
      </w:r>
      <w:proofErr w:type="gramEnd"/>
      <w:r w:rsidRPr="00E96760">
        <w:t xml:space="preserve"> их в свободном доступе. Некоторые преподаватели целиком полагались на </w:t>
      </w:r>
      <w:proofErr w:type="gramStart"/>
      <w:r w:rsidRPr="00E96760">
        <w:t>ответственного</w:t>
      </w:r>
      <w:proofErr w:type="gramEnd"/>
      <w:r w:rsidRPr="00E96760">
        <w:t xml:space="preserve"> за программы учебных дисциплин на кафедре/факультете, не считая их обновление и размещение зоной своей личной ответственности. Отдельной проблемой явилось размещение на </w:t>
      </w:r>
      <w:proofErr w:type="gramStart"/>
      <w:r w:rsidRPr="00E96760">
        <w:t>портале</w:t>
      </w:r>
      <w:proofErr w:type="gramEnd"/>
      <w:r w:rsidRPr="00E96760">
        <w:t xml:space="preserve"> так называемых «авторских» версий ПУД – т.е. программ, которые не прошли даже первичного обсуждения в подразделениях и не всегда соответствовали общим требованиям к содержанию и оформлению ПУД.</w:t>
      </w:r>
    </w:p>
    <w:p w:rsidR="00E96760" w:rsidRPr="00E96760" w:rsidRDefault="00E96760" w:rsidP="00E96760">
      <w:pPr>
        <w:spacing w:after="200" w:line="276" w:lineRule="auto"/>
        <w:jc w:val="both"/>
      </w:pPr>
      <w:r w:rsidRPr="00E96760">
        <w:t>Статистика базы данных «Учебные курсы» содержит данные о статусе программ учебных дисциплин по состоянию утверждения</w:t>
      </w:r>
      <w:r>
        <w:rPr>
          <w:rStyle w:val="ac"/>
        </w:rPr>
        <w:footnoteReference w:id="4"/>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0"/>
        <w:gridCol w:w="1589"/>
        <w:gridCol w:w="2013"/>
        <w:gridCol w:w="2186"/>
        <w:gridCol w:w="2017"/>
      </w:tblGrid>
      <w:tr w:rsidR="00E96760" w:rsidRPr="00E96760" w:rsidTr="00F53328">
        <w:trPr>
          <w:trHeight w:val="681"/>
        </w:trPr>
        <w:tc>
          <w:tcPr>
            <w:tcW w:w="925" w:type="pct"/>
            <w:vMerge w:val="restart"/>
            <w:vAlign w:val="center"/>
          </w:tcPr>
          <w:p w:rsidR="00E96760" w:rsidRPr="00E96760" w:rsidRDefault="00E96760" w:rsidP="00F53328">
            <w:pPr>
              <w:rPr>
                <w:rFonts w:asciiTheme="majorHAnsi" w:hAnsiTheme="majorHAnsi"/>
                <w:lang w:eastAsia="ko-KR"/>
              </w:rPr>
            </w:pPr>
            <w:r w:rsidRPr="00E96760">
              <w:rPr>
                <w:rFonts w:asciiTheme="majorHAnsi" w:hAnsiTheme="majorHAnsi"/>
                <w:lang w:eastAsia="ko-KR"/>
              </w:rPr>
              <w:t>Учебный год</w:t>
            </w:r>
          </w:p>
        </w:tc>
        <w:tc>
          <w:tcPr>
            <w:tcW w:w="836" w:type="pct"/>
            <w:vAlign w:val="center"/>
          </w:tcPr>
          <w:p w:rsidR="00E96760" w:rsidRPr="00E96760" w:rsidRDefault="00E96760" w:rsidP="00F53328">
            <w:pPr>
              <w:jc w:val="center"/>
              <w:rPr>
                <w:rFonts w:asciiTheme="majorHAnsi" w:hAnsiTheme="majorHAnsi"/>
                <w:lang w:eastAsia="ko-KR"/>
              </w:rPr>
            </w:pPr>
            <w:r w:rsidRPr="00E96760">
              <w:rPr>
                <w:rFonts w:asciiTheme="majorHAnsi" w:hAnsiTheme="majorHAnsi"/>
                <w:lang w:eastAsia="ko-KR"/>
              </w:rPr>
              <w:t>версия автора</w:t>
            </w:r>
          </w:p>
        </w:tc>
        <w:tc>
          <w:tcPr>
            <w:tcW w:w="1057" w:type="pct"/>
            <w:vAlign w:val="center"/>
          </w:tcPr>
          <w:p w:rsidR="00E96760" w:rsidRPr="00E96760" w:rsidRDefault="00E96760" w:rsidP="00F53328">
            <w:pPr>
              <w:jc w:val="center"/>
              <w:rPr>
                <w:rFonts w:asciiTheme="majorHAnsi" w:hAnsiTheme="majorHAnsi"/>
                <w:lang w:eastAsia="ko-KR"/>
              </w:rPr>
            </w:pPr>
            <w:r w:rsidRPr="00E96760">
              <w:rPr>
                <w:rFonts w:asciiTheme="majorHAnsi" w:hAnsiTheme="majorHAnsi"/>
                <w:lang w:eastAsia="ko-KR"/>
              </w:rPr>
              <w:t>утверждено кафедрой</w:t>
            </w:r>
          </w:p>
        </w:tc>
        <w:tc>
          <w:tcPr>
            <w:tcW w:w="1123" w:type="pct"/>
            <w:vAlign w:val="center"/>
          </w:tcPr>
          <w:p w:rsidR="00E96760" w:rsidRPr="00E96760" w:rsidRDefault="00E96760" w:rsidP="00F53328">
            <w:pPr>
              <w:jc w:val="center"/>
              <w:rPr>
                <w:rFonts w:asciiTheme="majorHAnsi" w:hAnsiTheme="majorHAnsi"/>
                <w:lang w:eastAsia="ko-KR"/>
              </w:rPr>
            </w:pPr>
            <w:r w:rsidRPr="00E96760">
              <w:rPr>
                <w:rFonts w:asciiTheme="majorHAnsi" w:hAnsiTheme="majorHAnsi"/>
                <w:lang w:eastAsia="ko-KR"/>
              </w:rPr>
              <w:t>утверждено профессиональной коллегией УМС</w:t>
            </w:r>
          </w:p>
        </w:tc>
        <w:tc>
          <w:tcPr>
            <w:tcW w:w="1059" w:type="pct"/>
            <w:vAlign w:val="center"/>
          </w:tcPr>
          <w:p w:rsidR="00E96760" w:rsidRPr="00E96760" w:rsidRDefault="00E96760" w:rsidP="00F53328">
            <w:pPr>
              <w:jc w:val="center"/>
              <w:rPr>
                <w:rFonts w:asciiTheme="majorHAnsi" w:hAnsiTheme="majorHAnsi"/>
                <w:lang w:eastAsia="ko-KR"/>
              </w:rPr>
            </w:pPr>
            <w:r w:rsidRPr="00E96760">
              <w:rPr>
                <w:rFonts w:asciiTheme="majorHAnsi" w:hAnsiTheme="majorHAnsi"/>
                <w:lang w:eastAsia="ko-KR"/>
              </w:rPr>
              <w:t>утверждено УС</w:t>
            </w:r>
            <w:r w:rsidR="00F53328">
              <w:rPr>
                <w:rFonts w:asciiTheme="majorHAnsi" w:hAnsiTheme="majorHAnsi"/>
                <w:lang w:eastAsia="ko-KR"/>
              </w:rPr>
              <w:t xml:space="preserve"> факультета</w:t>
            </w:r>
          </w:p>
        </w:tc>
      </w:tr>
      <w:tr w:rsidR="00E96760" w:rsidRPr="00E96760" w:rsidTr="00F53328">
        <w:trPr>
          <w:trHeight w:val="246"/>
        </w:trPr>
        <w:tc>
          <w:tcPr>
            <w:tcW w:w="925" w:type="pct"/>
            <w:vMerge/>
            <w:vAlign w:val="center"/>
          </w:tcPr>
          <w:p w:rsidR="00E96760" w:rsidRPr="00E96760" w:rsidRDefault="00E96760" w:rsidP="00F53328">
            <w:pPr>
              <w:rPr>
                <w:rFonts w:asciiTheme="majorHAnsi" w:hAnsiTheme="majorHAnsi"/>
                <w:lang w:eastAsia="ko-KR"/>
              </w:rPr>
            </w:pPr>
          </w:p>
        </w:tc>
        <w:tc>
          <w:tcPr>
            <w:tcW w:w="4075" w:type="pct"/>
            <w:gridSpan w:val="4"/>
            <w:vAlign w:val="center"/>
          </w:tcPr>
          <w:p w:rsidR="00E96760" w:rsidRPr="00E96760" w:rsidRDefault="00E96760" w:rsidP="00F53328">
            <w:pPr>
              <w:jc w:val="center"/>
              <w:rPr>
                <w:rFonts w:asciiTheme="majorHAnsi" w:hAnsiTheme="majorHAnsi"/>
                <w:lang w:eastAsia="ko-KR"/>
              </w:rPr>
            </w:pPr>
            <w:proofErr w:type="gramStart"/>
            <w:r w:rsidRPr="00E96760">
              <w:rPr>
                <w:rFonts w:asciiTheme="majorHAnsi" w:hAnsiTheme="majorHAnsi"/>
                <w:lang w:eastAsia="ko-KR"/>
              </w:rPr>
              <w:t>в</w:t>
            </w:r>
            <w:proofErr w:type="gramEnd"/>
            <w:r w:rsidRPr="00E96760">
              <w:rPr>
                <w:rFonts w:asciiTheme="majorHAnsi" w:hAnsiTheme="majorHAnsi"/>
                <w:lang w:eastAsia="ko-KR"/>
              </w:rPr>
              <w:t xml:space="preserve"> % от числа размещенных программ</w:t>
            </w:r>
          </w:p>
        </w:tc>
      </w:tr>
      <w:tr w:rsidR="00E96760" w:rsidRPr="00E96760" w:rsidTr="00F53328">
        <w:trPr>
          <w:trHeight w:val="276"/>
        </w:trPr>
        <w:tc>
          <w:tcPr>
            <w:tcW w:w="925" w:type="pct"/>
            <w:vAlign w:val="center"/>
          </w:tcPr>
          <w:p w:rsidR="00E96760" w:rsidRPr="00E96760" w:rsidRDefault="00E96760" w:rsidP="00F53328">
            <w:pPr>
              <w:rPr>
                <w:rFonts w:asciiTheme="majorHAnsi" w:hAnsiTheme="majorHAnsi"/>
                <w:lang w:eastAsia="ko-KR"/>
              </w:rPr>
            </w:pPr>
            <w:r w:rsidRPr="00E96760">
              <w:rPr>
                <w:rFonts w:asciiTheme="majorHAnsi" w:hAnsiTheme="majorHAnsi"/>
                <w:lang w:eastAsia="ko-KR"/>
              </w:rPr>
              <w:t xml:space="preserve">2010/2011 </w:t>
            </w:r>
          </w:p>
        </w:tc>
        <w:tc>
          <w:tcPr>
            <w:tcW w:w="836" w:type="pct"/>
            <w:vAlign w:val="center"/>
          </w:tcPr>
          <w:p w:rsidR="00E96760" w:rsidRPr="00E96760" w:rsidRDefault="00E96760" w:rsidP="00F53328">
            <w:pPr>
              <w:jc w:val="center"/>
              <w:rPr>
                <w:rFonts w:asciiTheme="majorHAnsi" w:hAnsiTheme="majorHAnsi"/>
                <w:lang w:eastAsia="ko-KR"/>
              </w:rPr>
            </w:pPr>
            <w:r w:rsidRPr="00E96760">
              <w:rPr>
                <w:rFonts w:asciiTheme="majorHAnsi" w:hAnsiTheme="majorHAnsi"/>
                <w:lang w:eastAsia="ko-KR"/>
              </w:rPr>
              <w:t>35</w:t>
            </w:r>
          </w:p>
        </w:tc>
        <w:tc>
          <w:tcPr>
            <w:tcW w:w="1057" w:type="pct"/>
            <w:vAlign w:val="center"/>
          </w:tcPr>
          <w:p w:rsidR="00E96760" w:rsidRPr="00E96760" w:rsidRDefault="00E96760" w:rsidP="00F53328">
            <w:pPr>
              <w:jc w:val="center"/>
              <w:rPr>
                <w:rFonts w:asciiTheme="majorHAnsi" w:hAnsiTheme="majorHAnsi"/>
                <w:lang w:eastAsia="ko-KR"/>
              </w:rPr>
            </w:pPr>
            <w:r w:rsidRPr="00E96760">
              <w:rPr>
                <w:rFonts w:asciiTheme="majorHAnsi" w:hAnsiTheme="majorHAnsi"/>
                <w:lang w:eastAsia="ko-KR"/>
              </w:rPr>
              <w:t>16,5</w:t>
            </w:r>
          </w:p>
        </w:tc>
        <w:tc>
          <w:tcPr>
            <w:tcW w:w="1123" w:type="pct"/>
            <w:vAlign w:val="center"/>
          </w:tcPr>
          <w:p w:rsidR="00E96760" w:rsidRPr="00E96760" w:rsidRDefault="00E96760" w:rsidP="00F53328">
            <w:pPr>
              <w:jc w:val="center"/>
              <w:rPr>
                <w:rFonts w:asciiTheme="majorHAnsi" w:hAnsiTheme="majorHAnsi"/>
                <w:lang w:eastAsia="ko-KR"/>
              </w:rPr>
            </w:pPr>
            <w:r w:rsidRPr="00E96760">
              <w:rPr>
                <w:rFonts w:asciiTheme="majorHAnsi" w:hAnsiTheme="majorHAnsi"/>
                <w:lang w:eastAsia="ko-KR"/>
              </w:rPr>
              <w:t>13</w:t>
            </w:r>
          </w:p>
        </w:tc>
        <w:tc>
          <w:tcPr>
            <w:tcW w:w="1059" w:type="pct"/>
            <w:vAlign w:val="center"/>
          </w:tcPr>
          <w:p w:rsidR="00E96760" w:rsidRPr="00E96760" w:rsidRDefault="00E96760" w:rsidP="00F53328">
            <w:pPr>
              <w:jc w:val="center"/>
              <w:rPr>
                <w:rFonts w:asciiTheme="majorHAnsi" w:hAnsiTheme="majorHAnsi"/>
                <w:lang w:eastAsia="ko-KR"/>
              </w:rPr>
            </w:pPr>
            <w:r w:rsidRPr="00E96760">
              <w:rPr>
                <w:rFonts w:asciiTheme="majorHAnsi" w:hAnsiTheme="majorHAnsi"/>
                <w:lang w:eastAsia="ko-KR"/>
              </w:rPr>
              <w:t>35</w:t>
            </w:r>
          </w:p>
        </w:tc>
      </w:tr>
      <w:tr w:rsidR="00E96760" w:rsidRPr="00E96760" w:rsidTr="00F53328">
        <w:trPr>
          <w:trHeight w:val="276"/>
        </w:trPr>
        <w:tc>
          <w:tcPr>
            <w:tcW w:w="925" w:type="pct"/>
            <w:vAlign w:val="center"/>
          </w:tcPr>
          <w:p w:rsidR="00E96760" w:rsidRPr="00E96760" w:rsidRDefault="00E96760" w:rsidP="00F53328">
            <w:pPr>
              <w:rPr>
                <w:rFonts w:asciiTheme="majorHAnsi" w:hAnsiTheme="majorHAnsi"/>
                <w:lang w:eastAsia="ko-KR"/>
              </w:rPr>
            </w:pPr>
            <w:r w:rsidRPr="00E96760">
              <w:rPr>
                <w:rFonts w:asciiTheme="majorHAnsi" w:hAnsiTheme="majorHAnsi"/>
                <w:lang w:eastAsia="ko-KR"/>
              </w:rPr>
              <w:t>2011/2012</w:t>
            </w:r>
          </w:p>
        </w:tc>
        <w:tc>
          <w:tcPr>
            <w:tcW w:w="836" w:type="pct"/>
            <w:vAlign w:val="center"/>
          </w:tcPr>
          <w:p w:rsidR="00E96760" w:rsidRPr="00E96760" w:rsidRDefault="00E96760" w:rsidP="00F53328">
            <w:pPr>
              <w:jc w:val="center"/>
              <w:rPr>
                <w:rFonts w:asciiTheme="majorHAnsi" w:hAnsiTheme="majorHAnsi"/>
                <w:lang w:eastAsia="ko-KR"/>
              </w:rPr>
            </w:pPr>
            <w:r w:rsidRPr="00E96760">
              <w:rPr>
                <w:rFonts w:asciiTheme="majorHAnsi" w:hAnsiTheme="majorHAnsi"/>
                <w:lang w:eastAsia="ko-KR"/>
              </w:rPr>
              <w:t>30,3</w:t>
            </w:r>
          </w:p>
        </w:tc>
        <w:tc>
          <w:tcPr>
            <w:tcW w:w="1057" w:type="pct"/>
            <w:vAlign w:val="center"/>
          </w:tcPr>
          <w:p w:rsidR="00E96760" w:rsidRPr="00E96760" w:rsidRDefault="00E96760" w:rsidP="00F53328">
            <w:pPr>
              <w:jc w:val="center"/>
              <w:rPr>
                <w:rFonts w:asciiTheme="majorHAnsi" w:hAnsiTheme="majorHAnsi"/>
                <w:lang w:eastAsia="ko-KR"/>
              </w:rPr>
            </w:pPr>
            <w:r w:rsidRPr="00E96760">
              <w:rPr>
                <w:rFonts w:asciiTheme="majorHAnsi" w:hAnsiTheme="majorHAnsi"/>
                <w:lang w:eastAsia="ko-KR"/>
              </w:rPr>
              <w:t>14,2</w:t>
            </w:r>
          </w:p>
        </w:tc>
        <w:tc>
          <w:tcPr>
            <w:tcW w:w="1123" w:type="pct"/>
            <w:vAlign w:val="center"/>
          </w:tcPr>
          <w:p w:rsidR="00E96760" w:rsidRPr="00E96760" w:rsidRDefault="00E96760" w:rsidP="00F53328">
            <w:pPr>
              <w:jc w:val="center"/>
              <w:rPr>
                <w:rFonts w:asciiTheme="majorHAnsi" w:hAnsiTheme="majorHAnsi"/>
                <w:lang w:eastAsia="ko-KR"/>
              </w:rPr>
            </w:pPr>
            <w:r w:rsidRPr="00E96760">
              <w:rPr>
                <w:rFonts w:asciiTheme="majorHAnsi" w:hAnsiTheme="majorHAnsi"/>
                <w:lang w:eastAsia="ko-KR"/>
              </w:rPr>
              <w:t>4</w:t>
            </w:r>
          </w:p>
        </w:tc>
        <w:tc>
          <w:tcPr>
            <w:tcW w:w="1059" w:type="pct"/>
            <w:vAlign w:val="center"/>
          </w:tcPr>
          <w:p w:rsidR="00E96760" w:rsidRPr="00E96760" w:rsidRDefault="00E96760" w:rsidP="00F53328">
            <w:pPr>
              <w:jc w:val="center"/>
              <w:rPr>
                <w:rFonts w:asciiTheme="majorHAnsi" w:hAnsiTheme="majorHAnsi"/>
                <w:lang w:eastAsia="ko-KR"/>
              </w:rPr>
            </w:pPr>
            <w:r w:rsidRPr="00E96760">
              <w:rPr>
                <w:rFonts w:asciiTheme="majorHAnsi" w:hAnsiTheme="majorHAnsi"/>
                <w:lang w:eastAsia="ko-KR"/>
              </w:rPr>
              <w:t>17,4</w:t>
            </w:r>
          </w:p>
        </w:tc>
      </w:tr>
      <w:tr w:rsidR="00E96760" w:rsidRPr="00E96760" w:rsidTr="00F53328">
        <w:trPr>
          <w:trHeight w:val="276"/>
        </w:trPr>
        <w:tc>
          <w:tcPr>
            <w:tcW w:w="925" w:type="pct"/>
            <w:vAlign w:val="center"/>
          </w:tcPr>
          <w:p w:rsidR="00E96760" w:rsidRPr="00E96760" w:rsidRDefault="00E96760" w:rsidP="00F53328">
            <w:pPr>
              <w:rPr>
                <w:rFonts w:asciiTheme="majorHAnsi" w:hAnsiTheme="majorHAnsi"/>
                <w:lang w:eastAsia="ko-KR"/>
              </w:rPr>
            </w:pPr>
            <w:r w:rsidRPr="00E96760">
              <w:rPr>
                <w:rFonts w:asciiTheme="majorHAnsi" w:hAnsiTheme="majorHAnsi"/>
                <w:lang w:eastAsia="ko-KR"/>
              </w:rPr>
              <w:t>2012/2013</w:t>
            </w:r>
          </w:p>
        </w:tc>
        <w:tc>
          <w:tcPr>
            <w:tcW w:w="836" w:type="pct"/>
            <w:vAlign w:val="center"/>
          </w:tcPr>
          <w:p w:rsidR="00E96760" w:rsidRPr="00E96760" w:rsidRDefault="00E96760" w:rsidP="00F53328">
            <w:pPr>
              <w:jc w:val="center"/>
              <w:rPr>
                <w:rFonts w:asciiTheme="majorHAnsi" w:hAnsiTheme="majorHAnsi"/>
                <w:lang w:eastAsia="ko-KR"/>
              </w:rPr>
            </w:pPr>
            <w:r w:rsidRPr="00E96760">
              <w:rPr>
                <w:rFonts w:asciiTheme="majorHAnsi" w:hAnsiTheme="majorHAnsi"/>
                <w:lang w:eastAsia="ko-KR"/>
              </w:rPr>
              <w:t>35,8</w:t>
            </w:r>
          </w:p>
        </w:tc>
        <w:tc>
          <w:tcPr>
            <w:tcW w:w="1057" w:type="pct"/>
            <w:vAlign w:val="center"/>
          </w:tcPr>
          <w:p w:rsidR="00E96760" w:rsidRPr="00E96760" w:rsidRDefault="00E96760" w:rsidP="00F53328">
            <w:pPr>
              <w:jc w:val="center"/>
              <w:rPr>
                <w:rFonts w:asciiTheme="majorHAnsi" w:hAnsiTheme="majorHAnsi"/>
                <w:lang w:eastAsia="ko-KR"/>
              </w:rPr>
            </w:pPr>
            <w:r w:rsidRPr="00E96760">
              <w:rPr>
                <w:rFonts w:asciiTheme="majorHAnsi" w:hAnsiTheme="majorHAnsi"/>
                <w:lang w:eastAsia="ko-KR"/>
              </w:rPr>
              <w:t>13,5</w:t>
            </w:r>
          </w:p>
        </w:tc>
        <w:tc>
          <w:tcPr>
            <w:tcW w:w="1123" w:type="pct"/>
            <w:vAlign w:val="center"/>
          </w:tcPr>
          <w:p w:rsidR="00E96760" w:rsidRPr="00E96760" w:rsidRDefault="00E96760" w:rsidP="00F53328">
            <w:pPr>
              <w:jc w:val="center"/>
              <w:rPr>
                <w:rFonts w:asciiTheme="majorHAnsi" w:hAnsiTheme="majorHAnsi"/>
                <w:lang w:eastAsia="ko-KR"/>
              </w:rPr>
            </w:pPr>
            <w:r w:rsidRPr="00E96760">
              <w:rPr>
                <w:rFonts w:asciiTheme="majorHAnsi" w:hAnsiTheme="majorHAnsi"/>
                <w:lang w:eastAsia="ko-KR"/>
              </w:rPr>
              <w:t>1,8</w:t>
            </w:r>
          </w:p>
        </w:tc>
        <w:tc>
          <w:tcPr>
            <w:tcW w:w="1059" w:type="pct"/>
            <w:vAlign w:val="center"/>
          </w:tcPr>
          <w:p w:rsidR="00E96760" w:rsidRPr="00E96760" w:rsidRDefault="00E96760" w:rsidP="00F53328">
            <w:pPr>
              <w:jc w:val="center"/>
              <w:rPr>
                <w:rFonts w:asciiTheme="majorHAnsi" w:hAnsiTheme="majorHAnsi"/>
                <w:lang w:eastAsia="ko-KR"/>
              </w:rPr>
            </w:pPr>
            <w:r w:rsidRPr="00E96760">
              <w:rPr>
                <w:rFonts w:asciiTheme="majorHAnsi" w:hAnsiTheme="majorHAnsi"/>
                <w:lang w:eastAsia="ko-KR"/>
              </w:rPr>
              <w:t>5,3</w:t>
            </w:r>
          </w:p>
        </w:tc>
      </w:tr>
    </w:tbl>
    <w:p w:rsidR="00834AEA" w:rsidRDefault="00834AEA" w:rsidP="00F53328">
      <w:pPr>
        <w:spacing w:after="200" w:line="276" w:lineRule="auto"/>
        <w:jc w:val="both"/>
      </w:pPr>
    </w:p>
    <w:p w:rsidR="00E96760" w:rsidRPr="00F53328" w:rsidRDefault="00E96760" w:rsidP="00F53328">
      <w:pPr>
        <w:spacing w:after="200" w:line="276" w:lineRule="auto"/>
        <w:jc w:val="both"/>
      </w:pPr>
      <w:r w:rsidRPr="00F53328">
        <w:t xml:space="preserve">По данным таблицы видно, что роль профессиональных коллегий УМС и УС факультетов в утверждении программ снизилась по сравнению с 2012 г. По данным факультетов, отчасти это связано с объемами новых и требующих </w:t>
      </w:r>
      <w:proofErr w:type="spellStart"/>
      <w:r w:rsidRPr="00F53328">
        <w:t>переутверждения</w:t>
      </w:r>
      <w:proofErr w:type="spellEnd"/>
      <w:r w:rsidRPr="00F53328">
        <w:t xml:space="preserve"> программ. Что на больших </w:t>
      </w:r>
      <w:proofErr w:type="gramStart"/>
      <w:r w:rsidRPr="00F53328">
        <w:t>факультетах</w:t>
      </w:r>
      <w:proofErr w:type="gramEnd"/>
      <w:r w:rsidRPr="00F53328">
        <w:t xml:space="preserve"> делает роль УС в этих процессах чисто формальной. </w:t>
      </w:r>
    </w:p>
    <w:p w:rsidR="00E96760" w:rsidRPr="00F53328" w:rsidRDefault="00E96760" w:rsidP="00F53328">
      <w:pPr>
        <w:spacing w:after="200" w:line="276" w:lineRule="auto"/>
        <w:jc w:val="both"/>
      </w:pPr>
      <w:r w:rsidRPr="00F53328">
        <w:t xml:space="preserve">Выявилась проблема, что далеко не все подразделения размещают программы своих дисциплин именно в общей базе данных. Так, ряд подразделений ведет реестры ПУД на собственных </w:t>
      </w:r>
      <w:proofErr w:type="gramStart"/>
      <w:r w:rsidRPr="00F53328">
        <w:t>ресурсах</w:t>
      </w:r>
      <w:proofErr w:type="gramEnd"/>
      <w:r w:rsidRPr="00F53328">
        <w:t xml:space="preserve"> (страницах портала), не дублируя программы в БД «Учебные курсы».</w:t>
      </w:r>
    </w:p>
    <w:p w:rsidR="00E96760" w:rsidRPr="00F53328" w:rsidRDefault="00E96760" w:rsidP="00F53328">
      <w:pPr>
        <w:spacing w:after="200" w:line="276" w:lineRule="auto"/>
        <w:jc w:val="both"/>
      </w:pPr>
      <w:r w:rsidRPr="00F53328">
        <w:t xml:space="preserve">Анализ показал также, что необходимо изменение регламентов согласования и утверждения программ учебных дисциплин, вызванное, в частности, как увеличением доли учебных дисциплин, так и структурной перестройкой учебно-методических советов факультетов в профессиональные коллегии УМС университета. </w:t>
      </w:r>
      <w:proofErr w:type="gramStart"/>
      <w:r w:rsidRPr="00F53328">
        <w:t>Новый «Регламент подготовки, согласования и утверждения программ учебных дисциплин»   был рассмотрен и утвержден УС НИУ ВШЭ 13.05.2013 г. Он отражает разные ступени согласования для базовых (обязательных) дисциплин и дисциплин по выбору (</w:t>
      </w:r>
      <w:proofErr w:type="spellStart"/>
      <w:r w:rsidRPr="00F53328">
        <w:t>элективов</w:t>
      </w:r>
      <w:proofErr w:type="spellEnd"/>
      <w:r w:rsidRPr="00F53328">
        <w:t>, факультативов), закрепляет более четко личную ответственность преподавателя за размещение программы дисциплины в открытом доступе, разводит требования технической экспертизы (осуществляется ответственным от подразделения) и содержательной экспертизы (осуществляется кафедрой/департаментом</w:t>
      </w:r>
      <w:proofErr w:type="gramEnd"/>
      <w:r w:rsidRPr="00F53328">
        <w:t>, профессиональной коллегией УМС) программ, тем самым изменяя статус «авторской версии» (она обязательно проходит первичную проверку). Регламент предполагает учет разных вариантов согласования ПУД в разных кампусах НИУ ВШЭ (в соответствии с их организационной спецификой).</w:t>
      </w:r>
    </w:p>
    <w:p w:rsidR="00E96760" w:rsidRPr="00F53328" w:rsidRDefault="00E96760" w:rsidP="00F53328">
      <w:pPr>
        <w:spacing w:after="200" w:line="276" w:lineRule="auto"/>
        <w:jc w:val="both"/>
      </w:pPr>
      <w:r w:rsidRPr="00F53328">
        <w:t xml:space="preserve">В течение 2012/2013 учебного года велась работа по созданию «Модуля ПУД» в системе LMS, который бы позволил автоматизировать процесс формирования ПУД (для преподавателя) и процесс прохождения всех этапов согласования ПУД. К концу учебного года модуль работал в тестовом режиме, </w:t>
      </w:r>
      <w:proofErr w:type="gramStart"/>
      <w:r w:rsidRPr="00F53328">
        <w:t>но</w:t>
      </w:r>
      <w:proofErr w:type="gramEnd"/>
      <w:r w:rsidRPr="00F53328">
        <w:t xml:space="preserve"> к сожалению, разработчик данного программного обеспечения не смог ввести его в промышленную эксплуатацию (модуль не выдерживал нагрузок по одновременному входу большого числа пользователей). Судьба доработки модуля, непосредственно связанная с решением вопроса о сохранении программной платформы LMS, сейчас находится в стадии согласования. В то же время была проведена обучающая и разъяснительная работа </w:t>
      </w:r>
      <w:proofErr w:type="gramStart"/>
      <w:r w:rsidRPr="00F53328">
        <w:t>с</w:t>
      </w:r>
      <w:proofErr w:type="gramEnd"/>
      <w:r w:rsidRPr="00F53328">
        <w:t xml:space="preserve"> </w:t>
      </w:r>
      <w:proofErr w:type="gramStart"/>
      <w:r w:rsidRPr="00F53328">
        <w:t>ответственными</w:t>
      </w:r>
      <w:proofErr w:type="gramEnd"/>
      <w:r w:rsidRPr="00F53328">
        <w:t xml:space="preserve"> от подразделений, и сейчас идет отработка положений нового Регламента в неавтоматизированном режиме.</w:t>
      </w:r>
    </w:p>
    <w:p w:rsidR="00E96760" w:rsidRPr="00F53328" w:rsidRDefault="00E96760" w:rsidP="00F53328">
      <w:pPr>
        <w:spacing w:after="200" w:line="276" w:lineRule="auto"/>
        <w:jc w:val="both"/>
      </w:pPr>
      <w:r w:rsidRPr="00F53328">
        <w:t xml:space="preserve">Большая работа, которая проводилась факультетами по анализу программ учебных дисциплин с точки зрения формирования компетенций, заявленных в образовательных стандартах, в рамках данного отчета подробно рассмотрена в п. 4.1. Отметим здесь только, что этот анализ выявил, в частности, необходимость продолжения </w:t>
      </w:r>
      <w:r w:rsidRPr="00F53328">
        <w:lastRenderedPageBreak/>
        <w:t>разъяснительной и обучающей работы среди преподавателей по выбору и описанию формируемых дисциплиной образовательных результатов.</w:t>
      </w:r>
    </w:p>
    <w:p w:rsidR="00E96760" w:rsidRPr="00834AEA" w:rsidRDefault="00834AEA" w:rsidP="00834AEA">
      <w:pPr>
        <w:spacing w:after="200" w:line="276" w:lineRule="auto"/>
        <w:jc w:val="both"/>
      </w:pPr>
      <w:r>
        <w:t>Таблица ниже</w:t>
      </w:r>
      <w:r w:rsidR="00E96760" w:rsidRPr="00F53328">
        <w:t xml:space="preserve"> приводит сводную информацию о размещении программ учебных дисциплин на сайтах НИУ ВШЭ (Москва) и филиалов по состоянию на конец 2010/2011, 2011/2012 и 2012/2013 учебного года, которая показывает значительное увеличение процента размещенных в открытом доступе на портале НИУ ВШЭ программ учебных дисциплин.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268"/>
        <w:gridCol w:w="1417"/>
        <w:gridCol w:w="1609"/>
        <w:gridCol w:w="1255"/>
        <w:gridCol w:w="1531"/>
      </w:tblGrid>
      <w:tr w:rsidR="00E96760" w:rsidRPr="00834AEA" w:rsidTr="00834AEA">
        <w:tc>
          <w:tcPr>
            <w:tcW w:w="1418" w:type="dxa"/>
            <w:vAlign w:val="center"/>
          </w:tcPr>
          <w:p w:rsidR="00E96760" w:rsidRPr="00834AEA" w:rsidRDefault="00E96760" w:rsidP="00F53328">
            <w:pPr>
              <w:jc w:val="both"/>
              <w:rPr>
                <w:rFonts w:asciiTheme="majorHAnsi" w:hAnsiTheme="majorHAnsi"/>
                <w:b/>
                <w:szCs w:val="20"/>
              </w:rPr>
            </w:pPr>
            <w:r w:rsidRPr="00834AEA">
              <w:rPr>
                <w:rFonts w:asciiTheme="majorHAnsi" w:hAnsiTheme="majorHAnsi"/>
                <w:b/>
                <w:szCs w:val="20"/>
              </w:rPr>
              <w:t>Учебные годы</w:t>
            </w:r>
          </w:p>
        </w:tc>
        <w:tc>
          <w:tcPr>
            <w:tcW w:w="2268" w:type="dxa"/>
            <w:vAlign w:val="center"/>
          </w:tcPr>
          <w:p w:rsidR="00E96760" w:rsidRPr="00834AEA" w:rsidRDefault="00E96760" w:rsidP="00F53328">
            <w:pPr>
              <w:jc w:val="both"/>
              <w:rPr>
                <w:rFonts w:asciiTheme="majorHAnsi" w:hAnsiTheme="majorHAnsi"/>
                <w:b/>
                <w:szCs w:val="20"/>
              </w:rPr>
            </w:pPr>
            <w:r w:rsidRPr="00834AEA">
              <w:rPr>
                <w:rFonts w:asciiTheme="majorHAnsi" w:hAnsiTheme="majorHAnsi"/>
                <w:b/>
                <w:szCs w:val="20"/>
              </w:rPr>
              <w:t>Показатель</w:t>
            </w:r>
            <w:r w:rsidRPr="00834AEA">
              <w:rPr>
                <w:rStyle w:val="ac"/>
                <w:rFonts w:asciiTheme="majorHAnsi" w:hAnsiTheme="majorHAnsi"/>
                <w:b/>
                <w:szCs w:val="20"/>
              </w:rPr>
              <w:footnoteReference w:id="5"/>
            </w:r>
          </w:p>
        </w:tc>
        <w:tc>
          <w:tcPr>
            <w:tcW w:w="1417" w:type="dxa"/>
            <w:vAlign w:val="center"/>
          </w:tcPr>
          <w:p w:rsidR="00E96760" w:rsidRPr="00834AEA" w:rsidRDefault="00E96760" w:rsidP="00F53328">
            <w:pPr>
              <w:jc w:val="center"/>
              <w:rPr>
                <w:rFonts w:asciiTheme="majorHAnsi" w:hAnsiTheme="majorHAnsi"/>
                <w:b/>
                <w:szCs w:val="20"/>
              </w:rPr>
            </w:pPr>
            <w:r w:rsidRPr="00834AEA">
              <w:rPr>
                <w:rFonts w:asciiTheme="majorHAnsi" w:hAnsiTheme="majorHAnsi"/>
                <w:b/>
                <w:szCs w:val="20"/>
              </w:rPr>
              <w:t>Москва</w:t>
            </w:r>
          </w:p>
        </w:tc>
        <w:tc>
          <w:tcPr>
            <w:tcW w:w="1609" w:type="dxa"/>
            <w:vAlign w:val="center"/>
          </w:tcPr>
          <w:p w:rsidR="00E96760" w:rsidRPr="00834AEA" w:rsidRDefault="00E96760" w:rsidP="00F53328">
            <w:pPr>
              <w:jc w:val="center"/>
              <w:rPr>
                <w:rFonts w:asciiTheme="majorHAnsi" w:hAnsiTheme="majorHAnsi"/>
                <w:b/>
                <w:szCs w:val="20"/>
              </w:rPr>
            </w:pPr>
            <w:r w:rsidRPr="00834AEA">
              <w:rPr>
                <w:rFonts w:asciiTheme="majorHAnsi" w:hAnsiTheme="majorHAnsi"/>
                <w:b/>
                <w:szCs w:val="20"/>
              </w:rPr>
              <w:t>Нижний Новгород</w:t>
            </w:r>
          </w:p>
        </w:tc>
        <w:tc>
          <w:tcPr>
            <w:tcW w:w="1255" w:type="dxa"/>
            <w:vAlign w:val="center"/>
          </w:tcPr>
          <w:p w:rsidR="00E96760" w:rsidRPr="00834AEA" w:rsidRDefault="00E96760" w:rsidP="00F53328">
            <w:pPr>
              <w:jc w:val="center"/>
              <w:rPr>
                <w:rFonts w:asciiTheme="majorHAnsi" w:hAnsiTheme="majorHAnsi"/>
                <w:b/>
                <w:szCs w:val="20"/>
              </w:rPr>
            </w:pPr>
            <w:r w:rsidRPr="00834AEA">
              <w:rPr>
                <w:rFonts w:asciiTheme="majorHAnsi" w:hAnsiTheme="majorHAnsi"/>
                <w:b/>
                <w:szCs w:val="20"/>
              </w:rPr>
              <w:t>Пермь</w:t>
            </w:r>
          </w:p>
        </w:tc>
        <w:tc>
          <w:tcPr>
            <w:tcW w:w="1531" w:type="dxa"/>
            <w:vAlign w:val="center"/>
          </w:tcPr>
          <w:p w:rsidR="00E96760" w:rsidRPr="00834AEA" w:rsidRDefault="00E96760" w:rsidP="00F53328">
            <w:pPr>
              <w:jc w:val="center"/>
              <w:rPr>
                <w:rFonts w:asciiTheme="majorHAnsi" w:hAnsiTheme="majorHAnsi"/>
                <w:b/>
                <w:szCs w:val="20"/>
              </w:rPr>
            </w:pPr>
            <w:r w:rsidRPr="00834AEA">
              <w:rPr>
                <w:rFonts w:asciiTheme="majorHAnsi" w:hAnsiTheme="majorHAnsi"/>
                <w:b/>
                <w:szCs w:val="20"/>
              </w:rPr>
              <w:t>Санкт-Петербург</w:t>
            </w:r>
          </w:p>
        </w:tc>
      </w:tr>
      <w:tr w:rsidR="00E96760" w:rsidRPr="00834AEA" w:rsidTr="00834AEA">
        <w:tc>
          <w:tcPr>
            <w:tcW w:w="1418" w:type="dxa"/>
            <w:vMerge w:val="restart"/>
            <w:vAlign w:val="center"/>
          </w:tcPr>
          <w:p w:rsidR="00E96760" w:rsidRPr="00834AEA" w:rsidRDefault="00E96760" w:rsidP="00F53328">
            <w:pPr>
              <w:pStyle w:val="aff6"/>
              <w:rPr>
                <w:rFonts w:asciiTheme="majorHAnsi" w:hAnsiTheme="majorHAnsi"/>
                <w:sz w:val="24"/>
                <w:szCs w:val="20"/>
              </w:rPr>
            </w:pPr>
            <w:r w:rsidRPr="00834AEA">
              <w:rPr>
                <w:rFonts w:asciiTheme="majorHAnsi" w:hAnsiTheme="majorHAnsi"/>
                <w:sz w:val="24"/>
                <w:szCs w:val="20"/>
              </w:rPr>
              <w:t xml:space="preserve">2010/2011 </w:t>
            </w:r>
          </w:p>
        </w:tc>
        <w:tc>
          <w:tcPr>
            <w:tcW w:w="2268" w:type="dxa"/>
            <w:vAlign w:val="center"/>
          </w:tcPr>
          <w:p w:rsidR="00E96760" w:rsidRPr="00834AEA" w:rsidRDefault="00E96760" w:rsidP="00F53328">
            <w:pPr>
              <w:rPr>
                <w:rFonts w:asciiTheme="majorHAnsi" w:hAnsiTheme="majorHAnsi"/>
                <w:szCs w:val="20"/>
              </w:rPr>
            </w:pPr>
            <w:r w:rsidRPr="00834AEA">
              <w:rPr>
                <w:rFonts w:asciiTheme="majorHAnsi" w:hAnsiTheme="majorHAnsi"/>
                <w:szCs w:val="20"/>
              </w:rPr>
              <w:t>Размещено программ</w:t>
            </w:r>
          </w:p>
        </w:tc>
        <w:tc>
          <w:tcPr>
            <w:tcW w:w="1417" w:type="dxa"/>
            <w:vAlign w:val="center"/>
          </w:tcPr>
          <w:p w:rsidR="00E96760" w:rsidRPr="00834AEA" w:rsidRDefault="00E96760" w:rsidP="00F53328">
            <w:pPr>
              <w:jc w:val="center"/>
              <w:rPr>
                <w:rFonts w:asciiTheme="majorHAnsi" w:hAnsiTheme="majorHAnsi"/>
                <w:szCs w:val="20"/>
              </w:rPr>
            </w:pPr>
            <w:r w:rsidRPr="00834AEA">
              <w:rPr>
                <w:rFonts w:asciiTheme="majorHAnsi" w:hAnsiTheme="majorHAnsi"/>
                <w:szCs w:val="20"/>
              </w:rPr>
              <w:t>3268</w:t>
            </w:r>
          </w:p>
        </w:tc>
        <w:tc>
          <w:tcPr>
            <w:tcW w:w="1609" w:type="dxa"/>
            <w:vAlign w:val="center"/>
          </w:tcPr>
          <w:p w:rsidR="00E96760" w:rsidRPr="00834AEA" w:rsidRDefault="00E96760" w:rsidP="00F53328">
            <w:pPr>
              <w:jc w:val="center"/>
              <w:rPr>
                <w:rFonts w:asciiTheme="majorHAnsi" w:hAnsiTheme="majorHAnsi"/>
                <w:szCs w:val="20"/>
              </w:rPr>
            </w:pPr>
            <w:r w:rsidRPr="00834AEA">
              <w:rPr>
                <w:rFonts w:asciiTheme="majorHAnsi" w:hAnsiTheme="majorHAnsi"/>
                <w:szCs w:val="20"/>
              </w:rPr>
              <w:t>840</w:t>
            </w:r>
          </w:p>
        </w:tc>
        <w:tc>
          <w:tcPr>
            <w:tcW w:w="1255" w:type="dxa"/>
            <w:vAlign w:val="center"/>
          </w:tcPr>
          <w:p w:rsidR="00E96760" w:rsidRPr="00834AEA" w:rsidRDefault="00E96760" w:rsidP="00F53328">
            <w:pPr>
              <w:jc w:val="center"/>
              <w:rPr>
                <w:rFonts w:asciiTheme="majorHAnsi" w:hAnsiTheme="majorHAnsi"/>
                <w:szCs w:val="20"/>
              </w:rPr>
            </w:pPr>
            <w:r w:rsidRPr="00834AEA">
              <w:rPr>
                <w:rFonts w:asciiTheme="majorHAnsi" w:hAnsiTheme="majorHAnsi"/>
                <w:szCs w:val="20"/>
              </w:rPr>
              <w:t>232</w:t>
            </w:r>
          </w:p>
        </w:tc>
        <w:tc>
          <w:tcPr>
            <w:tcW w:w="1531" w:type="dxa"/>
            <w:vAlign w:val="center"/>
          </w:tcPr>
          <w:p w:rsidR="00E96760" w:rsidRPr="00834AEA" w:rsidRDefault="00E96760" w:rsidP="00F53328">
            <w:pPr>
              <w:jc w:val="center"/>
              <w:rPr>
                <w:rFonts w:asciiTheme="majorHAnsi" w:hAnsiTheme="majorHAnsi"/>
                <w:szCs w:val="20"/>
              </w:rPr>
            </w:pPr>
            <w:r w:rsidRPr="00834AEA">
              <w:rPr>
                <w:rFonts w:asciiTheme="majorHAnsi" w:hAnsiTheme="majorHAnsi"/>
                <w:szCs w:val="20"/>
              </w:rPr>
              <w:t>835</w:t>
            </w:r>
          </w:p>
        </w:tc>
      </w:tr>
      <w:tr w:rsidR="00E96760" w:rsidRPr="00834AEA" w:rsidTr="00834AEA">
        <w:tc>
          <w:tcPr>
            <w:tcW w:w="1418" w:type="dxa"/>
            <w:vMerge/>
            <w:vAlign w:val="center"/>
          </w:tcPr>
          <w:p w:rsidR="00E96760" w:rsidRPr="00834AEA" w:rsidRDefault="00E96760" w:rsidP="00F53328">
            <w:pPr>
              <w:pStyle w:val="aff6"/>
              <w:rPr>
                <w:rFonts w:asciiTheme="majorHAnsi" w:hAnsiTheme="majorHAnsi"/>
                <w:sz w:val="24"/>
                <w:szCs w:val="20"/>
              </w:rPr>
            </w:pPr>
          </w:p>
        </w:tc>
        <w:tc>
          <w:tcPr>
            <w:tcW w:w="2268" w:type="dxa"/>
            <w:vAlign w:val="center"/>
          </w:tcPr>
          <w:p w:rsidR="00E96760" w:rsidRPr="00834AEA" w:rsidRDefault="00E96760" w:rsidP="00F53328">
            <w:pPr>
              <w:pStyle w:val="aff6"/>
              <w:rPr>
                <w:rFonts w:asciiTheme="majorHAnsi" w:hAnsiTheme="majorHAnsi"/>
                <w:sz w:val="24"/>
                <w:szCs w:val="20"/>
              </w:rPr>
            </w:pPr>
            <w:r w:rsidRPr="00834AEA">
              <w:rPr>
                <w:rFonts w:asciiTheme="majorHAnsi" w:hAnsiTheme="majorHAnsi"/>
                <w:sz w:val="24"/>
                <w:szCs w:val="20"/>
              </w:rPr>
              <w:t>от общ</w:t>
            </w:r>
            <w:proofErr w:type="gramStart"/>
            <w:r w:rsidRPr="00834AEA">
              <w:rPr>
                <w:rFonts w:asciiTheme="majorHAnsi" w:hAnsiTheme="majorHAnsi"/>
                <w:sz w:val="24"/>
                <w:szCs w:val="20"/>
              </w:rPr>
              <w:t>.</w:t>
            </w:r>
            <w:proofErr w:type="gramEnd"/>
            <w:r w:rsidRPr="00834AEA">
              <w:rPr>
                <w:rFonts w:asciiTheme="majorHAnsi" w:hAnsiTheme="majorHAnsi"/>
                <w:sz w:val="24"/>
                <w:szCs w:val="20"/>
              </w:rPr>
              <w:t xml:space="preserve"> </w:t>
            </w:r>
            <w:proofErr w:type="gramStart"/>
            <w:r w:rsidRPr="00834AEA">
              <w:rPr>
                <w:rFonts w:asciiTheme="majorHAnsi" w:hAnsiTheme="majorHAnsi"/>
                <w:sz w:val="24"/>
                <w:szCs w:val="20"/>
              </w:rPr>
              <w:t>к</w:t>
            </w:r>
            <w:proofErr w:type="gramEnd"/>
            <w:r w:rsidRPr="00834AEA">
              <w:rPr>
                <w:rFonts w:asciiTheme="majorHAnsi" w:hAnsiTheme="majorHAnsi"/>
                <w:sz w:val="24"/>
                <w:szCs w:val="20"/>
              </w:rPr>
              <w:t>оличества дисциплин, %</w:t>
            </w:r>
          </w:p>
        </w:tc>
        <w:tc>
          <w:tcPr>
            <w:tcW w:w="1417" w:type="dxa"/>
            <w:vAlign w:val="center"/>
          </w:tcPr>
          <w:p w:rsidR="00E96760" w:rsidRPr="00834AEA" w:rsidRDefault="00E96760" w:rsidP="00F53328">
            <w:pPr>
              <w:jc w:val="center"/>
              <w:rPr>
                <w:rFonts w:asciiTheme="majorHAnsi" w:hAnsiTheme="majorHAnsi"/>
                <w:b/>
                <w:szCs w:val="20"/>
              </w:rPr>
            </w:pPr>
            <w:r w:rsidRPr="00834AEA">
              <w:rPr>
                <w:rFonts w:asciiTheme="majorHAnsi" w:hAnsiTheme="majorHAnsi"/>
                <w:b/>
                <w:szCs w:val="20"/>
              </w:rPr>
              <w:t>82</w:t>
            </w:r>
          </w:p>
        </w:tc>
        <w:tc>
          <w:tcPr>
            <w:tcW w:w="1609" w:type="dxa"/>
            <w:vAlign w:val="center"/>
          </w:tcPr>
          <w:p w:rsidR="00E96760" w:rsidRPr="00834AEA" w:rsidRDefault="00E96760" w:rsidP="00F53328">
            <w:pPr>
              <w:jc w:val="center"/>
              <w:rPr>
                <w:rFonts w:asciiTheme="majorHAnsi" w:hAnsiTheme="majorHAnsi"/>
                <w:b/>
                <w:szCs w:val="20"/>
              </w:rPr>
            </w:pPr>
            <w:r w:rsidRPr="00834AEA">
              <w:rPr>
                <w:rFonts w:asciiTheme="majorHAnsi" w:hAnsiTheme="majorHAnsi"/>
                <w:b/>
                <w:szCs w:val="20"/>
              </w:rPr>
              <w:t>89,4</w:t>
            </w:r>
          </w:p>
        </w:tc>
        <w:tc>
          <w:tcPr>
            <w:tcW w:w="1255" w:type="dxa"/>
            <w:vAlign w:val="center"/>
          </w:tcPr>
          <w:p w:rsidR="00E96760" w:rsidRPr="00834AEA" w:rsidRDefault="00E96760" w:rsidP="00F53328">
            <w:pPr>
              <w:jc w:val="center"/>
              <w:rPr>
                <w:rFonts w:asciiTheme="majorHAnsi" w:hAnsiTheme="majorHAnsi"/>
                <w:b/>
                <w:szCs w:val="20"/>
              </w:rPr>
            </w:pPr>
            <w:r w:rsidRPr="00834AEA">
              <w:rPr>
                <w:rFonts w:asciiTheme="majorHAnsi" w:hAnsiTheme="majorHAnsi"/>
                <w:b/>
                <w:szCs w:val="20"/>
              </w:rPr>
              <w:t>92</w:t>
            </w:r>
          </w:p>
        </w:tc>
        <w:tc>
          <w:tcPr>
            <w:tcW w:w="1531" w:type="dxa"/>
            <w:vAlign w:val="center"/>
          </w:tcPr>
          <w:p w:rsidR="00E96760" w:rsidRPr="00834AEA" w:rsidRDefault="00E96760" w:rsidP="00F53328">
            <w:pPr>
              <w:jc w:val="center"/>
              <w:rPr>
                <w:rFonts w:asciiTheme="majorHAnsi" w:hAnsiTheme="majorHAnsi"/>
                <w:b/>
                <w:szCs w:val="20"/>
              </w:rPr>
            </w:pPr>
            <w:r w:rsidRPr="00834AEA">
              <w:rPr>
                <w:rFonts w:asciiTheme="majorHAnsi" w:hAnsiTheme="majorHAnsi"/>
                <w:b/>
                <w:szCs w:val="20"/>
              </w:rPr>
              <w:t>96,3</w:t>
            </w:r>
          </w:p>
        </w:tc>
      </w:tr>
      <w:tr w:rsidR="00E96760" w:rsidRPr="00834AEA" w:rsidTr="00834AEA">
        <w:tc>
          <w:tcPr>
            <w:tcW w:w="1418" w:type="dxa"/>
            <w:vMerge w:val="restart"/>
            <w:vAlign w:val="center"/>
          </w:tcPr>
          <w:p w:rsidR="00E96760" w:rsidRPr="00834AEA" w:rsidRDefault="00E96760" w:rsidP="00F53328">
            <w:pPr>
              <w:pStyle w:val="aff6"/>
              <w:rPr>
                <w:rFonts w:asciiTheme="majorHAnsi" w:hAnsiTheme="majorHAnsi"/>
                <w:sz w:val="24"/>
                <w:szCs w:val="20"/>
              </w:rPr>
            </w:pPr>
            <w:r w:rsidRPr="00834AEA">
              <w:rPr>
                <w:rFonts w:asciiTheme="majorHAnsi" w:hAnsiTheme="majorHAnsi"/>
                <w:sz w:val="24"/>
                <w:szCs w:val="20"/>
              </w:rPr>
              <w:t>2011/2012</w:t>
            </w:r>
          </w:p>
        </w:tc>
        <w:tc>
          <w:tcPr>
            <w:tcW w:w="2268" w:type="dxa"/>
            <w:vAlign w:val="center"/>
          </w:tcPr>
          <w:p w:rsidR="00E96760" w:rsidRPr="00834AEA" w:rsidRDefault="00E96760" w:rsidP="00F53328">
            <w:pPr>
              <w:rPr>
                <w:rFonts w:asciiTheme="majorHAnsi" w:hAnsiTheme="majorHAnsi"/>
                <w:szCs w:val="20"/>
              </w:rPr>
            </w:pPr>
            <w:r w:rsidRPr="00834AEA">
              <w:rPr>
                <w:rFonts w:asciiTheme="majorHAnsi" w:hAnsiTheme="majorHAnsi"/>
                <w:szCs w:val="20"/>
              </w:rPr>
              <w:t>Размещено программ</w:t>
            </w:r>
          </w:p>
        </w:tc>
        <w:tc>
          <w:tcPr>
            <w:tcW w:w="1417" w:type="dxa"/>
            <w:vAlign w:val="center"/>
          </w:tcPr>
          <w:p w:rsidR="00E96760" w:rsidRPr="00834AEA" w:rsidRDefault="00E96760" w:rsidP="00F53328">
            <w:pPr>
              <w:jc w:val="center"/>
              <w:rPr>
                <w:rFonts w:asciiTheme="majorHAnsi" w:hAnsiTheme="majorHAnsi"/>
                <w:szCs w:val="20"/>
              </w:rPr>
            </w:pPr>
            <w:r w:rsidRPr="00834AEA">
              <w:rPr>
                <w:rFonts w:asciiTheme="majorHAnsi" w:hAnsiTheme="majorHAnsi"/>
                <w:szCs w:val="20"/>
              </w:rPr>
              <w:t>6181</w:t>
            </w:r>
          </w:p>
        </w:tc>
        <w:tc>
          <w:tcPr>
            <w:tcW w:w="1609" w:type="dxa"/>
            <w:vAlign w:val="center"/>
          </w:tcPr>
          <w:p w:rsidR="00E96760" w:rsidRPr="00834AEA" w:rsidRDefault="00E96760" w:rsidP="00F53328">
            <w:pPr>
              <w:jc w:val="center"/>
              <w:rPr>
                <w:rFonts w:asciiTheme="majorHAnsi" w:hAnsiTheme="majorHAnsi"/>
                <w:szCs w:val="20"/>
              </w:rPr>
            </w:pPr>
            <w:r w:rsidRPr="00834AEA">
              <w:rPr>
                <w:rFonts w:asciiTheme="majorHAnsi" w:hAnsiTheme="majorHAnsi"/>
                <w:szCs w:val="20"/>
              </w:rPr>
              <w:t>959</w:t>
            </w:r>
          </w:p>
        </w:tc>
        <w:tc>
          <w:tcPr>
            <w:tcW w:w="1255" w:type="dxa"/>
            <w:vAlign w:val="center"/>
          </w:tcPr>
          <w:p w:rsidR="00E96760" w:rsidRPr="00834AEA" w:rsidRDefault="00E96760" w:rsidP="00F53328">
            <w:pPr>
              <w:jc w:val="center"/>
              <w:rPr>
                <w:rFonts w:asciiTheme="majorHAnsi" w:hAnsiTheme="majorHAnsi"/>
                <w:szCs w:val="20"/>
              </w:rPr>
            </w:pPr>
            <w:r w:rsidRPr="00834AEA">
              <w:rPr>
                <w:rFonts w:asciiTheme="majorHAnsi" w:hAnsiTheme="majorHAnsi"/>
                <w:szCs w:val="20"/>
              </w:rPr>
              <w:t>365</w:t>
            </w:r>
          </w:p>
        </w:tc>
        <w:tc>
          <w:tcPr>
            <w:tcW w:w="1531" w:type="dxa"/>
            <w:vAlign w:val="center"/>
          </w:tcPr>
          <w:p w:rsidR="00E96760" w:rsidRPr="00834AEA" w:rsidRDefault="00E96760" w:rsidP="00F53328">
            <w:pPr>
              <w:jc w:val="center"/>
              <w:rPr>
                <w:rFonts w:asciiTheme="majorHAnsi" w:hAnsiTheme="majorHAnsi"/>
                <w:szCs w:val="20"/>
              </w:rPr>
            </w:pPr>
            <w:r w:rsidRPr="00834AEA">
              <w:rPr>
                <w:rFonts w:asciiTheme="majorHAnsi" w:hAnsiTheme="majorHAnsi"/>
                <w:szCs w:val="20"/>
              </w:rPr>
              <w:t>952</w:t>
            </w:r>
          </w:p>
        </w:tc>
      </w:tr>
      <w:tr w:rsidR="00E96760" w:rsidRPr="00834AEA" w:rsidTr="00834AEA">
        <w:tc>
          <w:tcPr>
            <w:tcW w:w="1418" w:type="dxa"/>
            <w:vMerge/>
            <w:vAlign w:val="center"/>
          </w:tcPr>
          <w:p w:rsidR="00E96760" w:rsidRPr="00834AEA" w:rsidRDefault="00E96760" w:rsidP="00F53328">
            <w:pPr>
              <w:pStyle w:val="aff6"/>
              <w:rPr>
                <w:rFonts w:asciiTheme="majorHAnsi" w:hAnsiTheme="majorHAnsi"/>
                <w:sz w:val="24"/>
                <w:szCs w:val="20"/>
              </w:rPr>
            </w:pPr>
          </w:p>
        </w:tc>
        <w:tc>
          <w:tcPr>
            <w:tcW w:w="2268" w:type="dxa"/>
            <w:vAlign w:val="center"/>
          </w:tcPr>
          <w:p w:rsidR="00E96760" w:rsidRPr="00834AEA" w:rsidRDefault="00E96760" w:rsidP="00F53328">
            <w:pPr>
              <w:pStyle w:val="aff6"/>
              <w:rPr>
                <w:rFonts w:asciiTheme="majorHAnsi" w:hAnsiTheme="majorHAnsi"/>
                <w:sz w:val="24"/>
                <w:szCs w:val="20"/>
              </w:rPr>
            </w:pPr>
            <w:r w:rsidRPr="00834AEA">
              <w:rPr>
                <w:rFonts w:asciiTheme="majorHAnsi" w:hAnsiTheme="majorHAnsi"/>
                <w:sz w:val="24"/>
                <w:szCs w:val="20"/>
              </w:rPr>
              <w:t>от общ</w:t>
            </w:r>
            <w:proofErr w:type="gramStart"/>
            <w:r w:rsidRPr="00834AEA">
              <w:rPr>
                <w:rFonts w:asciiTheme="majorHAnsi" w:hAnsiTheme="majorHAnsi"/>
                <w:sz w:val="24"/>
                <w:szCs w:val="20"/>
              </w:rPr>
              <w:t>.</w:t>
            </w:r>
            <w:proofErr w:type="gramEnd"/>
            <w:r w:rsidRPr="00834AEA">
              <w:rPr>
                <w:rFonts w:asciiTheme="majorHAnsi" w:hAnsiTheme="majorHAnsi"/>
                <w:sz w:val="24"/>
                <w:szCs w:val="20"/>
              </w:rPr>
              <w:t xml:space="preserve"> </w:t>
            </w:r>
            <w:proofErr w:type="gramStart"/>
            <w:r w:rsidRPr="00834AEA">
              <w:rPr>
                <w:rFonts w:asciiTheme="majorHAnsi" w:hAnsiTheme="majorHAnsi"/>
                <w:sz w:val="24"/>
                <w:szCs w:val="20"/>
              </w:rPr>
              <w:t>к</w:t>
            </w:r>
            <w:proofErr w:type="gramEnd"/>
            <w:r w:rsidRPr="00834AEA">
              <w:rPr>
                <w:rFonts w:asciiTheme="majorHAnsi" w:hAnsiTheme="majorHAnsi"/>
                <w:sz w:val="24"/>
                <w:szCs w:val="20"/>
              </w:rPr>
              <w:t>оличества дисциплин, %</w:t>
            </w:r>
          </w:p>
        </w:tc>
        <w:tc>
          <w:tcPr>
            <w:tcW w:w="1417" w:type="dxa"/>
            <w:vAlign w:val="center"/>
          </w:tcPr>
          <w:p w:rsidR="00E96760" w:rsidRPr="00834AEA" w:rsidRDefault="00E96760" w:rsidP="00F53328">
            <w:pPr>
              <w:jc w:val="center"/>
              <w:rPr>
                <w:rFonts w:asciiTheme="majorHAnsi" w:hAnsiTheme="majorHAnsi"/>
                <w:b/>
                <w:szCs w:val="20"/>
              </w:rPr>
            </w:pPr>
            <w:r w:rsidRPr="00834AEA">
              <w:rPr>
                <w:rFonts w:asciiTheme="majorHAnsi" w:hAnsiTheme="majorHAnsi"/>
                <w:b/>
                <w:szCs w:val="20"/>
              </w:rPr>
              <w:t>66,5</w:t>
            </w:r>
          </w:p>
        </w:tc>
        <w:tc>
          <w:tcPr>
            <w:tcW w:w="1609" w:type="dxa"/>
            <w:vAlign w:val="center"/>
          </w:tcPr>
          <w:p w:rsidR="00E96760" w:rsidRPr="00834AEA" w:rsidRDefault="00E96760" w:rsidP="00F53328">
            <w:pPr>
              <w:jc w:val="center"/>
              <w:rPr>
                <w:rFonts w:asciiTheme="majorHAnsi" w:hAnsiTheme="majorHAnsi"/>
                <w:b/>
                <w:szCs w:val="20"/>
              </w:rPr>
            </w:pPr>
            <w:r w:rsidRPr="00834AEA">
              <w:rPr>
                <w:rFonts w:asciiTheme="majorHAnsi" w:hAnsiTheme="majorHAnsi"/>
                <w:b/>
                <w:szCs w:val="20"/>
              </w:rPr>
              <w:t>79,5,</w:t>
            </w:r>
          </w:p>
        </w:tc>
        <w:tc>
          <w:tcPr>
            <w:tcW w:w="1255" w:type="dxa"/>
            <w:vAlign w:val="center"/>
          </w:tcPr>
          <w:p w:rsidR="00E96760" w:rsidRPr="00834AEA" w:rsidRDefault="00E96760" w:rsidP="00F53328">
            <w:pPr>
              <w:jc w:val="center"/>
              <w:rPr>
                <w:rFonts w:asciiTheme="majorHAnsi" w:hAnsiTheme="majorHAnsi"/>
                <w:b/>
                <w:szCs w:val="20"/>
              </w:rPr>
            </w:pPr>
            <w:r w:rsidRPr="00834AEA">
              <w:rPr>
                <w:rFonts w:asciiTheme="majorHAnsi" w:hAnsiTheme="majorHAnsi"/>
                <w:b/>
                <w:szCs w:val="20"/>
              </w:rPr>
              <w:t>94</w:t>
            </w:r>
          </w:p>
        </w:tc>
        <w:tc>
          <w:tcPr>
            <w:tcW w:w="1531" w:type="dxa"/>
            <w:vAlign w:val="center"/>
          </w:tcPr>
          <w:p w:rsidR="00E96760" w:rsidRPr="00834AEA" w:rsidRDefault="00E96760" w:rsidP="00F53328">
            <w:pPr>
              <w:jc w:val="center"/>
              <w:rPr>
                <w:rFonts w:asciiTheme="majorHAnsi" w:hAnsiTheme="majorHAnsi"/>
                <w:b/>
                <w:szCs w:val="20"/>
              </w:rPr>
            </w:pPr>
            <w:r w:rsidRPr="00834AEA">
              <w:rPr>
                <w:rFonts w:asciiTheme="majorHAnsi" w:hAnsiTheme="majorHAnsi"/>
                <w:b/>
                <w:szCs w:val="20"/>
              </w:rPr>
              <w:t>91,6</w:t>
            </w:r>
          </w:p>
        </w:tc>
      </w:tr>
      <w:tr w:rsidR="00E96760" w:rsidRPr="00834AEA" w:rsidTr="00834AEA">
        <w:tc>
          <w:tcPr>
            <w:tcW w:w="1418" w:type="dxa"/>
            <w:vMerge w:val="restart"/>
            <w:vAlign w:val="center"/>
          </w:tcPr>
          <w:p w:rsidR="00E96760" w:rsidRPr="00834AEA" w:rsidRDefault="00E96760" w:rsidP="00F53328">
            <w:pPr>
              <w:pStyle w:val="aff6"/>
              <w:rPr>
                <w:rFonts w:asciiTheme="majorHAnsi" w:hAnsiTheme="majorHAnsi"/>
                <w:sz w:val="24"/>
                <w:szCs w:val="20"/>
                <w:lang w:val="en-US"/>
              </w:rPr>
            </w:pPr>
            <w:r w:rsidRPr="00834AEA">
              <w:rPr>
                <w:rFonts w:asciiTheme="majorHAnsi" w:hAnsiTheme="majorHAnsi"/>
                <w:sz w:val="24"/>
                <w:szCs w:val="20"/>
                <w:lang w:val="en-US"/>
              </w:rPr>
              <w:t>2012/2013</w:t>
            </w:r>
          </w:p>
        </w:tc>
        <w:tc>
          <w:tcPr>
            <w:tcW w:w="2268" w:type="dxa"/>
            <w:vAlign w:val="center"/>
          </w:tcPr>
          <w:p w:rsidR="00E96760" w:rsidRPr="00834AEA" w:rsidRDefault="00E96760" w:rsidP="00F53328">
            <w:pPr>
              <w:rPr>
                <w:rFonts w:asciiTheme="majorHAnsi" w:hAnsiTheme="majorHAnsi"/>
                <w:szCs w:val="20"/>
              </w:rPr>
            </w:pPr>
            <w:r w:rsidRPr="00834AEA">
              <w:rPr>
                <w:rFonts w:asciiTheme="majorHAnsi" w:hAnsiTheme="majorHAnsi"/>
                <w:szCs w:val="20"/>
              </w:rPr>
              <w:t>Размещено программ</w:t>
            </w:r>
          </w:p>
        </w:tc>
        <w:tc>
          <w:tcPr>
            <w:tcW w:w="1417" w:type="dxa"/>
            <w:vAlign w:val="center"/>
          </w:tcPr>
          <w:p w:rsidR="00E96760" w:rsidRPr="00834AEA" w:rsidRDefault="00E96760" w:rsidP="00F53328">
            <w:pPr>
              <w:jc w:val="center"/>
              <w:rPr>
                <w:rFonts w:asciiTheme="majorHAnsi" w:hAnsiTheme="majorHAnsi"/>
                <w:szCs w:val="20"/>
              </w:rPr>
            </w:pPr>
            <w:r w:rsidRPr="00834AEA">
              <w:rPr>
                <w:rFonts w:asciiTheme="majorHAnsi" w:hAnsiTheme="majorHAnsi"/>
                <w:szCs w:val="20"/>
              </w:rPr>
              <w:t>8895</w:t>
            </w:r>
          </w:p>
        </w:tc>
        <w:tc>
          <w:tcPr>
            <w:tcW w:w="1609" w:type="dxa"/>
            <w:vAlign w:val="center"/>
          </w:tcPr>
          <w:p w:rsidR="00E96760" w:rsidRPr="00834AEA" w:rsidRDefault="00E96760" w:rsidP="00F53328">
            <w:pPr>
              <w:jc w:val="center"/>
              <w:rPr>
                <w:rFonts w:asciiTheme="majorHAnsi" w:hAnsiTheme="majorHAnsi"/>
                <w:szCs w:val="20"/>
              </w:rPr>
            </w:pPr>
            <w:r w:rsidRPr="00834AEA">
              <w:rPr>
                <w:rFonts w:asciiTheme="majorHAnsi" w:hAnsiTheme="majorHAnsi"/>
                <w:szCs w:val="20"/>
              </w:rPr>
              <w:t>1235</w:t>
            </w:r>
          </w:p>
        </w:tc>
        <w:tc>
          <w:tcPr>
            <w:tcW w:w="1255" w:type="dxa"/>
            <w:vAlign w:val="center"/>
          </w:tcPr>
          <w:p w:rsidR="00E96760" w:rsidRPr="00834AEA" w:rsidRDefault="00E96760" w:rsidP="00F53328">
            <w:pPr>
              <w:jc w:val="center"/>
              <w:rPr>
                <w:rFonts w:asciiTheme="majorHAnsi" w:hAnsiTheme="majorHAnsi"/>
                <w:szCs w:val="20"/>
              </w:rPr>
            </w:pPr>
            <w:r w:rsidRPr="00834AEA">
              <w:rPr>
                <w:rFonts w:asciiTheme="majorHAnsi" w:hAnsiTheme="majorHAnsi"/>
                <w:szCs w:val="20"/>
              </w:rPr>
              <w:t>917</w:t>
            </w:r>
          </w:p>
        </w:tc>
        <w:tc>
          <w:tcPr>
            <w:tcW w:w="1531" w:type="dxa"/>
            <w:vAlign w:val="center"/>
          </w:tcPr>
          <w:p w:rsidR="00E96760" w:rsidRPr="00834AEA" w:rsidRDefault="00E96760" w:rsidP="00F53328">
            <w:pPr>
              <w:jc w:val="center"/>
              <w:rPr>
                <w:rFonts w:asciiTheme="majorHAnsi" w:hAnsiTheme="majorHAnsi"/>
                <w:szCs w:val="20"/>
              </w:rPr>
            </w:pPr>
            <w:r w:rsidRPr="00834AEA">
              <w:rPr>
                <w:rFonts w:asciiTheme="majorHAnsi" w:hAnsiTheme="majorHAnsi"/>
                <w:szCs w:val="20"/>
              </w:rPr>
              <w:t>1142</w:t>
            </w:r>
          </w:p>
        </w:tc>
      </w:tr>
      <w:tr w:rsidR="00E96760" w:rsidRPr="00834AEA" w:rsidTr="00834AEA">
        <w:tc>
          <w:tcPr>
            <w:tcW w:w="1418" w:type="dxa"/>
            <w:vMerge/>
            <w:vAlign w:val="center"/>
          </w:tcPr>
          <w:p w:rsidR="00E96760" w:rsidRPr="00834AEA" w:rsidRDefault="00E96760" w:rsidP="00F53328">
            <w:pPr>
              <w:pStyle w:val="aff6"/>
              <w:rPr>
                <w:rFonts w:asciiTheme="majorHAnsi" w:hAnsiTheme="majorHAnsi"/>
                <w:sz w:val="24"/>
                <w:szCs w:val="20"/>
                <w:lang w:val="en-US"/>
              </w:rPr>
            </w:pPr>
          </w:p>
        </w:tc>
        <w:tc>
          <w:tcPr>
            <w:tcW w:w="2268" w:type="dxa"/>
            <w:vAlign w:val="center"/>
          </w:tcPr>
          <w:p w:rsidR="00E96760" w:rsidRPr="00834AEA" w:rsidRDefault="00E96760" w:rsidP="00F53328">
            <w:pPr>
              <w:pStyle w:val="aff6"/>
              <w:rPr>
                <w:rFonts w:asciiTheme="majorHAnsi" w:hAnsiTheme="majorHAnsi"/>
                <w:sz w:val="24"/>
                <w:szCs w:val="20"/>
              </w:rPr>
            </w:pPr>
            <w:r w:rsidRPr="00834AEA">
              <w:rPr>
                <w:rFonts w:asciiTheme="majorHAnsi" w:hAnsiTheme="majorHAnsi"/>
                <w:sz w:val="24"/>
                <w:szCs w:val="20"/>
              </w:rPr>
              <w:t>от общ</w:t>
            </w:r>
            <w:proofErr w:type="gramStart"/>
            <w:r w:rsidRPr="00834AEA">
              <w:rPr>
                <w:rFonts w:asciiTheme="majorHAnsi" w:hAnsiTheme="majorHAnsi"/>
                <w:sz w:val="24"/>
                <w:szCs w:val="20"/>
              </w:rPr>
              <w:t>.</w:t>
            </w:r>
            <w:proofErr w:type="gramEnd"/>
            <w:r w:rsidRPr="00834AEA">
              <w:rPr>
                <w:rFonts w:asciiTheme="majorHAnsi" w:hAnsiTheme="majorHAnsi"/>
                <w:sz w:val="24"/>
                <w:szCs w:val="20"/>
              </w:rPr>
              <w:t xml:space="preserve"> </w:t>
            </w:r>
            <w:proofErr w:type="gramStart"/>
            <w:r w:rsidRPr="00834AEA">
              <w:rPr>
                <w:rFonts w:asciiTheme="majorHAnsi" w:hAnsiTheme="majorHAnsi"/>
                <w:sz w:val="24"/>
                <w:szCs w:val="20"/>
              </w:rPr>
              <w:t>к</w:t>
            </w:r>
            <w:proofErr w:type="gramEnd"/>
            <w:r w:rsidRPr="00834AEA">
              <w:rPr>
                <w:rFonts w:asciiTheme="majorHAnsi" w:hAnsiTheme="majorHAnsi"/>
                <w:sz w:val="24"/>
                <w:szCs w:val="20"/>
              </w:rPr>
              <w:t>оличества дисциплин, %</w:t>
            </w:r>
          </w:p>
        </w:tc>
        <w:tc>
          <w:tcPr>
            <w:tcW w:w="1417" w:type="dxa"/>
            <w:vAlign w:val="center"/>
          </w:tcPr>
          <w:p w:rsidR="00E96760" w:rsidRPr="00834AEA" w:rsidRDefault="00E96760" w:rsidP="00F53328">
            <w:pPr>
              <w:jc w:val="center"/>
              <w:rPr>
                <w:rFonts w:asciiTheme="majorHAnsi" w:hAnsiTheme="majorHAnsi"/>
                <w:b/>
                <w:szCs w:val="20"/>
              </w:rPr>
            </w:pPr>
            <w:r w:rsidRPr="00834AEA">
              <w:rPr>
                <w:rFonts w:asciiTheme="majorHAnsi" w:hAnsiTheme="majorHAnsi"/>
                <w:b/>
                <w:szCs w:val="20"/>
              </w:rPr>
              <w:t>82,9</w:t>
            </w:r>
          </w:p>
        </w:tc>
        <w:tc>
          <w:tcPr>
            <w:tcW w:w="1609" w:type="dxa"/>
            <w:vAlign w:val="center"/>
          </w:tcPr>
          <w:p w:rsidR="00E96760" w:rsidRPr="00834AEA" w:rsidRDefault="00E96760" w:rsidP="00F53328">
            <w:pPr>
              <w:jc w:val="center"/>
              <w:rPr>
                <w:rFonts w:asciiTheme="majorHAnsi" w:hAnsiTheme="majorHAnsi"/>
                <w:b/>
                <w:szCs w:val="20"/>
              </w:rPr>
            </w:pPr>
            <w:r w:rsidRPr="00834AEA">
              <w:rPr>
                <w:rFonts w:asciiTheme="majorHAnsi" w:hAnsiTheme="majorHAnsi"/>
                <w:b/>
                <w:szCs w:val="20"/>
              </w:rPr>
              <w:t>100</w:t>
            </w:r>
          </w:p>
        </w:tc>
        <w:tc>
          <w:tcPr>
            <w:tcW w:w="1255" w:type="dxa"/>
            <w:vAlign w:val="center"/>
          </w:tcPr>
          <w:p w:rsidR="00E96760" w:rsidRPr="00834AEA" w:rsidRDefault="00E96760" w:rsidP="00F53328">
            <w:pPr>
              <w:jc w:val="center"/>
              <w:rPr>
                <w:rFonts w:asciiTheme="majorHAnsi" w:hAnsiTheme="majorHAnsi"/>
                <w:b/>
                <w:szCs w:val="20"/>
              </w:rPr>
            </w:pPr>
            <w:r w:rsidRPr="00834AEA">
              <w:rPr>
                <w:rFonts w:asciiTheme="majorHAnsi" w:hAnsiTheme="majorHAnsi"/>
                <w:b/>
                <w:szCs w:val="20"/>
              </w:rPr>
              <w:t>100</w:t>
            </w:r>
          </w:p>
        </w:tc>
        <w:tc>
          <w:tcPr>
            <w:tcW w:w="1531" w:type="dxa"/>
            <w:vAlign w:val="center"/>
          </w:tcPr>
          <w:p w:rsidR="00E96760" w:rsidRPr="00834AEA" w:rsidRDefault="00E96760" w:rsidP="00F53328">
            <w:pPr>
              <w:jc w:val="center"/>
              <w:rPr>
                <w:rFonts w:asciiTheme="majorHAnsi" w:hAnsiTheme="majorHAnsi"/>
                <w:b/>
                <w:szCs w:val="20"/>
              </w:rPr>
            </w:pPr>
            <w:r w:rsidRPr="00834AEA">
              <w:rPr>
                <w:rFonts w:asciiTheme="majorHAnsi" w:hAnsiTheme="majorHAnsi"/>
                <w:b/>
                <w:szCs w:val="20"/>
              </w:rPr>
              <w:t>97</w:t>
            </w:r>
          </w:p>
        </w:tc>
      </w:tr>
    </w:tbl>
    <w:p w:rsidR="00E96760" w:rsidRDefault="00E96760" w:rsidP="00E96760">
      <w:pPr>
        <w:jc w:val="both"/>
        <w:rPr>
          <w:rFonts w:ascii="Times New Roman" w:hAnsi="Times New Roman"/>
        </w:rPr>
      </w:pPr>
    </w:p>
    <w:p w:rsidR="00E96760" w:rsidRPr="00834AEA" w:rsidRDefault="00E96760" w:rsidP="00834AEA">
      <w:pPr>
        <w:spacing w:after="200" w:line="276" w:lineRule="auto"/>
        <w:jc w:val="both"/>
      </w:pPr>
      <w:r w:rsidRPr="00834AEA">
        <w:t xml:space="preserve">По состоянию на начало 2013/2014 учебного года в НИУ ВШЭ (Москва, МИЭМ) размещено 8895 программ учебных дисциплин, что составляет 82,9% от общего числа дисциплин в соответствии с утвержденными рабочими учебными планами на 2013/2014 учебный год. </w:t>
      </w:r>
    </w:p>
    <w:p w:rsidR="00E96760" w:rsidRPr="00834AEA" w:rsidRDefault="00E96760" w:rsidP="00834AEA">
      <w:pPr>
        <w:spacing w:after="200" w:line="276" w:lineRule="auto"/>
        <w:jc w:val="both"/>
      </w:pPr>
      <w:r w:rsidRPr="00834AEA">
        <w:t xml:space="preserve">В </w:t>
      </w:r>
      <w:r w:rsidRPr="00D534C4">
        <w:t>Приложении</w:t>
      </w:r>
      <w:r w:rsidR="00E35E02" w:rsidRPr="00D534C4">
        <w:t xml:space="preserve"> </w:t>
      </w:r>
      <w:r w:rsidR="000109F9" w:rsidRPr="00D534C4">
        <w:t xml:space="preserve">к отчету </w:t>
      </w:r>
      <w:r w:rsidR="00A433AB" w:rsidRPr="00D534C4">
        <w:t xml:space="preserve">№ </w:t>
      </w:r>
      <w:r w:rsidR="000109F9" w:rsidRPr="00D534C4">
        <w:t>5</w:t>
      </w:r>
      <w:r w:rsidRPr="00D534C4">
        <w:t xml:space="preserve"> представлена</w:t>
      </w:r>
      <w:r w:rsidRPr="00834AEA">
        <w:t xml:space="preserve"> динамика размещения программ учебных дисциплин за 2010/2011-2012/2013 учебные годы на сайтах филиалов университета.</w:t>
      </w:r>
    </w:p>
    <w:p w:rsidR="00E96760" w:rsidRPr="00834AEA" w:rsidRDefault="00E96760" w:rsidP="00834AEA">
      <w:pPr>
        <w:spacing w:after="200" w:line="276" w:lineRule="auto"/>
        <w:jc w:val="both"/>
      </w:pPr>
      <w:r w:rsidRPr="00834AEA">
        <w:t>Отдельным предметом анализа в 2012-2013 уч. году стало размещение и качество программ дисциплин, читаемых на английском языке.</w:t>
      </w:r>
    </w:p>
    <w:tbl>
      <w:tblPr>
        <w:tblW w:w="5071" w:type="pct"/>
        <w:tblLayout w:type="fixed"/>
        <w:tblLook w:val="04A0" w:firstRow="1" w:lastRow="0" w:firstColumn="1" w:lastColumn="0" w:noHBand="0" w:noVBand="1"/>
      </w:tblPr>
      <w:tblGrid>
        <w:gridCol w:w="4623"/>
        <w:gridCol w:w="1145"/>
        <w:gridCol w:w="1282"/>
        <w:gridCol w:w="1147"/>
        <w:gridCol w:w="1504"/>
      </w:tblGrid>
      <w:tr w:rsidR="00E96760" w:rsidRPr="00834AEA" w:rsidTr="00F53328">
        <w:trPr>
          <w:trHeight w:val="645"/>
        </w:trPr>
        <w:tc>
          <w:tcPr>
            <w:tcW w:w="23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760" w:rsidRPr="00834AEA" w:rsidRDefault="00E96760" w:rsidP="00F53328">
            <w:pPr>
              <w:jc w:val="center"/>
              <w:rPr>
                <w:rFonts w:asciiTheme="majorHAnsi" w:hAnsiTheme="majorHAnsi" w:cs="Calibri"/>
                <w:b/>
                <w:bCs/>
                <w:color w:val="000000"/>
              </w:rPr>
            </w:pPr>
            <w:r w:rsidRPr="00834AEA">
              <w:rPr>
                <w:rFonts w:asciiTheme="majorHAnsi" w:hAnsiTheme="majorHAnsi" w:cs="Calibri"/>
                <w:b/>
                <w:bCs/>
                <w:color w:val="000000"/>
              </w:rPr>
              <w:t>Факультет</w:t>
            </w:r>
          </w:p>
        </w:tc>
        <w:tc>
          <w:tcPr>
            <w:tcW w:w="1251" w:type="pct"/>
            <w:gridSpan w:val="2"/>
            <w:tcBorders>
              <w:top w:val="single" w:sz="4" w:space="0" w:color="auto"/>
              <w:left w:val="nil"/>
              <w:bottom w:val="single" w:sz="4" w:space="0" w:color="auto"/>
              <w:right w:val="single" w:sz="4" w:space="0" w:color="000000"/>
            </w:tcBorders>
            <w:shd w:val="clear" w:color="auto" w:fill="auto"/>
            <w:vAlign w:val="center"/>
            <w:hideMark/>
          </w:tcPr>
          <w:p w:rsidR="00E96760" w:rsidRPr="00834AEA" w:rsidRDefault="00E96760" w:rsidP="00F53328">
            <w:pPr>
              <w:jc w:val="center"/>
              <w:rPr>
                <w:rFonts w:asciiTheme="majorHAnsi" w:hAnsiTheme="majorHAnsi" w:cs="Calibri"/>
                <w:b/>
                <w:bCs/>
                <w:color w:val="000000"/>
              </w:rPr>
            </w:pPr>
            <w:r w:rsidRPr="00834AEA">
              <w:rPr>
                <w:rFonts w:asciiTheme="majorHAnsi" w:hAnsiTheme="majorHAnsi" w:cs="Calibri"/>
                <w:b/>
                <w:bCs/>
                <w:color w:val="000000"/>
              </w:rPr>
              <w:t>3-4 модуль 2012-2013 уч. года</w:t>
            </w:r>
          </w:p>
        </w:tc>
        <w:tc>
          <w:tcPr>
            <w:tcW w:w="1366" w:type="pct"/>
            <w:gridSpan w:val="2"/>
            <w:tcBorders>
              <w:top w:val="single" w:sz="4" w:space="0" w:color="auto"/>
              <w:left w:val="nil"/>
              <w:bottom w:val="single" w:sz="4" w:space="0" w:color="auto"/>
              <w:right w:val="single" w:sz="4" w:space="0" w:color="000000"/>
            </w:tcBorders>
            <w:shd w:val="clear" w:color="auto" w:fill="auto"/>
            <w:vAlign w:val="center"/>
            <w:hideMark/>
          </w:tcPr>
          <w:p w:rsidR="00E96760" w:rsidRPr="00834AEA" w:rsidRDefault="00E96760" w:rsidP="00F53328">
            <w:pPr>
              <w:jc w:val="center"/>
              <w:rPr>
                <w:rFonts w:asciiTheme="majorHAnsi" w:hAnsiTheme="majorHAnsi" w:cs="Calibri"/>
                <w:b/>
                <w:bCs/>
                <w:color w:val="000000"/>
              </w:rPr>
            </w:pPr>
            <w:r w:rsidRPr="00834AEA">
              <w:rPr>
                <w:rFonts w:asciiTheme="majorHAnsi" w:hAnsiTheme="majorHAnsi" w:cs="Calibri"/>
                <w:b/>
                <w:bCs/>
                <w:color w:val="000000"/>
              </w:rPr>
              <w:t>1-2 модуль 2013-2014 уч. года</w:t>
            </w:r>
          </w:p>
        </w:tc>
      </w:tr>
      <w:tr w:rsidR="00E96760" w:rsidRPr="00834AEA" w:rsidTr="00F53328">
        <w:trPr>
          <w:trHeight w:val="1500"/>
        </w:trPr>
        <w:tc>
          <w:tcPr>
            <w:tcW w:w="2383" w:type="pct"/>
            <w:vMerge/>
            <w:tcBorders>
              <w:top w:val="single" w:sz="4" w:space="0" w:color="auto"/>
              <w:left w:val="single" w:sz="4" w:space="0" w:color="auto"/>
              <w:bottom w:val="single" w:sz="4" w:space="0" w:color="auto"/>
              <w:right w:val="single" w:sz="4" w:space="0" w:color="auto"/>
            </w:tcBorders>
            <w:vAlign w:val="center"/>
            <w:hideMark/>
          </w:tcPr>
          <w:p w:rsidR="00E96760" w:rsidRPr="00834AEA" w:rsidRDefault="00E96760" w:rsidP="00F53328">
            <w:pPr>
              <w:rPr>
                <w:rFonts w:asciiTheme="majorHAnsi" w:hAnsiTheme="majorHAnsi" w:cs="Calibri"/>
                <w:b/>
                <w:bCs/>
                <w:color w:val="000000"/>
              </w:rPr>
            </w:pPr>
          </w:p>
        </w:tc>
        <w:tc>
          <w:tcPr>
            <w:tcW w:w="590" w:type="pct"/>
            <w:tcBorders>
              <w:top w:val="nil"/>
              <w:left w:val="nil"/>
              <w:bottom w:val="single" w:sz="4" w:space="0" w:color="auto"/>
              <w:right w:val="single" w:sz="4" w:space="0" w:color="auto"/>
            </w:tcBorders>
            <w:shd w:val="clear" w:color="auto" w:fill="auto"/>
            <w:vAlign w:val="center"/>
            <w:hideMark/>
          </w:tcPr>
          <w:p w:rsidR="00E96760" w:rsidRPr="00834AEA" w:rsidRDefault="00E96760" w:rsidP="00F53328">
            <w:pPr>
              <w:jc w:val="center"/>
              <w:rPr>
                <w:rFonts w:asciiTheme="majorHAnsi" w:hAnsiTheme="majorHAnsi" w:cs="Calibri"/>
                <w:b/>
                <w:bCs/>
                <w:color w:val="000000"/>
              </w:rPr>
            </w:pPr>
            <w:r w:rsidRPr="00834AEA">
              <w:rPr>
                <w:rFonts w:asciiTheme="majorHAnsi" w:hAnsiTheme="majorHAnsi" w:cs="Calibri"/>
                <w:b/>
                <w:bCs/>
                <w:color w:val="000000"/>
              </w:rPr>
              <w:t>Количество дисциплин</w:t>
            </w:r>
            <w:r w:rsidRPr="00834AEA">
              <w:rPr>
                <w:rStyle w:val="ac"/>
                <w:rFonts w:asciiTheme="majorHAnsi" w:hAnsiTheme="majorHAnsi"/>
                <w:b/>
                <w:bCs/>
                <w:color w:val="000000"/>
              </w:rPr>
              <w:footnoteReference w:id="6"/>
            </w:r>
          </w:p>
        </w:tc>
        <w:tc>
          <w:tcPr>
            <w:tcW w:w="660" w:type="pct"/>
            <w:tcBorders>
              <w:top w:val="nil"/>
              <w:left w:val="nil"/>
              <w:bottom w:val="single" w:sz="4" w:space="0" w:color="auto"/>
              <w:right w:val="single" w:sz="4" w:space="0" w:color="auto"/>
            </w:tcBorders>
            <w:shd w:val="clear" w:color="auto" w:fill="auto"/>
            <w:vAlign w:val="center"/>
            <w:hideMark/>
          </w:tcPr>
          <w:p w:rsidR="00E96760" w:rsidRPr="00834AEA" w:rsidRDefault="00E96760" w:rsidP="00F53328">
            <w:pPr>
              <w:jc w:val="center"/>
              <w:rPr>
                <w:rFonts w:asciiTheme="majorHAnsi" w:hAnsiTheme="majorHAnsi" w:cs="Calibri"/>
                <w:b/>
                <w:bCs/>
                <w:color w:val="000000"/>
              </w:rPr>
            </w:pPr>
            <w:r w:rsidRPr="00834AEA">
              <w:rPr>
                <w:rFonts w:asciiTheme="majorHAnsi" w:hAnsiTheme="majorHAnsi" w:cs="Calibri"/>
                <w:b/>
                <w:bCs/>
                <w:color w:val="000000"/>
              </w:rPr>
              <w:t xml:space="preserve">Количество программ/ аннотаций  </w:t>
            </w:r>
          </w:p>
        </w:tc>
        <w:tc>
          <w:tcPr>
            <w:tcW w:w="591" w:type="pct"/>
            <w:tcBorders>
              <w:top w:val="nil"/>
              <w:left w:val="nil"/>
              <w:bottom w:val="single" w:sz="4" w:space="0" w:color="auto"/>
              <w:right w:val="single" w:sz="4" w:space="0" w:color="auto"/>
            </w:tcBorders>
            <w:shd w:val="clear" w:color="auto" w:fill="auto"/>
            <w:vAlign w:val="center"/>
            <w:hideMark/>
          </w:tcPr>
          <w:p w:rsidR="00E96760" w:rsidRPr="00834AEA" w:rsidRDefault="00E96760" w:rsidP="00F53328">
            <w:pPr>
              <w:jc w:val="center"/>
              <w:rPr>
                <w:rFonts w:asciiTheme="majorHAnsi" w:hAnsiTheme="majorHAnsi" w:cs="Calibri"/>
                <w:b/>
                <w:bCs/>
                <w:color w:val="000000"/>
              </w:rPr>
            </w:pPr>
            <w:r w:rsidRPr="00834AEA">
              <w:rPr>
                <w:rFonts w:asciiTheme="majorHAnsi" w:hAnsiTheme="majorHAnsi" w:cs="Calibri"/>
                <w:b/>
                <w:bCs/>
                <w:color w:val="000000"/>
              </w:rPr>
              <w:t>Количество дисциплин</w:t>
            </w:r>
          </w:p>
        </w:tc>
        <w:tc>
          <w:tcPr>
            <w:tcW w:w="775" w:type="pct"/>
            <w:tcBorders>
              <w:top w:val="nil"/>
              <w:left w:val="nil"/>
              <w:bottom w:val="single" w:sz="4" w:space="0" w:color="auto"/>
              <w:right w:val="single" w:sz="4" w:space="0" w:color="auto"/>
            </w:tcBorders>
            <w:shd w:val="clear" w:color="auto" w:fill="auto"/>
            <w:vAlign w:val="center"/>
            <w:hideMark/>
          </w:tcPr>
          <w:p w:rsidR="00E96760" w:rsidRPr="00834AEA" w:rsidRDefault="00E96760" w:rsidP="00F53328">
            <w:pPr>
              <w:jc w:val="center"/>
              <w:rPr>
                <w:rFonts w:asciiTheme="majorHAnsi" w:hAnsiTheme="majorHAnsi" w:cs="Calibri"/>
                <w:b/>
                <w:bCs/>
                <w:color w:val="000000"/>
              </w:rPr>
            </w:pPr>
            <w:r w:rsidRPr="00834AEA">
              <w:rPr>
                <w:rFonts w:asciiTheme="majorHAnsi" w:hAnsiTheme="majorHAnsi" w:cs="Calibri"/>
                <w:b/>
                <w:bCs/>
                <w:color w:val="000000"/>
              </w:rPr>
              <w:t>Количество программ/ аннотаций</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Банковский институт</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2</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11</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11</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proofErr w:type="gramStart"/>
            <w:r w:rsidRPr="00834AEA">
              <w:rPr>
                <w:rFonts w:asciiTheme="majorHAnsi" w:hAnsiTheme="majorHAnsi" w:cs="Calibri"/>
                <w:color w:val="000000"/>
              </w:rPr>
              <w:t>Бизнес-информатики</w:t>
            </w:r>
            <w:proofErr w:type="gramEnd"/>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10</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3</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 xml:space="preserve">Факультет государственного и </w:t>
            </w:r>
            <w:r w:rsidRPr="00834AEA">
              <w:rPr>
                <w:rFonts w:asciiTheme="majorHAnsi" w:hAnsiTheme="majorHAnsi" w:cs="Calibri"/>
                <w:color w:val="000000"/>
              </w:rPr>
              <w:lastRenderedPageBreak/>
              <w:t>муниципального управления</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lastRenderedPageBreak/>
              <w:t>4</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2</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lastRenderedPageBreak/>
              <w:t>Институт демографии</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2</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 xml:space="preserve">Институт менеджмента инноваций </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Институт образования</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Истории</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2</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Кафедра публичной политики</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5</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5</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26</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26</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Факультет логистики</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Факультет математики</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11</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46</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МИЭФ</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9</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41</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41</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Факультет мировой экономики и мировой политики</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4</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39</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35</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Отделение востоковедения</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11</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10</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16</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16</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Отделение интегрированных коммуникаций</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Отделение культурологии</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2</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Отделение прикладной математики и информатики</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Отделение программной инженерии</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4</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3</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61</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6</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Отделение статистики, анализа данных и демографии</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13</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 xml:space="preserve">Факультет </w:t>
            </w:r>
            <w:proofErr w:type="spellStart"/>
            <w:r w:rsidRPr="00834AEA">
              <w:rPr>
                <w:rFonts w:asciiTheme="majorHAnsi" w:hAnsiTheme="majorHAnsi" w:cs="Calibri"/>
                <w:color w:val="000000"/>
              </w:rPr>
              <w:t>медиакоммуникаций</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3</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Факультет менеджмента</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18</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8</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8</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8</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Факультет права</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4</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4</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16</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Факультет прикладной политологии</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7</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6</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Факультет психологии</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3</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2</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Факультет социологии</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15</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12</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5</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Факультет филологии</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2</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12</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Факультет философии</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1</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2</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2</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color w:val="000000"/>
              </w:rPr>
            </w:pPr>
            <w:r w:rsidRPr="00834AEA">
              <w:rPr>
                <w:rFonts w:asciiTheme="majorHAnsi" w:hAnsiTheme="majorHAnsi" w:cs="Calibri"/>
                <w:color w:val="000000"/>
              </w:rPr>
              <w:t>Факультет экономики</w:t>
            </w:r>
          </w:p>
        </w:tc>
        <w:tc>
          <w:tcPr>
            <w:tcW w:w="59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5</w:t>
            </w:r>
          </w:p>
        </w:tc>
        <w:tc>
          <w:tcPr>
            <w:tcW w:w="660"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0</w:t>
            </w:r>
          </w:p>
        </w:tc>
        <w:tc>
          <w:tcPr>
            <w:tcW w:w="591"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23</w:t>
            </w:r>
          </w:p>
        </w:tc>
        <w:tc>
          <w:tcPr>
            <w:tcW w:w="775" w:type="pct"/>
            <w:tcBorders>
              <w:top w:val="nil"/>
              <w:left w:val="nil"/>
              <w:bottom w:val="single" w:sz="4" w:space="0" w:color="auto"/>
              <w:right w:val="single" w:sz="4" w:space="0" w:color="auto"/>
            </w:tcBorders>
            <w:shd w:val="clear" w:color="auto" w:fill="auto"/>
            <w:noWrap/>
            <w:vAlign w:val="center"/>
            <w:hideMark/>
          </w:tcPr>
          <w:p w:rsidR="00E96760" w:rsidRPr="00834AEA" w:rsidRDefault="00E96760" w:rsidP="00F53328">
            <w:pPr>
              <w:jc w:val="right"/>
              <w:rPr>
                <w:rFonts w:asciiTheme="majorHAnsi" w:hAnsiTheme="majorHAnsi" w:cs="Calibri"/>
                <w:color w:val="000000"/>
              </w:rPr>
            </w:pPr>
            <w:r w:rsidRPr="00834AEA">
              <w:rPr>
                <w:rFonts w:asciiTheme="majorHAnsi" w:hAnsiTheme="majorHAnsi" w:cs="Calibri"/>
                <w:color w:val="000000"/>
              </w:rPr>
              <w:t>6</w:t>
            </w:r>
          </w:p>
        </w:tc>
      </w:tr>
      <w:tr w:rsidR="00E96760" w:rsidRPr="00834AEA" w:rsidTr="00F53328">
        <w:trPr>
          <w:trHeight w:val="300"/>
        </w:trPr>
        <w:tc>
          <w:tcPr>
            <w:tcW w:w="2383" w:type="pct"/>
            <w:tcBorders>
              <w:top w:val="nil"/>
              <w:left w:val="single" w:sz="4" w:space="0" w:color="auto"/>
              <w:bottom w:val="single" w:sz="4" w:space="0" w:color="auto"/>
              <w:right w:val="single" w:sz="4" w:space="0" w:color="auto"/>
            </w:tcBorders>
            <w:shd w:val="clear" w:color="auto" w:fill="auto"/>
            <w:noWrap/>
            <w:vAlign w:val="bottom"/>
            <w:hideMark/>
          </w:tcPr>
          <w:p w:rsidR="00E96760" w:rsidRPr="00834AEA" w:rsidRDefault="00E96760" w:rsidP="00F53328">
            <w:pPr>
              <w:rPr>
                <w:rFonts w:asciiTheme="majorHAnsi" w:hAnsiTheme="majorHAnsi" w:cs="Calibri"/>
                <w:b/>
                <w:bCs/>
                <w:color w:val="000000"/>
              </w:rPr>
            </w:pPr>
            <w:r w:rsidRPr="00834AEA">
              <w:rPr>
                <w:rFonts w:asciiTheme="majorHAnsi" w:hAnsiTheme="majorHAnsi" w:cs="Calibri"/>
                <w:b/>
                <w:bCs/>
                <w:color w:val="000000"/>
              </w:rPr>
              <w:t>Общий итог</w:t>
            </w:r>
          </w:p>
        </w:tc>
        <w:tc>
          <w:tcPr>
            <w:tcW w:w="590" w:type="pct"/>
            <w:tcBorders>
              <w:top w:val="nil"/>
              <w:left w:val="nil"/>
              <w:bottom w:val="single" w:sz="4" w:space="0" w:color="auto"/>
              <w:right w:val="single" w:sz="4" w:space="0" w:color="auto"/>
            </w:tcBorders>
            <w:shd w:val="clear" w:color="auto" w:fill="auto"/>
            <w:noWrap/>
            <w:vAlign w:val="bottom"/>
            <w:hideMark/>
          </w:tcPr>
          <w:p w:rsidR="00E96760" w:rsidRPr="00834AEA" w:rsidRDefault="00E96760" w:rsidP="00F53328">
            <w:pPr>
              <w:jc w:val="right"/>
              <w:rPr>
                <w:rFonts w:asciiTheme="majorHAnsi" w:hAnsiTheme="majorHAnsi" w:cs="Calibri"/>
                <w:b/>
                <w:bCs/>
                <w:color w:val="000000"/>
              </w:rPr>
            </w:pPr>
            <w:r w:rsidRPr="00834AEA">
              <w:rPr>
                <w:rFonts w:asciiTheme="majorHAnsi" w:hAnsiTheme="majorHAnsi" w:cs="Calibri"/>
                <w:b/>
                <w:bCs/>
                <w:color w:val="000000"/>
              </w:rPr>
              <w:t>103</w:t>
            </w:r>
          </w:p>
        </w:tc>
        <w:tc>
          <w:tcPr>
            <w:tcW w:w="660" w:type="pct"/>
            <w:tcBorders>
              <w:top w:val="nil"/>
              <w:left w:val="nil"/>
              <w:bottom w:val="single" w:sz="4" w:space="0" w:color="auto"/>
              <w:right w:val="single" w:sz="4" w:space="0" w:color="auto"/>
            </w:tcBorders>
            <w:shd w:val="clear" w:color="auto" w:fill="auto"/>
            <w:noWrap/>
            <w:vAlign w:val="bottom"/>
            <w:hideMark/>
          </w:tcPr>
          <w:p w:rsidR="00E96760" w:rsidRPr="00834AEA" w:rsidRDefault="00E96760" w:rsidP="00F53328">
            <w:pPr>
              <w:jc w:val="right"/>
              <w:rPr>
                <w:rFonts w:asciiTheme="majorHAnsi" w:hAnsiTheme="majorHAnsi" w:cs="Calibri"/>
                <w:b/>
                <w:bCs/>
                <w:color w:val="000000"/>
              </w:rPr>
            </w:pPr>
            <w:r w:rsidRPr="00834AEA">
              <w:rPr>
                <w:rFonts w:asciiTheme="majorHAnsi" w:hAnsiTheme="majorHAnsi" w:cs="Calibri"/>
                <w:b/>
                <w:bCs/>
                <w:color w:val="000000"/>
              </w:rPr>
              <w:t>39</w:t>
            </w:r>
          </w:p>
        </w:tc>
        <w:tc>
          <w:tcPr>
            <w:tcW w:w="591" w:type="pct"/>
            <w:tcBorders>
              <w:top w:val="nil"/>
              <w:left w:val="nil"/>
              <w:bottom w:val="single" w:sz="4" w:space="0" w:color="auto"/>
              <w:right w:val="single" w:sz="4" w:space="0" w:color="auto"/>
            </w:tcBorders>
            <w:shd w:val="clear" w:color="auto" w:fill="auto"/>
            <w:noWrap/>
            <w:vAlign w:val="bottom"/>
            <w:hideMark/>
          </w:tcPr>
          <w:p w:rsidR="00E96760" w:rsidRPr="00834AEA" w:rsidRDefault="00E96760" w:rsidP="00F53328">
            <w:pPr>
              <w:jc w:val="right"/>
              <w:rPr>
                <w:rFonts w:asciiTheme="majorHAnsi" w:hAnsiTheme="majorHAnsi" w:cs="Calibri"/>
                <w:b/>
                <w:bCs/>
                <w:color w:val="000000"/>
              </w:rPr>
            </w:pPr>
            <w:r w:rsidRPr="00834AEA">
              <w:rPr>
                <w:rFonts w:asciiTheme="majorHAnsi" w:hAnsiTheme="majorHAnsi" w:cs="Calibri"/>
                <w:b/>
                <w:bCs/>
                <w:color w:val="000000"/>
              </w:rPr>
              <w:t>357</w:t>
            </w:r>
          </w:p>
        </w:tc>
        <w:tc>
          <w:tcPr>
            <w:tcW w:w="775" w:type="pct"/>
            <w:tcBorders>
              <w:top w:val="nil"/>
              <w:left w:val="nil"/>
              <w:bottom w:val="single" w:sz="4" w:space="0" w:color="auto"/>
              <w:right w:val="single" w:sz="4" w:space="0" w:color="auto"/>
            </w:tcBorders>
            <w:shd w:val="clear" w:color="auto" w:fill="auto"/>
            <w:noWrap/>
            <w:vAlign w:val="bottom"/>
            <w:hideMark/>
          </w:tcPr>
          <w:p w:rsidR="00E96760" w:rsidRPr="00834AEA" w:rsidRDefault="00E96760" w:rsidP="00F53328">
            <w:pPr>
              <w:jc w:val="right"/>
              <w:rPr>
                <w:rFonts w:asciiTheme="majorHAnsi" w:hAnsiTheme="majorHAnsi" w:cs="Calibri"/>
                <w:b/>
                <w:bCs/>
                <w:color w:val="000000"/>
              </w:rPr>
            </w:pPr>
            <w:r w:rsidRPr="00834AEA">
              <w:rPr>
                <w:rFonts w:asciiTheme="majorHAnsi" w:hAnsiTheme="majorHAnsi" w:cs="Calibri"/>
                <w:b/>
                <w:bCs/>
                <w:color w:val="000000"/>
              </w:rPr>
              <w:t>171</w:t>
            </w:r>
          </w:p>
        </w:tc>
      </w:tr>
    </w:tbl>
    <w:p w:rsidR="00E96760" w:rsidRDefault="00E96760" w:rsidP="00E96760">
      <w:pPr>
        <w:ind w:firstLine="567"/>
        <w:jc w:val="both"/>
        <w:rPr>
          <w:rFonts w:ascii="Times New Roman" w:hAnsi="Times New Roman"/>
        </w:rPr>
      </w:pPr>
    </w:p>
    <w:p w:rsidR="00E96760" w:rsidRPr="00E96760" w:rsidRDefault="00E96760" w:rsidP="001602DC">
      <w:pPr>
        <w:spacing w:after="200" w:line="276" w:lineRule="auto"/>
        <w:jc w:val="both"/>
      </w:pPr>
      <w:r w:rsidRPr="00E96760">
        <w:t xml:space="preserve">Данные в таблице показывают, что ситуация с предоставлением программ отчасти исправляется, однако  далека от идеальной – в целом по кампусу процент обеспеченности программами в общей точке доступа вырос от 38%  до 47,9% и составляет менее половины (с учетом возросшего числа англоязычных дисциплин осеннего семестра по сравнению </w:t>
      </w:r>
      <w:proofErr w:type="gramStart"/>
      <w:r w:rsidRPr="00E96760">
        <w:t>с</w:t>
      </w:r>
      <w:proofErr w:type="gramEnd"/>
      <w:r w:rsidRPr="00E96760">
        <w:t xml:space="preserve"> весенним). Стоит особо отметить, что в качестве программ учитывались как полнотекстовые версии, содержащие всю необходимую студентам информацию, так и краткие аннотации, позволяющие сделать первоначальный выбор. Новый регламент создан</w:t>
      </w:r>
      <w:r>
        <w:t>и</w:t>
      </w:r>
      <w:r w:rsidRPr="00E96760">
        <w:t xml:space="preserve">я, размещения и хранения ПУД предполагает для англоязычных дисциплин создание программ как минимум за полгода до начала времени их реализации (для предоставления потенциальным внешним студентам). В задачи следующего года входит разработка полностью англоязычной версии </w:t>
      </w:r>
      <w:proofErr w:type="spellStart"/>
      <w:r w:rsidRPr="00E96760">
        <w:t>РУПов</w:t>
      </w:r>
      <w:proofErr w:type="spellEnd"/>
      <w:r w:rsidRPr="00E96760">
        <w:t xml:space="preserve"> и </w:t>
      </w:r>
      <w:r w:rsidR="00834AEA">
        <w:t>базовых учебных планов</w:t>
      </w:r>
      <w:r w:rsidRPr="00E96760">
        <w:t>, а также обеспечение краткими аннотациями  100% предлагаемых на английском языке программ дисциплин.</w:t>
      </w:r>
    </w:p>
    <w:p w:rsidR="007909E4" w:rsidRDefault="007909E4">
      <w:pPr>
        <w:rPr>
          <w:rFonts w:asciiTheme="majorHAnsi" w:eastAsiaTheme="majorEastAsia" w:hAnsiTheme="majorHAnsi" w:cstheme="majorBidi"/>
          <w:b/>
          <w:bCs/>
          <w:color w:val="4F81BD" w:themeColor="accent1"/>
          <w:sz w:val="26"/>
          <w:szCs w:val="26"/>
          <w:lang w:val="en-US"/>
        </w:rPr>
      </w:pPr>
      <w:r>
        <w:rPr>
          <w:lang w:val="en-US"/>
        </w:rPr>
        <w:br w:type="page"/>
      </w:r>
    </w:p>
    <w:p w:rsidR="00E87816" w:rsidRDefault="007909E4" w:rsidP="00985CF7">
      <w:pPr>
        <w:pStyle w:val="2"/>
        <w:numPr>
          <w:ilvl w:val="1"/>
          <w:numId w:val="1"/>
        </w:numPr>
      </w:pPr>
      <w:bookmarkStart w:id="28" w:name="_Toc374030050"/>
      <w:r>
        <w:lastRenderedPageBreak/>
        <w:t>Семинары по</w:t>
      </w:r>
      <w:r w:rsidR="005005BC">
        <w:t xml:space="preserve"> методической поддержке преподавателей и административного персонала</w:t>
      </w:r>
      <w:bookmarkEnd w:id="28"/>
    </w:p>
    <w:p w:rsidR="00E87816" w:rsidRPr="00E87816" w:rsidRDefault="00E87816" w:rsidP="00E87816">
      <w:pPr>
        <w:spacing w:after="200" w:line="276" w:lineRule="auto"/>
        <w:jc w:val="both"/>
      </w:pPr>
      <w:r w:rsidRPr="00E87816">
        <w:t>В 2012-2013 году Методическое управление начало проводить проблемные  семинары в рамках цикла «Методические среды». Основной целью данных семинаров является обсуждение и обмен опытом методической работы в НИУ ВШЭ между различными подразделениями и кампусами, выявление проблемных зон в методической работе.</w:t>
      </w:r>
    </w:p>
    <w:p w:rsidR="00E87816" w:rsidRPr="00E87816" w:rsidRDefault="00E87816" w:rsidP="00E87816">
      <w:pPr>
        <w:spacing w:after="200" w:line="276" w:lineRule="auto"/>
        <w:jc w:val="both"/>
      </w:pPr>
      <w:r w:rsidRPr="00E87816">
        <w:t xml:space="preserve">Семинары из цикла «Методические среды» проводились ежемесячно с сентября по май 2012-2013 учебного года. К работе семинаров  привлекались все кампусы НИУ ВШЭ (с помощью  </w:t>
      </w:r>
      <w:proofErr w:type="gramStart"/>
      <w:r w:rsidRPr="00E87816">
        <w:t>конференц-связи</w:t>
      </w:r>
      <w:proofErr w:type="gramEnd"/>
      <w:r w:rsidRPr="00E87816">
        <w:t>), - как к участию в дискуссиях, так и к выступлениям с докладами, в качестве приглашенных экспертов по теме семинара.</w:t>
      </w:r>
    </w:p>
    <w:p w:rsidR="00E87816" w:rsidRPr="00E87816" w:rsidRDefault="00E87816" w:rsidP="00E87816">
      <w:pPr>
        <w:spacing w:after="200" w:line="276" w:lineRule="auto"/>
        <w:jc w:val="both"/>
      </w:pPr>
      <w:r w:rsidRPr="00E87816">
        <w:t xml:space="preserve">Среднее количество очных участников семинаров около 25-40 человек (по листам </w:t>
      </w:r>
      <w:proofErr w:type="spellStart"/>
      <w:r w:rsidRPr="00E87816">
        <w:t>самозаписи</w:t>
      </w:r>
      <w:proofErr w:type="spellEnd"/>
      <w:r w:rsidRPr="00E87816">
        <w:t xml:space="preserve">), за время проведения семинаров их посетило в общей сложности  порядка 250 человек (не уникальные посетители). </w:t>
      </w:r>
    </w:p>
    <w:p w:rsidR="00E87816" w:rsidRPr="00E87816" w:rsidRDefault="00E87816" w:rsidP="00E87816">
      <w:pPr>
        <w:spacing w:after="200" w:line="276" w:lineRule="auto"/>
        <w:jc w:val="both"/>
      </w:pPr>
      <w:r w:rsidRPr="00E87816">
        <w:t xml:space="preserve">Информация о семинарах размещена на сайте Методического управления по ссылке </w:t>
      </w:r>
      <w:hyperlink r:id="rId44" w:history="1">
        <w:r w:rsidRPr="00E87816">
          <w:t>http://www.hse.ru/studyspravka/Metod_sr_13</w:t>
        </w:r>
      </w:hyperlink>
      <w:r>
        <w:t xml:space="preserve">. </w:t>
      </w:r>
      <w:r w:rsidRPr="00E87816">
        <w:t>Также  проводится информационная рассылка по пользователям НИУ ВШЭ, анонсы размещаются на сайте Методического управления и в Методическом календаре. Материалы семинаров размещаются в открытом доступе на странице «Методических сред» портала  НИУ ВШЭ. Первые отклики показали, что темы семинаров привлекают не только сотрудников НИУ ВШЭ, но и коллег из других вузов Москвы (так, есть случаи записи на семинары пока немногочисленных внешних посетителей-   5 человек за все время).</w:t>
      </w:r>
    </w:p>
    <w:p w:rsidR="00E87816" w:rsidRPr="00E87816" w:rsidRDefault="00E87816" w:rsidP="00E87816">
      <w:pPr>
        <w:spacing w:after="200" w:line="276" w:lineRule="auto"/>
        <w:jc w:val="both"/>
      </w:pPr>
      <w:r w:rsidRPr="00E87816">
        <w:t>Формат проблемного семинара позволяет участникам задавать сложные вопросы, на которые пока не найдено ответов, предлагать к обсуждению спорные кейсы, делиться трудностями в реализации общих требований. В то же время выявляется передовой опыт в организации образовательного процесса, работе со студентами и преподавателями, который в иных формах оставался бы незамеченным. Наиболее частое замечание в оценочных формах обратной связи участников семинаров – то, что семинары сделали для них методическую работу «более живой», актуальной.</w:t>
      </w:r>
    </w:p>
    <w:p w:rsidR="00E87816" w:rsidRPr="00E87816" w:rsidRDefault="00E87816" w:rsidP="00E87816">
      <w:pPr>
        <w:spacing w:after="200" w:line="276" w:lineRule="auto"/>
        <w:jc w:val="both"/>
      </w:pPr>
      <w:r w:rsidRPr="00E87816">
        <w:t xml:space="preserve">Всего за 2012-2013 уч. год было проведено 9 семинаров. Тематика и расписание прошедших семинаров: </w:t>
      </w:r>
    </w:p>
    <w:p w:rsidR="00E87816" w:rsidRPr="00E87816" w:rsidRDefault="00E87816" w:rsidP="00E87816">
      <w:pPr>
        <w:spacing w:after="200"/>
        <w:jc w:val="both"/>
      </w:pPr>
      <w:r w:rsidRPr="00E87816">
        <w:t xml:space="preserve">27.09.2012 г.-  «Программа учебной дисциплины: вопросы содержания и методического сопровождения» </w:t>
      </w:r>
    </w:p>
    <w:p w:rsidR="00E87816" w:rsidRPr="00E87816" w:rsidRDefault="00E87816" w:rsidP="00E87816">
      <w:pPr>
        <w:spacing w:after="200"/>
        <w:jc w:val="both"/>
      </w:pPr>
      <w:r w:rsidRPr="00E87816">
        <w:t>31.10.2012г. -  «Научно-исследовательский семинар: организация, проведение».</w:t>
      </w:r>
    </w:p>
    <w:p w:rsidR="00E87816" w:rsidRPr="00E87816" w:rsidRDefault="00E87816" w:rsidP="00E87816">
      <w:pPr>
        <w:spacing w:after="200"/>
        <w:jc w:val="both"/>
      </w:pPr>
      <w:r w:rsidRPr="00E87816">
        <w:t>28.11.2012г. -   «Определение компетенций, развиваемых в рамках дисциплины».</w:t>
      </w:r>
    </w:p>
    <w:p w:rsidR="00E87816" w:rsidRPr="00E87816" w:rsidRDefault="00E87816" w:rsidP="00E87816">
      <w:pPr>
        <w:spacing w:after="200"/>
        <w:jc w:val="both"/>
      </w:pPr>
      <w:r w:rsidRPr="00E87816">
        <w:t xml:space="preserve">19.12.2012 г. -   "Практика: формы, организация, проведение"  </w:t>
      </w:r>
    </w:p>
    <w:p w:rsidR="00E87816" w:rsidRPr="00E87816" w:rsidRDefault="00E87816" w:rsidP="00E87816">
      <w:pPr>
        <w:spacing w:after="200"/>
        <w:jc w:val="both"/>
      </w:pPr>
      <w:r w:rsidRPr="00E87816">
        <w:t xml:space="preserve">30.01.2013 г.-   "Взаимодействие с работодателями при формировании и реализации образовательной программы" </w:t>
      </w:r>
    </w:p>
    <w:p w:rsidR="00E87816" w:rsidRPr="00E87816" w:rsidRDefault="00E87816" w:rsidP="00E87816">
      <w:pPr>
        <w:spacing w:after="200"/>
        <w:jc w:val="both"/>
      </w:pPr>
      <w:r w:rsidRPr="00E87816">
        <w:lastRenderedPageBreak/>
        <w:t>27.02.2013 г.-    "Особенности организации исследовательской работы магистрантов (ВКР, курсовая работа, НИС)"</w:t>
      </w:r>
    </w:p>
    <w:p w:rsidR="00E87816" w:rsidRPr="00E87816" w:rsidRDefault="00E87816" w:rsidP="00E87816">
      <w:pPr>
        <w:spacing w:after="200"/>
        <w:jc w:val="both"/>
      </w:pPr>
      <w:r w:rsidRPr="00E87816">
        <w:t>28.03.2013 г. -   «Опыт реализации оригинальных образовательных</w:t>
      </w:r>
    </w:p>
    <w:p w:rsidR="00E87816" w:rsidRPr="00E87816" w:rsidRDefault="00E87816" w:rsidP="00E87816">
      <w:pPr>
        <w:spacing w:after="200"/>
        <w:jc w:val="both"/>
      </w:pPr>
      <w:r w:rsidRPr="00E87816">
        <w:t>стандартов НИУ ВШЭ: итоги 3-х лет»</w:t>
      </w:r>
    </w:p>
    <w:p w:rsidR="00E87816" w:rsidRPr="00E87816" w:rsidRDefault="00E87816" w:rsidP="00E87816">
      <w:pPr>
        <w:spacing w:after="200"/>
        <w:jc w:val="both"/>
      </w:pPr>
      <w:r w:rsidRPr="00E87816">
        <w:t>24.04.2013 г. -   «Методы формирования и оценивания результатов обучения»</w:t>
      </w:r>
    </w:p>
    <w:p w:rsidR="00E87816" w:rsidRPr="00E87816" w:rsidRDefault="00E87816" w:rsidP="00E87816">
      <w:pPr>
        <w:spacing w:after="200"/>
        <w:jc w:val="both"/>
      </w:pPr>
      <w:r w:rsidRPr="00E87816">
        <w:t>22.05.2013 г. - «Обсуждение Федерального Закона "Об образовании в Российской Федерации"»</w:t>
      </w:r>
    </w:p>
    <w:p w:rsidR="00E87816" w:rsidRDefault="00E87816" w:rsidP="00985CF7">
      <w:pPr>
        <w:spacing w:after="200" w:line="276" w:lineRule="auto"/>
        <w:jc w:val="both"/>
      </w:pPr>
      <w:proofErr w:type="gramStart"/>
      <w:r w:rsidRPr="00E87816">
        <w:t>Материалы обсуждений на семинарах становятся основой  для разработки или обновления методических материалов и рекомендаций в рамках образовательных программ, коллеги из разных подразделений получают представление о лучших практиках в рамках НИУ ВШЭ и возможность обсудить  эти практики с их «держателями».</w:t>
      </w:r>
      <w:proofErr w:type="gramEnd"/>
    </w:p>
    <w:p w:rsidR="007909E4" w:rsidRDefault="007909E4" w:rsidP="007909E4">
      <w:pPr>
        <w:spacing w:after="200" w:line="276" w:lineRule="auto"/>
        <w:jc w:val="both"/>
        <w:rPr>
          <w:color w:val="000000"/>
        </w:rPr>
      </w:pPr>
      <w:r>
        <w:rPr>
          <w:color w:val="000000"/>
        </w:rPr>
        <w:t>Второй год   Управлением академического развития и программой «Фонд образовательных инноваций» реализуется проект методической поддержки  группы высокого профессионального потенциала НИУ ВШЭ   - Методическая мастерская «</w:t>
      </w:r>
      <w:proofErr w:type="spellStart"/>
      <w:r>
        <w:rPr>
          <w:color w:val="000000"/>
          <w:lang w:val="en-US"/>
        </w:rPr>
        <w:t>Profi</w:t>
      </w:r>
      <w:proofErr w:type="spellEnd"/>
      <w:r>
        <w:rPr>
          <w:color w:val="000000"/>
        </w:rPr>
        <w:t>-</w:t>
      </w:r>
      <w:r>
        <w:rPr>
          <w:color w:val="000000"/>
          <w:lang w:val="en-US"/>
        </w:rPr>
        <w:t>T</w:t>
      </w:r>
      <w:r>
        <w:rPr>
          <w:color w:val="000000"/>
        </w:rPr>
        <w:t xml:space="preserve">».  </w:t>
      </w:r>
    </w:p>
    <w:p w:rsidR="007909E4" w:rsidRDefault="007909E4" w:rsidP="007909E4">
      <w:pPr>
        <w:spacing w:after="200" w:line="276" w:lineRule="auto"/>
        <w:jc w:val="both"/>
        <w:rPr>
          <w:color w:val="000000"/>
        </w:rPr>
      </w:pPr>
      <w:r>
        <w:rPr>
          <w:color w:val="000000"/>
        </w:rPr>
        <w:t xml:space="preserve">Основная идея проекта — организация общения молодых преподавателей и исследователей с ведущими профессионалами университета по прикладным, практическим и методическим вопросам. </w:t>
      </w:r>
    </w:p>
    <w:p w:rsidR="007909E4" w:rsidRDefault="007909E4" w:rsidP="007909E4">
      <w:pPr>
        <w:spacing w:after="200" w:line="276" w:lineRule="auto"/>
        <w:jc w:val="both"/>
        <w:rPr>
          <w:color w:val="000000"/>
        </w:rPr>
      </w:pPr>
      <w:r w:rsidRPr="001F198F">
        <w:rPr>
          <w:color w:val="000000"/>
        </w:rPr>
        <w:t>В  период с  ноября  2012 года по ноябрь 2013 года  проведены 14</w:t>
      </w:r>
      <w:r>
        <w:rPr>
          <w:color w:val="000000"/>
        </w:rPr>
        <w:t xml:space="preserve"> мастерских, среднее количества участников одной мастерской – 30 человек  (см. таб. 9.5.2)</w:t>
      </w:r>
    </w:p>
    <w:p w:rsidR="007909E4" w:rsidRDefault="007909E4" w:rsidP="007909E4">
      <w:pPr>
        <w:spacing w:after="200" w:line="276" w:lineRule="auto"/>
        <w:jc w:val="both"/>
        <w:rPr>
          <w:b/>
          <w:bCs/>
          <w:color w:val="000000"/>
        </w:rPr>
      </w:pPr>
      <w:r>
        <w:rPr>
          <w:b/>
          <w:bCs/>
          <w:color w:val="000000"/>
        </w:rPr>
        <w:t>Таблица 9.5.2.</w:t>
      </w:r>
      <w:r w:rsidRPr="00AF5B2A">
        <w:t xml:space="preserve"> </w:t>
      </w:r>
      <w:r w:rsidRPr="00AF5B2A">
        <w:rPr>
          <w:b/>
          <w:bCs/>
          <w:color w:val="000000"/>
        </w:rPr>
        <w:t>График методических мастерских "</w:t>
      </w:r>
      <w:proofErr w:type="spellStart"/>
      <w:r w:rsidRPr="00AF5B2A">
        <w:rPr>
          <w:b/>
          <w:bCs/>
          <w:color w:val="000000"/>
        </w:rPr>
        <w:t>Profi</w:t>
      </w:r>
      <w:proofErr w:type="spellEnd"/>
      <w:r w:rsidRPr="00AF5B2A">
        <w:rPr>
          <w:b/>
          <w:bCs/>
          <w:color w:val="000000"/>
        </w:rPr>
        <w:t xml:space="preserve">-T" на </w:t>
      </w:r>
      <w:r>
        <w:rPr>
          <w:b/>
          <w:bCs/>
          <w:color w:val="000000"/>
        </w:rPr>
        <w:t>ноябрь 2012 – ноябрь 2013 г</w:t>
      </w:r>
      <w:r w:rsidRPr="00AF5B2A">
        <w:rPr>
          <w:b/>
          <w:bCs/>
          <w:color w:val="000000"/>
        </w:rPr>
        <w:t>.</w:t>
      </w:r>
    </w:p>
    <w:tbl>
      <w:tblPr>
        <w:tblW w:w="8753" w:type="dxa"/>
        <w:tblCellMar>
          <w:left w:w="0" w:type="dxa"/>
          <w:right w:w="0" w:type="dxa"/>
        </w:tblCellMar>
        <w:tblLook w:val="04A0" w:firstRow="1" w:lastRow="0" w:firstColumn="1" w:lastColumn="0" w:noHBand="0" w:noVBand="1"/>
      </w:tblPr>
      <w:tblGrid>
        <w:gridCol w:w="534"/>
        <w:gridCol w:w="2976"/>
        <w:gridCol w:w="5243"/>
      </w:tblGrid>
      <w:tr w:rsidR="007909E4" w:rsidTr="007909E4">
        <w:tc>
          <w:tcPr>
            <w:tcW w:w="5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909E4" w:rsidRDefault="007909E4" w:rsidP="007909E4">
            <w:pPr>
              <w:pStyle w:val="text"/>
              <w:spacing w:before="0" w:beforeAutospacing="0" w:after="0" w:afterAutospacing="0" w:line="360" w:lineRule="atLeast"/>
              <w:jc w:val="center"/>
              <w:textAlignment w:val="baseline"/>
              <w:rPr>
                <w:b/>
                <w:bCs/>
                <w:color w:val="000000"/>
              </w:rPr>
            </w:pPr>
            <w:r>
              <w:rPr>
                <w:b/>
                <w:bCs/>
                <w:color w:val="000000"/>
              </w:rPr>
              <w:t>№</w:t>
            </w:r>
          </w:p>
        </w:tc>
        <w:tc>
          <w:tcPr>
            <w:tcW w:w="821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909E4" w:rsidRDefault="007909E4" w:rsidP="007909E4">
            <w:pPr>
              <w:pStyle w:val="text"/>
              <w:spacing w:before="0" w:beforeAutospacing="0" w:after="0" w:afterAutospacing="0" w:line="360" w:lineRule="atLeast"/>
              <w:jc w:val="center"/>
              <w:textAlignment w:val="baseline"/>
              <w:rPr>
                <w:b/>
                <w:bCs/>
                <w:color w:val="000000"/>
              </w:rPr>
            </w:pPr>
            <w:r>
              <w:rPr>
                <w:b/>
                <w:bCs/>
                <w:color w:val="000000"/>
              </w:rPr>
              <w:t>Тема мастерской</w:t>
            </w:r>
          </w:p>
        </w:tc>
      </w:tr>
      <w:tr w:rsidR="007909E4" w:rsidTr="007909E4">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909E4" w:rsidRDefault="007909E4" w:rsidP="007909E4">
            <w:pPr>
              <w:pStyle w:val="text"/>
              <w:numPr>
                <w:ilvl w:val="0"/>
                <w:numId w:val="58"/>
              </w:numPr>
              <w:spacing w:before="0" w:beforeAutospacing="0" w:after="0" w:afterAutospacing="0" w:line="360" w:lineRule="atLeast"/>
              <w:ind w:left="414" w:hanging="357"/>
              <w:textAlignment w:val="baseline"/>
              <w:rPr>
                <w:color w:val="000000"/>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7909E4" w:rsidRDefault="007909E4" w:rsidP="007909E4">
            <w:pPr>
              <w:pStyle w:val="text"/>
              <w:spacing w:before="0" w:beforeAutospacing="0" w:after="0" w:afterAutospacing="0"/>
              <w:textAlignment w:val="baseline"/>
              <w:rPr>
                <w:color w:val="000000"/>
              </w:rPr>
            </w:pPr>
            <w:r>
              <w:rPr>
                <w:color w:val="000000"/>
              </w:rPr>
              <w:t>21 ноября 2012 г.</w:t>
            </w:r>
          </w:p>
          <w:p w:rsidR="007909E4" w:rsidRDefault="007909E4" w:rsidP="007909E4">
            <w:pPr>
              <w:pStyle w:val="text"/>
              <w:spacing w:before="0" w:beforeAutospacing="0" w:after="0" w:afterAutospacing="0"/>
              <w:textAlignment w:val="baseline"/>
              <w:rPr>
                <w:color w:val="000000"/>
              </w:rPr>
            </w:pPr>
            <w:proofErr w:type="spellStart"/>
            <w:r>
              <w:rPr>
                <w:color w:val="000000"/>
              </w:rPr>
              <w:t>О.Кузина</w:t>
            </w:r>
            <w:proofErr w:type="spellEnd"/>
          </w:p>
          <w:p w:rsidR="007909E4" w:rsidRPr="00AF5B2A" w:rsidRDefault="007909E4" w:rsidP="007909E4">
            <w:pPr>
              <w:pStyle w:val="text"/>
              <w:spacing w:before="0" w:beforeAutospacing="0" w:after="0" w:afterAutospacing="0"/>
              <w:textAlignment w:val="baseline"/>
              <w:rPr>
                <w:color w:val="000000"/>
              </w:rPr>
            </w:pPr>
          </w:p>
        </w:tc>
        <w:tc>
          <w:tcPr>
            <w:tcW w:w="5243" w:type="dxa"/>
            <w:tcBorders>
              <w:top w:val="nil"/>
              <w:left w:val="nil"/>
              <w:bottom w:val="single" w:sz="8" w:space="0" w:color="auto"/>
              <w:right w:val="single" w:sz="8" w:space="0" w:color="auto"/>
            </w:tcBorders>
            <w:tcMar>
              <w:top w:w="0" w:type="dxa"/>
              <w:left w:w="108" w:type="dxa"/>
              <w:bottom w:w="0" w:type="dxa"/>
              <w:right w:w="108" w:type="dxa"/>
            </w:tcMar>
          </w:tcPr>
          <w:p w:rsidR="007909E4" w:rsidRDefault="007909E4" w:rsidP="007909E4">
            <w:pPr>
              <w:pStyle w:val="text"/>
              <w:spacing w:before="0" w:beforeAutospacing="0" w:after="0" w:afterAutospacing="0"/>
              <w:textAlignment w:val="baseline"/>
              <w:rPr>
                <w:color w:val="000000"/>
              </w:rPr>
            </w:pPr>
            <w:r w:rsidRPr="001522B3">
              <w:rPr>
                <w:color w:val="000000"/>
              </w:rPr>
              <w:t>Аттестация студентов: тестирование, оценивание, обратная связь</w:t>
            </w:r>
          </w:p>
        </w:tc>
      </w:tr>
      <w:tr w:rsidR="007909E4" w:rsidTr="007909E4">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909E4" w:rsidRDefault="007909E4" w:rsidP="007909E4">
            <w:pPr>
              <w:pStyle w:val="text"/>
              <w:numPr>
                <w:ilvl w:val="0"/>
                <w:numId w:val="58"/>
              </w:numPr>
              <w:spacing w:before="0" w:beforeAutospacing="0" w:after="0" w:afterAutospacing="0" w:line="360" w:lineRule="atLeast"/>
              <w:ind w:left="414" w:hanging="357"/>
              <w:textAlignment w:val="baseline"/>
              <w:rPr>
                <w:color w:val="000000"/>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7909E4" w:rsidRDefault="007909E4" w:rsidP="007909E4">
            <w:pPr>
              <w:pStyle w:val="text"/>
              <w:spacing w:before="0" w:beforeAutospacing="0" w:after="0" w:afterAutospacing="0"/>
              <w:textAlignment w:val="baseline"/>
              <w:rPr>
                <w:color w:val="000000"/>
              </w:rPr>
            </w:pPr>
            <w:r>
              <w:rPr>
                <w:color w:val="000000"/>
              </w:rPr>
              <w:t xml:space="preserve">29 ноября 2012 г. </w:t>
            </w:r>
          </w:p>
          <w:p w:rsidR="007909E4" w:rsidRDefault="007909E4" w:rsidP="007909E4">
            <w:pPr>
              <w:pStyle w:val="text"/>
              <w:spacing w:before="0" w:beforeAutospacing="0" w:after="0" w:afterAutospacing="0"/>
              <w:textAlignment w:val="baseline"/>
              <w:rPr>
                <w:color w:val="000000"/>
              </w:rPr>
            </w:pPr>
            <w:r w:rsidRPr="001522B3">
              <w:rPr>
                <w:color w:val="000000"/>
              </w:rPr>
              <w:t>А</w:t>
            </w:r>
            <w:r>
              <w:rPr>
                <w:color w:val="000000"/>
              </w:rPr>
              <w:t>.</w:t>
            </w:r>
            <w:r w:rsidRPr="001522B3">
              <w:rPr>
                <w:color w:val="000000"/>
              </w:rPr>
              <w:t xml:space="preserve"> </w:t>
            </w:r>
            <w:proofErr w:type="spellStart"/>
            <w:r w:rsidRPr="001522B3">
              <w:rPr>
                <w:color w:val="000000"/>
              </w:rPr>
              <w:t>Афонина</w:t>
            </w:r>
            <w:proofErr w:type="spellEnd"/>
            <w:r>
              <w:rPr>
                <w:color w:val="000000"/>
              </w:rPr>
              <w:t xml:space="preserve">, </w:t>
            </w:r>
            <w:proofErr w:type="spellStart"/>
            <w:r w:rsidRPr="001522B3">
              <w:rPr>
                <w:color w:val="000000"/>
              </w:rPr>
              <w:t>Ю</w:t>
            </w:r>
            <w:r>
              <w:rPr>
                <w:color w:val="000000"/>
              </w:rPr>
              <w:t>.</w:t>
            </w:r>
            <w:r w:rsidRPr="001522B3">
              <w:rPr>
                <w:color w:val="000000"/>
              </w:rPr>
              <w:t>Пасько</w:t>
            </w:r>
            <w:proofErr w:type="spellEnd"/>
          </w:p>
          <w:p w:rsidR="007909E4" w:rsidRDefault="007909E4" w:rsidP="007909E4">
            <w:pPr>
              <w:pStyle w:val="text"/>
              <w:spacing w:before="0" w:beforeAutospacing="0" w:after="0" w:afterAutospacing="0"/>
              <w:textAlignment w:val="baseline"/>
              <w:rPr>
                <w:color w:val="000000"/>
              </w:rPr>
            </w:pPr>
          </w:p>
        </w:tc>
        <w:tc>
          <w:tcPr>
            <w:tcW w:w="5243" w:type="dxa"/>
            <w:tcBorders>
              <w:top w:val="nil"/>
              <w:left w:val="nil"/>
              <w:bottom w:val="single" w:sz="8" w:space="0" w:color="auto"/>
              <w:right w:val="single" w:sz="8" w:space="0" w:color="auto"/>
            </w:tcBorders>
            <w:tcMar>
              <w:top w:w="0" w:type="dxa"/>
              <w:left w:w="108" w:type="dxa"/>
              <w:bottom w:w="0" w:type="dxa"/>
              <w:right w:w="108" w:type="dxa"/>
            </w:tcMar>
          </w:tcPr>
          <w:p w:rsidR="007909E4" w:rsidRPr="001522B3" w:rsidRDefault="007909E4" w:rsidP="007909E4">
            <w:pPr>
              <w:pStyle w:val="text"/>
              <w:spacing w:before="0" w:beforeAutospacing="0" w:after="0" w:afterAutospacing="0"/>
              <w:textAlignment w:val="baseline"/>
              <w:rPr>
                <w:color w:val="000000"/>
              </w:rPr>
            </w:pPr>
            <w:r w:rsidRPr="001522B3">
              <w:rPr>
                <w:color w:val="000000"/>
              </w:rPr>
              <w:t xml:space="preserve">Использование игровых приемов на семинарских </w:t>
            </w:r>
            <w:proofErr w:type="gramStart"/>
            <w:r w:rsidRPr="001522B3">
              <w:rPr>
                <w:color w:val="000000"/>
              </w:rPr>
              <w:t>занятиях</w:t>
            </w:r>
            <w:proofErr w:type="gramEnd"/>
            <w:r w:rsidRPr="001522B3">
              <w:rPr>
                <w:color w:val="000000"/>
              </w:rPr>
              <w:t xml:space="preserve"> со студентами</w:t>
            </w:r>
          </w:p>
        </w:tc>
      </w:tr>
      <w:tr w:rsidR="007909E4" w:rsidTr="007909E4">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909E4" w:rsidRDefault="007909E4" w:rsidP="007909E4">
            <w:pPr>
              <w:pStyle w:val="text"/>
              <w:numPr>
                <w:ilvl w:val="0"/>
                <w:numId w:val="58"/>
              </w:numPr>
              <w:spacing w:before="0" w:beforeAutospacing="0" w:after="0" w:afterAutospacing="0" w:line="360" w:lineRule="atLeast"/>
              <w:ind w:left="414" w:hanging="357"/>
              <w:textAlignment w:val="baseline"/>
              <w:rPr>
                <w:color w:val="000000"/>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7909E4" w:rsidRDefault="007909E4" w:rsidP="007909E4">
            <w:pPr>
              <w:pStyle w:val="text"/>
              <w:spacing w:before="0" w:beforeAutospacing="0" w:after="0" w:afterAutospacing="0"/>
              <w:textAlignment w:val="baseline"/>
              <w:rPr>
                <w:color w:val="000000"/>
              </w:rPr>
            </w:pPr>
            <w:r>
              <w:rPr>
                <w:color w:val="000000"/>
              </w:rPr>
              <w:t>7 декабря 2012 г.</w:t>
            </w:r>
          </w:p>
          <w:p w:rsidR="007909E4" w:rsidRDefault="007909E4" w:rsidP="007909E4">
            <w:pPr>
              <w:pStyle w:val="text"/>
              <w:spacing w:before="0" w:beforeAutospacing="0" w:after="0" w:afterAutospacing="0"/>
              <w:textAlignment w:val="baseline"/>
              <w:rPr>
                <w:color w:val="000000"/>
              </w:rPr>
            </w:pPr>
            <w:r w:rsidRPr="001522B3">
              <w:rPr>
                <w:color w:val="000000"/>
              </w:rPr>
              <w:t>В</w:t>
            </w:r>
            <w:r>
              <w:rPr>
                <w:color w:val="000000"/>
              </w:rPr>
              <w:t>.</w:t>
            </w:r>
            <w:r w:rsidRPr="001522B3">
              <w:rPr>
                <w:color w:val="000000"/>
              </w:rPr>
              <w:t>Н</w:t>
            </w:r>
            <w:r>
              <w:rPr>
                <w:color w:val="000000"/>
              </w:rPr>
              <w:t xml:space="preserve">. </w:t>
            </w:r>
            <w:r w:rsidRPr="001522B3">
              <w:rPr>
                <w:color w:val="000000"/>
              </w:rPr>
              <w:t>Данилина</w:t>
            </w:r>
            <w:r>
              <w:rPr>
                <w:color w:val="000000"/>
              </w:rPr>
              <w:t xml:space="preserve">, </w:t>
            </w:r>
            <w:r w:rsidRPr="001522B3">
              <w:rPr>
                <w:color w:val="000000"/>
              </w:rPr>
              <w:t>В</w:t>
            </w:r>
            <w:r>
              <w:rPr>
                <w:color w:val="000000"/>
              </w:rPr>
              <w:t>.</w:t>
            </w:r>
            <w:r w:rsidRPr="001522B3">
              <w:rPr>
                <w:color w:val="000000"/>
              </w:rPr>
              <w:t>Б</w:t>
            </w:r>
            <w:r>
              <w:rPr>
                <w:color w:val="000000"/>
              </w:rPr>
              <w:t>.</w:t>
            </w:r>
            <w:r w:rsidRPr="001522B3">
              <w:rPr>
                <w:color w:val="000000"/>
              </w:rPr>
              <w:t xml:space="preserve"> Исаков </w:t>
            </w:r>
          </w:p>
        </w:tc>
        <w:tc>
          <w:tcPr>
            <w:tcW w:w="5243" w:type="dxa"/>
            <w:tcBorders>
              <w:top w:val="nil"/>
              <w:left w:val="nil"/>
              <w:bottom w:val="single" w:sz="8" w:space="0" w:color="auto"/>
              <w:right w:val="single" w:sz="8" w:space="0" w:color="auto"/>
            </w:tcBorders>
            <w:tcMar>
              <w:top w:w="0" w:type="dxa"/>
              <w:left w:w="108" w:type="dxa"/>
              <w:bottom w:w="0" w:type="dxa"/>
              <w:right w:w="108" w:type="dxa"/>
            </w:tcMar>
          </w:tcPr>
          <w:p w:rsidR="007909E4" w:rsidRPr="001522B3" w:rsidRDefault="007909E4" w:rsidP="007909E4">
            <w:pPr>
              <w:pStyle w:val="text"/>
              <w:spacing w:before="0" w:beforeAutospacing="0" w:after="0" w:afterAutospacing="0"/>
              <w:textAlignment w:val="baseline"/>
              <w:rPr>
                <w:color w:val="000000"/>
              </w:rPr>
            </w:pPr>
            <w:r w:rsidRPr="001522B3">
              <w:rPr>
                <w:color w:val="000000"/>
              </w:rPr>
              <w:t>Когда игра стоит свеч, или некоторые примеры применения игровых технологий в практике преподавания</w:t>
            </w:r>
          </w:p>
        </w:tc>
      </w:tr>
      <w:tr w:rsidR="007909E4" w:rsidTr="007909E4">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909E4" w:rsidRDefault="007909E4" w:rsidP="007909E4">
            <w:pPr>
              <w:pStyle w:val="text"/>
              <w:numPr>
                <w:ilvl w:val="0"/>
                <w:numId w:val="58"/>
              </w:numPr>
              <w:spacing w:before="0" w:beforeAutospacing="0" w:after="0" w:afterAutospacing="0" w:line="360" w:lineRule="atLeast"/>
              <w:ind w:left="414" w:hanging="357"/>
              <w:textAlignment w:val="baseline"/>
              <w:rPr>
                <w:color w:val="000000"/>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7909E4" w:rsidRDefault="007909E4" w:rsidP="007909E4">
            <w:pPr>
              <w:pStyle w:val="text"/>
              <w:spacing w:before="0" w:beforeAutospacing="0" w:after="0" w:afterAutospacing="0"/>
              <w:textAlignment w:val="baseline"/>
              <w:rPr>
                <w:color w:val="000000"/>
              </w:rPr>
            </w:pPr>
            <w:r>
              <w:rPr>
                <w:color w:val="000000"/>
              </w:rPr>
              <w:t>13</w:t>
            </w:r>
            <w:r w:rsidRPr="00D12297">
              <w:rPr>
                <w:color w:val="000000"/>
              </w:rPr>
              <w:t xml:space="preserve"> декабря 2012 г.</w:t>
            </w:r>
          </w:p>
          <w:p w:rsidR="007909E4" w:rsidRDefault="007909E4" w:rsidP="007909E4">
            <w:pPr>
              <w:pStyle w:val="text"/>
              <w:spacing w:before="0" w:beforeAutospacing="0" w:after="0" w:afterAutospacing="0"/>
              <w:textAlignment w:val="baseline"/>
              <w:rPr>
                <w:color w:val="000000"/>
              </w:rPr>
            </w:pPr>
            <w:proofErr w:type="spellStart"/>
            <w:r>
              <w:rPr>
                <w:color w:val="000000"/>
              </w:rPr>
              <w:t>Е.Агадуллина</w:t>
            </w:r>
            <w:proofErr w:type="spellEnd"/>
          </w:p>
        </w:tc>
        <w:tc>
          <w:tcPr>
            <w:tcW w:w="5243" w:type="dxa"/>
            <w:tcBorders>
              <w:top w:val="nil"/>
              <w:left w:val="nil"/>
              <w:bottom w:val="single" w:sz="8" w:space="0" w:color="auto"/>
              <w:right w:val="single" w:sz="8" w:space="0" w:color="auto"/>
            </w:tcBorders>
            <w:tcMar>
              <w:top w:w="0" w:type="dxa"/>
              <w:left w:w="108" w:type="dxa"/>
              <w:bottom w:w="0" w:type="dxa"/>
              <w:right w:w="108" w:type="dxa"/>
            </w:tcMar>
          </w:tcPr>
          <w:p w:rsidR="007909E4" w:rsidRPr="001522B3" w:rsidRDefault="007909E4" w:rsidP="007909E4">
            <w:pPr>
              <w:pStyle w:val="text"/>
              <w:spacing w:before="0" w:beforeAutospacing="0" w:after="0" w:afterAutospacing="0"/>
              <w:textAlignment w:val="baseline"/>
              <w:rPr>
                <w:color w:val="000000"/>
              </w:rPr>
            </w:pPr>
            <w:r w:rsidRPr="00D12297">
              <w:rPr>
                <w:color w:val="000000"/>
              </w:rPr>
              <w:t xml:space="preserve">Многомерная система оценки работы на </w:t>
            </w:r>
            <w:proofErr w:type="gramStart"/>
            <w:r w:rsidRPr="00D12297">
              <w:rPr>
                <w:color w:val="000000"/>
              </w:rPr>
              <w:t>семинаре</w:t>
            </w:r>
            <w:proofErr w:type="gramEnd"/>
          </w:p>
        </w:tc>
      </w:tr>
      <w:tr w:rsidR="007909E4" w:rsidTr="007909E4">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909E4" w:rsidRDefault="007909E4" w:rsidP="007909E4">
            <w:pPr>
              <w:pStyle w:val="text"/>
              <w:numPr>
                <w:ilvl w:val="0"/>
                <w:numId w:val="58"/>
              </w:numPr>
              <w:spacing w:before="0" w:beforeAutospacing="0" w:after="0" w:afterAutospacing="0" w:line="360" w:lineRule="atLeast"/>
              <w:ind w:left="414" w:hanging="357"/>
              <w:textAlignment w:val="baseline"/>
              <w:rPr>
                <w:color w:val="000000"/>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7909E4" w:rsidRDefault="007909E4" w:rsidP="007909E4">
            <w:pPr>
              <w:pStyle w:val="text"/>
              <w:spacing w:before="0" w:beforeAutospacing="0" w:after="0" w:afterAutospacing="0"/>
              <w:textAlignment w:val="baseline"/>
              <w:rPr>
                <w:color w:val="000000"/>
              </w:rPr>
            </w:pPr>
            <w:r>
              <w:rPr>
                <w:color w:val="000000"/>
              </w:rPr>
              <w:t>13 февраля 2013 г.</w:t>
            </w:r>
          </w:p>
          <w:p w:rsidR="007909E4" w:rsidRDefault="007909E4" w:rsidP="007909E4">
            <w:pPr>
              <w:pStyle w:val="text"/>
              <w:spacing w:before="0" w:beforeAutospacing="0" w:after="0" w:afterAutospacing="0"/>
              <w:textAlignment w:val="baseline"/>
              <w:rPr>
                <w:color w:val="000000"/>
              </w:rPr>
            </w:pPr>
            <w:r w:rsidRPr="00DA16DA">
              <w:rPr>
                <w:color w:val="000000"/>
              </w:rPr>
              <w:t>М</w:t>
            </w:r>
            <w:r>
              <w:rPr>
                <w:color w:val="000000"/>
              </w:rPr>
              <w:t xml:space="preserve">. </w:t>
            </w:r>
            <w:proofErr w:type="spellStart"/>
            <w:r w:rsidRPr="00DA16DA">
              <w:rPr>
                <w:color w:val="000000"/>
              </w:rPr>
              <w:t>Лытаева</w:t>
            </w:r>
            <w:proofErr w:type="spellEnd"/>
            <w:r>
              <w:rPr>
                <w:color w:val="000000"/>
              </w:rPr>
              <w:t xml:space="preserve">, </w:t>
            </w:r>
            <w:proofErr w:type="spellStart"/>
            <w:r>
              <w:rPr>
                <w:color w:val="000000"/>
              </w:rPr>
              <w:t>соведущие</w:t>
            </w:r>
            <w:proofErr w:type="spellEnd"/>
            <w:r>
              <w:rPr>
                <w:color w:val="000000"/>
              </w:rPr>
              <w:t xml:space="preserve">: В. </w:t>
            </w:r>
            <w:r w:rsidRPr="00DA16DA">
              <w:rPr>
                <w:color w:val="000000"/>
              </w:rPr>
              <w:t>Белоусова</w:t>
            </w:r>
            <w:r>
              <w:rPr>
                <w:color w:val="000000"/>
              </w:rPr>
              <w:t xml:space="preserve">, </w:t>
            </w:r>
            <w:proofErr w:type="spellStart"/>
            <w:r w:rsidRPr="00DA16DA">
              <w:rPr>
                <w:color w:val="000000"/>
              </w:rPr>
              <w:t>Е</w:t>
            </w:r>
            <w:r>
              <w:rPr>
                <w:color w:val="000000"/>
              </w:rPr>
              <w:t>.</w:t>
            </w:r>
            <w:r w:rsidRPr="00DA16DA">
              <w:rPr>
                <w:color w:val="000000"/>
              </w:rPr>
              <w:t>Мандрикова</w:t>
            </w:r>
            <w:proofErr w:type="spellEnd"/>
            <w:r>
              <w:rPr>
                <w:color w:val="000000"/>
              </w:rPr>
              <w:t xml:space="preserve">, </w:t>
            </w:r>
            <w:proofErr w:type="spellStart"/>
            <w:r>
              <w:rPr>
                <w:color w:val="000000"/>
              </w:rPr>
              <w:t>З.Пог</w:t>
            </w:r>
            <w:r w:rsidRPr="00DA16DA">
              <w:rPr>
                <w:color w:val="000000"/>
              </w:rPr>
              <w:t>осова</w:t>
            </w:r>
            <w:proofErr w:type="spellEnd"/>
            <w:r>
              <w:rPr>
                <w:color w:val="000000"/>
              </w:rPr>
              <w:t>, Е.</w:t>
            </w:r>
            <w:r w:rsidRPr="00DA16DA">
              <w:rPr>
                <w:color w:val="000000"/>
              </w:rPr>
              <w:t xml:space="preserve"> Ульянова</w:t>
            </w:r>
          </w:p>
        </w:tc>
        <w:tc>
          <w:tcPr>
            <w:tcW w:w="5243" w:type="dxa"/>
            <w:tcBorders>
              <w:top w:val="nil"/>
              <w:left w:val="nil"/>
              <w:bottom w:val="single" w:sz="8" w:space="0" w:color="auto"/>
              <w:right w:val="single" w:sz="8" w:space="0" w:color="auto"/>
            </w:tcBorders>
            <w:tcMar>
              <w:top w:w="0" w:type="dxa"/>
              <w:left w:w="108" w:type="dxa"/>
              <w:bottom w:w="0" w:type="dxa"/>
              <w:right w:w="108" w:type="dxa"/>
            </w:tcMar>
          </w:tcPr>
          <w:p w:rsidR="007909E4" w:rsidRPr="00D12297" w:rsidRDefault="007909E4" w:rsidP="007909E4">
            <w:pPr>
              <w:pStyle w:val="text"/>
              <w:spacing w:before="0" w:beforeAutospacing="0" w:after="0" w:afterAutospacing="0"/>
              <w:textAlignment w:val="baseline"/>
              <w:rPr>
                <w:color w:val="000000"/>
              </w:rPr>
            </w:pPr>
            <w:r w:rsidRPr="00DA16DA">
              <w:rPr>
                <w:color w:val="000000"/>
              </w:rPr>
              <w:t>Как хорошо уметь читать или модель эффективной работы с текстами</w:t>
            </w:r>
          </w:p>
        </w:tc>
      </w:tr>
      <w:tr w:rsidR="007909E4" w:rsidTr="007909E4">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909E4" w:rsidRDefault="007909E4" w:rsidP="007909E4">
            <w:pPr>
              <w:pStyle w:val="text"/>
              <w:numPr>
                <w:ilvl w:val="0"/>
                <w:numId w:val="58"/>
              </w:numPr>
              <w:spacing w:before="0" w:beforeAutospacing="0" w:after="0" w:afterAutospacing="0" w:line="360" w:lineRule="atLeast"/>
              <w:ind w:left="414" w:hanging="357"/>
              <w:textAlignment w:val="baseline"/>
              <w:rPr>
                <w:color w:val="000000"/>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7909E4" w:rsidRDefault="007909E4" w:rsidP="007909E4">
            <w:pPr>
              <w:pStyle w:val="text"/>
              <w:spacing w:before="0" w:beforeAutospacing="0" w:after="0" w:afterAutospacing="0"/>
              <w:textAlignment w:val="baseline"/>
              <w:rPr>
                <w:color w:val="000000"/>
              </w:rPr>
            </w:pPr>
            <w:r>
              <w:rPr>
                <w:color w:val="000000"/>
              </w:rPr>
              <w:t>5 марта 2013 г.</w:t>
            </w:r>
          </w:p>
          <w:p w:rsidR="007909E4" w:rsidRDefault="007909E4" w:rsidP="007909E4">
            <w:pPr>
              <w:pStyle w:val="text"/>
              <w:spacing w:before="0" w:beforeAutospacing="0" w:after="0" w:afterAutospacing="0"/>
              <w:textAlignment w:val="baseline"/>
              <w:rPr>
                <w:color w:val="000000"/>
              </w:rPr>
            </w:pPr>
            <w:proofErr w:type="spellStart"/>
            <w:r>
              <w:rPr>
                <w:color w:val="000000"/>
              </w:rPr>
              <w:lastRenderedPageBreak/>
              <w:t>Е.Кулик</w:t>
            </w:r>
            <w:proofErr w:type="spellEnd"/>
          </w:p>
        </w:tc>
        <w:tc>
          <w:tcPr>
            <w:tcW w:w="5243" w:type="dxa"/>
            <w:tcBorders>
              <w:top w:val="nil"/>
              <w:left w:val="nil"/>
              <w:bottom w:val="single" w:sz="8" w:space="0" w:color="auto"/>
              <w:right w:val="single" w:sz="8" w:space="0" w:color="auto"/>
            </w:tcBorders>
            <w:tcMar>
              <w:top w:w="0" w:type="dxa"/>
              <w:left w:w="108" w:type="dxa"/>
              <w:bottom w:w="0" w:type="dxa"/>
              <w:right w:w="108" w:type="dxa"/>
            </w:tcMar>
          </w:tcPr>
          <w:p w:rsidR="007909E4" w:rsidRPr="00DA16DA" w:rsidRDefault="007909E4" w:rsidP="007909E4">
            <w:pPr>
              <w:pStyle w:val="text"/>
              <w:spacing w:before="0" w:beforeAutospacing="0" w:after="0" w:afterAutospacing="0"/>
              <w:textAlignment w:val="baseline"/>
              <w:rPr>
                <w:color w:val="000000"/>
              </w:rPr>
            </w:pPr>
            <w:r w:rsidRPr="004552FC">
              <w:rPr>
                <w:color w:val="000000"/>
              </w:rPr>
              <w:lastRenderedPageBreak/>
              <w:t xml:space="preserve">Разработка учебных материалов в </w:t>
            </w:r>
            <w:r w:rsidRPr="004552FC">
              <w:rPr>
                <w:color w:val="000000"/>
              </w:rPr>
              <w:lastRenderedPageBreak/>
              <w:t>информационных средах</w:t>
            </w:r>
          </w:p>
        </w:tc>
      </w:tr>
      <w:tr w:rsidR="007909E4" w:rsidTr="007909E4">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909E4" w:rsidRDefault="007909E4" w:rsidP="007909E4">
            <w:pPr>
              <w:pStyle w:val="text"/>
              <w:numPr>
                <w:ilvl w:val="0"/>
                <w:numId w:val="58"/>
              </w:numPr>
              <w:spacing w:before="0" w:beforeAutospacing="0" w:after="0" w:afterAutospacing="0" w:line="360" w:lineRule="atLeast"/>
              <w:ind w:left="414" w:hanging="357"/>
              <w:textAlignment w:val="baseline"/>
              <w:rPr>
                <w:color w:val="000000"/>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7909E4" w:rsidRDefault="007909E4" w:rsidP="007909E4">
            <w:pPr>
              <w:pStyle w:val="text"/>
              <w:spacing w:before="0" w:beforeAutospacing="0" w:after="0" w:afterAutospacing="0"/>
              <w:textAlignment w:val="baseline"/>
              <w:rPr>
                <w:color w:val="000000"/>
              </w:rPr>
            </w:pPr>
            <w:r>
              <w:rPr>
                <w:color w:val="000000"/>
              </w:rPr>
              <w:t>27 марта 2013 г.</w:t>
            </w:r>
          </w:p>
          <w:p w:rsidR="007909E4" w:rsidRDefault="007909E4" w:rsidP="007909E4">
            <w:pPr>
              <w:pStyle w:val="text"/>
              <w:spacing w:before="0" w:beforeAutospacing="0" w:after="0" w:afterAutospacing="0"/>
              <w:textAlignment w:val="baseline"/>
              <w:rPr>
                <w:color w:val="000000"/>
              </w:rPr>
            </w:pPr>
            <w:proofErr w:type="spellStart"/>
            <w:r>
              <w:rPr>
                <w:color w:val="000000"/>
              </w:rPr>
              <w:t>З.Погосова</w:t>
            </w:r>
            <w:proofErr w:type="spellEnd"/>
          </w:p>
        </w:tc>
        <w:tc>
          <w:tcPr>
            <w:tcW w:w="5243" w:type="dxa"/>
            <w:tcBorders>
              <w:top w:val="nil"/>
              <w:left w:val="nil"/>
              <w:bottom w:val="single" w:sz="8" w:space="0" w:color="auto"/>
              <w:right w:val="single" w:sz="8" w:space="0" w:color="auto"/>
            </w:tcBorders>
            <w:tcMar>
              <w:top w:w="0" w:type="dxa"/>
              <w:left w:w="108" w:type="dxa"/>
              <w:bottom w:w="0" w:type="dxa"/>
              <w:right w:w="108" w:type="dxa"/>
            </w:tcMar>
          </w:tcPr>
          <w:p w:rsidR="007909E4" w:rsidRPr="004552FC" w:rsidRDefault="007909E4" w:rsidP="007909E4">
            <w:pPr>
              <w:pStyle w:val="text"/>
              <w:spacing w:before="0" w:beforeAutospacing="0" w:after="0" w:afterAutospacing="0"/>
              <w:textAlignment w:val="baseline"/>
              <w:rPr>
                <w:color w:val="000000"/>
              </w:rPr>
            </w:pPr>
            <w:r w:rsidRPr="0057355B">
              <w:rPr>
                <w:color w:val="000000"/>
              </w:rPr>
              <w:t>Конструктивное согласование как центральный принцип дизайна учебного курса</w:t>
            </w:r>
          </w:p>
        </w:tc>
      </w:tr>
      <w:tr w:rsidR="007909E4" w:rsidTr="007909E4">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909E4" w:rsidRDefault="007909E4" w:rsidP="007909E4">
            <w:pPr>
              <w:pStyle w:val="text"/>
              <w:numPr>
                <w:ilvl w:val="0"/>
                <w:numId w:val="58"/>
              </w:numPr>
              <w:spacing w:before="0" w:beforeAutospacing="0" w:after="0" w:afterAutospacing="0" w:line="360" w:lineRule="atLeast"/>
              <w:ind w:left="414" w:hanging="357"/>
              <w:textAlignment w:val="baseline"/>
              <w:rPr>
                <w:color w:val="000000"/>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7909E4" w:rsidRDefault="007909E4" w:rsidP="007909E4">
            <w:pPr>
              <w:pStyle w:val="text"/>
              <w:spacing w:before="0" w:beforeAutospacing="0" w:after="0" w:afterAutospacing="0"/>
              <w:textAlignment w:val="baseline"/>
              <w:rPr>
                <w:color w:val="000000"/>
              </w:rPr>
            </w:pPr>
            <w:r>
              <w:rPr>
                <w:color w:val="000000"/>
              </w:rPr>
              <w:t>10 апреля 2013 г.</w:t>
            </w:r>
          </w:p>
          <w:p w:rsidR="007909E4" w:rsidRDefault="007909E4" w:rsidP="007909E4">
            <w:pPr>
              <w:pStyle w:val="text"/>
              <w:spacing w:before="0" w:beforeAutospacing="0" w:after="0" w:afterAutospacing="0"/>
              <w:textAlignment w:val="baseline"/>
              <w:rPr>
                <w:color w:val="000000"/>
              </w:rPr>
            </w:pPr>
            <w:proofErr w:type="spellStart"/>
            <w:r>
              <w:rPr>
                <w:color w:val="000000"/>
              </w:rPr>
              <w:t>Е.Талалакина</w:t>
            </w:r>
            <w:proofErr w:type="spellEnd"/>
          </w:p>
        </w:tc>
        <w:tc>
          <w:tcPr>
            <w:tcW w:w="5243" w:type="dxa"/>
            <w:tcBorders>
              <w:top w:val="nil"/>
              <w:left w:val="nil"/>
              <w:bottom w:val="single" w:sz="8" w:space="0" w:color="auto"/>
              <w:right w:val="single" w:sz="8" w:space="0" w:color="auto"/>
            </w:tcBorders>
            <w:tcMar>
              <w:top w:w="0" w:type="dxa"/>
              <w:left w:w="108" w:type="dxa"/>
              <w:bottom w:w="0" w:type="dxa"/>
              <w:right w:w="108" w:type="dxa"/>
            </w:tcMar>
          </w:tcPr>
          <w:p w:rsidR="007909E4" w:rsidRPr="0057355B" w:rsidRDefault="007909E4" w:rsidP="007909E4">
            <w:pPr>
              <w:pStyle w:val="text"/>
              <w:spacing w:before="0" w:beforeAutospacing="0" w:after="0" w:afterAutospacing="0"/>
              <w:textAlignment w:val="baseline"/>
              <w:rPr>
                <w:color w:val="000000"/>
              </w:rPr>
            </w:pPr>
            <w:r w:rsidRPr="0057355B">
              <w:rPr>
                <w:color w:val="000000"/>
              </w:rPr>
              <w:t>Как написать мотивационное письмо или основы грамотной саморекламы</w:t>
            </w:r>
          </w:p>
        </w:tc>
      </w:tr>
      <w:tr w:rsidR="007909E4" w:rsidTr="007909E4">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909E4" w:rsidRDefault="007909E4" w:rsidP="007909E4">
            <w:pPr>
              <w:pStyle w:val="text"/>
              <w:numPr>
                <w:ilvl w:val="0"/>
                <w:numId w:val="58"/>
              </w:numPr>
              <w:spacing w:before="0" w:beforeAutospacing="0" w:after="0" w:afterAutospacing="0" w:line="360" w:lineRule="atLeast"/>
              <w:ind w:left="414" w:hanging="357"/>
              <w:textAlignment w:val="baseline"/>
              <w:rPr>
                <w:color w:val="000000"/>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7909E4" w:rsidRDefault="007909E4" w:rsidP="007909E4">
            <w:pPr>
              <w:pStyle w:val="text"/>
              <w:spacing w:before="0" w:beforeAutospacing="0" w:after="0" w:afterAutospacing="0"/>
              <w:textAlignment w:val="baseline"/>
              <w:rPr>
                <w:color w:val="000000"/>
              </w:rPr>
            </w:pPr>
            <w:r>
              <w:rPr>
                <w:color w:val="000000"/>
              </w:rPr>
              <w:t>24 апреля 2013 г.</w:t>
            </w:r>
          </w:p>
          <w:p w:rsidR="007909E4" w:rsidRDefault="007909E4" w:rsidP="007909E4">
            <w:pPr>
              <w:pStyle w:val="text"/>
              <w:spacing w:before="0" w:beforeAutospacing="0" w:after="0" w:afterAutospacing="0"/>
              <w:textAlignment w:val="baseline"/>
              <w:rPr>
                <w:color w:val="000000"/>
              </w:rPr>
            </w:pPr>
            <w:proofErr w:type="spellStart"/>
            <w:r>
              <w:rPr>
                <w:color w:val="000000"/>
              </w:rPr>
              <w:t>В.Белоусова</w:t>
            </w:r>
            <w:proofErr w:type="spellEnd"/>
            <w:r>
              <w:rPr>
                <w:color w:val="000000"/>
              </w:rPr>
              <w:t xml:space="preserve">, М. </w:t>
            </w:r>
            <w:proofErr w:type="spellStart"/>
            <w:r>
              <w:rPr>
                <w:color w:val="000000"/>
              </w:rPr>
              <w:t>Лытаева</w:t>
            </w:r>
            <w:proofErr w:type="spellEnd"/>
          </w:p>
        </w:tc>
        <w:tc>
          <w:tcPr>
            <w:tcW w:w="5243" w:type="dxa"/>
            <w:tcBorders>
              <w:top w:val="nil"/>
              <w:left w:val="nil"/>
              <w:bottom w:val="single" w:sz="8" w:space="0" w:color="auto"/>
              <w:right w:val="single" w:sz="8" w:space="0" w:color="auto"/>
            </w:tcBorders>
            <w:tcMar>
              <w:top w:w="0" w:type="dxa"/>
              <w:left w:w="108" w:type="dxa"/>
              <w:bottom w:w="0" w:type="dxa"/>
              <w:right w:w="108" w:type="dxa"/>
            </w:tcMar>
          </w:tcPr>
          <w:p w:rsidR="007909E4" w:rsidRPr="0057355B" w:rsidRDefault="007909E4" w:rsidP="007909E4">
            <w:pPr>
              <w:pStyle w:val="text"/>
              <w:spacing w:before="0" w:beforeAutospacing="0" w:after="0" w:afterAutospacing="0"/>
              <w:textAlignment w:val="baseline"/>
              <w:rPr>
                <w:color w:val="000000"/>
              </w:rPr>
            </w:pPr>
            <w:r w:rsidRPr="0057355B">
              <w:rPr>
                <w:color w:val="000000"/>
              </w:rPr>
              <w:t>Как подготовить и опубликовать учебное пособие? Советы начинающим</w:t>
            </w:r>
          </w:p>
        </w:tc>
      </w:tr>
      <w:tr w:rsidR="007909E4" w:rsidTr="007909E4">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909E4" w:rsidRDefault="007909E4" w:rsidP="007909E4">
            <w:pPr>
              <w:pStyle w:val="text"/>
              <w:numPr>
                <w:ilvl w:val="0"/>
                <w:numId w:val="58"/>
              </w:numPr>
              <w:spacing w:before="0" w:beforeAutospacing="0" w:after="0" w:afterAutospacing="0" w:line="360" w:lineRule="atLeast"/>
              <w:ind w:left="414" w:hanging="357"/>
              <w:textAlignment w:val="baseline"/>
              <w:rPr>
                <w:color w:val="000000"/>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7909E4" w:rsidRDefault="007909E4" w:rsidP="007909E4">
            <w:pPr>
              <w:pStyle w:val="text"/>
              <w:spacing w:before="0" w:beforeAutospacing="0" w:after="120" w:afterAutospacing="0"/>
              <w:textAlignment w:val="baseline"/>
              <w:rPr>
                <w:color w:val="000000"/>
              </w:rPr>
            </w:pPr>
            <w:r>
              <w:rPr>
                <w:color w:val="000000"/>
              </w:rPr>
              <w:t>15 мая 2013 г.</w:t>
            </w:r>
          </w:p>
          <w:p w:rsidR="007909E4" w:rsidRDefault="007909E4" w:rsidP="007909E4">
            <w:pPr>
              <w:pStyle w:val="text"/>
              <w:spacing w:before="0" w:beforeAutospacing="0" w:after="0" w:afterAutospacing="0"/>
              <w:textAlignment w:val="baseline"/>
              <w:rPr>
                <w:color w:val="000000"/>
              </w:rPr>
            </w:pPr>
            <w:proofErr w:type="spellStart"/>
            <w:r>
              <w:rPr>
                <w:color w:val="000000"/>
              </w:rPr>
              <w:t>А.Шевчук</w:t>
            </w:r>
            <w:proofErr w:type="spellEnd"/>
          </w:p>
        </w:tc>
        <w:tc>
          <w:tcPr>
            <w:tcW w:w="5243" w:type="dxa"/>
            <w:tcBorders>
              <w:top w:val="nil"/>
              <w:left w:val="nil"/>
              <w:bottom w:val="single" w:sz="8" w:space="0" w:color="auto"/>
              <w:right w:val="single" w:sz="8" w:space="0" w:color="auto"/>
            </w:tcBorders>
            <w:tcMar>
              <w:top w:w="0" w:type="dxa"/>
              <w:left w:w="108" w:type="dxa"/>
              <w:bottom w:w="0" w:type="dxa"/>
              <w:right w:w="108" w:type="dxa"/>
            </w:tcMar>
          </w:tcPr>
          <w:p w:rsidR="007909E4" w:rsidRPr="0057355B" w:rsidRDefault="007909E4" w:rsidP="007909E4">
            <w:pPr>
              <w:pStyle w:val="text"/>
              <w:spacing w:before="0" w:beforeAutospacing="0" w:after="0" w:afterAutospacing="0"/>
              <w:textAlignment w:val="baseline"/>
              <w:rPr>
                <w:color w:val="000000"/>
              </w:rPr>
            </w:pPr>
            <w:r w:rsidRPr="0057355B">
              <w:rPr>
                <w:color w:val="000000"/>
              </w:rPr>
              <w:t>Программные средства работы с научными источниками: поиск, систематизация, цитирование</w:t>
            </w:r>
          </w:p>
        </w:tc>
      </w:tr>
      <w:tr w:rsidR="007909E4" w:rsidTr="007909E4">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909E4" w:rsidRDefault="007909E4" w:rsidP="007909E4">
            <w:pPr>
              <w:pStyle w:val="text"/>
              <w:numPr>
                <w:ilvl w:val="0"/>
                <w:numId w:val="58"/>
              </w:numPr>
              <w:spacing w:before="0" w:beforeAutospacing="0" w:after="0" w:afterAutospacing="0" w:line="360" w:lineRule="atLeast"/>
              <w:ind w:left="414" w:hanging="357"/>
              <w:textAlignment w:val="baseline"/>
              <w:rPr>
                <w:color w:val="000000"/>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7909E4" w:rsidRDefault="007909E4" w:rsidP="007909E4">
            <w:pPr>
              <w:pStyle w:val="text"/>
              <w:spacing w:before="0" w:beforeAutospacing="0" w:after="0" w:afterAutospacing="0"/>
              <w:textAlignment w:val="baseline"/>
              <w:rPr>
                <w:color w:val="000000"/>
                <w:highlight w:val="yellow"/>
              </w:rPr>
            </w:pPr>
            <w:r w:rsidRPr="00AF5B2A">
              <w:rPr>
                <w:color w:val="000000"/>
              </w:rPr>
              <w:t>30 сентября</w:t>
            </w:r>
            <w:r>
              <w:rPr>
                <w:color w:val="000000"/>
              </w:rPr>
              <w:t xml:space="preserve"> 2013 г.</w:t>
            </w:r>
          </w:p>
          <w:p w:rsidR="007909E4" w:rsidRDefault="007909E4" w:rsidP="007909E4">
            <w:pPr>
              <w:pStyle w:val="text"/>
              <w:spacing w:before="0" w:beforeAutospacing="0" w:after="0" w:afterAutospacing="0"/>
              <w:textAlignment w:val="baseline"/>
              <w:rPr>
                <w:color w:val="000000"/>
                <w:highlight w:val="yellow"/>
              </w:rPr>
            </w:pPr>
            <w:r w:rsidRPr="00AF5B2A">
              <w:rPr>
                <w:color w:val="000000"/>
              </w:rPr>
              <w:t>Д</w:t>
            </w:r>
            <w:r>
              <w:rPr>
                <w:color w:val="000000"/>
              </w:rPr>
              <w:t xml:space="preserve">. </w:t>
            </w:r>
            <w:proofErr w:type="spellStart"/>
            <w:r>
              <w:rPr>
                <w:color w:val="000000"/>
              </w:rPr>
              <w:t>Аббакумов</w:t>
            </w:r>
            <w:proofErr w:type="spellEnd"/>
          </w:p>
        </w:tc>
        <w:tc>
          <w:tcPr>
            <w:tcW w:w="5243" w:type="dxa"/>
            <w:tcBorders>
              <w:top w:val="nil"/>
              <w:left w:val="nil"/>
              <w:bottom w:val="single" w:sz="8" w:space="0" w:color="auto"/>
              <w:right w:val="single" w:sz="8" w:space="0" w:color="auto"/>
            </w:tcBorders>
            <w:tcMar>
              <w:top w:w="0" w:type="dxa"/>
              <w:left w:w="108" w:type="dxa"/>
              <w:bottom w:w="0" w:type="dxa"/>
              <w:right w:w="108" w:type="dxa"/>
            </w:tcMar>
            <w:hideMark/>
          </w:tcPr>
          <w:p w:rsidR="007909E4" w:rsidRDefault="007909E4" w:rsidP="007909E4">
            <w:pPr>
              <w:pStyle w:val="text"/>
              <w:spacing w:before="0" w:beforeAutospacing="0" w:after="0" w:afterAutospacing="0"/>
              <w:textAlignment w:val="baseline"/>
              <w:rPr>
                <w:color w:val="000000"/>
                <w:highlight w:val="yellow"/>
              </w:rPr>
            </w:pPr>
            <w:r>
              <w:rPr>
                <w:color w:val="000000"/>
              </w:rPr>
              <w:t>Адаптивное обучение</w:t>
            </w:r>
          </w:p>
        </w:tc>
      </w:tr>
      <w:tr w:rsidR="007909E4" w:rsidTr="007909E4">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909E4" w:rsidRDefault="007909E4" w:rsidP="007909E4">
            <w:pPr>
              <w:pStyle w:val="text"/>
              <w:numPr>
                <w:ilvl w:val="0"/>
                <w:numId w:val="58"/>
              </w:numPr>
              <w:spacing w:before="0" w:beforeAutospacing="0" w:after="0" w:afterAutospacing="0" w:line="360" w:lineRule="atLeast"/>
              <w:ind w:left="414" w:hanging="357"/>
              <w:textAlignment w:val="baseline"/>
              <w:rPr>
                <w:color w:val="000000"/>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7909E4" w:rsidRDefault="007909E4" w:rsidP="007909E4">
            <w:pPr>
              <w:pStyle w:val="text"/>
              <w:spacing w:before="0" w:beforeAutospacing="0" w:after="0" w:afterAutospacing="0"/>
              <w:textAlignment w:val="baseline"/>
              <w:rPr>
                <w:color w:val="000000"/>
              </w:rPr>
            </w:pPr>
            <w:r w:rsidRPr="00AF5B2A">
              <w:rPr>
                <w:color w:val="000000"/>
              </w:rPr>
              <w:t>23 октября</w:t>
            </w:r>
            <w:r>
              <w:rPr>
                <w:color w:val="000000"/>
              </w:rPr>
              <w:t xml:space="preserve"> 2013 г.</w:t>
            </w:r>
          </w:p>
          <w:p w:rsidR="007909E4" w:rsidRDefault="007909E4" w:rsidP="007909E4">
            <w:pPr>
              <w:pStyle w:val="text"/>
              <w:spacing w:before="0" w:beforeAutospacing="0" w:after="0" w:afterAutospacing="0"/>
              <w:textAlignment w:val="baseline"/>
              <w:rPr>
                <w:color w:val="000000"/>
                <w:highlight w:val="yellow"/>
              </w:rPr>
            </w:pPr>
            <w:r w:rsidRPr="00AF5B2A">
              <w:rPr>
                <w:color w:val="000000"/>
              </w:rPr>
              <w:t xml:space="preserve">Е. </w:t>
            </w:r>
            <w:proofErr w:type="spellStart"/>
            <w:r w:rsidRPr="00AF5B2A">
              <w:rPr>
                <w:color w:val="000000"/>
              </w:rPr>
              <w:t>Полухина</w:t>
            </w:r>
            <w:proofErr w:type="spellEnd"/>
            <w:r>
              <w:rPr>
                <w:color w:val="000000"/>
              </w:rPr>
              <w:t xml:space="preserve">, </w:t>
            </w:r>
            <w:r w:rsidRPr="00AF5B2A">
              <w:rPr>
                <w:color w:val="000000"/>
              </w:rPr>
              <w:t xml:space="preserve">Д. </w:t>
            </w:r>
            <w:proofErr w:type="spellStart"/>
            <w:r w:rsidRPr="00AF5B2A">
              <w:rPr>
                <w:color w:val="000000"/>
              </w:rPr>
              <w:t>Просянюк</w:t>
            </w:r>
            <w:proofErr w:type="spellEnd"/>
          </w:p>
        </w:tc>
        <w:tc>
          <w:tcPr>
            <w:tcW w:w="5243" w:type="dxa"/>
            <w:tcBorders>
              <w:top w:val="nil"/>
              <w:left w:val="nil"/>
              <w:bottom w:val="single" w:sz="8" w:space="0" w:color="auto"/>
              <w:right w:val="single" w:sz="8" w:space="0" w:color="auto"/>
            </w:tcBorders>
            <w:tcMar>
              <w:top w:w="0" w:type="dxa"/>
              <w:left w:w="108" w:type="dxa"/>
              <w:bottom w:w="0" w:type="dxa"/>
              <w:right w:w="108" w:type="dxa"/>
            </w:tcMar>
            <w:hideMark/>
          </w:tcPr>
          <w:p w:rsidR="007909E4" w:rsidRDefault="007909E4" w:rsidP="007909E4">
            <w:pPr>
              <w:pStyle w:val="text"/>
              <w:spacing w:after="120" w:afterAutospacing="0"/>
              <w:textAlignment w:val="baseline"/>
              <w:rPr>
                <w:color w:val="000000"/>
                <w:highlight w:val="yellow"/>
              </w:rPr>
            </w:pPr>
            <w:r w:rsidRPr="00AF5B2A">
              <w:rPr>
                <w:color w:val="000000"/>
              </w:rPr>
              <w:t>Учебный ку</w:t>
            </w:r>
            <w:r>
              <w:rPr>
                <w:color w:val="000000"/>
              </w:rPr>
              <w:t>рс как исследовательский проект</w:t>
            </w:r>
          </w:p>
        </w:tc>
      </w:tr>
      <w:tr w:rsidR="007909E4" w:rsidTr="007909E4">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909E4" w:rsidRDefault="007909E4" w:rsidP="007909E4">
            <w:pPr>
              <w:pStyle w:val="text"/>
              <w:numPr>
                <w:ilvl w:val="0"/>
                <w:numId w:val="58"/>
              </w:numPr>
              <w:spacing w:before="0" w:beforeAutospacing="0" w:after="0" w:afterAutospacing="0" w:line="360" w:lineRule="atLeast"/>
              <w:ind w:left="414" w:hanging="357"/>
              <w:textAlignment w:val="baseline"/>
              <w:rPr>
                <w:color w:val="000000"/>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7909E4" w:rsidRDefault="007909E4" w:rsidP="007909E4">
            <w:pPr>
              <w:pStyle w:val="text"/>
              <w:spacing w:before="0" w:beforeAutospacing="0" w:after="0" w:afterAutospacing="0"/>
              <w:textAlignment w:val="baseline"/>
              <w:rPr>
                <w:color w:val="000000"/>
              </w:rPr>
            </w:pPr>
            <w:r w:rsidRPr="006709FB">
              <w:rPr>
                <w:color w:val="000000"/>
              </w:rPr>
              <w:t>6 ноября</w:t>
            </w:r>
            <w:r>
              <w:rPr>
                <w:color w:val="000000"/>
              </w:rPr>
              <w:t xml:space="preserve"> 2013 г.</w:t>
            </w:r>
          </w:p>
          <w:p w:rsidR="007909E4" w:rsidRDefault="007909E4" w:rsidP="007909E4">
            <w:pPr>
              <w:pStyle w:val="text"/>
              <w:spacing w:before="0" w:beforeAutospacing="0" w:after="0" w:afterAutospacing="0"/>
              <w:textAlignment w:val="baseline"/>
              <w:rPr>
                <w:color w:val="000000"/>
                <w:highlight w:val="yellow"/>
              </w:rPr>
            </w:pPr>
            <w:r w:rsidRPr="006709FB">
              <w:rPr>
                <w:color w:val="000000"/>
              </w:rPr>
              <w:t xml:space="preserve">К. </w:t>
            </w:r>
            <w:proofErr w:type="spellStart"/>
            <w:r w:rsidRPr="006709FB">
              <w:rPr>
                <w:color w:val="000000"/>
              </w:rPr>
              <w:t>Хомутский</w:t>
            </w:r>
            <w:proofErr w:type="spellEnd"/>
          </w:p>
        </w:tc>
        <w:tc>
          <w:tcPr>
            <w:tcW w:w="5243" w:type="dxa"/>
            <w:tcBorders>
              <w:top w:val="nil"/>
              <w:left w:val="nil"/>
              <w:bottom w:val="single" w:sz="8" w:space="0" w:color="auto"/>
              <w:right w:val="single" w:sz="8" w:space="0" w:color="auto"/>
            </w:tcBorders>
            <w:tcMar>
              <w:top w:w="0" w:type="dxa"/>
              <w:left w:w="108" w:type="dxa"/>
              <w:bottom w:w="0" w:type="dxa"/>
              <w:right w:w="108" w:type="dxa"/>
            </w:tcMar>
            <w:hideMark/>
          </w:tcPr>
          <w:p w:rsidR="007909E4" w:rsidRDefault="007909E4" w:rsidP="007909E4">
            <w:pPr>
              <w:pStyle w:val="text"/>
              <w:spacing w:after="120" w:afterAutospacing="0"/>
              <w:textAlignment w:val="baseline"/>
              <w:rPr>
                <w:color w:val="000000"/>
              </w:rPr>
            </w:pPr>
            <w:r w:rsidRPr="006709FB">
              <w:rPr>
                <w:color w:val="000000"/>
              </w:rPr>
              <w:t>Использование игровых моделей и приемов на р</w:t>
            </w:r>
            <w:r>
              <w:rPr>
                <w:color w:val="000000"/>
              </w:rPr>
              <w:t xml:space="preserve">азных </w:t>
            </w:r>
            <w:proofErr w:type="gramStart"/>
            <w:r>
              <w:rPr>
                <w:color w:val="000000"/>
              </w:rPr>
              <w:t>этапах</w:t>
            </w:r>
            <w:proofErr w:type="gramEnd"/>
            <w:r>
              <w:rPr>
                <w:color w:val="000000"/>
              </w:rPr>
              <w:t xml:space="preserve"> обучения студентов</w:t>
            </w:r>
          </w:p>
          <w:p w:rsidR="007909E4" w:rsidRDefault="007909E4" w:rsidP="007909E4">
            <w:pPr>
              <w:pStyle w:val="text"/>
              <w:spacing w:after="120" w:afterAutospacing="0"/>
              <w:textAlignment w:val="baseline"/>
              <w:rPr>
                <w:color w:val="000000"/>
                <w:highlight w:val="yellow"/>
              </w:rPr>
            </w:pPr>
            <w:r>
              <w:rPr>
                <w:color w:val="000000"/>
              </w:rPr>
              <w:t>«</w:t>
            </w:r>
            <w:r w:rsidRPr="00C55A2C">
              <w:rPr>
                <w:color w:val="000000"/>
              </w:rPr>
              <w:t>Пресс-конференция как игровая модель проведения занятия в вузе</w:t>
            </w:r>
            <w:r>
              <w:rPr>
                <w:color w:val="000000"/>
              </w:rPr>
              <w:t>»</w:t>
            </w:r>
          </w:p>
        </w:tc>
      </w:tr>
      <w:tr w:rsidR="007909E4" w:rsidTr="007909E4">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909E4" w:rsidRDefault="007909E4" w:rsidP="007909E4">
            <w:pPr>
              <w:pStyle w:val="text"/>
              <w:numPr>
                <w:ilvl w:val="0"/>
                <w:numId w:val="58"/>
              </w:numPr>
              <w:spacing w:before="0" w:beforeAutospacing="0" w:after="0" w:afterAutospacing="0" w:line="360" w:lineRule="atLeast"/>
              <w:ind w:left="414" w:hanging="357"/>
              <w:textAlignment w:val="baseline"/>
            </w:pP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7909E4" w:rsidRDefault="007909E4" w:rsidP="007909E4">
            <w:pPr>
              <w:pStyle w:val="text"/>
              <w:spacing w:before="0" w:beforeAutospacing="0" w:after="0" w:afterAutospacing="0"/>
              <w:textAlignment w:val="baseline"/>
              <w:rPr>
                <w:color w:val="000000"/>
              </w:rPr>
            </w:pPr>
            <w:r w:rsidRPr="006709FB">
              <w:rPr>
                <w:color w:val="000000"/>
              </w:rPr>
              <w:t>26 ноября</w:t>
            </w:r>
            <w:r>
              <w:rPr>
                <w:color w:val="000000"/>
              </w:rPr>
              <w:t xml:space="preserve"> 2013 г.</w:t>
            </w:r>
          </w:p>
          <w:p w:rsidR="007909E4" w:rsidRDefault="007909E4" w:rsidP="007909E4">
            <w:pPr>
              <w:pStyle w:val="text"/>
              <w:spacing w:before="0" w:beforeAutospacing="0" w:after="0" w:afterAutospacing="0"/>
              <w:textAlignment w:val="baseline"/>
              <w:rPr>
                <w:highlight w:val="yellow"/>
              </w:rPr>
            </w:pPr>
            <w:r w:rsidRPr="006709FB">
              <w:rPr>
                <w:color w:val="000000"/>
              </w:rPr>
              <w:t>Д. Фёдоровых</w:t>
            </w:r>
          </w:p>
        </w:tc>
        <w:tc>
          <w:tcPr>
            <w:tcW w:w="5243" w:type="dxa"/>
            <w:tcBorders>
              <w:top w:val="nil"/>
              <w:left w:val="nil"/>
              <w:bottom w:val="single" w:sz="8" w:space="0" w:color="auto"/>
              <w:right w:val="single" w:sz="8" w:space="0" w:color="auto"/>
            </w:tcBorders>
            <w:tcMar>
              <w:top w:w="0" w:type="dxa"/>
              <w:left w:w="108" w:type="dxa"/>
              <w:bottom w:w="0" w:type="dxa"/>
              <w:right w:w="108" w:type="dxa"/>
            </w:tcMar>
            <w:hideMark/>
          </w:tcPr>
          <w:p w:rsidR="007909E4" w:rsidRDefault="007909E4" w:rsidP="007909E4">
            <w:pPr>
              <w:pStyle w:val="text"/>
              <w:spacing w:before="0" w:beforeAutospacing="0" w:after="120" w:afterAutospacing="0"/>
              <w:textAlignment w:val="baseline"/>
              <w:rPr>
                <w:color w:val="000000"/>
                <w:highlight w:val="yellow"/>
              </w:rPr>
            </w:pPr>
            <w:r w:rsidRPr="006709FB">
              <w:rPr>
                <w:color w:val="000000"/>
              </w:rPr>
              <w:t>Подготовка документо</w:t>
            </w:r>
            <w:r>
              <w:rPr>
                <w:color w:val="000000"/>
              </w:rPr>
              <w:t xml:space="preserve">в и презентаций в системе </w:t>
            </w:r>
            <w:proofErr w:type="spellStart"/>
            <w:r>
              <w:rPr>
                <w:color w:val="000000"/>
              </w:rPr>
              <w:t>LaTeX</w:t>
            </w:r>
            <w:proofErr w:type="spellEnd"/>
          </w:p>
        </w:tc>
      </w:tr>
    </w:tbl>
    <w:p w:rsidR="007909E4" w:rsidRDefault="007909E4" w:rsidP="007909E4">
      <w:pPr>
        <w:spacing w:line="276" w:lineRule="auto"/>
        <w:jc w:val="both"/>
        <w:rPr>
          <w:color w:val="000000"/>
        </w:rPr>
      </w:pPr>
    </w:p>
    <w:p w:rsidR="007909E4" w:rsidRDefault="007909E4" w:rsidP="007909E4">
      <w:pPr>
        <w:spacing w:line="276" w:lineRule="auto"/>
        <w:jc w:val="both"/>
        <w:rPr>
          <w:color w:val="000000"/>
        </w:rPr>
      </w:pPr>
      <w:r>
        <w:rPr>
          <w:color w:val="000000"/>
        </w:rPr>
        <w:t xml:space="preserve">Встречи проходят в разных форматах, носят прикладной характер, участники знакомятся с опытом коллег, получают конкретные советы, приобретают полезные умения, </w:t>
      </w:r>
      <w:proofErr w:type="gramStart"/>
      <w:r>
        <w:rPr>
          <w:color w:val="000000"/>
        </w:rPr>
        <w:t>демонстрируют и обсуждают</w:t>
      </w:r>
      <w:proofErr w:type="gramEnd"/>
      <w:r>
        <w:rPr>
          <w:color w:val="000000"/>
        </w:rPr>
        <w:t xml:space="preserve"> свой собственный опыт.</w:t>
      </w:r>
    </w:p>
    <w:p w:rsidR="007909E4" w:rsidRPr="00AF5B2A" w:rsidRDefault="007909E4" w:rsidP="007909E4">
      <w:pPr>
        <w:spacing w:line="276" w:lineRule="auto"/>
        <w:jc w:val="both"/>
      </w:pPr>
      <w:r>
        <w:rPr>
          <w:color w:val="000000"/>
        </w:rPr>
        <w:t>Работа мастерской ориентирована на группу кадрового резерва и на всех заинтересованных коллег.  График проведения мастерских размещен на сайтах УАР и ФОИ, Методического управления.</w:t>
      </w:r>
    </w:p>
    <w:p w:rsidR="007909E4" w:rsidRPr="00E87816" w:rsidRDefault="007909E4" w:rsidP="00985CF7">
      <w:pPr>
        <w:spacing w:after="200" w:line="276" w:lineRule="auto"/>
        <w:jc w:val="both"/>
      </w:pPr>
    </w:p>
    <w:p w:rsidR="00A157E0" w:rsidRDefault="00A157E0" w:rsidP="001602DC">
      <w:pPr>
        <w:pStyle w:val="2"/>
        <w:numPr>
          <w:ilvl w:val="1"/>
          <w:numId w:val="1"/>
        </w:numPr>
      </w:pPr>
      <w:bookmarkStart w:id="29" w:name="_Toc374030051"/>
      <w:r>
        <w:t>Поддержка образовательных</w:t>
      </w:r>
      <w:r w:rsidR="005005BC">
        <w:t xml:space="preserve"> проектов </w:t>
      </w:r>
      <w:r>
        <w:t>через фонд</w:t>
      </w:r>
      <w:r w:rsidR="005005BC">
        <w:t xml:space="preserve"> образовательных инноваций</w:t>
      </w:r>
      <w:bookmarkEnd w:id="29"/>
    </w:p>
    <w:p w:rsidR="00A157E0" w:rsidRDefault="00A157E0" w:rsidP="00A157E0">
      <w:pPr>
        <w:spacing w:after="200" w:line="276" w:lineRule="auto"/>
        <w:jc w:val="both"/>
      </w:pPr>
      <w:r>
        <w:t>В 2012-2013 учебном году деятельность программы «Фонд образовательных инноваций НИУ ВШЭ» была ориентирована реализацию Программы развития и на поддержку образовательных инноваций на конкурсной основе.</w:t>
      </w:r>
    </w:p>
    <w:p w:rsidR="00A157E0" w:rsidRDefault="00A157E0" w:rsidP="00A157E0">
      <w:pPr>
        <w:spacing w:after="200" w:line="276" w:lineRule="auto"/>
        <w:jc w:val="both"/>
      </w:pPr>
      <w:r>
        <w:t>Основными направлениями конкурсной программы ФОИ в прошедшем учебном голу были:</w:t>
      </w:r>
    </w:p>
    <w:p w:rsidR="00A157E0" w:rsidRPr="00A157E0" w:rsidRDefault="00A157E0" w:rsidP="00F27C45">
      <w:pPr>
        <w:pStyle w:val="a5"/>
        <w:numPr>
          <w:ilvl w:val="0"/>
          <w:numId w:val="10"/>
        </w:numPr>
        <w:jc w:val="both"/>
        <w:rPr>
          <w:sz w:val="24"/>
          <w:szCs w:val="24"/>
        </w:rPr>
      </w:pPr>
      <w:r w:rsidRPr="00A157E0">
        <w:rPr>
          <w:sz w:val="24"/>
          <w:szCs w:val="24"/>
        </w:rPr>
        <w:t>проведение постоянно действующих конкурсов, связанных с поддержкой и развитием образовательной деятельности в Университете,</w:t>
      </w:r>
    </w:p>
    <w:p w:rsidR="00A157E0" w:rsidRPr="00A157E0" w:rsidRDefault="00A157E0" w:rsidP="00F27C45">
      <w:pPr>
        <w:pStyle w:val="a5"/>
        <w:numPr>
          <w:ilvl w:val="0"/>
          <w:numId w:val="10"/>
        </w:numPr>
        <w:jc w:val="both"/>
        <w:rPr>
          <w:sz w:val="24"/>
          <w:szCs w:val="24"/>
        </w:rPr>
      </w:pPr>
      <w:r w:rsidRPr="00A157E0">
        <w:rPr>
          <w:sz w:val="24"/>
          <w:szCs w:val="24"/>
        </w:rPr>
        <w:t>проведение конкурсов, нацеленных на выявление лучших образовательных практик (инноваций),</w:t>
      </w:r>
    </w:p>
    <w:p w:rsidR="00A157E0" w:rsidRPr="00A157E0" w:rsidRDefault="00A157E0" w:rsidP="00F27C45">
      <w:pPr>
        <w:pStyle w:val="a5"/>
        <w:numPr>
          <w:ilvl w:val="0"/>
          <w:numId w:val="10"/>
        </w:numPr>
        <w:jc w:val="both"/>
        <w:rPr>
          <w:sz w:val="24"/>
          <w:szCs w:val="24"/>
        </w:rPr>
      </w:pPr>
      <w:r w:rsidRPr="00A157E0">
        <w:rPr>
          <w:sz w:val="24"/>
          <w:szCs w:val="24"/>
        </w:rPr>
        <w:t xml:space="preserve">конкурсный отбор заявок в рамках реализации проекта «Учебный ассистент». </w:t>
      </w:r>
    </w:p>
    <w:p w:rsidR="00A157E0" w:rsidRDefault="00A157E0" w:rsidP="00A157E0">
      <w:pPr>
        <w:spacing w:after="200" w:line="276" w:lineRule="auto"/>
        <w:jc w:val="both"/>
      </w:pPr>
      <w:r>
        <w:lastRenderedPageBreak/>
        <w:t>Проведение постоянно действующих конкурсов, связанных с поддержкой и развитием образовательной деятельности в Университете.</w:t>
      </w:r>
    </w:p>
    <w:p w:rsidR="00A157E0" w:rsidRDefault="00A157E0" w:rsidP="00A157E0">
      <w:pPr>
        <w:spacing w:after="200" w:line="276" w:lineRule="auto"/>
        <w:jc w:val="both"/>
      </w:pPr>
      <w:r>
        <w:t>Одним из инструментов стимулирования образовательной деятельности преподавателей НИУ ВШЭ стали постоянно действующие конкурсы ФОИ по следующим 5 направлениям:</w:t>
      </w:r>
    </w:p>
    <w:p w:rsidR="00A157E0" w:rsidRPr="00A157E0" w:rsidRDefault="00A157E0" w:rsidP="00F27C45">
      <w:pPr>
        <w:pStyle w:val="a5"/>
        <w:numPr>
          <w:ilvl w:val="0"/>
          <w:numId w:val="11"/>
        </w:numPr>
        <w:rPr>
          <w:sz w:val="24"/>
        </w:rPr>
      </w:pPr>
      <w:r w:rsidRPr="00A157E0">
        <w:rPr>
          <w:sz w:val="24"/>
        </w:rPr>
        <w:t>Создание образовательных продуктов на базе LMS</w:t>
      </w:r>
    </w:p>
    <w:p w:rsidR="00A157E0" w:rsidRPr="00A157E0" w:rsidRDefault="00A157E0" w:rsidP="00F27C45">
      <w:pPr>
        <w:pStyle w:val="a5"/>
        <w:numPr>
          <w:ilvl w:val="0"/>
          <w:numId w:val="11"/>
        </w:numPr>
        <w:rPr>
          <w:sz w:val="24"/>
        </w:rPr>
      </w:pPr>
      <w:r w:rsidRPr="00A157E0">
        <w:rPr>
          <w:sz w:val="24"/>
        </w:rPr>
        <w:t>Создание проекта совместной магистерской программы с зарубежным университетом</w:t>
      </w:r>
    </w:p>
    <w:p w:rsidR="00A157E0" w:rsidRPr="00A157E0" w:rsidRDefault="00A157E0" w:rsidP="00F27C45">
      <w:pPr>
        <w:pStyle w:val="a5"/>
        <w:numPr>
          <w:ilvl w:val="0"/>
          <w:numId w:val="11"/>
        </w:numPr>
        <w:rPr>
          <w:sz w:val="24"/>
        </w:rPr>
      </w:pPr>
      <w:r w:rsidRPr="00A157E0">
        <w:rPr>
          <w:sz w:val="24"/>
        </w:rPr>
        <w:t xml:space="preserve">Преподавание дисциплины на </w:t>
      </w:r>
      <w:proofErr w:type="gramStart"/>
      <w:r w:rsidRPr="00A157E0">
        <w:rPr>
          <w:sz w:val="24"/>
        </w:rPr>
        <w:t>английском</w:t>
      </w:r>
      <w:proofErr w:type="gramEnd"/>
      <w:r w:rsidRPr="00A157E0">
        <w:rPr>
          <w:sz w:val="24"/>
        </w:rPr>
        <w:t xml:space="preserve"> языке</w:t>
      </w:r>
    </w:p>
    <w:p w:rsidR="00A157E0" w:rsidRPr="00A157E0" w:rsidRDefault="00A157E0" w:rsidP="00F27C45">
      <w:pPr>
        <w:pStyle w:val="a5"/>
        <w:numPr>
          <w:ilvl w:val="0"/>
          <w:numId w:val="11"/>
        </w:numPr>
        <w:rPr>
          <w:sz w:val="24"/>
        </w:rPr>
      </w:pPr>
      <w:r w:rsidRPr="00A157E0">
        <w:rPr>
          <w:sz w:val="24"/>
        </w:rPr>
        <w:t xml:space="preserve">Реализация проектов </w:t>
      </w:r>
      <w:proofErr w:type="gramStart"/>
      <w:r w:rsidRPr="00A157E0">
        <w:rPr>
          <w:sz w:val="24"/>
        </w:rPr>
        <w:t>дистанционной</w:t>
      </w:r>
      <w:proofErr w:type="gramEnd"/>
      <w:r w:rsidRPr="00A157E0">
        <w:rPr>
          <w:sz w:val="24"/>
        </w:rPr>
        <w:t xml:space="preserve"> поддержки образовательных программ</w:t>
      </w:r>
    </w:p>
    <w:p w:rsidR="00A157E0" w:rsidRPr="00A157E0" w:rsidRDefault="00A157E0" w:rsidP="00F27C45">
      <w:pPr>
        <w:pStyle w:val="a5"/>
        <w:numPr>
          <w:ilvl w:val="0"/>
          <w:numId w:val="11"/>
        </w:numPr>
        <w:rPr>
          <w:sz w:val="24"/>
        </w:rPr>
      </w:pPr>
      <w:r w:rsidRPr="00A157E0">
        <w:rPr>
          <w:sz w:val="24"/>
        </w:rPr>
        <w:t>Реализация проектов видеозаписи лекционных учебных курсов</w:t>
      </w:r>
    </w:p>
    <w:p w:rsidR="00A157E0" w:rsidRDefault="00A157E0" w:rsidP="00A157E0">
      <w:pPr>
        <w:spacing w:after="200" w:line="276" w:lineRule="auto"/>
        <w:jc w:val="both"/>
      </w:pPr>
      <w:r>
        <w:t xml:space="preserve">С 2013 года в рамках программы ФОИ осуществляется поддержка только новых учебных дисциплин на английском языке, в то время как </w:t>
      </w:r>
      <w:r w:rsidR="00C22F5F">
        <w:t>оплата повторного преподавания</w:t>
      </w:r>
      <w:r>
        <w:t xml:space="preserve"> курсов </w:t>
      </w:r>
      <w:r w:rsidR="00C22F5F">
        <w:t xml:space="preserve">на английском языке перешло  не регулярную основу и регулируется </w:t>
      </w:r>
      <w:r>
        <w:t>У</w:t>
      </w:r>
      <w:r w:rsidR="00C22F5F">
        <w:t>правлением организации учебного процесса</w:t>
      </w:r>
      <w:r>
        <w:t>.</w:t>
      </w:r>
    </w:p>
    <w:p w:rsidR="00A157E0" w:rsidRDefault="00A157E0" w:rsidP="00C22F5F">
      <w:pPr>
        <w:spacing w:after="200" w:line="276" w:lineRule="auto"/>
        <w:jc w:val="both"/>
      </w:pPr>
      <w:r>
        <w:t xml:space="preserve">На конкурс на преподавание учебных дисциплин на </w:t>
      </w:r>
      <w:proofErr w:type="gramStart"/>
      <w:r>
        <w:t>английском</w:t>
      </w:r>
      <w:proofErr w:type="gramEnd"/>
      <w:r>
        <w:t xml:space="preserve"> языке за 2012 - 2013 учебный год было подано и поддержано 63 заявки, из </w:t>
      </w:r>
      <w:r w:rsidR="00C22F5F">
        <w:t xml:space="preserve">них </w:t>
      </w:r>
      <w:r>
        <w:t>55 – создание новых учебных дисциплин.</w:t>
      </w:r>
    </w:p>
    <w:p w:rsidR="00A157E0" w:rsidRDefault="00A157E0" w:rsidP="00C22F5F">
      <w:pPr>
        <w:spacing w:after="200" w:line="276" w:lineRule="auto"/>
        <w:jc w:val="both"/>
      </w:pPr>
      <w:r>
        <w:t>В рамках конкурса на создание проектов совместных магистерских программ  были созданы  две совместные магистерские  программы:</w:t>
      </w:r>
    </w:p>
    <w:p w:rsidR="00A157E0" w:rsidRPr="00C22F5F" w:rsidRDefault="00A157E0" w:rsidP="00F27C45">
      <w:pPr>
        <w:pStyle w:val="a5"/>
        <w:numPr>
          <w:ilvl w:val="0"/>
          <w:numId w:val="10"/>
        </w:numPr>
        <w:jc w:val="both"/>
        <w:rPr>
          <w:sz w:val="24"/>
          <w:szCs w:val="24"/>
        </w:rPr>
      </w:pPr>
      <w:r w:rsidRPr="00C22F5F">
        <w:rPr>
          <w:sz w:val="24"/>
          <w:szCs w:val="24"/>
        </w:rPr>
        <w:t xml:space="preserve">«Международный бизнес», факультет мировой </w:t>
      </w:r>
      <w:proofErr w:type="spellStart"/>
      <w:r w:rsidRPr="00C22F5F">
        <w:rPr>
          <w:sz w:val="24"/>
          <w:szCs w:val="24"/>
        </w:rPr>
        <w:t>экономиуки</w:t>
      </w:r>
      <w:proofErr w:type="spellEnd"/>
      <w:r w:rsidRPr="00C22F5F">
        <w:rPr>
          <w:sz w:val="24"/>
          <w:szCs w:val="24"/>
        </w:rPr>
        <w:t xml:space="preserve"> и мировой политики, партнером по программе является Школа Права и Дипломатии им. </w:t>
      </w:r>
      <w:proofErr w:type="spellStart"/>
      <w:r w:rsidRPr="00C22F5F">
        <w:rPr>
          <w:sz w:val="24"/>
          <w:szCs w:val="24"/>
        </w:rPr>
        <w:t>Флетчера</w:t>
      </w:r>
      <w:proofErr w:type="spellEnd"/>
      <w:r w:rsidRPr="00C22F5F">
        <w:rPr>
          <w:sz w:val="24"/>
          <w:szCs w:val="24"/>
        </w:rPr>
        <w:t xml:space="preserve"> Университета Тафте, США (г. </w:t>
      </w:r>
      <w:proofErr w:type="spellStart"/>
      <w:r w:rsidRPr="00C22F5F">
        <w:rPr>
          <w:sz w:val="24"/>
          <w:szCs w:val="24"/>
        </w:rPr>
        <w:t>Медфорд</w:t>
      </w:r>
      <w:proofErr w:type="spellEnd"/>
      <w:r w:rsidRPr="00C22F5F">
        <w:rPr>
          <w:sz w:val="24"/>
          <w:szCs w:val="24"/>
        </w:rPr>
        <w:t>, Массачусетс).</w:t>
      </w:r>
    </w:p>
    <w:p w:rsidR="00A157E0" w:rsidRPr="00C22F5F" w:rsidRDefault="00A157E0" w:rsidP="00F27C45">
      <w:pPr>
        <w:pStyle w:val="a5"/>
        <w:numPr>
          <w:ilvl w:val="0"/>
          <w:numId w:val="10"/>
        </w:numPr>
        <w:jc w:val="both"/>
        <w:rPr>
          <w:sz w:val="24"/>
          <w:szCs w:val="24"/>
        </w:rPr>
      </w:pPr>
      <w:r w:rsidRPr="00C22F5F">
        <w:rPr>
          <w:sz w:val="24"/>
          <w:szCs w:val="24"/>
        </w:rPr>
        <w:t>Совместная магистерская программа «</w:t>
      </w:r>
      <w:proofErr w:type="spellStart"/>
      <w:r w:rsidRPr="00C22F5F">
        <w:rPr>
          <w:sz w:val="24"/>
          <w:szCs w:val="24"/>
        </w:rPr>
        <w:t>Innovations</w:t>
      </w:r>
      <w:proofErr w:type="spellEnd"/>
      <w:r w:rsidRPr="00C22F5F">
        <w:rPr>
          <w:sz w:val="24"/>
          <w:szCs w:val="24"/>
        </w:rPr>
        <w:t xml:space="preserve"> </w:t>
      </w:r>
      <w:proofErr w:type="spellStart"/>
      <w:r w:rsidRPr="00C22F5F">
        <w:rPr>
          <w:sz w:val="24"/>
          <w:szCs w:val="24"/>
        </w:rPr>
        <w:t>and</w:t>
      </w:r>
      <w:proofErr w:type="spellEnd"/>
      <w:r w:rsidRPr="00C22F5F">
        <w:rPr>
          <w:sz w:val="24"/>
          <w:szCs w:val="24"/>
        </w:rPr>
        <w:t xml:space="preserve"> </w:t>
      </w:r>
      <w:proofErr w:type="spellStart"/>
      <w:r w:rsidRPr="00C22F5F">
        <w:rPr>
          <w:sz w:val="24"/>
          <w:szCs w:val="24"/>
        </w:rPr>
        <w:t>Entrepreneurship</w:t>
      </w:r>
      <w:proofErr w:type="spellEnd"/>
      <w:r w:rsidRPr="00C22F5F">
        <w:rPr>
          <w:sz w:val="24"/>
          <w:szCs w:val="24"/>
        </w:rPr>
        <w:t xml:space="preserve"> </w:t>
      </w:r>
      <w:proofErr w:type="spellStart"/>
      <w:r w:rsidRPr="00C22F5F">
        <w:rPr>
          <w:sz w:val="24"/>
          <w:szCs w:val="24"/>
        </w:rPr>
        <w:t>in</w:t>
      </w:r>
      <w:proofErr w:type="spellEnd"/>
      <w:r w:rsidRPr="00C22F5F">
        <w:rPr>
          <w:sz w:val="24"/>
          <w:szCs w:val="24"/>
        </w:rPr>
        <w:t xml:space="preserve"> </w:t>
      </w:r>
      <w:proofErr w:type="spellStart"/>
      <w:r w:rsidRPr="00C22F5F">
        <w:rPr>
          <w:sz w:val="24"/>
          <w:szCs w:val="24"/>
        </w:rPr>
        <w:t>Global</w:t>
      </w:r>
      <w:proofErr w:type="spellEnd"/>
      <w:r w:rsidRPr="00C22F5F">
        <w:rPr>
          <w:sz w:val="24"/>
          <w:szCs w:val="24"/>
        </w:rPr>
        <w:t xml:space="preserve"> </w:t>
      </w:r>
      <w:proofErr w:type="spellStart"/>
      <w:r w:rsidRPr="00C22F5F">
        <w:rPr>
          <w:sz w:val="24"/>
          <w:szCs w:val="24"/>
        </w:rPr>
        <w:t>Environment</w:t>
      </w:r>
      <w:proofErr w:type="spellEnd"/>
      <w:r w:rsidRPr="00C22F5F">
        <w:rPr>
          <w:sz w:val="24"/>
          <w:szCs w:val="24"/>
        </w:rPr>
        <w:t>» факультетов менеджмента и  экономики НИУ ВШЭ-Пермь с  Университетом Эссекса.</w:t>
      </w:r>
    </w:p>
    <w:p w:rsidR="00A157E0" w:rsidRDefault="00A157E0" w:rsidP="00C22F5F">
      <w:pPr>
        <w:spacing w:after="200" w:line="276" w:lineRule="auto"/>
        <w:jc w:val="both"/>
      </w:pPr>
      <w:r>
        <w:t xml:space="preserve">Вместе с тем следует отметить, что количество </w:t>
      </w:r>
      <w:proofErr w:type="gramStart"/>
      <w:r>
        <w:t>заявок, подаваемых на видеозапись лекционных курсов существенно сократилось</w:t>
      </w:r>
      <w:proofErr w:type="gramEnd"/>
      <w:r>
        <w:t>. Была произведена запись трех видеокурсов. В связи с этим Бюро Совета ФОИ приняло решение о прекращении приема заявок в рамках данного конкурса (видеозапись отдельных лекций, семинаров</w:t>
      </w:r>
      <w:proofErr w:type="gramStart"/>
      <w:r>
        <w:t xml:space="preserve"> ,</w:t>
      </w:r>
      <w:proofErr w:type="gramEnd"/>
      <w:r>
        <w:t xml:space="preserve"> а также видеороликов осуществляется другими подразделениями НИУ ВШЭ по запросам факультетов и отделений).</w:t>
      </w:r>
    </w:p>
    <w:p w:rsidR="00A157E0" w:rsidRDefault="00A157E0" w:rsidP="00C22F5F">
      <w:pPr>
        <w:spacing w:after="200" w:line="276" w:lineRule="auto"/>
        <w:jc w:val="both"/>
      </w:pPr>
      <w:r>
        <w:t xml:space="preserve">Развитием этого направления деятельности программы ФОИ </w:t>
      </w:r>
      <w:r w:rsidR="00D42B8B">
        <w:t xml:space="preserve">по выявлению лучших образовательных практик (инноваций) </w:t>
      </w:r>
      <w:r>
        <w:t xml:space="preserve">стали весенний (апрель) и осенний (ноябрь) конкурсы образовательных инноваций. </w:t>
      </w:r>
    </w:p>
    <w:p w:rsidR="00A157E0" w:rsidRDefault="00A157E0" w:rsidP="00C22F5F">
      <w:pPr>
        <w:spacing w:after="200" w:line="276" w:lineRule="auto"/>
        <w:jc w:val="both"/>
      </w:pPr>
      <w:r>
        <w:t>В рамках  конкурсов было рассмотрено более 100 заявок по следующим номинациям:</w:t>
      </w:r>
    </w:p>
    <w:p w:rsidR="00A157E0" w:rsidRPr="00C22F5F" w:rsidRDefault="00A157E0" w:rsidP="00F27C45">
      <w:pPr>
        <w:pStyle w:val="a5"/>
        <w:numPr>
          <w:ilvl w:val="0"/>
          <w:numId w:val="10"/>
        </w:numPr>
        <w:jc w:val="both"/>
        <w:rPr>
          <w:sz w:val="24"/>
          <w:szCs w:val="24"/>
        </w:rPr>
      </w:pPr>
      <w:r w:rsidRPr="00C22F5F">
        <w:rPr>
          <w:sz w:val="24"/>
          <w:szCs w:val="24"/>
        </w:rPr>
        <w:t>конкурс концепций научно-исследовательского семинара (</w:t>
      </w:r>
      <w:proofErr w:type="spellStart"/>
      <w:r w:rsidRPr="00C22F5F">
        <w:rPr>
          <w:sz w:val="24"/>
          <w:szCs w:val="24"/>
        </w:rPr>
        <w:t>бакалавриат</w:t>
      </w:r>
      <w:proofErr w:type="spellEnd"/>
      <w:r w:rsidRPr="00C22F5F">
        <w:rPr>
          <w:sz w:val="24"/>
          <w:szCs w:val="24"/>
        </w:rPr>
        <w:t>, магистратура)</w:t>
      </w:r>
    </w:p>
    <w:p w:rsidR="00A157E0" w:rsidRPr="00C22F5F" w:rsidRDefault="00A157E0" w:rsidP="00F27C45">
      <w:pPr>
        <w:pStyle w:val="a5"/>
        <w:numPr>
          <w:ilvl w:val="0"/>
          <w:numId w:val="10"/>
        </w:numPr>
        <w:jc w:val="both"/>
        <w:rPr>
          <w:sz w:val="24"/>
          <w:szCs w:val="24"/>
        </w:rPr>
      </w:pPr>
      <w:r w:rsidRPr="00C22F5F">
        <w:rPr>
          <w:sz w:val="24"/>
          <w:szCs w:val="24"/>
        </w:rPr>
        <w:lastRenderedPageBreak/>
        <w:t xml:space="preserve">конкурс оригинальных моделей проведения семинарских занятий </w:t>
      </w:r>
    </w:p>
    <w:p w:rsidR="00A157E0" w:rsidRPr="00C22F5F" w:rsidRDefault="00A157E0" w:rsidP="00F27C45">
      <w:pPr>
        <w:pStyle w:val="a5"/>
        <w:numPr>
          <w:ilvl w:val="0"/>
          <w:numId w:val="10"/>
        </w:numPr>
        <w:jc w:val="both"/>
        <w:rPr>
          <w:sz w:val="24"/>
          <w:szCs w:val="24"/>
        </w:rPr>
      </w:pPr>
      <w:r w:rsidRPr="00C22F5F">
        <w:rPr>
          <w:sz w:val="24"/>
          <w:szCs w:val="24"/>
        </w:rPr>
        <w:t>конкурс на разработку и внедрение в учебный процесс программ учебных практикумов</w:t>
      </w:r>
    </w:p>
    <w:p w:rsidR="00A157E0" w:rsidRPr="00C22F5F" w:rsidRDefault="00A157E0" w:rsidP="00F27C45">
      <w:pPr>
        <w:pStyle w:val="a5"/>
        <w:numPr>
          <w:ilvl w:val="0"/>
          <w:numId w:val="10"/>
        </w:numPr>
        <w:jc w:val="both"/>
        <w:rPr>
          <w:sz w:val="24"/>
          <w:szCs w:val="24"/>
        </w:rPr>
      </w:pPr>
      <w:r w:rsidRPr="00C22F5F">
        <w:rPr>
          <w:sz w:val="24"/>
          <w:szCs w:val="24"/>
        </w:rPr>
        <w:t>конкурс на создание курсов по развитию академических навыков и междисциплинарных курсов</w:t>
      </w:r>
    </w:p>
    <w:p w:rsidR="00A157E0" w:rsidRPr="00C22F5F" w:rsidRDefault="00A157E0" w:rsidP="00F27C45">
      <w:pPr>
        <w:pStyle w:val="a5"/>
        <w:numPr>
          <w:ilvl w:val="0"/>
          <w:numId w:val="10"/>
        </w:numPr>
        <w:jc w:val="both"/>
        <w:rPr>
          <w:sz w:val="24"/>
          <w:szCs w:val="24"/>
        </w:rPr>
      </w:pPr>
      <w:r w:rsidRPr="00C22F5F">
        <w:rPr>
          <w:sz w:val="24"/>
          <w:szCs w:val="24"/>
        </w:rPr>
        <w:t xml:space="preserve">конкурс на создание курсов по развитию Academic </w:t>
      </w:r>
      <w:proofErr w:type="spellStart"/>
      <w:r w:rsidRPr="00C22F5F">
        <w:rPr>
          <w:sz w:val="24"/>
          <w:szCs w:val="24"/>
        </w:rPr>
        <w:t>Skills</w:t>
      </w:r>
      <w:proofErr w:type="spellEnd"/>
      <w:r w:rsidRPr="00C22F5F">
        <w:rPr>
          <w:sz w:val="24"/>
          <w:szCs w:val="24"/>
        </w:rPr>
        <w:t xml:space="preserve"> на </w:t>
      </w:r>
      <w:proofErr w:type="gramStart"/>
      <w:r w:rsidRPr="00C22F5F">
        <w:rPr>
          <w:sz w:val="24"/>
          <w:szCs w:val="24"/>
        </w:rPr>
        <w:t>английском</w:t>
      </w:r>
      <w:proofErr w:type="gramEnd"/>
      <w:r w:rsidRPr="00C22F5F">
        <w:rPr>
          <w:sz w:val="24"/>
          <w:szCs w:val="24"/>
        </w:rPr>
        <w:t xml:space="preserve"> языке</w:t>
      </w:r>
    </w:p>
    <w:p w:rsidR="00A157E0" w:rsidRPr="00C22F5F" w:rsidRDefault="00A157E0" w:rsidP="00F27C45">
      <w:pPr>
        <w:pStyle w:val="a5"/>
        <w:numPr>
          <w:ilvl w:val="0"/>
          <w:numId w:val="10"/>
        </w:numPr>
        <w:jc w:val="both"/>
        <w:rPr>
          <w:sz w:val="24"/>
          <w:szCs w:val="24"/>
        </w:rPr>
      </w:pPr>
      <w:r w:rsidRPr="00C22F5F">
        <w:rPr>
          <w:sz w:val="24"/>
          <w:szCs w:val="24"/>
        </w:rPr>
        <w:t>вольная номинация</w:t>
      </w:r>
    </w:p>
    <w:p w:rsidR="00A157E0" w:rsidRDefault="00A157E0" w:rsidP="00A157E0">
      <w:r>
        <w:t xml:space="preserve">Лучшими по итогам 2012-2013 учебного года были признаны 42 разработки. Материалы  победителей по номинациям выложены  на странице программы </w:t>
      </w:r>
      <w:hyperlink r:id="rId45" w:history="1">
        <w:r w:rsidR="00C22F5F">
          <w:rPr>
            <w:rStyle w:val="a4"/>
          </w:rPr>
          <w:t>http://www.hse.ru/org/hse/iff/winners</w:t>
        </w:r>
      </w:hyperlink>
      <w:r>
        <w:t>.</w:t>
      </w:r>
    </w:p>
    <w:p w:rsidR="00A157E0" w:rsidRPr="00A157E0" w:rsidRDefault="00A157E0" w:rsidP="00A157E0"/>
    <w:p w:rsidR="005005BC" w:rsidRPr="005005BC" w:rsidRDefault="005005BC" w:rsidP="005005BC">
      <w:pPr>
        <w:pStyle w:val="1"/>
        <w:keepLines w:val="0"/>
        <w:spacing w:before="240" w:after="60" w:line="276" w:lineRule="auto"/>
      </w:pPr>
      <w:bookmarkStart w:id="30" w:name="_Toc374030052"/>
      <w:r>
        <w:t>Образовательные результаты студентов</w:t>
      </w:r>
      <w:bookmarkEnd w:id="30"/>
      <w:r>
        <w:t xml:space="preserve"> </w:t>
      </w:r>
    </w:p>
    <w:p w:rsidR="005005BC" w:rsidRDefault="005005BC" w:rsidP="005005BC">
      <w:pPr>
        <w:pStyle w:val="2"/>
        <w:numPr>
          <w:ilvl w:val="1"/>
          <w:numId w:val="1"/>
        </w:numPr>
      </w:pPr>
      <w:bookmarkStart w:id="31" w:name="_Toc374030053"/>
      <w:r>
        <w:t>Анализ успеваемости студенто</w:t>
      </w:r>
      <w:r w:rsidR="00890720">
        <w:t>в</w:t>
      </w:r>
      <w:bookmarkEnd w:id="31"/>
    </w:p>
    <w:p w:rsidR="00890720" w:rsidRDefault="00890720" w:rsidP="00890720">
      <w:pPr>
        <w:spacing w:after="200" w:line="276" w:lineRule="auto"/>
        <w:jc w:val="both"/>
      </w:pPr>
      <w:r>
        <w:t xml:space="preserve">Полная статистика распределения успеваемости студентов после пересдач по </w:t>
      </w:r>
      <w:r w:rsidRPr="00D534C4">
        <w:t>факультетам и курсам за 1-ый и 2-ой семе</w:t>
      </w:r>
      <w:r w:rsidR="00B047BD" w:rsidRPr="00D534C4">
        <w:t>стры отчетного периода приведена</w:t>
      </w:r>
      <w:r w:rsidRPr="00D534C4">
        <w:t xml:space="preserve"> в </w:t>
      </w:r>
      <w:r w:rsidR="00E33C50" w:rsidRPr="00D534C4">
        <w:t>П</w:t>
      </w:r>
      <w:r w:rsidRPr="00D534C4">
        <w:t xml:space="preserve">риложении </w:t>
      </w:r>
      <w:r w:rsidR="007A1875" w:rsidRPr="00D534C4">
        <w:t xml:space="preserve">№ </w:t>
      </w:r>
      <w:r w:rsidR="00E33C50" w:rsidRPr="00D534C4">
        <w:t>4</w:t>
      </w:r>
      <w:r w:rsidR="00E33C50">
        <w:t xml:space="preserve"> </w:t>
      </w:r>
      <w:r>
        <w:t>к отчету.</w:t>
      </w:r>
      <w:r w:rsidRPr="004E04C1">
        <w:t xml:space="preserve"> </w:t>
      </w:r>
    </w:p>
    <w:p w:rsidR="00890720" w:rsidRDefault="00890720" w:rsidP="00890720">
      <w:pPr>
        <w:spacing w:after="200" w:line="276" w:lineRule="auto"/>
        <w:jc w:val="both"/>
      </w:pPr>
      <w:r>
        <w:t>Особенности успеваемости студентов на отдельных факультетах и курсах за 2012/2013 учебный год представлены ниже</w:t>
      </w:r>
      <w:r w:rsidRPr="002C0ABF">
        <w:t xml:space="preserve"> </w:t>
      </w:r>
      <w:r>
        <w:t>в таблицах.</w:t>
      </w:r>
    </w:p>
    <w:p w:rsidR="00890720" w:rsidRDefault="00B047BD" w:rsidP="00890720">
      <w:pPr>
        <w:spacing w:line="276" w:lineRule="auto"/>
        <w:jc w:val="both"/>
        <w:rPr>
          <w:b/>
          <w:i/>
        </w:rPr>
      </w:pPr>
      <w:r>
        <w:rPr>
          <w:b/>
          <w:i/>
        </w:rPr>
        <w:t>Студенты, которые о</w:t>
      </w:r>
      <w:r w:rsidR="00890720" w:rsidRPr="003E2C8F">
        <w:rPr>
          <w:b/>
          <w:i/>
        </w:rPr>
        <w:t>бучались только на "отлично":</w:t>
      </w:r>
    </w:p>
    <w:tbl>
      <w:tblPr>
        <w:tblStyle w:val="aff9"/>
        <w:tblW w:w="0" w:type="auto"/>
        <w:tblLook w:val="04A0" w:firstRow="1" w:lastRow="0" w:firstColumn="1" w:lastColumn="0" w:noHBand="0" w:noVBand="1"/>
      </w:tblPr>
      <w:tblGrid>
        <w:gridCol w:w="2093"/>
        <w:gridCol w:w="2781"/>
        <w:gridCol w:w="1585"/>
        <w:gridCol w:w="993"/>
        <w:gridCol w:w="1984"/>
      </w:tblGrid>
      <w:tr w:rsidR="00890720" w:rsidRPr="001602DC" w:rsidTr="00890720">
        <w:tc>
          <w:tcPr>
            <w:tcW w:w="2093" w:type="dxa"/>
          </w:tcPr>
          <w:p w:rsidR="00890720" w:rsidRPr="001602DC" w:rsidRDefault="00890720" w:rsidP="00890720">
            <w:pPr>
              <w:spacing w:line="276" w:lineRule="auto"/>
              <w:jc w:val="center"/>
              <w:rPr>
                <w:rFonts w:asciiTheme="majorHAnsi" w:hAnsiTheme="majorHAnsi"/>
                <w:b/>
                <w:sz w:val="24"/>
                <w:szCs w:val="24"/>
              </w:rPr>
            </w:pPr>
            <w:r w:rsidRPr="001602DC">
              <w:rPr>
                <w:rFonts w:asciiTheme="majorHAnsi" w:hAnsiTheme="majorHAnsi"/>
                <w:b/>
                <w:sz w:val="24"/>
                <w:szCs w:val="24"/>
              </w:rPr>
              <w:t>Кампус</w:t>
            </w:r>
          </w:p>
        </w:tc>
        <w:tc>
          <w:tcPr>
            <w:tcW w:w="2781" w:type="dxa"/>
          </w:tcPr>
          <w:p w:rsidR="00890720" w:rsidRPr="001602DC" w:rsidRDefault="00890720" w:rsidP="00890720">
            <w:pPr>
              <w:spacing w:line="276" w:lineRule="auto"/>
              <w:jc w:val="center"/>
              <w:rPr>
                <w:rFonts w:asciiTheme="majorHAnsi" w:hAnsiTheme="majorHAnsi"/>
                <w:b/>
                <w:sz w:val="24"/>
                <w:szCs w:val="24"/>
              </w:rPr>
            </w:pPr>
            <w:r w:rsidRPr="001602DC">
              <w:rPr>
                <w:rFonts w:asciiTheme="majorHAnsi" w:hAnsiTheme="majorHAnsi"/>
                <w:b/>
                <w:sz w:val="24"/>
                <w:szCs w:val="24"/>
              </w:rPr>
              <w:t>Факультет</w:t>
            </w:r>
          </w:p>
        </w:tc>
        <w:tc>
          <w:tcPr>
            <w:tcW w:w="1471" w:type="dxa"/>
          </w:tcPr>
          <w:p w:rsidR="00890720" w:rsidRPr="001602DC" w:rsidRDefault="00890720" w:rsidP="00890720">
            <w:pPr>
              <w:spacing w:line="276" w:lineRule="auto"/>
              <w:jc w:val="center"/>
              <w:rPr>
                <w:rFonts w:asciiTheme="majorHAnsi" w:hAnsiTheme="majorHAnsi"/>
                <w:b/>
                <w:sz w:val="24"/>
                <w:szCs w:val="24"/>
              </w:rPr>
            </w:pPr>
            <w:r w:rsidRPr="001602DC">
              <w:rPr>
                <w:rFonts w:asciiTheme="majorHAnsi" w:hAnsiTheme="majorHAnsi"/>
                <w:b/>
                <w:sz w:val="24"/>
                <w:szCs w:val="24"/>
              </w:rPr>
              <w:t>Уровень</w:t>
            </w:r>
          </w:p>
        </w:tc>
        <w:tc>
          <w:tcPr>
            <w:tcW w:w="993" w:type="dxa"/>
          </w:tcPr>
          <w:p w:rsidR="00890720" w:rsidRPr="001602DC" w:rsidRDefault="00890720" w:rsidP="00890720">
            <w:pPr>
              <w:spacing w:line="276" w:lineRule="auto"/>
              <w:jc w:val="center"/>
              <w:rPr>
                <w:rFonts w:asciiTheme="majorHAnsi" w:hAnsiTheme="majorHAnsi"/>
                <w:b/>
                <w:sz w:val="24"/>
                <w:szCs w:val="24"/>
              </w:rPr>
            </w:pPr>
            <w:r w:rsidRPr="001602DC">
              <w:rPr>
                <w:rFonts w:asciiTheme="majorHAnsi" w:hAnsiTheme="majorHAnsi"/>
                <w:b/>
                <w:sz w:val="24"/>
                <w:szCs w:val="24"/>
              </w:rPr>
              <w:t>Курс</w:t>
            </w:r>
          </w:p>
          <w:p w:rsidR="00890720" w:rsidRPr="001602DC" w:rsidRDefault="00890720" w:rsidP="00890720">
            <w:pPr>
              <w:spacing w:line="276" w:lineRule="auto"/>
              <w:jc w:val="center"/>
              <w:rPr>
                <w:rFonts w:asciiTheme="majorHAnsi" w:hAnsiTheme="majorHAnsi"/>
                <w:b/>
                <w:sz w:val="24"/>
                <w:szCs w:val="24"/>
              </w:rPr>
            </w:pPr>
          </w:p>
        </w:tc>
        <w:tc>
          <w:tcPr>
            <w:tcW w:w="1984" w:type="dxa"/>
          </w:tcPr>
          <w:p w:rsidR="00890720" w:rsidRPr="001602DC" w:rsidRDefault="00890720" w:rsidP="00890720">
            <w:pPr>
              <w:spacing w:line="276" w:lineRule="auto"/>
              <w:jc w:val="center"/>
              <w:rPr>
                <w:rFonts w:asciiTheme="majorHAnsi" w:hAnsiTheme="majorHAnsi"/>
                <w:b/>
                <w:sz w:val="24"/>
                <w:szCs w:val="24"/>
              </w:rPr>
            </w:pPr>
            <w:r w:rsidRPr="001602DC">
              <w:rPr>
                <w:rFonts w:asciiTheme="majorHAnsi" w:hAnsiTheme="majorHAnsi"/>
                <w:b/>
                <w:sz w:val="24"/>
                <w:szCs w:val="24"/>
              </w:rPr>
              <w:t>% от общего числа студентов</w:t>
            </w:r>
          </w:p>
        </w:tc>
      </w:tr>
      <w:tr w:rsidR="00890720" w:rsidRPr="001602DC" w:rsidTr="00890720">
        <w:tc>
          <w:tcPr>
            <w:tcW w:w="9322" w:type="dxa"/>
            <w:gridSpan w:val="5"/>
          </w:tcPr>
          <w:p w:rsidR="00890720" w:rsidRPr="001602DC" w:rsidRDefault="00890720" w:rsidP="00890720">
            <w:pPr>
              <w:spacing w:line="276" w:lineRule="auto"/>
              <w:jc w:val="center"/>
              <w:rPr>
                <w:rFonts w:asciiTheme="majorHAnsi" w:hAnsiTheme="majorHAnsi"/>
                <w:b/>
                <w:i/>
                <w:sz w:val="24"/>
                <w:szCs w:val="24"/>
              </w:rPr>
            </w:pPr>
            <w:r w:rsidRPr="001602DC">
              <w:rPr>
                <w:rFonts w:asciiTheme="majorHAnsi" w:hAnsiTheme="majorHAnsi"/>
                <w:b/>
                <w:i/>
                <w:sz w:val="24"/>
                <w:szCs w:val="24"/>
              </w:rPr>
              <w:t>Более 50% студентов</w:t>
            </w:r>
          </w:p>
        </w:tc>
      </w:tr>
      <w:tr w:rsidR="00890720" w:rsidRPr="001602DC" w:rsidTr="00890720">
        <w:tc>
          <w:tcPr>
            <w:tcW w:w="2093" w:type="dxa"/>
            <w:vMerge w:val="restart"/>
          </w:tcPr>
          <w:p w:rsidR="00890720" w:rsidRPr="001602DC" w:rsidRDefault="00890720" w:rsidP="00890720">
            <w:pPr>
              <w:spacing w:line="276" w:lineRule="auto"/>
              <w:jc w:val="center"/>
              <w:rPr>
                <w:rFonts w:asciiTheme="majorHAnsi" w:hAnsiTheme="majorHAnsi"/>
                <w:sz w:val="24"/>
                <w:szCs w:val="24"/>
              </w:rPr>
            </w:pPr>
          </w:p>
          <w:p w:rsidR="00890720" w:rsidRPr="001602DC" w:rsidRDefault="00890720" w:rsidP="00890720">
            <w:pPr>
              <w:spacing w:line="276" w:lineRule="auto"/>
              <w:jc w:val="center"/>
              <w:rPr>
                <w:rFonts w:asciiTheme="majorHAnsi" w:hAnsiTheme="majorHAnsi"/>
                <w:sz w:val="24"/>
                <w:szCs w:val="24"/>
              </w:rPr>
            </w:pPr>
          </w:p>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Москва</w:t>
            </w:r>
          </w:p>
        </w:tc>
        <w:tc>
          <w:tcPr>
            <w:tcW w:w="278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Дизайна</w:t>
            </w:r>
          </w:p>
        </w:tc>
        <w:tc>
          <w:tcPr>
            <w:tcW w:w="1471" w:type="dxa"/>
          </w:tcPr>
          <w:p w:rsidR="00890720" w:rsidRPr="001602DC" w:rsidRDefault="00890720" w:rsidP="00B047BD">
            <w:pPr>
              <w:jc w:val="both"/>
              <w:rPr>
                <w:rFonts w:asciiTheme="majorHAnsi" w:hAnsiTheme="majorHAnsi"/>
                <w:sz w:val="24"/>
                <w:szCs w:val="24"/>
              </w:rPr>
            </w:pPr>
            <w:proofErr w:type="spellStart"/>
            <w:r w:rsidRPr="001602DC">
              <w:rPr>
                <w:rFonts w:asciiTheme="majorHAnsi" w:hAnsiTheme="majorHAnsi"/>
                <w:sz w:val="24"/>
                <w:szCs w:val="24"/>
              </w:rPr>
              <w:t>специалитет</w:t>
            </w:r>
            <w:proofErr w:type="spellEnd"/>
            <w:r w:rsidRPr="001602DC">
              <w:rPr>
                <w:rFonts w:asciiTheme="majorHAnsi" w:hAnsiTheme="majorHAnsi"/>
                <w:sz w:val="24"/>
                <w:szCs w:val="24"/>
              </w:rPr>
              <w:t xml:space="preserve"> (очно-заочная форма обучения)</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7</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67</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78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Истории</w:t>
            </w:r>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2</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50,0</w:t>
            </w:r>
          </w:p>
        </w:tc>
      </w:tr>
      <w:tr w:rsidR="00890720" w:rsidRPr="001602DC" w:rsidTr="00890720">
        <w:tc>
          <w:tcPr>
            <w:tcW w:w="2093"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Санкт-Петербург</w:t>
            </w:r>
          </w:p>
        </w:tc>
        <w:tc>
          <w:tcPr>
            <w:tcW w:w="278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Социологии</w:t>
            </w:r>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2</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54,8</w:t>
            </w:r>
          </w:p>
        </w:tc>
      </w:tr>
      <w:tr w:rsidR="00890720" w:rsidRPr="001602DC" w:rsidTr="00890720">
        <w:tc>
          <w:tcPr>
            <w:tcW w:w="2093"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Нижний Новгород</w:t>
            </w:r>
          </w:p>
        </w:tc>
        <w:tc>
          <w:tcPr>
            <w:tcW w:w="278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Экономики</w:t>
            </w:r>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2</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50,8</w:t>
            </w:r>
          </w:p>
        </w:tc>
      </w:tr>
      <w:tr w:rsidR="00890720" w:rsidRPr="001602DC" w:rsidTr="00890720">
        <w:tc>
          <w:tcPr>
            <w:tcW w:w="9322" w:type="dxa"/>
            <w:gridSpan w:val="5"/>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b/>
                <w:i/>
                <w:sz w:val="24"/>
                <w:szCs w:val="24"/>
              </w:rPr>
              <w:t>Более 40% студентов</w:t>
            </w:r>
          </w:p>
        </w:tc>
      </w:tr>
      <w:tr w:rsidR="00890720" w:rsidRPr="001602DC" w:rsidTr="00890720">
        <w:tc>
          <w:tcPr>
            <w:tcW w:w="2093" w:type="dxa"/>
            <w:vMerge w:val="restart"/>
          </w:tcPr>
          <w:p w:rsidR="00890720" w:rsidRPr="001602DC" w:rsidRDefault="00890720" w:rsidP="00890720">
            <w:pPr>
              <w:spacing w:line="276" w:lineRule="auto"/>
              <w:jc w:val="center"/>
              <w:rPr>
                <w:rFonts w:asciiTheme="majorHAnsi" w:hAnsiTheme="majorHAnsi"/>
                <w:sz w:val="24"/>
                <w:szCs w:val="24"/>
              </w:rPr>
            </w:pPr>
          </w:p>
          <w:p w:rsidR="00890720" w:rsidRPr="001602DC" w:rsidRDefault="00890720" w:rsidP="00890720">
            <w:pPr>
              <w:spacing w:line="276" w:lineRule="auto"/>
              <w:jc w:val="center"/>
              <w:rPr>
                <w:rFonts w:asciiTheme="majorHAnsi" w:hAnsiTheme="majorHAnsi"/>
                <w:sz w:val="24"/>
                <w:szCs w:val="24"/>
              </w:rPr>
            </w:pPr>
          </w:p>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Москва</w:t>
            </w:r>
          </w:p>
          <w:p w:rsidR="00890720" w:rsidRPr="001602DC" w:rsidRDefault="00890720" w:rsidP="00890720">
            <w:pPr>
              <w:spacing w:line="276" w:lineRule="auto"/>
              <w:jc w:val="center"/>
              <w:rPr>
                <w:rFonts w:asciiTheme="majorHAnsi" w:hAnsiTheme="majorHAnsi"/>
                <w:sz w:val="24"/>
                <w:szCs w:val="24"/>
              </w:rPr>
            </w:pPr>
          </w:p>
        </w:tc>
        <w:tc>
          <w:tcPr>
            <w:tcW w:w="278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Институт образования</w:t>
            </w:r>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2</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42,3</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78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Психологии</w:t>
            </w:r>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2</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49,2</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78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Философии</w:t>
            </w:r>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2</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46,7</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78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Культурологии</w:t>
            </w:r>
          </w:p>
        </w:tc>
        <w:tc>
          <w:tcPr>
            <w:tcW w:w="1471" w:type="dxa"/>
          </w:tcPr>
          <w:p w:rsidR="00890720" w:rsidRPr="001602DC" w:rsidRDefault="00890720" w:rsidP="00890720">
            <w:pPr>
              <w:spacing w:line="276" w:lineRule="auto"/>
              <w:jc w:val="both"/>
              <w:rPr>
                <w:rFonts w:asciiTheme="majorHAnsi" w:hAnsiTheme="majorHAnsi"/>
                <w:sz w:val="24"/>
                <w:szCs w:val="24"/>
              </w:rPr>
            </w:pPr>
            <w:proofErr w:type="spellStart"/>
            <w:r w:rsidRPr="001602DC">
              <w:rPr>
                <w:rFonts w:asciiTheme="majorHAnsi" w:hAnsiTheme="majorHAnsi"/>
                <w:sz w:val="24"/>
                <w:szCs w:val="24"/>
              </w:rPr>
              <w:t>бакалавриат</w:t>
            </w:r>
            <w:proofErr w:type="spellEnd"/>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3</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48,8</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78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Дизайна</w:t>
            </w:r>
          </w:p>
        </w:tc>
        <w:tc>
          <w:tcPr>
            <w:tcW w:w="1471" w:type="dxa"/>
          </w:tcPr>
          <w:p w:rsidR="00890720" w:rsidRPr="001602DC" w:rsidRDefault="00890720" w:rsidP="00890720">
            <w:pPr>
              <w:spacing w:line="276" w:lineRule="auto"/>
              <w:jc w:val="both"/>
              <w:rPr>
                <w:rFonts w:asciiTheme="majorHAnsi" w:hAnsiTheme="majorHAnsi"/>
                <w:sz w:val="24"/>
                <w:szCs w:val="24"/>
              </w:rPr>
            </w:pPr>
            <w:proofErr w:type="spellStart"/>
            <w:r w:rsidRPr="001602DC">
              <w:rPr>
                <w:rFonts w:asciiTheme="majorHAnsi" w:hAnsiTheme="majorHAnsi"/>
                <w:sz w:val="24"/>
                <w:szCs w:val="24"/>
              </w:rPr>
              <w:t>бакалавриат</w:t>
            </w:r>
            <w:proofErr w:type="spellEnd"/>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5</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44,0</w:t>
            </w:r>
          </w:p>
        </w:tc>
      </w:tr>
      <w:tr w:rsidR="00890720" w:rsidRPr="001602DC" w:rsidTr="00890720">
        <w:tc>
          <w:tcPr>
            <w:tcW w:w="2093"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Нижний Новгород</w:t>
            </w:r>
          </w:p>
        </w:tc>
        <w:tc>
          <w:tcPr>
            <w:tcW w:w="278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Права</w:t>
            </w:r>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2</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46,1</w:t>
            </w:r>
          </w:p>
        </w:tc>
      </w:tr>
      <w:tr w:rsidR="00890720" w:rsidRPr="001602DC" w:rsidTr="00890720">
        <w:tc>
          <w:tcPr>
            <w:tcW w:w="9322" w:type="dxa"/>
            <w:gridSpan w:val="5"/>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b/>
                <w:i/>
                <w:sz w:val="24"/>
                <w:szCs w:val="24"/>
              </w:rPr>
              <w:t>Более 30% студентов</w:t>
            </w:r>
          </w:p>
        </w:tc>
      </w:tr>
      <w:tr w:rsidR="00890720" w:rsidRPr="001602DC" w:rsidTr="00890720">
        <w:tc>
          <w:tcPr>
            <w:tcW w:w="2093" w:type="dxa"/>
            <w:vMerge w:val="restart"/>
          </w:tcPr>
          <w:p w:rsidR="00890720" w:rsidRPr="001602DC" w:rsidRDefault="00890720" w:rsidP="00890720">
            <w:pPr>
              <w:spacing w:line="276" w:lineRule="auto"/>
              <w:jc w:val="center"/>
              <w:rPr>
                <w:rFonts w:asciiTheme="majorHAnsi" w:hAnsiTheme="majorHAnsi"/>
                <w:sz w:val="24"/>
                <w:szCs w:val="24"/>
              </w:rPr>
            </w:pPr>
          </w:p>
          <w:p w:rsidR="00890720" w:rsidRPr="001602DC" w:rsidRDefault="00890720" w:rsidP="00890720">
            <w:pPr>
              <w:spacing w:line="276" w:lineRule="auto"/>
              <w:jc w:val="center"/>
              <w:rPr>
                <w:rFonts w:asciiTheme="majorHAnsi" w:hAnsiTheme="majorHAnsi"/>
                <w:sz w:val="24"/>
                <w:szCs w:val="24"/>
              </w:rPr>
            </w:pPr>
          </w:p>
          <w:p w:rsidR="00890720" w:rsidRPr="001602DC" w:rsidRDefault="00890720" w:rsidP="00890720">
            <w:pPr>
              <w:spacing w:line="276" w:lineRule="auto"/>
              <w:jc w:val="center"/>
              <w:rPr>
                <w:rFonts w:asciiTheme="majorHAnsi" w:hAnsiTheme="majorHAnsi"/>
                <w:sz w:val="24"/>
                <w:szCs w:val="24"/>
              </w:rPr>
            </w:pPr>
          </w:p>
          <w:p w:rsidR="00890720" w:rsidRPr="001602DC" w:rsidRDefault="00890720" w:rsidP="00890720">
            <w:pPr>
              <w:spacing w:line="276" w:lineRule="auto"/>
              <w:jc w:val="center"/>
              <w:rPr>
                <w:rFonts w:asciiTheme="majorHAnsi" w:hAnsiTheme="majorHAnsi"/>
                <w:sz w:val="24"/>
                <w:szCs w:val="24"/>
              </w:rPr>
            </w:pPr>
          </w:p>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Москва</w:t>
            </w:r>
          </w:p>
          <w:p w:rsidR="00890720" w:rsidRPr="001602DC" w:rsidRDefault="00890720" w:rsidP="00890720">
            <w:pPr>
              <w:spacing w:line="276" w:lineRule="auto"/>
              <w:jc w:val="both"/>
              <w:rPr>
                <w:rFonts w:asciiTheme="majorHAnsi" w:hAnsiTheme="majorHAnsi"/>
                <w:sz w:val="24"/>
                <w:szCs w:val="24"/>
              </w:rPr>
            </w:pPr>
          </w:p>
        </w:tc>
        <w:tc>
          <w:tcPr>
            <w:tcW w:w="2781" w:type="dxa"/>
          </w:tcPr>
          <w:p w:rsidR="00890720" w:rsidRPr="001602DC" w:rsidRDefault="00890720" w:rsidP="00890720">
            <w:pPr>
              <w:spacing w:line="276" w:lineRule="auto"/>
              <w:jc w:val="both"/>
              <w:rPr>
                <w:rFonts w:asciiTheme="majorHAnsi" w:hAnsiTheme="majorHAnsi"/>
                <w:sz w:val="24"/>
                <w:szCs w:val="24"/>
              </w:rPr>
            </w:pPr>
            <w:proofErr w:type="gramStart"/>
            <w:r w:rsidRPr="001602DC">
              <w:rPr>
                <w:rFonts w:asciiTheme="majorHAnsi" w:hAnsiTheme="majorHAnsi"/>
                <w:sz w:val="24"/>
                <w:szCs w:val="24"/>
              </w:rPr>
              <w:lastRenderedPageBreak/>
              <w:t>Бизнес-информатики</w:t>
            </w:r>
            <w:proofErr w:type="gramEnd"/>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2</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39,6</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781" w:type="dxa"/>
          </w:tcPr>
          <w:p w:rsidR="00890720" w:rsidRPr="001602DC" w:rsidRDefault="00890720" w:rsidP="00890720">
            <w:pPr>
              <w:spacing w:line="276" w:lineRule="auto"/>
              <w:jc w:val="both"/>
              <w:rPr>
                <w:rFonts w:asciiTheme="majorHAnsi" w:hAnsiTheme="majorHAnsi"/>
                <w:sz w:val="24"/>
                <w:szCs w:val="24"/>
              </w:rPr>
            </w:pPr>
            <w:proofErr w:type="spellStart"/>
            <w:r w:rsidRPr="001602DC">
              <w:rPr>
                <w:rFonts w:asciiTheme="majorHAnsi" w:hAnsiTheme="majorHAnsi"/>
                <w:sz w:val="24"/>
                <w:szCs w:val="24"/>
              </w:rPr>
              <w:t>Медиакоммуникаций</w:t>
            </w:r>
            <w:proofErr w:type="spellEnd"/>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2</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30,1</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78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Менеджмента</w:t>
            </w:r>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2</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34,7</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781" w:type="dxa"/>
          </w:tcPr>
          <w:p w:rsidR="00890720" w:rsidRPr="001602DC" w:rsidRDefault="00890720" w:rsidP="00890720">
            <w:pPr>
              <w:spacing w:line="276" w:lineRule="auto"/>
              <w:jc w:val="both"/>
              <w:rPr>
                <w:rFonts w:asciiTheme="majorHAnsi" w:hAnsiTheme="majorHAnsi"/>
                <w:sz w:val="24"/>
                <w:szCs w:val="24"/>
              </w:rPr>
            </w:pPr>
            <w:proofErr w:type="spellStart"/>
            <w:r w:rsidRPr="001602DC">
              <w:rPr>
                <w:rFonts w:asciiTheme="majorHAnsi" w:hAnsiTheme="majorHAnsi"/>
                <w:sz w:val="24"/>
                <w:szCs w:val="24"/>
              </w:rPr>
              <w:t>МЭиМП</w:t>
            </w:r>
            <w:proofErr w:type="spellEnd"/>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2</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31,4</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781" w:type="dxa"/>
            <w:vMerge w:val="restart"/>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Прикладной политологии</w:t>
            </w:r>
          </w:p>
        </w:tc>
        <w:tc>
          <w:tcPr>
            <w:tcW w:w="1471" w:type="dxa"/>
          </w:tcPr>
          <w:p w:rsidR="00890720" w:rsidRPr="001602DC" w:rsidRDefault="00890720" w:rsidP="00890720">
            <w:pPr>
              <w:spacing w:line="276" w:lineRule="auto"/>
              <w:jc w:val="both"/>
              <w:rPr>
                <w:rFonts w:asciiTheme="majorHAnsi" w:hAnsiTheme="majorHAnsi"/>
                <w:sz w:val="24"/>
                <w:szCs w:val="24"/>
              </w:rPr>
            </w:pPr>
            <w:proofErr w:type="spellStart"/>
            <w:r w:rsidRPr="001602DC">
              <w:rPr>
                <w:rFonts w:asciiTheme="majorHAnsi" w:hAnsiTheme="majorHAnsi"/>
                <w:sz w:val="24"/>
                <w:szCs w:val="24"/>
              </w:rPr>
              <w:t>бакалавриат</w:t>
            </w:r>
            <w:proofErr w:type="spellEnd"/>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4</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32,0</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781" w:type="dxa"/>
            <w:vMerge/>
          </w:tcPr>
          <w:p w:rsidR="00890720" w:rsidRPr="001602DC" w:rsidRDefault="00890720" w:rsidP="00890720">
            <w:pPr>
              <w:spacing w:line="276" w:lineRule="auto"/>
              <w:jc w:val="both"/>
              <w:rPr>
                <w:rFonts w:asciiTheme="majorHAnsi" w:hAnsiTheme="majorHAnsi"/>
                <w:sz w:val="24"/>
                <w:szCs w:val="24"/>
              </w:rPr>
            </w:pPr>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2</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39,0</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78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Философии</w:t>
            </w:r>
          </w:p>
        </w:tc>
        <w:tc>
          <w:tcPr>
            <w:tcW w:w="1471" w:type="dxa"/>
          </w:tcPr>
          <w:p w:rsidR="00890720" w:rsidRPr="001602DC" w:rsidRDefault="00890720" w:rsidP="00890720">
            <w:pPr>
              <w:spacing w:line="276" w:lineRule="auto"/>
              <w:jc w:val="both"/>
              <w:rPr>
                <w:rFonts w:asciiTheme="majorHAnsi" w:hAnsiTheme="majorHAnsi"/>
                <w:sz w:val="24"/>
                <w:szCs w:val="24"/>
              </w:rPr>
            </w:pPr>
            <w:proofErr w:type="spellStart"/>
            <w:r w:rsidRPr="001602DC">
              <w:rPr>
                <w:rFonts w:asciiTheme="majorHAnsi" w:hAnsiTheme="majorHAnsi"/>
                <w:sz w:val="24"/>
                <w:szCs w:val="24"/>
              </w:rPr>
              <w:t>бакалавриат</w:t>
            </w:r>
            <w:proofErr w:type="spellEnd"/>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4</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38,5</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78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Культурологии</w:t>
            </w:r>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1</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36,8</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78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ОСАД</w:t>
            </w:r>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2</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35,0</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781" w:type="dxa"/>
            <w:vMerge w:val="restart"/>
          </w:tcPr>
          <w:p w:rsidR="00890720" w:rsidRPr="001602DC" w:rsidRDefault="00890720" w:rsidP="00890720">
            <w:pPr>
              <w:spacing w:line="276" w:lineRule="auto"/>
              <w:jc w:val="both"/>
              <w:rPr>
                <w:rFonts w:asciiTheme="majorHAnsi" w:hAnsiTheme="majorHAnsi"/>
                <w:sz w:val="24"/>
                <w:szCs w:val="24"/>
              </w:rPr>
            </w:pPr>
          </w:p>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Дизайна</w:t>
            </w:r>
          </w:p>
        </w:tc>
        <w:tc>
          <w:tcPr>
            <w:tcW w:w="1471" w:type="dxa"/>
          </w:tcPr>
          <w:p w:rsidR="00890720" w:rsidRPr="001602DC" w:rsidRDefault="00890720" w:rsidP="00890720">
            <w:pPr>
              <w:spacing w:line="276" w:lineRule="auto"/>
              <w:jc w:val="both"/>
              <w:rPr>
                <w:rFonts w:asciiTheme="majorHAnsi" w:hAnsiTheme="majorHAnsi"/>
                <w:sz w:val="24"/>
                <w:szCs w:val="24"/>
              </w:rPr>
            </w:pPr>
            <w:proofErr w:type="spellStart"/>
            <w:r w:rsidRPr="001602DC">
              <w:rPr>
                <w:rFonts w:asciiTheme="majorHAnsi" w:hAnsiTheme="majorHAnsi"/>
                <w:sz w:val="24"/>
                <w:szCs w:val="24"/>
              </w:rPr>
              <w:t>специалитет</w:t>
            </w:r>
            <w:proofErr w:type="spellEnd"/>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4</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31,2</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781" w:type="dxa"/>
            <w:vMerge/>
          </w:tcPr>
          <w:p w:rsidR="00890720" w:rsidRPr="001602DC" w:rsidRDefault="00890720" w:rsidP="00890720">
            <w:pPr>
              <w:spacing w:line="276" w:lineRule="auto"/>
              <w:jc w:val="both"/>
              <w:rPr>
                <w:rFonts w:asciiTheme="majorHAnsi" w:hAnsiTheme="majorHAnsi"/>
                <w:sz w:val="24"/>
                <w:szCs w:val="24"/>
              </w:rPr>
            </w:pPr>
          </w:p>
        </w:tc>
        <w:tc>
          <w:tcPr>
            <w:tcW w:w="1471" w:type="dxa"/>
          </w:tcPr>
          <w:p w:rsidR="00890720" w:rsidRPr="001602DC" w:rsidRDefault="00890720" w:rsidP="00890720">
            <w:pPr>
              <w:spacing w:line="276" w:lineRule="auto"/>
              <w:jc w:val="both"/>
              <w:rPr>
                <w:rFonts w:asciiTheme="majorHAnsi" w:hAnsiTheme="majorHAnsi"/>
                <w:sz w:val="24"/>
                <w:szCs w:val="24"/>
              </w:rPr>
            </w:pPr>
            <w:proofErr w:type="spellStart"/>
            <w:r w:rsidRPr="001602DC">
              <w:rPr>
                <w:rFonts w:asciiTheme="majorHAnsi" w:hAnsiTheme="majorHAnsi"/>
                <w:sz w:val="24"/>
                <w:szCs w:val="24"/>
              </w:rPr>
              <w:t>специалитет</w:t>
            </w:r>
            <w:proofErr w:type="spellEnd"/>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6</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38,8</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781" w:type="dxa"/>
            <w:vMerge w:val="restart"/>
          </w:tcPr>
          <w:p w:rsidR="00890720" w:rsidRPr="001602DC" w:rsidRDefault="00890720" w:rsidP="00890720">
            <w:pPr>
              <w:spacing w:line="276" w:lineRule="auto"/>
              <w:jc w:val="both"/>
              <w:rPr>
                <w:rFonts w:asciiTheme="majorHAnsi" w:hAnsiTheme="majorHAnsi"/>
                <w:sz w:val="24"/>
                <w:szCs w:val="24"/>
              </w:rPr>
            </w:pPr>
          </w:p>
          <w:p w:rsidR="00890720" w:rsidRPr="001602DC" w:rsidRDefault="00890720" w:rsidP="00890720">
            <w:pPr>
              <w:spacing w:line="276" w:lineRule="auto"/>
              <w:jc w:val="both"/>
              <w:rPr>
                <w:rFonts w:asciiTheme="majorHAnsi" w:hAnsiTheme="majorHAnsi"/>
                <w:sz w:val="24"/>
                <w:szCs w:val="24"/>
              </w:rPr>
            </w:pPr>
            <w:proofErr w:type="spellStart"/>
            <w:r w:rsidRPr="001602DC">
              <w:rPr>
                <w:rFonts w:asciiTheme="majorHAnsi" w:hAnsiTheme="majorHAnsi"/>
                <w:sz w:val="24"/>
                <w:szCs w:val="24"/>
              </w:rPr>
              <w:t>ФИТиВТ</w:t>
            </w:r>
            <w:proofErr w:type="spellEnd"/>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1</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37,5</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781" w:type="dxa"/>
            <w:vMerge/>
          </w:tcPr>
          <w:p w:rsidR="00890720" w:rsidRPr="001602DC" w:rsidRDefault="00890720" w:rsidP="00890720">
            <w:pPr>
              <w:spacing w:line="276" w:lineRule="auto"/>
              <w:jc w:val="both"/>
              <w:rPr>
                <w:rFonts w:asciiTheme="majorHAnsi" w:hAnsiTheme="majorHAnsi"/>
                <w:sz w:val="24"/>
                <w:szCs w:val="24"/>
              </w:rPr>
            </w:pPr>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2</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39,9</w:t>
            </w:r>
          </w:p>
        </w:tc>
      </w:tr>
      <w:tr w:rsidR="00890720" w:rsidRPr="001602DC" w:rsidTr="00890720">
        <w:tc>
          <w:tcPr>
            <w:tcW w:w="2093"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Санкт-Петербург</w:t>
            </w:r>
          </w:p>
        </w:tc>
        <w:tc>
          <w:tcPr>
            <w:tcW w:w="278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Экономики</w:t>
            </w:r>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1</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30,9</w:t>
            </w:r>
          </w:p>
        </w:tc>
      </w:tr>
    </w:tbl>
    <w:p w:rsidR="00890720" w:rsidRDefault="00890720" w:rsidP="00890720">
      <w:pPr>
        <w:spacing w:after="200" w:line="276" w:lineRule="auto"/>
        <w:jc w:val="both"/>
      </w:pPr>
      <w:r>
        <w:t xml:space="preserve">Данные таблицы свидетельствуют о высокой успеваемости студентов магистратуры. </w:t>
      </w:r>
    </w:p>
    <w:p w:rsidR="00890720" w:rsidRPr="001602DC" w:rsidRDefault="00890720" w:rsidP="001602DC">
      <w:pPr>
        <w:spacing w:after="200" w:line="276" w:lineRule="auto"/>
        <w:jc w:val="both"/>
      </w:pPr>
      <w:r>
        <w:t>С одной стороны – это, несомненно, объясняется тем, что решения об обучении принимаются студентами осознанно, с друго</w:t>
      </w:r>
      <w:r w:rsidR="00B047BD">
        <w:t xml:space="preserve">й – возможно тем, что отметочная система при обучении в магистратуре не </w:t>
      </w:r>
      <w:proofErr w:type="gramStart"/>
      <w:r w:rsidR="00B047BD">
        <w:t>является необходимой и преподаватели перечисленных подразделений оценивают</w:t>
      </w:r>
      <w:proofErr w:type="gramEnd"/>
      <w:r w:rsidR="00B047BD">
        <w:t xml:space="preserve"> достижения студентов не столько оценками, сколько другими инструментами, не особенно уделяя внимание формальной стороне</w:t>
      </w:r>
      <w:r>
        <w:t xml:space="preserve">. </w:t>
      </w:r>
    </w:p>
    <w:p w:rsidR="00890720" w:rsidRPr="001602DC" w:rsidRDefault="00B047BD" w:rsidP="00890720">
      <w:pPr>
        <w:spacing w:line="276" w:lineRule="auto"/>
        <w:jc w:val="both"/>
        <w:rPr>
          <w:b/>
          <w:i/>
        </w:rPr>
      </w:pPr>
      <w:r>
        <w:rPr>
          <w:b/>
          <w:i/>
        </w:rPr>
        <w:t>Студенты и</w:t>
      </w:r>
      <w:r w:rsidR="00890720" w:rsidRPr="004B3EC9">
        <w:rPr>
          <w:b/>
          <w:i/>
        </w:rPr>
        <w:t xml:space="preserve">мели академические задолженности (в </w:t>
      </w:r>
      <w:proofErr w:type="spellStart"/>
      <w:r w:rsidR="00890720" w:rsidRPr="004B3EC9">
        <w:rPr>
          <w:b/>
          <w:i/>
        </w:rPr>
        <w:t>т.ч</w:t>
      </w:r>
      <w:proofErr w:type="spellEnd"/>
      <w:r w:rsidR="00890720" w:rsidRPr="004B3EC9">
        <w:rPr>
          <w:b/>
          <w:i/>
        </w:rPr>
        <w:t>. не явились)</w:t>
      </w:r>
      <w:r w:rsidR="00890720">
        <w:rPr>
          <w:b/>
          <w:i/>
        </w:rPr>
        <w:t>:</w:t>
      </w:r>
    </w:p>
    <w:tbl>
      <w:tblPr>
        <w:tblStyle w:val="aff9"/>
        <w:tblW w:w="0" w:type="auto"/>
        <w:tblLook w:val="04A0" w:firstRow="1" w:lastRow="0" w:firstColumn="1" w:lastColumn="0" w:noHBand="0" w:noVBand="1"/>
      </w:tblPr>
      <w:tblGrid>
        <w:gridCol w:w="2093"/>
        <w:gridCol w:w="2835"/>
        <w:gridCol w:w="1585"/>
        <w:gridCol w:w="993"/>
        <w:gridCol w:w="1984"/>
      </w:tblGrid>
      <w:tr w:rsidR="00890720" w:rsidRPr="001602DC" w:rsidTr="00890720">
        <w:tc>
          <w:tcPr>
            <w:tcW w:w="2093" w:type="dxa"/>
          </w:tcPr>
          <w:p w:rsidR="00890720" w:rsidRPr="001602DC" w:rsidRDefault="00890720" w:rsidP="00890720">
            <w:pPr>
              <w:spacing w:line="276" w:lineRule="auto"/>
              <w:jc w:val="center"/>
              <w:rPr>
                <w:rFonts w:asciiTheme="majorHAnsi" w:hAnsiTheme="majorHAnsi"/>
                <w:b/>
                <w:sz w:val="24"/>
                <w:szCs w:val="24"/>
              </w:rPr>
            </w:pPr>
            <w:r w:rsidRPr="001602DC">
              <w:rPr>
                <w:rFonts w:asciiTheme="majorHAnsi" w:hAnsiTheme="majorHAnsi"/>
                <w:b/>
                <w:sz w:val="24"/>
                <w:szCs w:val="24"/>
              </w:rPr>
              <w:t>Кампус</w:t>
            </w:r>
          </w:p>
        </w:tc>
        <w:tc>
          <w:tcPr>
            <w:tcW w:w="2835" w:type="dxa"/>
          </w:tcPr>
          <w:p w:rsidR="00890720" w:rsidRPr="001602DC" w:rsidRDefault="00890720" w:rsidP="00890720">
            <w:pPr>
              <w:spacing w:line="276" w:lineRule="auto"/>
              <w:jc w:val="center"/>
              <w:rPr>
                <w:rFonts w:asciiTheme="majorHAnsi" w:hAnsiTheme="majorHAnsi"/>
                <w:b/>
                <w:sz w:val="24"/>
                <w:szCs w:val="24"/>
              </w:rPr>
            </w:pPr>
            <w:r w:rsidRPr="001602DC">
              <w:rPr>
                <w:rFonts w:asciiTheme="majorHAnsi" w:hAnsiTheme="majorHAnsi"/>
                <w:b/>
                <w:sz w:val="24"/>
                <w:szCs w:val="24"/>
              </w:rPr>
              <w:t>Факультет</w:t>
            </w:r>
          </w:p>
        </w:tc>
        <w:tc>
          <w:tcPr>
            <w:tcW w:w="1471" w:type="dxa"/>
          </w:tcPr>
          <w:p w:rsidR="00890720" w:rsidRPr="001602DC" w:rsidRDefault="00890720" w:rsidP="00890720">
            <w:pPr>
              <w:spacing w:line="276" w:lineRule="auto"/>
              <w:jc w:val="center"/>
              <w:rPr>
                <w:rFonts w:asciiTheme="majorHAnsi" w:hAnsiTheme="majorHAnsi"/>
                <w:b/>
                <w:sz w:val="24"/>
                <w:szCs w:val="24"/>
              </w:rPr>
            </w:pPr>
            <w:r w:rsidRPr="001602DC">
              <w:rPr>
                <w:rFonts w:asciiTheme="majorHAnsi" w:hAnsiTheme="majorHAnsi"/>
                <w:b/>
                <w:sz w:val="24"/>
                <w:szCs w:val="24"/>
              </w:rPr>
              <w:t>Уровень</w:t>
            </w:r>
          </w:p>
        </w:tc>
        <w:tc>
          <w:tcPr>
            <w:tcW w:w="993" w:type="dxa"/>
          </w:tcPr>
          <w:p w:rsidR="00890720" w:rsidRPr="001602DC" w:rsidRDefault="00890720" w:rsidP="00890720">
            <w:pPr>
              <w:spacing w:line="276" w:lineRule="auto"/>
              <w:jc w:val="center"/>
              <w:rPr>
                <w:rFonts w:asciiTheme="majorHAnsi" w:hAnsiTheme="majorHAnsi"/>
                <w:b/>
                <w:sz w:val="24"/>
                <w:szCs w:val="24"/>
              </w:rPr>
            </w:pPr>
            <w:r w:rsidRPr="001602DC">
              <w:rPr>
                <w:rFonts w:asciiTheme="majorHAnsi" w:hAnsiTheme="majorHAnsi"/>
                <w:b/>
                <w:sz w:val="24"/>
                <w:szCs w:val="24"/>
              </w:rPr>
              <w:t>Курс</w:t>
            </w:r>
          </w:p>
          <w:p w:rsidR="00890720" w:rsidRPr="001602DC" w:rsidRDefault="00890720" w:rsidP="00890720">
            <w:pPr>
              <w:spacing w:line="276" w:lineRule="auto"/>
              <w:jc w:val="center"/>
              <w:rPr>
                <w:rFonts w:asciiTheme="majorHAnsi" w:hAnsiTheme="majorHAnsi"/>
                <w:b/>
                <w:sz w:val="24"/>
                <w:szCs w:val="24"/>
              </w:rPr>
            </w:pPr>
          </w:p>
        </w:tc>
        <w:tc>
          <w:tcPr>
            <w:tcW w:w="1984" w:type="dxa"/>
          </w:tcPr>
          <w:p w:rsidR="00890720" w:rsidRPr="001602DC" w:rsidRDefault="00890720" w:rsidP="00890720">
            <w:pPr>
              <w:spacing w:line="276" w:lineRule="auto"/>
              <w:jc w:val="center"/>
              <w:rPr>
                <w:rFonts w:asciiTheme="majorHAnsi" w:hAnsiTheme="majorHAnsi"/>
                <w:b/>
                <w:sz w:val="24"/>
                <w:szCs w:val="24"/>
              </w:rPr>
            </w:pPr>
            <w:r w:rsidRPr="001602DC">
              <w:rPr>
                <w:rFonts w:asciiTheme="majorHAnsi" w:hAnsiTheme="majorHAnsi"/>
                <w:b/>
                <w:sz w:val="24"/>
                <w:szCs w:val="24"/>
              </w:rPr>
              <w:t>% от общего числа студентов</w:t>
            </w:r>
          </w:p>
        </w:tc>
      </w:tr>
      <w:tr w:rsidR="00890720" w:rsidRPr="001602DC" w:rsidTr="00890720">
        <w:tc>
          <w:tcPr>
            <w:tcW w:w="9376" w:type="dxa"/>
            <w:gridSpan w:val="5"/>
          </w:tcPr>
          <w:p w:rsidR="00890720" w:rsidRPr="001602DC" w:rsidRDefault="00890720" w:rsidP="00890720">
            <w:pPr>
              <w:spacing w:line="276" w:lineRule="auto"/>
              <w:jc w:val="center"/>
              <w:rPr>
                <w:rFonts w:asciiTheme="majorHAnsi" w:hAnsiTheme="majorHAnsi"/>
                <w:i/>
                <w:sz w:val="24"/>
                <w:szCs w:val="24"/>
              </w:rPr>
            </w:pPr>
            <w:r w:rsidRPr="001602DC">
              <w:rPr>
                <w:rFonts w:asciiTheme="majorHAnsi" w:hAnsiTheme="majorHAnsi"/>
                <w:b/>
                <w:i/>
                <w:sz w:val="24"/>
                <w:szCs w:val="24"/>
              </w:rPr>
              <w:t>Более 30% студентов</w:t>
            </w:r>
          </w:p>
        </w:tc>
      </w:tr>
      <w:tr w:rsidR="00890720" w:rsidRPr="001602DC" w:rsidTr="00890720">
        <w:trPr>
          <w:trHeight w:val="289"/>
        </w:trPr>
        <w:tc>
          <w:tcPr>
            <w:tcW w:w="2093" w:type="dxa"/>
          </w:tcPr>
          <w:p w:rsidR="00890720" w:rsidRPr="001602DC" w:rsidRDefault="00890720" w:rsidP="00890720">
            <w:pPr>
              <w:spacing w:line="276" w:lineRule="auto"/>
              <w:jc w:val="center"/>
              <w:rPr>
                <w:rFonts w:asciiTheme="majorHAnsi" w:hAnsiTheme="majorHAnsi"/>
                <w:i/>
                <w:sz w:val="24"/>
                <w:szCs w:val="24"/>
              </w:rPr>
            </w:pPr>
            <w:r w:rsidRPr="001602DC">
              <w:rPr>
                <w:rFonts w:asciiTheme="majorHAnsi" w:hAnsiTheme="majorHAnsi"/>
                <w:sz w:val="24"/>
                <w:szCs w:val="24"/>
              </w:rPr>
              <w:t>Москва</w:t>
            </w:r>
          </w:p>
        </w:tc>
        <w:tc>
          <w:tcPr>
            <w:tcW w:w="2835" w:type="dxa"/>
          </w:tcPr>
          <w:p w:rsidR="00890720" w:rsidRPr="001602DC" w:rsidRDefault="00890720" w:rsidP="00890720">
            <w:pPr>
              <w:spacing w:line="276" w:lineRule="auto"/>
              <w:jc w:val="both"/>
              <w:rPr>
                <w:rFonts w:asciiTheme="majorHAnsi" w:hAnsiTheme="majorHAnsi"/>
                <w:i/>
                <w:sz w:val="24"/>
                <w:szCs w:val="24"/>
              </w:rPr>
            </w:pPr>
            <w:r w:rsidRPr="001602DC">
              <w:rPr>
                <w:rFonts w:asciiTheme="majorHAnsi" w:hAnsiTheme="majorHAnsi"/>
                <w:sz w:val="24"/>
                <w:szCs w:val="24"/>
              </w:rPr>
              <w:t>Дизайна</w:t>
            </w:r>
          </w:p>
        </w:tc>
        <w:tc>
          <w:tcPr>
            <w:tcW w:w="1471" w:type="dxa"/>
          </w:tcPr>
          <w:p w:rsidR="00890720" w:rsidRPr="001602DC" w:rsidRDefault="00890720" w:rsidP="00890720">
            <w:pPr>
              <w:spacing w:line="276" w:lineRule="auto"/>
              <w:jc w:val="both"/>
              <w:rPr>
                <w:rFonts w:asciiTheme="majorHAnsi" w:hAnsiTheme="majorHAnsi"/>
                <w:i/>
                <w:sz w:val="24"/>
                <w:szCs w:val="24"/>
              </w:rPr>
            </w:pPr>
            <w:proofErr w:type="spellStart"/>
            <w:r w:rsidRPr="001602DC">
              <w:rPr>
                <w:rFonts w:asciiTheme="majorHAnsi" w:hAnsiTheme="majorHAnsi"/>
                <w:sz w:val="24"/>
                <w:szCs w:val="24"/>
              </w:rPr>
              <w:t>бакалавриат</w:t>
            </w:r>
            <w:proofErr w:type="spellEnd"/>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3</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39,0</w:t>
            </w:r>
          </w:p>
        </w:tc>
      </w:tr>
      <w:tr w:rsidR="00890720" w:rsidRPr="001602DC" w:rsidTr="00890720">
        <w:tc>
          <w:tcPr>
            <w:tcW w:w="9376" w:type="dxa"/>
            <w:gridSpan w:val="5"/>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b/>
                <w:i/>
                <w:sz w:val="24"/>
                <w:szCs w:val="24"/>
              </w:rPr>
              <w:t>Более 15% студентов</w:t>
            </w:r>
          </w:p>
        </w:tc>
      </w:tr>
      <w:tr w:rsidR="00890720" w:rsidRPr="001602DC" w:rsidTr="00890720">
        <w:tc>
          <w:tcPr>
            <w:tcW w:w="2093" w:type="dxa"/>
            <w:vMerge w:val="restart"/>
          </w:tcPr>
          <w:p w:rsidR="00890720" w:rsidRPr="001602DC" w:rsidRDefault="00890720" w:rsidP="00890720">
            <w:pPr>
              <w:spacing w:line="276" w:lineRule="auto"/>
              <w:jc w:val="center"/>
              <w:rPr>
                <w:rFonts w:asciiTheme="majorHAnsi" w:hAnsiTheme="majorHAnsi"/>
                <w:sz w:val="24"/>
                <w:szCs w:val="24"/>
              </w:rPr>
            </w:pPr>
          </w:p>
          <w:p w:rsidR="00890720" w:rsidRPr="001602DC" w:rsidRDefault="00890720" w:rsidP="00890720">
            <w:pPr>
              <w:spacing w:line="276" w:lineRule="auto"/>
              <w:jc w:val="center"/>
              <w:rPr>
                <w:rFonts w:asciiTheme="majorHAnsi" w:hAnsiTheme="majorHAnsi"/>
                <w:sz w:val="24"/>
                <w:szCs w:val="24"/>
              </w:rPr>
            </w:pPr>
          </w:p>
          <w:p w:rsidR="00890720" w:rsidRPr="001602DC" w:rsidRDefault="00890720" w:rsidP="00890720">
            <w:pPr>
              <w:spacing w:line="276" w:lineRule="auto"/>
              <w:jc w:val="center"/>
              <w:rPr>
                <w:rFonts w:asciiTheme="majorHAnsi" w:hAnsiTheme="majorHAnsi"/>
                <w:sz w:val="24"/>
                <w:szCs w:val="24"/>
              </w:rPr>
            </w:pPr>
          </w:p>
          <w:p w:rsidR="00890720" w:rsidRPr="001602DC" w:rsidRDefault="00890720" w:rsidP="00890720">
            <w:pPr>
              <w:spacing w:line="276" w:lineRule="auto"/>
              <w:jc w:val="center"/>
              <w:rPr>
                <w:rFonts w:asciiTheme="majorHAnsi" w:hAnsiTheme="majorHAnsi"/>
                <w:sz w:val="24"/>
                <w:szCs w:val="24"/>
              </w:rPr>
            </w:pPr>
          </w:p>
          <w:p w:rsidR="00890720" w:rsidRPr="001602DC" w:rsidRDefault="00890720" w:rsidP="00890720">
            <w:pPr>
              <w:spacing w:line="276" w:lineRule="auto"/>
              <w:jc w:val="center"/>
              <w:rPr>
                <w:rFonts w:asciiTheme="majorHAnsi" w:hAnsiTheme="majorHAnsi"/>
                <w:sz w:val="24"/>
                <w:szCs w:val="24"/>
              </w:rPr>
            </w:pPr>
          </w:p>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Москва</w:t>
            </w:r>
          </w:p>
        </w:tc>
        <w:tc>
          <w:tcPr>
            <w:tcW w:w="2835"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МИЭФ</w:t>
            </w:r>
          </w:p>
        </w:tc>
        <w:tc>
          <w:tcPr>
            <w:tcW w:w="1471" w:type="dxa"/>
          </w:tcPr>
          <w:p w:rsidR="00890720" w:rsidRPr="001602DC" w:rsidRDefault="00890720" w:rsidP="00890720">
            <w:pPr>
              <w:spacing w:line="276" w:lineRule="auto"/>
              <w:jc w:val="both"/>
              <w:rPr>
                <w:rFonts w:asciiTheme="majorHAnsi" w:hAnsiTheme="majorHAnsi"/>
                <w:sz w:val="24"/>
                <w:szCs w:val="24"/>
              </w:rPr>
            </w:pPr>
            <w:proofErr w:type="spellStart"/>
            <w:r w:rsidRPr="001602DC">
              <w:rPr>
                <w:rFonts w:asciiTheme="majorHAnsi" w:hAnsiTheme="majorHAnsi"/>
                <w:sz w:val="24"/>
                <w:szCs w:val="24"/>
              </w:rPr>
              <w:t>бакалавриат</w:t>
            </w:r>
            <w:proofErr w:type="spellEnd"/>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2</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23,1</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835"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Институт образования</w:t>
            </w:r>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1</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25,2</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835"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Каф</w:t>
            </w:r>
            <w:proofErr w:type="gramStart"/>
            <w:r w:rsidRPr="001602DC">
              <w:rPr>
                <w:rFonts w:asciiTheme="majorHAnsi" w:hAnsiTheme="majorHAnsi"/>
                <w:sz w:val="24"/>
                <w:szCs w:val="24"/>
              </w:rPr>
              <w:t>.</w:t>
            </w:r>
            <w:proofErr w:type="gramEnd"/>
            <w:r w:rsidRPr="001602DC">
              <w:rPr>
                <w:rFonts w:asciiTheme="majorHAnsi" w:hAnsiTheme="majorHAnsi"/>
                <w:sz w:val="24"/>
                <w:szCs w:val="24"/>
              </w:rPr>
              <w:t xml:space="preserve"> </w:t>
            </w:r>
            <w:proofErr w:type="gramStart"/>
            <w:r w:rsidRPr="001602DC">
              <w:rPr>
                <w:rFonts w:asciiTheme="majorHAnsi" w:hAnsiTheme="majorHAnsi"/>
                <w:sz w:val="24"/>
                <w:szCs w:val="24"/>
              </w:rPr>
              <w:t>п</w:t>
            </w:r>
            <w:proofErr w:type="gramEnd"/>
            <w:r w:rsidRPr="001602DC">
              <w:rPr>
                <w:rFonts w:asciiTheme="majorHAnsi" w:hAnsiTheme="majorHAnsi"/>
                <w:sz w:val="24"/>
                <w:szCs w:val="24"/>
              </w:rPr>
              <w:t>убличной политики</w:t>
            </w:r>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2</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16,5</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835"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 xml:space="preserve">БИ отд.  </w:t>
            </w:r>
            <w:proofErr w:type="spellStart"/>
            <w:r w:rsidRPr="001602DC">
              <w:rPr>
                <w:rFonts w:asciiTheme="majorHAnsi" w:hAnsiTheme="majorHAnsi"/>
                <w:sz w:val="24"/>
                <w:szCs w:val="24"/>
              </w:rPr>
              <w:t>ПМиИ</w:t>
            </w:r>
            <w:proofErr w:type="spellEnd"/>
          </w:p>
        </w:tc>
        <w:tc>
          <w:tcPr>
            <w:tcW w:w="1471" w:type="dxa"/>
          </w:tcPr>
          <w:p w:rsidR="00890720" w:rsidRPr="001602DC" w:rsidRDefault="00890720" w:rsidP="00890720">
            <w:pPr>
              <w:spacing w:line="276" w:lineRule="auto"/>
              <w:jc w:val="both"/>
              <w:rPr>
                <w:rFonts w:asciiTheme="majorHAnsi" w:hAnsiTheme="majorHAnsi"/>
                <w:sz w:val="24"/>
                <w:szCs w:val="24"/>
              </w:rPr>
            </w:pPr>
            <w:proofErr w:type="spellStart"/>
            <w:r w:rsidRPr="001602DC">
              <w:rPr>
                <w:rFonts w:asciiTheme="majorHAnsi" w:hAnsiTheme="majorHAnsi"/>
                <w:sz w:val="24"/>
                <w:szCs w:val="24"/>
              </w:rPr>
              <w:t>бакалавриат</w:t>
            </w:r>
            <w:proofErr w:type="spellEnd"/>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4</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18,7</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835"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БИ отд.  ПИ</w:t>
            </w:r>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2</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16,0</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835"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Истории</w:t>
            </w:r>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1</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21,2</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835"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Менеджмента</w:t>
            </w:r>
          </w:p>
        </w:tc>
        <w:tc>
          <w:tcPr>
            <w:tcW w:w="1471" w:type="dxa"/>
          </w:tcPr>
          <w:p w:rsidR="00890720" w:rsidRPr="001602DC" w:rsidRDefault="00890720" w:rsidP="00890720">
            <w:pPr>
              <w:spacing w:line="276" w:lineRule="auto"/>
              <w:jc w:val="both"/>
              <w:rPr>
                <w:rFonts w:asciiTheme="majorHAnsi" w:hAnsiTheme="majorHAnsi"/>
                <w:sz w:val="24"/>
                <w:szCs w:val="24"/>
              </w:rPr>
            </w:pPr>
            <w:proofErr w:type="spellStart"/>
            <w:r w:rsidRPr="001602DC">
              <w:rPr>
                <w:rFonts w:asciiTheme="majorHAnsi" w:hAnsiTheme="majorHAnsi"/>
                <w:sz w:val="24"/>
                <w:szCs w:val="24"/>
              </w:rPr>
              <w:t>бакалавриат</w:t>
            </w:r>
            <w:proofErr w:type="spellEnd"/>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1</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16,9</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835"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Права</w:t>
            </w:r>
          </w:p>
        </w:tc>
        <w:tc>
          <w:tcPr>
            <w:tcW w:w="1471" w:type="dxa"/>
          </w:tcPr>
          <w:p w:rsidR="00890720" w:rsidRPr="001602DC" w:rsidRDefault="00890720" w:rsidP="00890720">
            <w:pPr>
              <w:spacing w:line="276" w:lineRule="auto"/>
              <w:jc w:val="both"/>
              <w:rPr>
                <w:rFonts w:asciiTheme="majorHAnsi" w:hAnsiTheme="majorHAnsi"/>
                <w:i/>
                <w:sz w:val="24"/>
                <w:szCs w:val="24"/>
              </w:rPr>
            </w:pPr>
            <w:proofErr w:type="spellStart"/>
            <w:r w:rsidRPr="001602DC">
              <w:rPr>
                <w:rFonts w:asciiTheme="majorHAnsi" w:hAnsiTheme="majorHAnsi"/>
                <w:sz w:val="24"/>
                <w:szCs w:val="24"/>
              </w:rPr>
              <w:t>бакалавриат</w:t>
            </w:r>
            <w:proofErr w:type="spellEnd"/>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3</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17,1</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835"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Дизайна</w:t>
            </w:r>
          </w:p>
        </w:tc>
        <w:tc>
          <w:tcPr>
            <w:tcW w:w="1471" w:type="dxa"/>
          </w:tcPr>
          <w:p w:rsidR="00890720" w:rsidRPr="001602DC" w:rsidRDefault="00890720" w:rsidP="00890720">
            <w:pPr>
              <w:spacing w:line="276" w:lineRule="auto"/>
              <w:jc w:val="both"/>
              <w:rPr>
                <w:rFonts w:asciiTheme="majorHAnsi" w:hAnsiTheme="majorHAnsi"/>
                <w:sz w:val="24"/>
                <w:szCs w:val="24"/>
              </w:rPr>
            </w:pPr>
            <w:proofErr w:type="spellStart"/>
            <w:r w:rsidRPr="001602DC">
              <w:rPr>
                <w:rFonts w:asciiTheme="majorHAnsi" w:hAnsiTheme="majorHAnsi"/>
                <w:sz w:val="24"/>
                <w:szCs w:val="24"/>
              </w:rPr>
              <w:t>бакалавриат</w:t>
            </w:r>
            <w:proofErr w:type="spellEnd"/>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4</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18,5</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835" w:type="dxa"/>
          </w:tcPr>
          <w:p w:rsidR="00890720" w:rsidRPr="001602DC" w:rsidRDefault="00890720" w:rsidP="00890720">
            <w:pPr>
              <w:spacing w:line="276" w:lineRule="auto"/>
              <w:jc w:val="both"/>
              <w:rPr>
                <w:rFonts w:asciiTheme="majorHAnsi" w:hAnsiTheme="majorHAnsi"/>
                <w:sz w:val="24"/>
                <w:szCs w:val="24"/>
              </w:rPr>
            </w:pPr>
            <w:proofErr w:type="spellStart"/>
            <w:r w:rsidRPr="001602DC">
              <w:rPr>
                <w:rFonts w:asciiTheme="majorHAnsi" w:hAnsiTheme="majorHAnsi"/>
                <w:sz w:val="24"/>
                <w:szCs w:val="24"/>
              </w:rPr>
              <w:t>ФИТиВТ</w:t>
            </w:r>
            <w:proofErr w:type="spellEnd"/>
          </w:p>
        </w:tc>
        <w:tc>
          <w:tcPr>
            <w:tcW w:w="1471" w:type="dxa"/>
          </w:tcPr>
          <w:p w:rsidR="00890720" w:rsidRPr="001602DC" w:rsidRDefault="00890720" w:rsidP="00890720">
            <w:pPr>
              <w:spacing w:line="276" w:lineRule="auto"/>
              <w:jc w:val="both"/>
              <w:rPr>
                <w:rFonts w:asciiTheme="majorHAnsi" w:hAnsiTheme="majorHAnsi"/>
                <w:sz w:val="24"/>
                <w:szCs w:val="24"/>
              </w:rPr>
            </w:pPr>
            <w:proofErr w:type="spellStart"/>
            <w:r w:rsidRPr="001602DC">
              <w:rPr>
                <w:rFonts w:asciiTheme="majorHAnsi" w:hAnsiTheme="majorHAnsi"/>
                <w:sz w:val="24"/>
                <w:szCs w:val="24"/>
              </w:rPr>
              <w:t>специалитет</w:t>
            </w:r>
            <w:proofErr w:type="spellEnd"/>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4</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16,6</w:t>
            </w:r>
          </w:p>
        </w:tc>
      </w:tr>
      <w:tr w:rsidR="00890720" w:rsidRPr="001602DC" w:rsidTr="00890720">
        <w:tc>
          <w:tcPr>
            <w:tcW w:w="2093" w:type="dxa"/>
            <w:vMerge w:val="restart"/>
          </w:tcPr>
          <w:p w:rsidR="00890720" w:rsidRPr="001602DC" w:rsidRDefault="00890720" w:rsidP="00890720">
            <w:pPr>
              <w:spacing w:line="276" w:lineRule="auto"/>
              <w:jc w:val="both"/>
              <w:rPr>
                <w:rFonts w:asciiTheme="majorHAnsi" w:hAnsiTheme="majorHAnsi"/>
                <w:sz w:val="24"/>
                <w:szCs w:val="24"/>
              </w:rPr>
            </w:pPr>
          </w:p>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Санкт-Петербург</w:t>
            </w:r>
          </w:p>
        </w:tc>
        <w:tc>
          <w:tcPr>
            <w:tcW w:w="2835"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 xml:space="preserve">Отд. </w:t>
            </w:r>
            <w:proofErr w:type="spellStart"/>
            <w:r w:rsidRPr="001602DC">
              <w:rPr>
                <w:rFonts w:asciiTheme="majorHAnsi" w:hAnsiTheme="majorHAnsi"/>
                <w:sz w:val="24"/>
                <w:szCs w:val="24"/>
              </w:rPr>
              <w:t>Прикл</w:t>
            </w:r>
            <w:proofErr w:type="spellEnd"/>
            <w:r w:rsidRPr="001602DC">
              <w:rPr>
                <w:rFonts w:asciiTheme="majorHAnsi" w:hAnsiTheme="majorHAnsi"/>
                <w:sz w:val="24"/>
                <w:szCs w:val="24"/>
              </w:rPr>
              <w:t>. политологии</w:t>
            </w:r>
          </w:p>
        </w:tc>
        <w:tc>
          <w:tcPr>
            <w:tcW w:w="1471"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магистратура</w:t>
            </w:r>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1</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21,9</w:t>
            </w:r>
          </w:p>
        </w:tc>
      </w:tr>
      <w:tr w:rsidR="00890720" w:rsidRPr="001602DC" w:rsidTr="00890720">
        <w:tc>
          <w:tcPr>
            <w:tcW w:w="2093" w:type="dxa"/>
            <w:vMerge/>
          </w:tcPr>
          <w:p w:rsidR="00890720" w:rsidRPr="001602DC" w:rsidRDefault="00890720" w:rsidP="00890720">
            <w:pPr>
              <w:spacing w:line="276" w:lineRule="auto"/>
              <w:jc w:val="both"/>
              <w:rPr>
                <w:rFonts w:asciiTheme="majorHAnsi" w:hAnsiTheme="majorHAnsi"/>
                <w:sz w:val="24"/>
                <w:szCs w:val="24"/>
              </w:rPr>
            </w:pPr>
          </w:p>
        </w:tc>
        <w:tc>
          <w:tcPr>
            <w:tcW w:w="2835" w:type="dxa"/>
          </w:tcPr>
          <w:p w:rsidR="00890720" w:rsidRPr="001602DC" w:rsidRDefault="00890720" w:rsidP="00890720">
            <w:pPr>
              <w:spacing w:line="276" w:lineRule="auto"/>
              <w:jc w:val="both"/>
              <w:rPr>
                <w:rFonts w:asciiTheme="majorHAnsi" w:hAnsiTheme="majorHAnsi"/>
                <w:sz w:val="24"/>
                <w:szCs w:val="24"/>
              </w:rPr>
            </w:pPr>
            <w:r w:rsidRPr="001602DC">
              <w:rPr>
                <w:rFonts w:asciiTheme="majorHAnsi" w:hAnsiTheme="majorHAnsi"/>
                <w:sz w:val="24"/>
                <w:szCs w:val="24"/>
              </w:rPr>
              <w:t>Юридический</w:t>
            </w:r>
          </w:p>
        </w:tc>
        <w:tc>
          <w:tcPr>
            <w:tcW w:w="1471" w:type="dxa"/>
          </w:tcPr>
          <w:p w:rsidR="00890720" w:rsidRPr="001602DC" w:rsidRDefault="00890720" w:rsidP="00890720">
            <w:pPr>
              <w:spacing w:line="276" w:lineRule="auto"/>
              <w:jc w:val="both"/>
              <w:rPr>
                <w:rFonts w:asciiTheme="majorHAnsi" w:hAnsiTheme="majorHAnsi"/>
                <w:sz w:val="24"/>
                <w:szCs w:val="24"/>
              </w:rPr>
            </w:pPr>
            <w:proofErr w:type="spellStart"/>
            <w:r w:rsidRPr="001602DC">
              <w:rPr>
                <w:rFonts w:asciiTheme="majorHAnsi" w:hAnsiTheme="majorHAnsi"/>
                <w:sz w:val="24"/>
                <w:szCs w:val="24"/>
              </w:rPr>
              <w:t>специалитет</w:t>
            </w:r>
            <w:proofErr w:type="spellEnd"/>
          </w:p>
        </w:tc>
        <w:tc>
          <w:tcPr>
            <w:tcW w:w="993"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5</w:t>
            </w:r>
          </w:p>
        </w:tc>
        <w:tc>
          <w:tcPr>
            <w:tcW w:w="1984" w:type="dxa"/>
          </w:tcPr>
          <w:p w:rsidR="00890720" w:rsidRPr="001602DC" w:rsidRDefault="00890720" w:rsidP="00890720">
            <w:pPr>
              <w:spacing w:line="276" w:lineRule="auto"/>
              <w:jc w:val="center"/>
              <w:rPr>
                <w:rFonts w:asciiTheme="majorHAnsi" w:hAnsiTheme="majorHAnsi"/>
                <w:sz w:val="24"/>
                <w:szCs w:val="24"/>
              </w:rPr>
            </w:pPr>
            <w:r w:rsidRPr="001602DC">
              <w:rPr>
                <w:rFonts w:asciiTheme="majorHAnsi" w:hAnsiTheme="majorHAnsi"/>
                <w:sz w:val="24"/>
                <w:szCs w:val="24"/>
              </w:rPr>
              <w:t>19,2</w:t>
            </w:r>
          </w:p>
        </w:tc>
      </w:tr>
    </w:tbl>
    <w:p w:rsidR="00890720" w:rsidRDefault="00890720" w:rsidP="00890720">
      <w:pPr>
        <w:spacing w:line="276" w:lineRule="auto"/>
        <w:jc w:val="both"/>
        <w:rPr>
          <w:i/>
        </w:rPr>
      </w:pPr>
    </w:p>
    <w:p w:rsidR="00890720" w:rsidRDefault="00890720" w:rsidP="00890720">
      <w:pPr>
        <w:spacing w:after="200" w:line="276" w:lineRule="auto"/>
        <w:jc w:val="both"/>
      </w:pPr>
      <w:r>
        <w:t>Наибольшее число студентов, имеющих академические задолженности, обучались в отчетном периоде в Москве.</w:t>
      </w:r>
    </w:p>
    <w:p w:rsidR="00890720" w:rsidRDefault="00890720" w:rsidP="005648B9">
      <w:pPr>
        <w:spacing w:after="200" w:line="276" w:lineRule="auto"/>
        <w:jc w:val="both"/>
      </w:pPr>
      <w:r>
        <w:lastRenderedPageBreak/>
        <w:t>Столь высокий процент неуспевающих студентов может быть результатом слабой подготовки студентов, либо – завышенными требованиями, предъявляемыми к ним.</w:t>
      </w:r>
    </w:p>
    <w:p w:rsidR="005005BC" w:rsidRDefault="005005BC" w:rsidP="005005BC">
      <w:pPr>
        <w:pStyle w:val="2"/>
        <w:numPr>
          <w:ilvl w:val="1"/>
          <w:numId w:val="1"/>
        </w:numPr>
      </w:pPr>
      <w:bookmarkStart w:id="32" w:name="_Toc374030054"/>
      <w:r>
        <w:t>Сравнение успеваемости студентов, поступивших по результатам олимпиад, и студентов, поступивших по ЕГЭ, в динамике за 3 года</w:t>
      </w:r>
      <w:bookmarkEnd w:id="32"/>
    </w:p>
    <w:p w:rsidR="002B7CA2" w:rsidRPr="00890B32" w:rsidRDefault="002B7CA2" w:rsidP="002B7CA2">
      <w:pPr>
        <w:spacing w:after="200" w:line="276" w:lineRule="auto"/>
        <w:jc w:val="both"/>
      </w:pPr>
      <w:r w:rsidRPr="00890B32">
        <w:t xml:space="preserve">Доля победителей олимпиад от общего числа студентов, поступивших на первый курс в течение трех последних лет, по Москве отражена </w:t>
      </w:r>
      <w:r>
        <w:t>на Диаграмме 5.2</w:t>
      </w:r>
      <w:r w:rsidRPr="00890B32">
        <w:t>.1:</w:t>
      </w:r>
    </w:p>
    <w:p w:rsidR="002B7CA2" w:rsidRPr="00293C59" w:rsidRDefault="002B7CA2" w:rsidP="002B7CA2">
      <w:pPr>
        <w:rPr>
          <w:b/>
        </w:rPr>
      </w:pPr>
      <w:r w:rsidRPr="00EF2D6C">
        <w:rPr>
          <w:b/>
        </w:rPr>
        <w:t xml:space="preserve">Диаграмма </w:t>
      </w:r>
      <w:r>
        <w:rPr>
          <w:b/>
        </w:rPr>
        <w:t>5.2</w:t>
      </w:r>
      <w:r w:rsidRPr="00EF2D6C">
        <w:rPr>
          <w:b/>
        </w:rPr>
        <w:t>.1</w:t>
      </w:r>
    </w:p>
    <w:p w:rsidR="002B7CA2" w:rsidRPr="004F4F46" w:rsidRDefault="002B7CA2" w:rsidP="002B7CA2">
      <w:pPr>
        <w:jc w:val="center"/>
      </w:pPr>
      <w:r w:rsidRPr="00342E38">
        <w:rPr>
          <w:noProof/>
        </w:rPr>
        <w:drawing>
          <wp:inline distT="0" distB="0" distL="0" distR="0">
            <wp:extent cx="5920353" cy="7330698"/>
            <wp:effectExtent l="0" t="0" r="23495" b="22860"/>
            <wp:docPr id="7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B7CA2" w:rsidRDefault="002B7CA2" w:rsidP="002B7CA2">
      <w:pPr>
        <w:jc w:val="both"/>
      </w:pPr>
    </w:p>
    <w:p w:rsidR="002B7CA2" w:rsidRDefault="002B7CA2" w:rsidP="002B7CA2">
      <w:pPr>
        <w:spacing w:after="200" w:line="276" w:lineRule="auto"/>
        <w:jc w:val="both"/>
      </w:pPr>
      <w:r>
        <w:lastRenderedPageBreak/>
        <w:t>По Москве</w:t>
      </w:r>
      <w:r w:rsidRPr="0074753B">
        <w:t xml:space="preserve"> </w:t>
      </w:r>
      <w:r>
        <w:t>в</w:t>
      </w:r>
      <w:r w:rsidRPr="0074753B">
        <w:t xml:space="preserve"> 2012 году наибольш</w:t>
      </w:r>
      <w:r>
        <w:t>ее число «</w:t>
      </w:r>
      <w:proofErr w:type="spellStart"/>
      <w:r>
        <w:t>олимпиадников</w:t>
      </w:r>
      <w:proofErr w:type="spellEnd"/>
      <w:r>
        <w:t xml:space="preserve">» было зачислено </w:t>
      </w:r>
      <w:r w:rsidRPr="0074753B">
        <w:t>на факультет математики (88%) и отделени</w:t>
      </w:r>
      <w:r>
        <w:t>е</w:t>
      </w:r>
      <w:r w:rsidRPr="0074753B">
        <w:t xml:space="preserve"> "Совместный </w:t>
      </w:r>
      <w:proofErr w:type="spellStart"/>
      <w:r w:rsidRPr="0074753B">
        <w:t>бакалавриат</w:t>
      </w:r>
      <w:proofErr w:type="spellEnd"/>
      <w:r w:rsidRPr="0074753B">
        <w:t xml:space="preserve"> ВШЭ и РЭШ" (82%)</w:t>
      </w:r>
      <w:r>
        <w:t>,  н</w:t>
      </w:r>
      <w:r w:rsidRPr="0074753B">
        <w:t>аименьший -  на факультет информационных технологий и факультет электроники и телекоммуникаций (5%)</w:t>
      </w:r>
      <w:r>
        <w:t xml:space="preserve">. </w:t>
      </w:r>
    </w:p>
    <w:p w:rsidR="002B7CA2" w:rsidRDefault="002B7CA2" w:rsidP="002B7CA2">
      <w:pPr>
        <w:spacing w:after="200" w:line="276" w:lineRule="auto"/>
        <w:jc w:val="both"/>
      </w:pPr>
      <w:r w:rsidRPr="004827CF">
        <w:t xml:space="preserve">Стабильно </w:t>
      </w:r>
      <w:r>
        <w:t>высокий процент «</w:t>
      </w:r>
      <w:proofErr w:type="spellStart"/>
      <w:r>
        <w:t>олимпиадников</w:t>
      </w:r>
      <w:proofErr w:type="spellEnd"/>
      <w:r>
        <w:t>» в динамике за 3 года наблюдается на факультетах:</w:t>
      </w:r>
    </w:p>
    <w:p w:rsidR="002B7CA2" w:rsidRPr="002B7CA2" w:rsidRDefault="002B7CA2" w:rsidP="002B51DC">
      <w:pPr>
        <w:pStyle w:val="a5"/>
        <w:numPr>
          <w:ilvl w:val="0"/>
          <w:numId w:val="40"/>
        </w:numPr>
        <w:jc w:val="both"/>
        <w:rPr>
          <w:sz w:val="24"/>
        </w:rPr>
      </w:pPr>
      <w:r w:rsidRPr="002B7CA2">
        <w:rPr>
          <w:sz w:val="24"/>
        </w:rPr>
        <w:t xml:space="preserve">ВШЭ-РЭШ (в 2011-12 – 92%, в 2012-13 – 82%); </w:t>
      </w:r>
    </w:p>
    <w:p w:rsidR="002B7CA2" w:rsidRPr="002B7CA2" w:rsidRDefault="002B7CA2" w:rsidP="002B51DC">
      <w:pPr>
        <w:pStyle w:val="a5"/>
        <w:numPr>
          <w:ilvl w:val="0"/>
          <w:numId w:val="40"/>
        </w:numPr>
        <w:jc w:val="both"/>
        <w:rPr>
          <w:sz w:val="24"/>
        </w:rPr>
      </w:pPr>
      <w:r w:rsidRPr="002B7CA2">
        <w:rPr>
          <w:sz w:val="24"/>
        </w:rPr>
        <w:t>математики (2011-12 – 69%, 2012-13 – 88%);</w:t>
      </w:r>
    </w:p>
    <w:p w:rsidR="002B7CA2" w:rsidRPr="002B7CA2" w:rsidRDefault="002B7CA2" w:rsidP="002B51DC">
      <w:pPr>
        <w:pStyle w:val="a5"/>
        <w:numPr>
          <w:ilvl w:val="0"/>
          <w:numId w:val="40"/>
        </w:numPr>
        <w:jc w:val="both"/>
        <w:rPr>
          <w:sz w:val="24"/>
        </w:rPr>
      </w:pPr>
      <w:r w:rsidRPr="002B7CA2">
        <w:rPr>
          <w:sz w:val="24"/>
        </w:rPr>
        <w:t>права  (в 2011-12 – 64%, в 2012-13 – 60%).</w:t>
      </w:r>
    </w:p>
    <w:p w:rsidR="002B7CA2" w:rsidRDefault="002B7CA2" w:rsidP="002B7CA2">
      <w:pPr>
        <w:spacing w:after="200" w:line="276" w:lineRule="auto"/>
        <w:jc w:val="both"/>
      </w:pPr>
      <w:r>
        <w:t>Н</w:t>
      </w:r>
      <w:r w:rsidRPr="00D8121A">
        <w:t>а четверть</w:t>
      </w:r>
      <w:r>
        <w:t>,</w:t>
      </w:r>
      <w:r w:rsidRPr="00D8121A">
        <w:t xml:space="preserve"> по сравнению с прошлым годом</w:t>
      </w:r>
      <w:r>
        <w:t>,</w:t>
      </w:r>
      <w:r w:rsidRPr="00D8121A">
        <w:t xml:space="preserve"> увеличилась доля студентов</w:t>
      </w:r>
      <w:r>
        <w:t>,</w:t>
      </w:r>
      <w:r w:rsidRPr="00D8121A">
        <w:t xml:space="preserve"> зачисленных по результатам олимпиад на </w:t>
      </w:r>
      <w:proofErr w:type="gramStart"/>
      <w:r w:rsidRPr="00D8121A">
        <w:t>отделени</w:t>
      </w:r>
      <w:r>
        <w:t>ях</w:t>
      </w:r>
      <w:proofErr w:type="gramEnd"/>
      <w:r>
        <w:t>:</w:t>
      </w:r>
    </w:p>
    <w:p w:rsidR="002B7CA2" w:rsidRPr="002B7CA2" w:rsidRDefault="002B7CA2" w:rsidP="002B51DC">
      <w:pPr>
        <w:pStyle w:val="a5"/>
        <w:numPr>
          <w:ilvl w:val="0"/>
          <w:numId w:val="40"/>
        </w:numPr>
        <w:jc w:val="both"/>
        <w:rPr>
          <w:sz w:val="24"/>
        </w:rPr>
      </w:pPr>
      <w:r w:rsidRPr="002B7CA2">
        <w:rPr>
          <w:sz w:val="24"/>
        </w:rPr>
        <w:t xml:space="preserve"> ПИ (с 37% до 64%);</w:t>
      </w:r>
    </w:p>
    <w:p w:rsidR="002B7CA2" w:rsidRPr="002B7CA2" w:rsidRDefault="002B7CA2" w:rsidP="002B51DC">
      <w:pPr>
        <w:pStyle w:val="a5"/>
        <w:numPr>
          <w:ilvl w:val="0"/>
          <w:numId w:val="40"/>
        </w:numPr>
        <w:jc w:val="both"/>
        <w:rPr>
          <w:sz w:val="24"/>
        </w:rPr>
      </w:pPr>
      <w:r w:rsidRPr="002B7CA2">
        <w:rPr>
          <w:sz w:val="24"/>
        </w:rPr>
        <w:t xml:space="preserve"> культурологи (с 14% до 43%). </w:t>
      </w:r>
    </w:p>
    <w:p w:rsidR="002B7CA2" w:rsidRPr="00D8121A" w:rsidRDefault="002B7CA2" w:rsidP="002B7CA2">
      <w:pPr>
        <w:spacing w:after="200" w:line="276" w:lineRule="auto"/>
        <w:jc w:val="both"/>
      </w:pPr>
      <w:r>
        <w:t>В два раза</w:t>
      </w:r>
      <w:r w:rsidRPr="00D8121A">
        <w:t xml:space="preserve"> </w:t>
      </w:r>
      <w:r>
        <w:t>сократилось</w:t>
      </w:r>
      <w:r w:rsidRPr="00D8121A">
        <w:t xml:space="preserve"> число «</w:t>
      </w:r>
      <w:proofErr w:type="spellStart"/>
      <w:r w:rsidRPr="00D8121A">
        <w:t>олимпиадников</w:t>
      </w:r>
      <w:proofErr w:type="spellEnd"/>
      <w:r w:rsidRPr="00D8121A">
        <w:t>» на отделении востоковедения</w:t>
      </w:r>
      <w:r>
        <w:t xml:space="preserve"> </w:t>
      </w:r>
      <w:proofErr w:type="gramStart"/>
      <w:r>
        <w:t xml:space="preserve">( </w:t>
      </w:r>
      <w:proofErr w:type="gramEnd"/>
      <w:r>
        <w:t>с  41%  до 20%)</w:t>
      </w:r>
      <w:r w:rsidRPr="00D8121A">
        <w:t>.</w:t>
      </w:r>
    </w:p>
    <w:p w:rsidR="002B7CA2" w:rsidRDefault="002B7CA2" w:rsidP="002B7CA2">
      <w:pPr>
        <w:spacing w:after="200" w:line="276" w:lineRule="auto"/>
        <w:jc w:val="both"/>
      </w:pPr>
      <w:r w:rsidRPr="00EC67D1">
        <w:t>В течение трех лет наблюдается сокращение количества студентов, поступивших по результатам олимпиад на факультет</w:t>
      </w:r>
      <w:r>
        <w:t>ах</w:t>
      </w:r>
      <w:r w:rsidRPr="00EC67D1">
        <w:t xml:space="preserve">: </w:t>
      </w:r>
    </w:p>
    <w:p w:rsidR="002B7CA2" w:rsidRPr="002B7CA2" w:rsidRDefault="002B7CA2" w:rsidP="002B51DC">
      <w:pPr>
        <w:pStyle w:val="a5"/>
        <w:numPr>
          <w:ilvl w:val="0"/>
          <w:numId w:val="40"/>
        </w:numPr>
        <w:jc w:val="both"/>
        <w:rPr>
          <w:sz w:val="24"/>
        </w:rPr>
      </w:pPr>
      <w:r w:rsidRPr="002B7CA2">
        <w:rPr>
          <w:sz w:val="24"/>
        </w:rPr>
        <w:t xml:space="preserve">ПП (с 24% (в 2010г.) до 12% (в 2012г.); </w:t>
      </w:r>
    </w:p>
    <w:p w:rsidR="002B7CA2" w:rsidRPr="002B7CA2" w:rsidRDefault="002B7CA2" w:rsidP="002B51DC">
      <w:pPr>
        <w:pStyle w:val="a5"/>
        <w:numPr>
          <w:ilvl w:val="0"/>
          <w:numId w:val="40"/>
        </w:numPr>
        <w:jc w:val="both"/>
        <w:rPr>
          <w:sz w:val="24"/>
        </w:rPr>
      </w:pPr>
      <w:proofErr w:type="spellStart"/>
      <w:r w:rsidRPr="002B7CA2">
        <w:rPr>
          <w:sz w:val="24"/>
        </w:rPr>
        <w:t>медиакоммуникаций</w:t>
      </w:r>
      <w:proofErr w:type="spellEnd"/>
      <w:r w:rsidRPr="002B7CA2">
        <w:rPr>
          <w:sz w:val="24"/>
        </w:rPr>
        <w:t xml:space="preserve"> (с 40% до 7%); </w:t>
      </w:r>
    </w:p>
    <w:p w:rsidR="002B7CA2" w:rsidRPr="002B7CA2" w:rsidRDefault="002B7CA2" w:rsidP="002B51DC">
      <w:pPr>
        <w:pStyle w:val="a5"/>
        <w:numPr>
          <w:ilvl w:val="0"/>
          <w:numId w:val="40"/>
        </w:numPr>
        <w:jc w:val="both"/>
        <w:rPr>
          <w:sz w:val="24"/>
        </w:rPr>
      </w:pPr>
      <w:r w:rsidRPr="002B7CA2">
        <w:rPr>
          <w:sz w:val="24"/>
        </w:rPr>
        <w:t xml:space="preserve">философии (с 24% до 8%); </w:t>
      </w:r>
    </w:p>
    <w:p w:rsidR="002B7CA2" w:rsidRPr="002B7CA2" w:rsidRDefault="002B7CA2" w:rsidP="002B51DC">
      <w:pPr>
        <w:pStyle w:val="a5"/>
        <w:numPr>
          <w:ilvl w:val="0"/>
          <w:numId w:val="40"/>
        </w:numPr>
        <w:jc w:val="both"/>
        <w:rPr>
          <w:sz w:val="24"/>
        </w:rPr>
      </w:pPr>
      <w:r w:rsidRPr="002B7CA2">
        <w:rPr>
          <w:sz w:val="24"/>
        </w:rPr>
        <w:t>МИЭФ (с 20% до 0%).</w:t>
      </w:r>
    </w:p>
    <w:p w:rsidR="002B7CA2" w:rsidRPr="002B7CA2" w:rsidRDefault="002B7CA2" w:rsidP="002B7CA2">
      <w:pPr>
        <w:spacing w:after="200" w:line="276" w:lineRule="auto"/>
        <w:jc w:val="both"/>
      </w:pPr>
      <w:r>
        <w:t xml:space="preserve">Более половины студентов, обучающихся на </w:t>
      </w:r>
      <w:proofErr w:type="gramStart"/>
      <w:r>
        <w:t>отделении</w:t>
      </w:r>
      <w:proofErr w:type="gramEnd"/>
      <w:r>
        <w:t xml:space="preserve"> ПИ, факультетах права и экономики, зачислены в отчетном периоде по результатам олимпиад (64%, 60% и 51% соответственно).</w:t>
      </w:r>
    </w:p>
    <w:p w:rsidR="002B7CA2" w:rsidRPr="002B7CA2" w:rsidRDefault="002B7CA2" w:rsidP="002B7CA2">
      <w:pPr>
        <w:spacing w:after="200" w:line="276" w:lineRule="auto"/>
        <w:jc w:val="both"/>
      </w:pPr>
      <w:r>
        <w:t>В филиалах (Диаграмма 5.2</w:t>
      </w:r>
      <w:r w:rsidRPr="003C0849">
        <w:t xml:space="preserve">.2) этот показатель выглядит следующим образом: самая высокая доля студентов, поступивших по результатам олимпиад, наблюдается в Санкт-Петербургском филиале на </w:t>
      </w:r>
      <w:r>
        <w:t>юридическом факультете (17%) и факультете истории (16%).</w:t>
      </w:r>
      <w:r w:rsidRPr="002B7CA2">
        <w:t xml:space="preserve"> </w:t>
      </w:r>
    </w:p>
    <w:p w:rsidR="002B7CA2" w:rsidRPr="003D0851" w:rsidRDefault="002B7CA2" w:rsidP="002B7CA2">
      <w:pPr>
        <w:spacing w:after="200" w:line="276" w:lineRule="auto"/>
        <w:jc w:val="both"/>
      </w:pPr>
      <w:r w:rsidRPr="003D0851">
        <w:t>На факультете прикладной математики и информатики (НФ), факультете социологии (</w:t>
      </w:r>
      <w:proofErr w:type="spellStart"/>
      <w:r w:rsidRPr="003D0851">
        <w:t>СПбФ</w:t>
      </w:r>
      <w:proofErr w:type="spellEnd"/>
      <w:r w:rsidRPr="003D0851">
        <w:t xml:space="preserve">) и </w:t>
      </w:r>
      <w:proofErr w:type="gramStart"/>
      <w:r w:rsidRPr="003D0851">
        <w:t>бизнес-информатики</w:t>
      </w:r>
      <w:proofErr w:type="gramEnd"/>
      <w:r w:rsidRPr="003D0851">
        <w:t xml:space="preserve"> (ПФ) по результатам олимпиад не было</w:t>
      </w:r>
      <w:r>
        <w:t xml:space="preserve"> зачислено ни одного студента. Минимальный процент «</w:t>
      </w:r>
      <w:proofErr w:type="spellStart"/>
      <w:r>
        <w:t>олимпиадников</w:t>
      </w:r>
      <w:proofErr w:type="spellEnd"/>
      <w:r>
        <w:t>» - на факультетах менеджмента Пермского и Нижегородского филиалов (по 1% от общего числа зачисленных).</w:t>
      </w:r>
    </w:p>
    <w:p w:rsidR="002B7CA2" w:rsidRDefault="002B7CA2" w:rsidP="002B7CA2">
      <w:pPr>
        <w:rPr>
          <w:b/>
        </w:rPr>
      </w:pPr>
    </w:p>
    <w:p w:rsidR="002B7CA2" w:rsidRDefault="002B7CA2" w:rsidP="002B7CA2">
      <w:pPr>
        <w:rPr>
          <w:b/>
        </w:rPr>
      </w:pPr>
    </w:p>
    <w:p w:rsidR="002B7CA2" w:rsidRDefault="002B7CA2" w:rsidP="002B7CA2">
      <w:pPr>
        <w:rPr>
          <w:b/>
        </w:rPr>
      </w:pPr>
    </w:p>
    <w:p w:rsidR="002B7CA2" w:rsidRDefault="002B7CA2" w:rsidP="002B7CA2">
      <w:pPr>
        <w:rPr>
          <w:b/>
        </w:rPr>
      </w:pPr>
    </w:p>
    <w:p w:rsidR="00B1611E" w:rsidRDefault="00B1611E" w:rsidP="002B7CA2">
      <w:pPr>
        <w:rPr>
          <w:b/>
        </w:rPr>
      </w:pPr>
    </w:p>
    <w:p w:rsidR="002B7CA2" w:rsidRPr="00E13ADA" w:rsidRDefault="002B7CA2" w:rsidP="002B7CA2">
      <w:pPr>
        <w:rPr>
          <w:b/>
        </w:rPr>
      </w:pPr>
      <w:r w:rsidRPr="000664CF">
        <w:rPr>
          <w:b/>
        </w:rPr>
        <w:lastRenderedPageBreak/>
        <w:t xml:space="preserve">Диаграмма </w:t>
      </w:r>
      <w:r>
        <w:rPr>
          <w:b/>
          <w:lang w:val="en-US"/>
        </w:rPr>
        <w:t>5</w:t>
      </w:r>
      <w:r>
        <w:rPr>
          <w:b/>
        </w:rPr>
        <w:t>.2</w:t>
      </w:r>
      <w:r w:rsidRPr="000664CF">
        <w:rPr>
          <w:b/>
        </w:rPr>
        <w:t>.2</w:t>
      </w:r>
    </w:p>
    <w:p w:rsidR="002B7CA2" w:rsidRPr="004F4F46" w:rsidRDefault="002B7CA2" w:rsidP="002B7CA2">
      <w:pPr>
        <w:jc w:val="center"/>
      </w:pPr>
      <w:r w:rsidRPr="003D0851">
        <w:rPr>
          <w:noProof/>
        </w:rPr>
        <w:drawing>
          <wp:inline distT="0" distB="0" distL="0" distR="0">
            <wp:extent cx="5828780" cy="8263890"/>
            <wp:effectExtent l="0" t="0" r="0" b="0"/>
            <wp:docPr id="7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B7CA2" w:rsidRPr="004F4F46" w:rsidRDefault="002B7CA2" w:rsidP="002B7CA2"/>
    <w:p w:rsidR="002B7CA2" w:rsidRPr="00F912BD" w:rsidRDefault="002B7CA2" w:rsidP="002B7CA2">
      <w:pPr>
        <w:spacing w:after="200" w:line="276" w:lineRule="auto"/>
        <w:jc w:val="both"/>
      </w:pPr>
      <w:r w:rsidRPr="00F912BD">
        <w:t xml:space="preserve">Сравнение средних баллов успеваемости студентов 1-го курса набора 2010, 2011 и 2012 годов, поступивших по результатам ЕГЭ, и победителей олимпиад (Москва), </w:t>
      </w:r>
      <w:r>
        <w:t>представлено ниже (Диаграмма 5.2</w:t>
      </w:r>
      <w:r w:rsidRPr="00F912BD">
        <w:t>.3).</w:t>
      </w:r>
    </w:p>
    <w:p w:rsidR="002B7CA2" w:rsidRPr="00111E46" w:rsidRDefault="002B7CA2" w:rsidP="002B7CA2">
      <w:pPr>
        <w:rPr>
          <w:b/>
        </w:rPr>
      </w:pPr>
      <w:r w:rsidRPr="00BA2C8D">
        <w:rPr>
          <w:b/>
        </w:rPr>
        <w:lastRenderedPageBreak/>
        <w:t xml:space="preserve">Диаграмма </w:t>
      </w:r>
      <w:r>
        <w:rPr>
          <w:b/>
          <w:lang w:val="en-US"/>
        </w:rPr>
        <w:t>5</w:t>
      </w:r>
      <w:r>
        <w:rPr>
          <w:b/>
        </w:rPr>
        <w:t>.2</w:t>
      </w:r>
      <w:r w:rsidRPr="00BA2C8D">
        <w:rPr>
          <w:b/>
        </w:rPr>
        <w:t>.3</w:t>
      </w:r>
    </w:p>
    <w:p w:rsidR="002B7CA2" w:rsidRDefault="002B7CA2" w:rsidP="002B7CA2">
      <w:pPr>
        <w:jc w:val="center"/>
      </w:pPr>
      <w:r w:rsidRPr="002E2701">
        <w:rPr>
          <w:noProof/>
        </w:rPr>
        <w:drawing>
          <wp:inline distT="0" distB="0" distL="0" distR="0">
            <wp:extent cx="5693699" cy="5406390"/>
            <wp:effectExtent l="0" t="0" r="0" b="3810"/>
            <wp:docPr id="7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B7CA2" w:rsidRDefault="002B7CA2" w:rsidP="002B7CA2">
      <w:pPr>
        <w:spacing w:after="200"/>
        <w:jc w:val="both"/>
      </w:pPr>
    </w:p>
    <w:p w:rsidR="002B7CA2" w:rsidRPr="002B7CA2" w:rsidRDefault="002B7CA2" w:rsidP="002B7CA2">
      <w:pPr>
        <w:spacing w:after="200" w:line="276" w:lineRule="auto"/>
        <w:jc w:val="both"/>
      </w:pPr>
      <w:r w:rsidRPr="002E2701">
        <w:t>В целом по сравнению с прошлым годом,  когда наблюдалось общее снижение среднего балла успеваемости студентов-победителей олимпиад, в 2012-2013 учебном году средний балл «</w:t>
      </w:r>
      <w:proofErr w:type="spellStart"/>
      <w:r w:rsidRPr="002E2701">
        <w:t>олимпиадников</w:t>
      </w:r>
      <w:proofErr w:type="spellEnd"/>
      <w:r w:rsidRPr="002E2701">
        <w:t xml:space="preserve">» на большинстве факультетов </w:t>
      </w:r>
      <w:r>
        <w:t>немного</w:t>
      </w:r>
      <w:r w:rsidRPr="002E2701">
        <w:t xml:space="preserve"> выше или примерно равен среднему баллу успеваемости студентов, поступивших по результатам ЕГЭ.</w:t>
      </w:r>
      <w:r w:rsidRPr="002B7CA2">
        <w:t xml:space="preserve"> </w:t>
      </w:r>
    </w:p>
    <w:p w:rsidR="002B7CA2" w:rsidRDefault="002B7CA2" w:rsidP="002B7CA2">
      <w:pPr>
        <w:spacing w:after="200" w:line="276" w:lineRule="auto"/>
        <w:jc w:val="both"/>
      </w:pPr>
      <w:r w:rsidRPr="009B35EA">
        <w:t xml:space="preserve">Примерно одинаковую успеваемость на </w:t>
      </w:r>
      <w:proofErr w:type="gramStart"/>
      <w:r w:rsidRPr="009B35EA">
        <w:t>протяжении</w:t>
      </w:r>
      <w:proofErr w:type="gramEnd"/>
      <w:r w:rsidRPr="009B35EA">
        <w:t xml:space="preserve"> 2012-2013 учебного года демонстрируют студенты, поступившие как по результатам ЕГЭ, так и зачисленные вне конкурса победители олимпиад, на следующих факультетах: </w:t>
      </w:r>
    </w:p>
    <w:p w:rsidR="002B7CA2" w:rsidRPr="002B7CA2" w:rsidRDefault="002B7CA2" w:rsidP="002B51DC">
      <w:pPr>
        <w:pStyle w:val="a5"/>
        <w:numPr>
          <w:ilvl w:val="0"/>
          <w:numId w:val="40"/>
        </w:numPr>
        <w:jc w:val="both"/>
        <w:rPr>
          <w:sz w:val="24"/>
        </w:rPr>
      </w:pPr>
      <w:r w:rsidRPr="002B7CA2">
        <w:rPr>
          <w:sz w:val="24"/>
        </w:rPr>
        <w:t xml:space="preserve">права (7,44 - по ЕГЭ; 7,5-по олимпиаде), </w:t>
      </w:r>
    </w:p>
    <w:p w:rsidR="002B7CA2" w:rsidRPr="002B7CA2" w:rsidRDefault="002B7CA2" w:rsidP="002B51DC">
      <w:pPr>
        <w:pStyle w:val="a5"/>
        <w:numPr>
          <w:ilvl w:val="0"/>
          <w:numId w:val="40"/>
        </w:numPr>
        <w:jc w:val="both"/>
        <w:rPr>
          <w:sz w:val="24"/>
        </w:rPr>
      </w:pPr>
      <w:r w:rsidRPr="002B7CA2">
        <w:rPr>
          <w:sz w:val="24"/>
        </w:rPr>
        <w:t xml:space="preserve">социологии (6,91 – по ЕГЭ; 6,87 – по олимпиаде), </w:t>
      </w:r>
    </w:p>
    <w:p w:rsidR="002B7CA2" w:rsidRPr="002B7CA2" w:rsidRDefault="002B7CA2" w:rsidP="002B51DC">
      <w:pPr>
        <w:pStyle w:val="a5"/>
        <w:numPr>
          <w:ilvl w:val="0"/>
          <w:numId w:val="40"/>
        </w:numPr>
        <w:jc w:val="both"/>
        <w:rPr>
          <w:sz w:val="24"/>
        </w:rPr>
      </w:pPr>
      <w:r w:rsidRPr="002B7CA2">
        <w:rPr>
          <w:sz w:val="24"/>
        </w:rPr>
        <w:t xml:space="preserve">истории (7,31 – по ЕГЭ; 7,35 – по олимпиаде), </w:t>
      </w:r>
    </w:p>
    <w:p w:rsidR="002B7CA2" w:rsidRPr="002B7CA2" w:rsidRDefault="002B7CA2" w:rsidP="002B51DC">
      <w:pPr>
        <w:pStyle w:val="a5"/>
        <w:numPr>
          <w:ilvl w:val="0"/>
          <w:numId w:val="40"/>
        </w:numPr>
        <w:jc w:val="both"/>
        <w:rPr>
          <w:sz w:val="24"/>
        </w:rPr>
      </w:pPr>
      <w:r w:rsidRPr="002B7CA2">
        <w:rPr>
          <w:sz w:val="24"/>
        </w:rPr>
        <w:t xml:space="preserve">ВШЭ-РЭШ (8,07 – по ЕГЭ; 8,26 – по олимпиаде), </w:t>
      </w:r>
    </w:p>
    <w:p w:rsidR="002B7CA2" w:rsidRPr="002B7CA2" w:rsidRDefault="002B7CA2" w:rsidP="002B51DC">
      <w:pPr>
        <w:pStyle w:val="a5"/>
        <w:numPr>
          <w:ilvl w:val="0"/>
          <w:numId w:val="40"/>
        </w:numPr>
        <w:jc w:val="both"/>
        <w:rPr>
          <w:sz w:val="24"/>
        </w:rPr>
      </w:pPr>
      <w:r w:rsidRPr="002B7CA2">
        <w:rPr>
          <w:sz w:val="24"/>
        </w:rPr>
        <w:t xml:space="preserve">филологии (7,38 – по ЕГЭ; 7,35 – по олимпиаде), </w:t>
      </w:r>
    </w:p>
    <w:p w:rsidR="002B7CA2" w:rsidRPr="002B7CA2" w:rsidRDefault="002B7CA2" w:rsidP="002B51DC">
      <w:pPr>
        <w:pStyle w:val="a5"/>
        <w:numPr>
          <w:ilvl w:val="0"/>
          <w:numId w:val="40"/>
        </w:numPr>
        <w:jc w:val="both"/>
        <w:rPr>
          <w:sz w:val="24"/>
        </w:rPr>
      </w:pPr>
      <w:proofErr w:type="spellStart"/>
      <w:r w:rsidRPr="002B7CA2">
        <w:rPr>
          <w:sz w:val="24"/>
        </w:rPr>
        <w:t>ФПМиК</w:t>
      </w:r>
      <w:proofErr w:type="spellEnd"/>
      <w:r w:rsidRPr="002B7CA2">
        <w:rPr>
          <w:sz w:val="24"/>
        </w:rPr>
        <w:t xml:space="preserve"> (6,26 – по ЕГЭ; 6,38 – по олимпиаде). </w:t>
      </w:r>
    </w:p>
    <w:p w:rsidR="002B7CA2" w:rsidRDefault="002B7CA2" w:rsidP="002B7CA2">
      <w:pPr>
        <w:spacing w:after="200" w:line="276" w:lineRule="auto"/>
        <w:jc w:val="both"/>
      </w:pPr>
      <w:r w:rsidRPr="00B4218C">
        <w:lastRenderedPageBreak/>
        <w:t>Высокий уровень подготовки студентов - «</w:t>
      </w:r>
      <w:proofErr w:type="spellStart"/>
      <w:r w:rsidRPr="00B4218C">
        <w:t>олимпиадников</w:t>
      </w:r>
      <w:proofErr w:type="spellEnd"/>
      <w:r w:rsidRPr="00B4218C">
        <w:t xml:space="preserve">» наблюдается на следующих факультетах: МИЭФ, культурологи, ФЭТ, ОИК, </w:t>
      </w:r>
      <w:proofErr w:type="spellStart"/>
      <w:r w:rsidRPr="00B4218C">
        <w:t>ФИТиВТ</w:t>
      </w:r>
      <w:proofErr w:type="spellEnd"/>
      <w:r w:rsidRPr="00B4218C">
        <w:t xml:space="preserve"> и др.</w:t>
      </w:r>
      <w:r>
        <w:t xml:space="preserve"> </w:t>
      </w:r>
    </w:p>
    <w:p w:rsidR="002B7CA2" w:rsidRPr="002B7CA2" w:rsidRDefault="002B7CA2" w:rsidP="002B7CA2">
      <w:pPr>
        <w:spacing w:after="200" w:line="276" w:lineRule="auto"/>
        <w:jc w:val="both"/>
      </w:pPr>
      <w:r>
        <w:t>Один из наиболее низких показателей успеваемости «</w:t>
      </w:r>
      <w:proofErr w:type="spellStart"/>
      <w:r>
        <w:t>олимпиадников</w:t>
      </w:r>
      <w:proofErr w:type="spellEnd"/>
      <w:r>
        <w:t>» наблюдается на факультете философии (5,83 – по ЕГЭ; 4,55 – по олимпиаде).</w:t>
      </w:r>
    </w:p>
    <w:p w:rsidR="002B7CA2" w:rsidRPr="00E13ADA" w:rsidRDefault="002B7CA2" w:rsidP="002B7CA2">
      <w:pPr>
        <w:rPr>
          <w:b/>
        </w:rPr>
      </w:pPr>
      <w:r w:rsidRPr="00BA2C8D">
        <w:rPr>
          <w:b/>
        </w:rPr>
        <w:t xml:space="preserve">Диаграмма </w:t>
      </w:r>
      <w:r>
        <w:rPr>
          <w:b/>
          <w:lang w:val="en-US"/>
        </w:rPr>
        <w:t>5</w:t>
      </w:r>
      <w:r>
        <w:rPr>
          <w:b/>
        </w:rPr>
        <w:t>.2</w:t>
      </w:r>
      <w:r w:rsidRPr="00BA2C8D">
        <w:rPr>
          <w:b/>
        </w:rPr>
        <w:t>.4</w:t>
      </w:r>
    </w:p>
    <w:p w:rsidR="002B7CA2" w:rsidRPr="004F4F46" w:rsidRDefault="002B7CA2" w:rsidP="002B7CA2">
      <w:pPr>
        <w:jc w:val="center"/>
      </w:pPr>
      <w:r w:rsidRPr="00E422BE">
        <w:rPr>
          <w:noProof/>
        </w:rPr>
        <w:drawing>
          <wp:inline distT="0" distB="0" distL="0" distR="0">
            <wp:extent cx="5059853" cy="4582506"/>
            <wp:effectExtent l="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B7CA2" w:rsidRDefault="002B7CA2" w:rsidP="002B7CA2">
      <w:pPr>
        <w:spacing w:after="200" w:line="276" w:lineRule="auto"/>
        <w:jc w:val="both"/>
      </w:pPr>
    </w:p>
    <w:p w:rsidR="002B7CA2" w:rsidRDefault="002B7CA2" w:rsidP="002B7CA2">
      <w:pPr>
        <w:spacing w:after="200" w:line="276" w:lineRule="auto"/>
        <w:jc w:val="both"/>
      </w:pPr>
      <w:r w:rsidRPr="00E422BE">
        <w:t>Из Диаграммы</w:t>
      </w:r>
      <w:r>
        <w:t xml:space="preserve"> 5</w:t>
      </w:r>
      <w:r w:rsidRPr="00E422BE">
        <w:t>.</w:t>
      </w:r>
      <w:r>
        <w:t>2</w:t>
      </w:r>
      <w:r w:rsidRPr="00E422BE">
        <w:t>.4 видно, что в филиалах наблюдается такая же тенденция, как и в головном вузе: средний бал</w:t>
      </w:r>
      <w:r w:rsidRPr="008242AD">
        <w:t xml:space="preserve">л успеваемости студентов, поступивших по результатам ЕГЭ и поступивших по результатам олимпиады, примерно одинаковый. </w:t>
      </w:r>
    </w:p>
    <w:p w:rsidR="002B7CA2" w:rsidRDefault="002B7CA2" w:rsidP="002B7CA2">
      <w:pPr>
        <w:spacing w:after="200" w:line="276" w:lineRule="auto"/>
        <w:jc w:val="both"/>
      </w:pPr>
      <w:r w:rsidRPr="008242AD">
        <w:t xml:space="preserve"> Более высокая успеваемость «</w:t>
      </w:r>
      <w:proofErr w:type="spellStart"/>
      <w:r w:rsidRPr="008242AD">
        <w:t>олимпиадников</w:t>
      </w:r>
      <w:proofErr w:type="spellEnd"/>
      <w:r w:rsidRPr="008242AD">
        <w:t xml:space="preserve">» на следующих факультетах: менеджмента НФ, социально-гуманитарном ПФ, гуманитарных наук НФ, БИПМ НФ и права НФ. </w:t>
      </w:r>
    </w:p>
    <w:p w:rsidR="002B7CA2" w:rsidRDefault="002B7CA2" w:rsidP="002B7CA2">
      <w:pPr>
        <w:spacing w:after="200" w:line="276" w:lineRule="auto"/>
        <w:jc w:val="both"/>
      </w:pPr>
      <w:r w:rsidRPr="008242AD">
        <w:t>Однако</w:t>
      </w:r>
      <w:proofErr w:type="gramStart"/>
      <w:r w:rsidRPr="008242AD">
        <w:t>,</w:t>
      </w:r>
      <w:proofErr w:type="gramEnd"/>
      <w:r w:rsidRPr="008242AD">
        <w:t xml:space="preserve"> необходимо учитывать, что</w:t>
      </w:r>
      <w:r>
        <w:t xml:space="preserve"> на</w:t>
      </w:r>
      <w:r w:rsidRPr="008242AD">
        <w:t xml:space="preserve"> всех перечисленных выше факультетах, кроме БИПМ НФ и права НФ, число студентов, зачисленных по результатам олимпиад, незначительное (1-2 человека). </w:t>
      </w:r>
    </w:p>
    <w:p w:rsidR="002B7CA2" w:rsidRDefault="002B7CA2" w:rsidP="002B7CA2">
      <w:pPr>
        <w:spacing w:after="200" w:line="276" w:lineRule="auto"/>
        <w:jc w:val="both"/>
      </w:pPr>
      <w:r w:rsidRPr="006538D5">
        <w:t>Ниже приведены диаграммы, на которых отображено процентное соотношение отчисленных студентов, поступивших по результатам олимпиад</w:t>
      </w:r>
      <w:r>
        <w:t xml:space="preserve"> и ЕГЭ, по Москве (Диаграмма 5.2.5) и филиалам (Диаграмма 5.2</w:t>
      </w:r>
      <w:r w:rsidRPr="006538D5">
        <w:t xml:space="preserve">.6). </w:t>
      </w:r>
    </w:p>
    <w:p w:rsidR="002B7CA2" w:rsidRPr="002B7CA2" w:rsidRDefault="002B7CA2" w:rsidP="002B7CA2">
      <w:pPr>
        <w:spacing w:after="200" w:line="276" w:lineRule="auto"/>
        <w:jc w:val="both"/>
      </w:pPr>
      <w:r w:rsidRPr="006538D5">
        <w:lastRenderedPageBreak/>
        <w:t xml:space="preserve">Данные представлены за 3 года. </w:t>
      </w:r>
      <w:r>
        <w:t xml:space="preserve"> </w:t>
      </w:r>
      <w:r w:rsidRPr="006538D5">
        <w:t xml:space="preserve">Анализировались </w:t>
      </w:r>
      <w:r>
        <w:t>образовательные результаты студентов</w:t>
      </w:r>
      <w:r w:rsidRPr="006538D5">
        <w:t xml:space="preserve"> первого курса.</w:t>
      </w:r>
    </w:p>
    <w:p w:rsidR="002B7CA2" w:rsidRPr="00E76EDE" w:rsidRDefault="002B7CA2" w:rsidP="002B7CA2">
      <w:pPr>
        <w:rPr>
          <w:noProof/>
        </w:rPr>
      </w:pPr>
      <w:r w:rsidRPr="00BA2C8D">
        <w:rPr>
          <w:b/>
          <w:noProof/>
        </w:rPr>
        <w:t xml:space="preserve">Диаграмма </w:t>
      </w:r>
      <w:r>
        <w:rPr>
          <w:b/>
          <w:noProof/>
        </w:rPr>
        <w:t>5</w:t>
      </w:r>
      <w:r w:rsidRPr="00BA2C8D">
        <w:rPr>
          <w:b/>
          <w:noProof/>
        </w:rPr>
        <w:t>.</w:t>
      </w:r>
      <w:r>
        <w:rPr>
          <w:b/>
          <w:noProof/>
        </w:rPr>
        <w:t>2</w:t>
      </w:r>
      <w:r w:rsidRPr="00BA2C8D">
        <w:rPr>
          <w:b/>
          <w:noProof/>
        </w:rPr>
        <w:t>.5</w:t>
      </w:r>
    </w:p>
    <w:p w:rsidR="002B7CA2" w:rsidRPr="006D6C43" w:rsidRDefault="002B7CA2" w:rsidP="002B7CA2">
      <w:pPr>
        <w:jc w:val="center"/>
      </w:pPr>
      <w:r w:rsidRPr="00C95739">
        <w:rPr>
          <w:noProof/>
        </w:rPr>
        <w:drawing>
          <wp:inline distT="0" distB="0" distL="0" distR="0">
            <wp:extent cx="5940425" cy="8319906"/>
            <wp:effectExtent l="0" t="0" r="22225" b="2413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B7CA2" w:rsidRPr="007B3DBA" w:rsidRDefault="002B7CA2" w:rsidP="002B7CA2">
      <w:pPr>
        <w:spacing w:after="200" w:line="276" w:lineRule="auto"/>
        <w:jc w:val="both"/>
      </w:pPr>
      <w:r w:rsidRPr="007B3DBA">
        <w:lastRenderedPageBreak/>
        <w:t>Из диаграммы видно, что в Москве в течение трех лет стабильно низкий процент отчислений "</w:t>
      </w:r>
      <w:proofErr w:type="spellStart"/>
      <w:r w:rsidRPr="007B3DBA">
        <w:t>олимпиадников</w:t>
      </w:r>
      <w:proofErr w:type="spellEnd"/>
      <w:r w:rsidRPr="007B3DBA">
        <w:t>". Несмотря на то, что студенты-</w:t>
      </w:r>
      <w:proofErr w:type="spellStart"/>
      <w:r w:rsidRPr="007B3DBA">
        <w:t>олимпиадники</w:t>
      </w:r>
      <w:proofErr w:type="spellEnd"/>
      <w:r w:rsidRPr="007B3DBA">
        <w:t xml:space="preserve"> и студенты, поступившие по результатам ЕГЭ, в 2012-2013 учебном году демонстрируют примерно одинаковую успеваемость, «</w:t>
      </w:r>
      <w:proofErr w:type="spellStart"/>
      <w:r w:rsidRPr="007B3DBA">
        <w:t>олимпиадников</w:t>
      </w:r>
      <w:proofErr w:type="spellEnd"/>
      <w:r w:rsidRPr="007B3DBA">
        <w:t>»</w:t>
      </w:r>
      <w:r>
        <w:t xml:space="preserve"> отчисляют меньше, что обусловлено небольшим количеством «</w:t>
      </w:r>
      <w:proofErr w:type="spellStart"/>
      <w:r>
        <w:t>олимпиадников</w:t>
      </w:r>
      <w:proofErr w:type="spellEnd"/>
      <w:r>
        <w:t>» в структуре контингента студентов.</w:t>
      </w:r>
    </w:p>
    <w:p w:rsidR="002B7CA2" w:rsidRDefault="002B7CA2" w:rsidP="002B7CA2">
      <w:pPr>
        <w:spacing w:after="200" w:line="276" w:lineRule="auto"/>
        <w:jc w:val="both"/>
      </w:pPr>
      <w:r w:rsidRPr="008D74FA">
        <w:t>В 2012</w:t>
      </w:r>
      <w:r>
        <w:t>-</w:t>
      </w:r>
      <w:r w:rsidRPr="008D74FA">
        <w:t>2013 учебном году не было отчислено ни одного "</w:t>
      </w:r>
      <w:proofErr w:type="spellStart"/>
      <w:r w:rsidRPr="008D74FA">
        <w:t>олимпиадника</w:t>
      </w:r>
      <w:proofErr w:type="spellEnd"/>
      <w:r w:rsidRPr="008D74FA">
        <w:t xml:space="preserve">"  на факультетах:  ФЭТ, </w:t>
      </w:r>
      <w:proofErr w:type="spellStart"/>
      <w:r w:rsidRPr="008D74FA">
        <w:t>ФИТиВТ</w:t>
      </w:r>
      <w:proofErr w:type="spellEnd"/>
      <w:r w:rsidRPr="008D74FA">
        <w:t xml:space="preserve">, ОИК, МИЭФ, психологии, </w:t>
      </w:r>
      <w:proofErr w:type="spellStart"/>
      <w:r w:rsidRPr="008D74FA">
        <w:t>медиакоммуникации</w:t>
      </w:r>
      <w:proofErr w:type="spellEnd"/>
      <w:r w:rsidRPr="008D74FA">
        <w:t>, логисти</w:t>
      </w:r>
      <w:r w:rsidRPr="001F4A83">
        <w:t xml:space="preserve">ки. </w:t>
      </w:r>
    </w:p>
    <w:p w:rsidR="002B7CA2" w:rsidRPr="002B7CA2" w:rsidRDefault="002B7CA2" w:rsidP="002B7CA2">
      <w:pPr>
        <w:spacing w:after="200" w:line="276" w:lineRule="auto"/>
        <w:jc w:val="both"/>
      </w:pPr>
      <w:r w:rsidRPr="001F4A83">
        <w:t xml:space="preserve">На совместном </w:t>
      </w:r>
      <w:proofErr w:type="spellStart"/>
      <w:r w:rsidRPr="001F4A83">
        <w:t>бакалавриате</w:t>
      </w:r>
      <w:proofErr w:type="spellEnd"/>
      <w:r w:rsidRPr="001F4A83">
        <w:t xml:space="preserve"> ВШЭ-РЭШ в 2012-2013 учебном году не было ни одного отчисленного студента, поступившего по результатам ЕГЭ.</w:t>
      </w:r>
    </w:p>
    <w:p w:rsidR="002B7CA2" w:rsidRPr="00E13ADA" w:rsidRDefault="002B7CA2" w:rsidP="002B7CA2">
      <w:pPr>
        <w:rPr>
          <w:b/>
        </w:rPr>
      </w:pPr>
      <w:r w:rsidRPr="005C7B6C">
        <w:rPr>
          <w:b/>
        </w:rPr>
        <w:t>Диаграмма</w:t>
      </w:r>
      <w:r w:rsidR="00646FB6">
        <w:rPr>
          <w:b/>
          <w:lang w:val="en-US"/>
        </w:rPr>
        <w:t xml:space="preserve"> 5</w:t>
      </w:r>
      <w:r>
        <w:rPr>
          <w:b/>
        </w:rPr>
        <w:t>.2</w:t>
      </w:r>
      <w:r w:rsidRPr="005C7B6C">
        <w:rPr>
          <w:b/>
        </w:rPr>
        <w:t>.6</w:t>
      </w:r>
    </w:p>
    <w:p w:rsidR="002B7CA2" w:rsidRPr="004F4F46" w:rsidRDefault="002B7CA2" w:rsidP="002B7CA2">
      <w:r w:rsidRPr="00C95739">
        <w:rPr>
          <w:noProof/>
        </w:rPr>
        <w:drawing>
          <wp:inline distT="0" distB="0" distL="0" distR="0">
            <wp:extent cx="5939405" cy="6635692"/>
            <wp:effectExtent l="0" t="0" r="23495" b="1333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B7CA2" w:rsidRDefault="002B7CA2" w:rsidP="002B7CA2"/>
    <w:p w:rsidR="002B7CA2" w:rsidRDefault="002B7CA2" w:rsidP="002B7CA2"/>
    <w:p w:rsidR="002B7CA2" w:rsidRPr="002B7CA2" w:rsidRDefault="002B7CA2" w:rsidP="00083DF6">
      <w:pPr>
        <w:spacing w:after="200" w:line="276" w:lineRule="auto"/>
        <w:jc w:val="both"/>
      </w:pPr>
      <w:r>
        <w:t>В филиалах также как и в головном вузе в большей степени отчисляют студентов, поступивших по результатам ЕГЭ, что вероятно связано с небольш</w:t>
      </w:r>
      <w:r w:rsidR="00083DF6">
        <w:t>им количеством «</w:t>
      </w:r>
      <w:proofErr w:type="spellStart"/>
      <w:r w:rsidR="00083DF6">
        <w:t>олимпиадников</w:t>
      </w:r>
      <w:proofErr w:type="spellEnd"/>
      <w:r w:rsidR="00083DF6">
        <w:t>».</w:t>
      </w:r>
    </w:p>
    <w:p w:rsidR="00E04CAD" w:rsidRDefault="005005BC" w:rsidP="00E04CAD">
      <w:pPr>
        <w:pStyle w:val="2"/>
        <w:numPr>
          <w:ilvl w:val="1"/>
          <w:numId w:val="1"/>
        </w:numPr>
      </w:pPr>
      <w:bookmarkStart w:id="33" w:name="_Toc374030055"/>
      <w:r>
        <w:t>Динамика отчислений студентов по курсам, по причинам отчисления, по признаку Бюджет/коммерция</w:t>
      </w:r>
      <w:bookmarkStart w:id="34" w:name="_Toc235972940"/>
      <w:bookmarkEnd w:id="33"/>
    </w:p>
    <w:bookmarkEnd w:id="34"/>
    <w:p w:rsidR="00E04CAD" w:rsidRDefault="00E04CAD" w:rsidP="00E04CAD">
      <w:pPr>
        <w:jc w:val="both"/>
      </w:pPr>
    </w:p>
    <w:p w:rsidR="00E04CAD" w:rsidRDefault="00E04CAD" w:rsidP="00E04CAD">
      <w:pPr>
        <w:spacing w:after="200" w:line="276" w:lineRule="auto"/>
        <w:jc w:val="both"/>
      </w:pPr>
      <w:r>
        <w:t>Данные об отчислении студентов очной формы обучения обрабатывались за следующие периоды:</w:t>
      </w:r>
    </w:p>
    <w:p w:rsidR="00E04CAD" w:rsidRPr="00D534C4" w:rsidRDefault="00E04CAD" w:rsidP="00F27C45">
      <w:pPr>
        <w:pStyle w:val="a5"/>
        <w:numPr>
          <w:ilvl w:val="1"/>
          <w:numId w:val="14"/>
        </w:numPr>
        <w:tabs>
          <w:tab w:val="left" w:pos="993"/>
        </w:tabs>
        <w:ind w:left="142" w:firstLine="425"/>
        <w:jc w:val="both"/>
        <w:rPr>
          <w:sz w:val="24"/>
        </w:rPr>
      </w:pPr>
      <w:r w:rsidRPr="00D534C4">
        <w:rPr>
          <w:sz w:val="24"/>
        </w:rPr>
        <w:t>Отчисленные по итогам обучения в 1 полугодии 2012-13 учебного года – выборка по приказам об отчислении с 01.11.2012 по 31.03.2013, что позволяет учесть отчисление по разным основаниям, включая академическую неуспеваемость, за 1 и 2 модули, после окончания периода пересдач</w:t>
      </w:r>
      <w:r w:rsidR="000258EE" w:rsidRPr="00D534C4">
        <w:rPr>
          <w:sz w:val="24"/>
        </w:rPr>
        <w:t xml:space="preserve"> (</w:t>
      </w:r>
      <w:r w:rsidR="000109F9" w:rsidRPr="00D534C4">
        <w:rPr>
          <w:sz w:val="24"/>
        </w:rPr>
        <w:t>Приложение к отчету № 6</w:t>
      </w:r>
      <w:r w:rsidR="008926D5" w:rsidRPr="00D534C4">
        <w:rPr>
          <w:sz w:val="24"/>
        </w:rPr>
        <w:t>).</w:t>
      </w:r>
    </w:p>
    <w:p w:rsidR="00E04CAD" w:rsidRPr="00D534C4" w:rsidRDefault="00E04CAD" w:rsidP="000258EE">
      <w:pPr>
        <w:pStyle w:val="a5"/>
        <w:numPr>
          <w:ilvl w:val="1"/>
          <w:numId w:val="14"/>
        </w:numPr>
        <w:tabs>
          <w:tab w:val="left" w:pos="993"/>
        </w:tabs>
        <w:ind w:left="142" w:firstLine="425"/>
        <w:jc w:val="both"/>
        <w:rPr>
          <w:sz w:val="24"/>
        </w:rPr>
      </w:pPr>
      <w:r w:rsidRPr="00D534C4">
        <w:rPr>
          <w:sz w:val="24"/>
        </w:rPr>
        <w:t>Отчисленные по итогам обучения во 2 полугодии 2012-13 учебного года – выборка по приказам об отчислении с 01.04.2013 по 31.10.2013, что позволяет учесть отчисления по разным основаниям, включая академическую неуспеваемость, за 3 и 4 модули, после окончания периода пересдач</w:t>
      </w:r>
      <w:r w:rsidR="000258EE" w:rsidRPr="00D534C4">
        <w:rPr>
          <w:sz w:val="24"/>
        </w:rPr>
        <w:t xml:space="preserve"> (</w:t>
      </w:r>
      <w:r w:rsidR="000109F9" w:rsidRPr="00D534C4">
        <w:rPr>
          <w:sz w:val="24"/>
        </w:rPr>
        <w:t>П</w:t>
      </w:r>
      <w:r w:rsidR="003B3077">
        <w:rPr>
          <w:sz w:val="24"/>
        </w:rPr>
        <w:t>р</w:t>
      </w:r>
      <w:r w:rsidR="000109F9" w:rsidRPr="00D534C4">
        <w:rPr>
          <w:sz w:val="24"/>
        </w:rPr>
        <w:t>иложение к отчету № 7</w:t>
      </w:r>
      <w:r w:rsidR="008926D5" w:rsidRPr="00D534C4">
        <w:rPr>
          <w:sz w:val="24"/>
        </w:rPr>
        <w:t>).</w:t>
      </w:r>
    </w:p>
    <w:p w:rsidR="00E04CAD" w:rsidRDefault="00E04CAD" w:rsidP="00E04CAD">
      <w:pPr>
        <w:spacing w:after="200" w:line="276" w:lineRule="auto"/>
        <w:jc w:val="both"/>
      </w:pPr>
      <w:r>
        <w:t xml:space="preserve">Всего по итогам обучения в 2012-2013 учебном году из НИУ ВШЭ было отчислено 2059  студентов, что составляет 10,8% </w:t>
      </w:r>
      <w:r w:rsidRPr="00800EEA">
        <w:t xml:space="preserve"> </w:t>
      </w:r>
      <w:r>
        <w:t xml:space="preserve">от общего числа студентов. Из </w:t>
      </w:r>
      <w:proofErr w:type="spellStart"/>
      <w:r>
        <w:t>бакалавриата</w:t>
      </w:r>
      <w:proofErr w:type="spellEnd"/>
      <w:r>
        <w:t xml:space="preserve"> было отчислено 1509, из магистратуры – 550. За академическую неуспеваемость были отчислены 960 студентов (46,6% от всех отчисленных), из них 530 обучалось на бюджетной основе (46% от всех отчисленных бюджетников, 55,2% от всех отчисленных за академическую неуспеваемость).</w:t>
      </w:r>
    </w:p>
    <w:p w:rsidR="00E04CAD" w:rsidRDefault="00E04CAD" w:rsidP="005648B9">
      <w:pPr>
        <w:spacing w:after="200" w:line="276" w:lineRule="auto"/>
        <w:jc w:val="both"/>
      </w:pPr>
      <w:r>
        <w:t xml:space="preserve">Распределение отчисленных по категориям на </w:t>
      </w:r>
      <w:proofErr w:type="gramStart"/>
      <w:r>
        <w:t>каждом</w:t>
      </w:r>
      <w:proofErr w:type="gramEnd"/>
      <w:r>
        <w:t xml:space="preserve"> из уровней образования представлено на двух кольцевых  диаграммах.</w:t>
      </w:r>
    </w:p>
    <w:p w:rsidR="00E04CAD" w:rsidRDefault="00E04CAD" w:rsidP="00E04CAD">
      <w:pPr>
        <w:jc w:val="both"/>
      </w:pPr>
      <w:r>
        <w:rPr>
          <w:noProof/>
        </w:rPr>
        <w:drawing>
          <wp:inline distT="0" distB="0" distL="0" distR="0">
            <wp:extent cx="5934075" cy="2657475"/>
            <wp:effectExtent l="0" t="0" r="34925" b="34925"/>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04CAD" w:rsidRDefault="00E04CAD" w:rsidP="00E04CAD">
      <w:pPr>
        <w:jc w:val="both"/>
      </w:pPr>
    </w:p>
    <w:p w:rsidR="00E04CAD" w:rsidRDefault="00E04CAD" w:rsidP="00E04CAD">
      <w:pPr>
        <w:jc w:val="both"/>
      </w:pPr>
    </w:p>
    <w:p w:rsidR="00E04CAD" w:rsidRDefault="00E04CAD" w:rsidP="00E04CAD">
      <w:pPr>
        <w:jc w:val="both"/>
      </w:pPr>
      <w:r>
        <w:rPr>
          <w:noProof/>
        </w:rPr>
        <w:lastRenderedPageBreak/>
        <w:drawing>
          <wp:inline distT="0" distB="0" distL="0" distR="0">
            <wp:extent cx="5934075" cy="3307426"/>
            <wp:effectExtent l="0" t="0" r="9525" b="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04CAD" w:rsidRDefault="00E04CAD" w:rsidP="00E04CAD">
      <w:pPr>
        <w:jc w:val="both"/>
      </w:pPr>
    </w:p>
    <w:p w:rsidR="00E04CAD" w:rsidRDefault="00E04CAD" w:rsidP="005648B9">
      <w:pPr>
        <w:spacing w:after="200" w:line="276" w:lineRule="auto"/>
        <w:jc w:val="both"/>
      </w:pPr>
      <w:r>
        <w:t xml:space="preserve">На диаграммах ниже представлено сравнение кампусов по </w:t>
      </w:r>
      <w:proofErr w:type="gramStart"/>
      <w:r>
        <w:t>отчисленным</w:t>
      </w:r>
      <w:proofErr w:type="gramEnd"/>
      <w:r>
        <w:t xml:space="preserve"> на разных уровнях образования и курсах обучения.  </w:t>
      </w:r>
    </w:p>
    <w:p w:rsidR="00E04CAD" w:rsidRDefault="00E04CAD" w:rsidP="00E04CAD">
      <w:pPr>
        <w:jc w:val="both"/>
      </w:pPr>
      <w:r>
        <w:rPr>
          <w:noProof/>
        </w:rPr>
        <w:drawing>
          <wp:inline distT="0" distB="0" distL="0" distR="0">
            <wp:extent cx="5895975" cy="3733454"/>
            <wp:effectExtent l="0" t="0" r="0" b="635"/>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04CAD" w:rsidRDefault="00E04CAD" w:rsidP="00E04CAD">
      <w:pPr>
        <w:jc w:val="both"/>
      </w:pPr>
    </w:p>
    <w:p w:rsidR="00E04CAD" w:rsidRDefault="00E04CAD" w:rsidP="00E04CAD">
      <w:pPr>
        <w:jc w:val="both"/>
      </w:pPr>
    </w:p>
    <w:p w:rsidR="00E04CAD" w:rsidRDefault="00E04CAD" w:rsidP="00E04CAD">
      <w:pPr>
        <w:jc w:val="both"/>
      </w:pPr>
    </w:p>
    <w:p w:rsidR="00E04CAD" w:rsidRDefault="00E04CAD" w:rsidP="00E04CAD">
      <w:pPr>
        <w:jc w:val="both"/>
      </w:pPr>
      <w:r>
        <w:rPr>
          <w:noProof/>
        </w:rPr>
        <w:lastRenderedPageBreak/>
        <w:drawing>
          <wp:inline distT="0" distB="0" distL="0" distR="0">
            <wp:extent cx="5895975" cy="5593426"/>
            <wp:effectExtent l="0" t="0" r="0" b="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04CAD" w:rsidRDefault="00E04CAD" w:rsidP="00E04CAD">
      <w:pPr>
        <w:jc w:val="both"/>
      </w:pPr>
    </w:p>
    <w:p w:rsidR="00E04CAD" w:rsidRDefault="00E04CAD" w:rsidP="00583A39">
      <w:pPr>
        <w:spacing w:after="200" w:line="276" w:lineRule="auto"/>
        <w:jc w:val="both"/>
      </w:pPr>
      <w:r>
        <w:t>Статистика отчислений за год в разрезе кампусов, уровней образования и характеристик отчисленных (бюджет-коммерция; причины отчисления) представлена на гистограмме:</w:t>
      </w:r>
    </w:p>
    <w:p w:rsidR="00E04CAD" w:rsidRDefault="00E04CAD" w:rsidP="00E04CAD">
      <w:pPr>
        <w:jc w:val="both"/>
      </w:pPr>
    </w:p>
    <w:p w:rsidR="00E04CAD" w:rsidRDefault="00E04CAD" w:rsidP="00E04CAD">
      <w:pPr>
        <w:jc w:val="both"/>
      </w:pPr>
      <w:r>
        <w:rPr>
          <w:noProof/>
        </w:rPr>
        <w:lastRenderedPageBreak/>
        <w:drawing>
          <wp:inline distT="0" distB="0" distL="0" distR="0">
            <wp:extent cx="5943600" cy="7605304"/>
            <wp:effectExtent l="0" t="0" r="0" b="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04CAD" w:rsidRDefault="00E04CAD" w:rsidP="00E04CAD">
      <w:pPr>
        <w:jc w:val="both"/>
      </w:pPr>
    </w:p>
    <w:p w:rsidR="00E04CAD" w:rsidRDefault="00E04CAD" w:rsidP="00583A39">
      <w:pPr>
        <w:spacing w:after="200" w:line="276" w:lineRule="auto"/>
        <w:jc w:val="both"/>
      </w:pPr>
      <w:r>
        <w:t xml:space="preserve">Сравнение факультетов по разным параметрам отчисления студентов будет рассматриваться на </w:t>
      </w:r>
      <w:proofErr w:type="gramStart"/>
      <w:r>
        <w:t>примере</w:t>
      </w:r>
      <w:proofErr w:type="gramEnd"/>
      <w:r>
        <w:t xml:space="preserve"> НИУ ВШЭ Москва, отдельно в каждом из выделенных периодов. </w:t>
      </w:r>
    </w:p>
    <w:p w:rsidR="00E04CAD" w:rsidRPr="00F15EBE" w:rsidRDefault="00E04CAD" w:rsidP="00E04CAD">
      <w:pPr>
        <w:jc w:val="both"/>
      </w:pPr>
    </w:p>
    <w:p w:rsidR="00E04CAD" w:rsidRDefault="00E04CAD" w:rsidP="00583A39">
      <w:pPr>
        <w:pStyle w:val="3"/>
      </w:pPr>
      <w:bookmarkStart w:id="35" w:name="_Toc235972941"/>
      <w:r>
        <w:lastRenderedPageBreak/>
        <w:t>Отчисленные студенты по итогам обучения в 1 полугодии 2012-2013 учебного года</w:t>
      </w:r>
    </w:p>
    <w:p w:rsidR="00E04CAD" w:rsidRPr="00DA12D4" w:rsidRDefault="00E04CAD" w:rsidP="00583A39">
      <w:pPr>
        <w:pStyle w:val="4"/>
      </w:pPr>
      <w:r>
        <w:t>Бакалавры и специалисты</w:t>
      </w:r>
    </w:p>
    <w:p w:rsidR="00E04CAD" w:rsidRDefault="00E04CAD" w:rsidP="00E04CAD">
      <w:r>
        <w:rPr>
          <w:noProof/>
        </w:rPr>
        <w:drawing>
          <wp:inline distT="0" distB="0" distL="0" distR="0">
            <wp:extent cx="5915025" cy="6334125"/>
            <wp:effectExtent l="0" t="0" r="28575" b="1587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04CAD" w:rsidRDefault="00E04CAD" w:rsidP="00E04CAD"/>
    <w:p w:rsidR="00E04CAD" w:rsidRPr="00F84D0C" w:rsidRDefault="00E04CAD" w:rsidP="00583A39">
      <w:pPr>
        <w:spacing w:after="200" w:line="276" w:lineRule="auto"/>
        <w:jc w:val="both"/>
      </w:pPr>
      <w:r>
        <w:t xml:space="preserve">В целом процент </w:t>
      </w:r>
      <w:proofErr w:type="gramStart"/>
      <w:r>
        <w:t>отчисленных</w:t>
      </w:r>
      <w:proofErr w:type="gramEnd"/>
      <w:r>
        <w:t xml:space="preserve"> по итогам обучения в первом полугодии 2012-2013 учебного года в НИУ ВШЭ Москвы составил 4,25</w:t>
      </w:r>
      <w:r w:rsidRPr="00800EEA">
        <w:t>%</w:t>
      </w:r>
      <w:r>
        <w:t>.</w:t>
      </w:r>
    </w:p>
    <w:p w:rsidR="00E04CAD" w:rsidRDefault="00E04CAD" w:rsidP="00583A39">
      <w:pPr>
        <w:spacing w:after="200" w:line="276" w:lineRule="auto"/>
        <w:jc w:val="both"/>
      </w:pPr>
      <w:r>
        <w:t>Наибольшая доля отчисленных студентов всех курсов по разным основаниям на факультете философии (13,02</w:t>
      </w:r>
      <w:r w:rsidRPr="00800EEA">
        <w:t>%</w:t>
      </w:r>
      <w:r>
        <w:t>), отделении прикладной математики и информатики (12,5</w:t>
      </w:r>
      <w:r w:rsidRPr="00800EEA">
        <w:t>%</w:t>
      </w:r>
      <w:r>
        <w:t>), факультете информационных технологий и вычислительной техники МИЭМ НИУ ВШЭ (10, 66</w:t>
      </w:r>
      <w:r w:rsidRPr="00800EEA">
        <w:t>%</w:t>
      </w:r>
      <w:r>
        <w:t>).</w:t>
      </w:r>
    </w:p>
    <w:p w:rsidR="00E04CAD" w:rsidRDefault="00E04CAD" w:rsidP="00583A39">
      <w:pPr>
        <w:spacing w:after="200" w:line="276" w:lineRule="auto"/>
        <w:jc w:val="both"/>
      </w:pPr>
      <w:r>
        <w:t xml:space="preserve">Наименьший процент </w:t>
      </w:r>
      <w:proofErr w:type="gramStart"/>
      <w:r>
        <w:t>отчисленных</w:t>
      </w:r>
      <w:proofErr w:type="gramEnd"/>
      <w:r>
        <w:t xml:space="preserve"> на отделении «Совместный </w:t>
      </w:r>
      <w:proofErr w:type="spellStart"/>
      <w:r>
        <w:t>бакалавриат</w:t>
      </w:r>
      <w:proofErr w:type="spellEnd"/>
      <w:r>
        <w:t xml:space="preserve"> ВШЭ и РЭШ» (0,85%), факультете государственного и муниципального управления (1,48 </w:t>
      </w:r>
      <w:r w:rsidRPr="00800EEA">
        <w:t>%</w:t>
      </w:r>
      <w:r>
        <w:t>), МИЭФ (1,65</w:t>
      </w:r>
      <w:r w:rsidRPr="00800EEA">
        <w:t>%</w:t>
      </w:r>
      <w:r>
        <w:t>).</w:t>
      </w:r>
    </w:p>
    <w:p w:rsidR="00E04CAD" w:rsidRDefault="00E04CAD" w:rsidP="00583A39">
      <w:pPr>
        <w:spacing w:after="200" w:line="276" w:lineRule="auto"/>
        <w:jc w:val="both"/>
      </w:pPr>
      <w:r>
        <w:lastRenderedPageBreak/>
        <w:t>На следующей диаграмме дополнительно выделена доля студентов, отчисленных за академическую неуспеваемость, а также доля бюджетных студентов из числа отчисленных по разным основаниям  и из числа студентов, отчисленных за академическую неуспеваемость.</w:t>
      </w:r>
    </w:p>
    <w:p w:rsidR="00E04CAD" w:rsidRDefault="00E04CAD" w:rsidP="00E04CAD"/>
    <w:p w:rsidR="00E04CAD" w:rsidRDefault="00E04CAD" w:rsidP="00E04CAD">
      <w:r>
        <w:rPr>
          <w:noProof/>
        </w:rPr>
        <w:drawing>
          <wp:inline distT="0" distB="0" distL="0" distR="0">
            <wp:extent cx="6019800" cy="6057900"/>
            <wp:effectExtent l="19050" t="0" r="1905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04CAD" w:rsidRDefault="00E04CAD" w:rsidP="00E04CAD">
      <w:pPr>
        <w:jc w:val="both"/>
      </w:pPr>
    </w:p>
    <w:p w:rsidR="00E04CAD" w:rsidRDefault="00E04CAD" w:rsidP="00356EA0">
      <w:pPr>
        <w:spacing w:after="200" w:line="276" w:lineRule="auto"/>
        <w:jc w:val="both"/>
      </w:pPr>
      <w:r>
        <w:t>В целом по НИУ ВШЭ Москвы по итогам первого полугодия 2012-2013 учебного года было отчислено 4,25</w:t>
      </w:r>
      <w:r w:rsidRPr="00800EEA">
        <w:t xml:space="preserve">% </w:t>
      </w:r>
      <w:r>
        <w:t>студентов, при этом на академическую неуспеваемость были отчислены 2,37</w:t>
      </w:r>
      <w:r w:rsidRPr="00800EEA">
        <w:t xml:space="preserve">% </w:t>
      </w:r>
      <w:r>
        <w:t xml:space="preserve">студентов. При этом и в целом по всем отчисленным и среди </w:t>
      </w:r>
      <w:proofErr w:type="gramStart"/>
      <w:r>
        <w:t>отчисленных</w:t>
      </w:r>
      <w:proofErr w:type="gramEnd"/>
      <w:r>
        <w:t xml:space="preserve"> за академическую неуспеваемость около 42</w:t>
      </w:r>
      <w:r w:rsidRPr="00800EEA">
        <w:t xml:space="preserve">% </w:t>
      </w:r>
      <w:r>
        <w:t>составляют бюджетные студенты.</w:t>
      </w:r>
    </w:p>
    <w:p w:rsidR="00E04CAD" w:rsidRDefault="00E04CAD" w:rsidP="00356EA0">
      <w:pPr>
        <w:spacing w:after="200" w:line="276" w:lineRule="auto"/>
        <w:jc w:val="both"/>
      </w:pPr>
      <w:r>
        <w:t xml:space="preserve">Как </w:t>
      </w:r>
      <w:proofErr w:type="gramStart"/>
      <w:r>
        <w:t>распределяются отчисленные студенты по курсам демонстрируют</w:t>
      </w:r>
      <w:proofErr w:type="gramEnd"/>
      <w:r>
        <w:t xml:space="preserve"> две нижеследующие гистограммы (по всем основаниям и за академическую неуспеваемость). Данные в диаграммах приведены в абсолютных значениях, что позволяет при анализе отчислений учесть «размер» факультетов. </w:t>
      </w:r>
    </w:p>
    <w:p w:rsidR="00E04CAD" w:rsidRDefault="00E04CAD" w:rsidP="00E04CAD">
      <w:pPr>
        <w:jc w:val="both"/>
      </w:pPr>
    </w:p>
    <w:p w:rsidR="00E04CAD" w:rsidRDefault="00E04CAD" w:rsidP="00E04CAD">
      <w:pPr>
        <w:jc w:val="both"/>
      </w:pPr>
      <w:r>
        <w:rPr>
          <w:noProof/>
        </w:rPr>
        <w:drawing>
          <wp:inline distT="0" distB="0" distL="0" distR="0">
            <wp:extent cx="5991225" cy="7458075"/>
            <wp:effectExtent l="0" t="0" r="9525"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04CAD" w:rsidRDefault="00E04CAD" w:rsidP="00E04CAD">
      <w:pPr>
        <w:jc w:val="both"/>
      </w:pPr>
    </w:p>
    <w:p w:rsidR="00E04CAD" w:rsidRDefault="00E04CAD" w:rsidP="00E04CAD">
      <w:pPr>
        <w:jc w:val="both"/>
      </w:pPr>
      <w:r>
        <w:rPr>
          <w:noProof/>
        </w:rPr>
        <w:lastRenderedPageBreak/>
        <w:drawing>
          <wp:inline distT="0" distB="0" distL="0" distR="0">
            <wp:extent cx="5943600" cy="8467725"/>
            <wp:effectExtent l="0" t="0" r="19050" b="95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04CAD" w:rsidRDefault="00E04CAD" w:rsidP="00E04CAD">
      <w:pPr>
        <w:jc w:val="both"/>
      </w:pPr>
    </w:p>
    <w:p w:rsidR="00E04CAD" w:rsidRDefault="00E04CAD" w:rsidP="00356EA0">
      <w:pPr>
        <w:spacing w:after="200" w:line="276" w:lineRule="auto"/>
        <w:jc w:val="both"/>
      </w:pPr>
      <w:r>
        <w:t xml:space="preserve">Наибольшее число отчисленных студентов по разным основаниям -  на </w:t>
      </w:r>
      <w:proofErr w:type="gramStart"/>
      <w:r>
        <w:t>факультете</w:t>
      </w:r>
      <w:proofErr w:type="gramEnd"/>
      <w:r>
        <w:t xml:space="preserve"> электроники и телекоммуникаций  МИЭМ (51 чел.); экономике (42 чел.); факультете </w:t>
      </w:r>
      <w:r>
        <w:lastRenderedPageBreak/>
        <w:t>информационных технологий и телекоммуникации МИЭМ (41 чел.). На данных факультетах также наибольшее число отчислений за академическую неуспеваемость.</w:t>
      </w:r>
    </w:p>
    <w:p w:rsidR="00E04CAD" w:rsidRDefault="00E04CAD" w:rsidP="00356EA0">
      <w:pPr>
        <w:spacing w:after="200" w:line="276" w:lineRule="auto"/>
        <w:jc w:val="both"/>
      </w:pPr>
      <w:r>
        <w:t xml:space="preserve">Отчисления по всем основаниям по курсам </w:t>
      </w:r>
      <w:proofErr w:type="spellStart"/>
      <w:r>
        <w:t>бакалавриата</w:t>
      </w:r>
      <w:proofErr w:type="spellEnd"/>
      <w:r>
        <w:t xml:space="preserve"> (в процентах от численности студентов курса на 1 октября 2012 года) демонстрирует гистограмма:</w:t>
      </w:r>
    </w:p>
    <w:p w:rsidR="00E04CAD" w:rsidRDefault="00E04CAD" w:rsidP="00E04CAD">
      <w:pPr>
        <w:jc w:val="both"/>
      </w:pPr>
      <w:r>
        <w:rPr>
          <w:noProof/>
        </w:rPr>
        <w:drawing>
          <wp:inline distT="0" distB="0" distL="0" distR="0">
            <wp:extent cx="5886450" cy="6549390"/>
            <wp:effectExtent l="0" t="0" r="31750" b="2921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04CAD" w:rsidRPr="005573AE" w:rsidRDefault="00E04CAD" w:rsidP="00356EA0">
      <w:pPr>
        <w:spacing w:after="200" w:line="276" w:lineRule="auto"/>
        <w:jc w:val="both"/>
      </w:pPr>
      <w:r>
        <w:t xml:space="preserve">Наибольший процент отчислений с первого курса наблюдается на следующих </w:t>
      </w:r>
      <w:proofErr w:type="gramStart"/>
      <w:r>
        <w:t>факультетах</w:t>
      </w:r>
      <w:proofErr w:type="gramEnd"/>
      <w:r>
        <w:t xml:space="preserve">: электроники и телекоммуникаций МИЭМ (ФЭТ) – 40,38%; философии – 25,76%; прикладной математики и информатики (ПМ) – 20%, бизнес-информатики (БИ) – 13,89% и др. </w:t>
      </w:r>
    </w:p>
    <w:p w:rsidR="00E04CAD" w:rsidRDefault="00E04CAD" w:rsidP="00356EA0">
      <w:pPr>
        <w:spacing w:after="200" w:line="276" w:lineRule="auto"/>
        <w:jc w:val="both"/>
      </w:pPr>
      <w:r>
        <w:lastRenderedPageBreak/>
        <w:t xml:space="preserve">Меньше всего отчисленных с первого курса на </w:t>
      </w:r>
      <w:proofErr w:type="gramStart"/>
      <w:r>
        <w:t>факультете</w:t>
      </w:r>
      <w:proofErr w:type="gramEnd"/>
      <w:r>
        <w:t xml:space="preserve"> менеджмента – 1,29%; психологии – 1,79%. На факультетах логистики и совместном </w:t>
      </w:r>
      <w:proofErr w:type="spellStart"/>
      <w:r>
        <w:t>бакалавриате</w:t>
      </w:r>
      <w:proofErr w:type="spellEnd"/>
      <w:r>
        <w:t xml:space="preserve"> «ВШЭ-РЭШ» ни один первокурсник не был отчислен.</w:t>
      </w:r>
    </w:p>
    <w:p w:rsidR="00E04CAD" w:rsidRDefault="00E04CAD" w:rsidP="00356EA0">
      <w:pPr>
        <w:pStyle w:val="4"/>
      </w:pPr>
      <w:r>
        <w:t>Магистры</w:t>
      </w:r>
    </w:p>
    <w:p w:rsidR="00E04CAD" w:rsidRDefault="00E04CAD" w:rsidP="00E04CAD">
      <w:pPr>
        <w:jc w:val="both"/>
      </w:pPr>
    </w:p>
    <w:p w:rsidR="00E04CAD" w:rsidRDefault="00E04CAD" w:rsidP="00356EA0">
      <w:pPr>
        <w:spacing w:after="200" w:line="276" w:lineRule="auto"/>
        <w:jc w:val="both"/>
      </w:pPr>
      <w:r>
        <w:t xml:space="preserve">Так как число коммерческих студентов магистратуры невелико, и среди отчисленных они не занимают значительной доли (как это было видно на круговых </w:t>
      </w:r>
      <w:proofErr w:type="gramStart"/>
      <w:r>
        <w:t>диаграммах</w:t>
      </w:r>
      <w:proofErr w:type="gramEnd"/>
      <w:r>
        <w:t xml:space="preserve"> выше), то сравнение по признаку бюджет – коммерция проводить не будем. </w:t>
      </w:r>
    </w:p>
    <w:p w:rsidR="00E04CAD" w:rsidRDefault="00E04CAD" w:rsidP="00356EA0">
      <w:pPr>
        <w:spacing w:after="200" w:line="276" w:lineRule="auto"/>
        <w:jc w:val="both"/>
      </w:pPr>
      <w:r>
        <w:t>Изменение процента отчислений студентов по курсам представлено на гистограмме ниже:</w:t>
      </w:r>
    </w:p>
    <w:p w:rsidR="00E04CAD" w:rsidRDefault="00E04CAD" w:rsidP="00E04CAD">
      <w:pPr>
        <w:jc w:val="both"/>
      </w:pPr>
      <w:r>
        <w:rPr>
          <w:noProof/>
        </w:rPr>
        <w:drawing>
          <wp:inline distT="0" distB="0" distL="0" distR="0">
            <wp:extent cx="6010275" cy="6297930"/>
            <wp:effectExtent l="0" t="0" r="34925" b="2667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04CAD" w:rsidRDefault="00E04CAD" w:rsidP="00E04CAD"/>
    <w:p w:rsidR="00E04CAD" w:rsidRPr="00EE5183" w:rsidRDefault="00E04CAD" w:rsidP="00356EA0">
      <w:pPr>
        <w:spacing w:after="200" w:line="276" w:lineRule="auto"/>
        <w:jc w:val="both"/>
      </w:pPr>
      <w:r>
        <w:lastRenderedPageBreak/>
        <w:t>Сравним факультеты по соотношению причин отчисления, выделив отчисление по академическим причинам в общем числе отчислений. В целом по НИУ ВШЭ Москвы 74</w:t>
      </w:r>
      <w:r w:rsidRPr="00800EEA">
        <w:t xml:space="preserve">% </w:t>
      </w:r>
      <w:r>
        <w:t xml:space="preserve">отчисленных студентов магистратуры отчислялись за академическую неуспеваемость. Однако по факультетам картина отличается разительно. Есть факультеты, где все отчисления связаны с неуспеваемостью (психологии, </w:t>
      </w:r>
      <w:proofErr w:type="spellStart"/>
      <w:r>
        <w:t>медиакоммуникаций</w:t>
      </w:r>
      <w:proofErr w:type="spellEnd"/>
      <w:r>
        <w:t xml:space="preserve">, </w:t>
      </w:r>
      <w:proofErr w:type="gramStart"/>
      <w:r>
        <w:t>бизнес-информатики</w:t>
      </w:r>
      <w:proofErr w:type="gramEnd"/>
      <w:r>
        <w:t>, факультеты информационных технологий и вычислительной техники и электронной техники МИЭМ НИУ ВШЭ), и имеются факультеты, которые теряют студентов по причинам, не связанным с академической неуспеваемостью (истории, востоковедения, культурологии, статистики и демографии)</w:t>
      </w:r>
      <w:r w:rsidRPr="00356EA0">
        <w:rPr>
          <w:vertAlign w:val="superscript"/>
        </w:rPr>
        <w:footnoteReference w:id="7"/>
      </w:r>
      <w:r>
        <w:t>.</w:t>
      </w:r>
    </w:p>
    <w:p w:rsidR="00E04CAD" w:rsidRDefault="00E04CAD" w:rsidP="00356EA0">
      <w:r w:rsidRPr="002C4ED9">
        <w:rPr>
          <w:noProof/>
        </w:rPr>
        <w:drawing>
          <wp:inline distT="0" distB="0" distL="0" distR="0">
            <wp:extent cx="5943600" cy="5457825"/>
            <wp:effectExtent l="0" t="0" r="19050" b="952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t xml:space="preserve"> </w:t>
      </w:r>
    </w:p>
    <w:p w:rsidR="00E04CAD" w:rsidRDefault="00E04CAD" w:rsidP="00356EA0">
      <w:pPr>
        <w:pStyle w:val="3"/>
      </w:pPr>
      <w:r>
        <w:t xml:space="preserve">Отчисленные </w:t>
      </w:r>
      <w:r w:rsidRPr="00F15EBE">
        <w:t>по итогам обучения</w:t>
      </w:r>
      <w:r>
        <w:t xml:space="preserve">  во 2 полугодии 2012-2013 </w:t>
      </w:r>
      <w:r w:rsidRPr="00F15EBE">
        <w:t>учебного года</w:t>
      </w:r>
      <w:bookmarkEnd w:id="35"/>
    </w:p>
    <w:p w:rsidR="00E04CAD" w:rsidRPr="00356EA0" w:rsidRDefault="00E04CAD" w:rsidP="00356EA0">
      <w:pPr>
        <w:pStyle w:val="4"/>
      </w:pPr>
      <w:bookmarkStart w:id="36" w:name="_Toc235972942"/>
      <w:r w:rsidRPr="00356EA0">
        <w:t>Бакалавры и специалисты</w:t>
      </w:r>
      <w:bookmarkEnd w:id="36"/>
    </w:p>
    <w:p w:rsidR="00E04CAD" w:rsidRPr="00F84D0C" w:rsidRDefault="00E04CAD" w:rsidP="00356EA0">
      <w:pPr>
        <w:spacing w:after="200" w:line="276" w:lineRule="auto"/>
        <w:jc w:val="both"/>
      </w:pPr>
      <w:r w:rsidRPr="00356EA0">
        <w:t>В целом процент отчисленных бака</w:t>
      </w:r>
      <w:r w:rsidR="00356EA0">
        <w:t>ла</w:t>
      </w:r>
      <w:r w:rsidRPr="00356EA0">
        <w:t xml:space="preserve">вров (специалистов) по итогам обучения во втором полугодии 2012-2013 учебного года  в НИУ ВШЭ Москвы составил 5, 6% </w:t>
      </w:r>
    </w:p>
    <w:p w:rsidR="00E04CAD" w:rsidRDefault="00E04CAD" w:rsidP="00356EA0">
      <w:pPr>
        <w:spacing w:after="200" w:line="276" w:lineRule="auto"/>
        <w:jc w:val="both"/>
      </w:pPr>
      <w:r>
        <w:lastRenderedPageBreak/>
        <w:t xml:space="preserve">Наибольшая доля отчисленных студентов </w:t>
      </w:r>
      <w:proofErr w:type="spellStart"/>
      <w:r>
        <w:t>бакалавриата</w:t>
      </w:r>
      <w:proofErr w:type="spellEnd"/>
      <w:r>
        <w:t xml:space="preserve"> (</w:t>
      </w:r>
      <w:proofErr w:type="spellStart"/>
      <w:r>
        <w:t>специалитета</w:t>
      </w:r>
      <w:proofErr w:type="spellEnd"/>
      <w:r>
        <w:t>) всех курсов по разным основаниям на факультете философии (14,67%), отделении программной инженерии (11,71%), , отделении прикладной математики и информатики (9,96%) и факульт</w:t>
      </w:r>
      <w:r w:rsidR="00356EA0">
        <w:t>ете прикладной математики и кибе</w:t>
      </w:r>
      <w:r>
        <w:t>рнетике (9,57%).</w:t>
      </w:r>
    </w:p>
    <w:p w:rsidR="00E04CAD" w:rsidRDefault="00E04CAD" w:rsidP="00716F62">
      <w:pPr>
        <w:spacing w:after="200" w:line="276" w:lineRule="auto"/>
        <w:jc w:val="both"/>
      </w:pPr>
      <w:r>
        <w:t xml:space="preserve">Наименьший процент </w:t>
      </w:r>
      <w:proofErr w:type="gramStart"/>
      <w:r>
        <w:t>отчисленных</w:t>
      </w:r>
      <w:proofErr w:type="gramEnd"/>
      <w:r>
        <w:t xml:space="preserve"> на отделении «Совместный </w:t>
      </w:r>
      <w:proofErr w:type="spellStart"/>
      <w:r>
        <w:t>бакалавриат</w:t>
      </w:r>
      <w:proofErr w:type="spellEnd"/>
      <w:r>
        <w:t xml:space="preserve"> ВШЭ и РЭШ»</w:t>
      </w:r>
      <w:r w:rsidRPr="00356EA0">
        <w:rPr>
          <w:vertAlign w:val="superscript"/>
        </w:rPr>
        <w:footnoteReference w:id="8"/>
      </w:r>
      <w:r w:rsidRPr="00356EA0">
        <w:rPr>
          <w:vertAlign w:val="superscript"/>
        </w:rPr>
        <w:t xml:space="preserve"> </w:t>
      </w:r>
      <w:r>
        <w:t>(2,54%), факультете права (2,74%), факультете дизайна (2,94%).</w:t>
      </w:r>
    </w:p>
    <w:p w:rsidR="00E04CAD" w:rsidRPr="00B34F15" w:rsidRDefault="00E04CAD" w:rsidP="00E04CAD">
      <w:r>
        <w:rPr>
          <w:noProof/>
        </w:rPr>
        <w:drawing>
          <wp:inline distT="0" distB="0" distL="0" distR="0">
            <wp:extent cx="5943600" cy="5572125"/>
            <wp:effectExtent l="0" t="0" r="19050"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04CAD" w:rsidRDefault="00E04CAD" w:rsidP="00E04CAD"/>
    <w:p w:rsidR="00E04CAD" w:rsidRDefault="00E04CAD" w:rsidP="00356EA0">
      <w:pPr>
        <w:spacing w:after="200" w:line="276" w:lineRule="auto"/>
        <w:jc w:val="both"/>
      </w:pPr>
      <w:r>
        <w:t>На следующей диаграмме дополнительно выделена доля студентов, отчисленных за академическую неуспеваемость, а также доля бюджетных студентов из числа отчисленных по разным основаниям  и из числа студентов, отчисленных за академическую неуспеваемость.</w:t>
      </w:r>
    </w:p>
    <w:p w:rsidR="00E04CAD" w:rsidRDefault="00E04CAD" w:rsidP="00356EA0">
      <w:pPr>
        <w:spacing w:after="200" w:line="276" w:lineRule="auto"/>
        <w:jc w:val="both"/>
      </w:pPr>
    </w:p>
    <w:p w:rsidR="00E04CAD" w:rsidRDefault="00E04CAD" w:rsidP="00E04CAD">
      <w:pPr>
        <w:jc w:val="both"/>
      </w:pPr>
    </w:p>
    <w:p w:rsidR="00E04CAD" w:rsidRDefault="00E04CAD" w:rsidP="00E04CAD">
      <w:pPr>
        <w:jc w:val="both"/>
      </w:pPr>
      <w:r>
        <w:rPr>
          <w:noProof/>
        </w:rPr>
        <w:lastRenderedPageBreak/>
        <w:drawing>
          <wp:inline distT="0" distB="0" distL="0" distR="0">
            <wp:extent cx="5943600" cy="6162675"/>
            <wp:effectExtent l="0" t="0" r="19050" b="952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04CAD" w:rsidRDefault="00E04CAD" w:rsidP="00E04CAD">
      <w:pPr>
        <w:jc w:val="both"/>
      </w:pPr>
    </w:p>
    <w:p w:rsidR="00E04CAD" w:rsidRDefault="00E04CAD" w:rsidP="00044ABF">
      <w:pPr>
        <w:spacing w:after="200" w:line="276" w:lineRule="auto"/>
        <w:jc w:val="both"/>
      </w:pPr>
      <w:r>
        <w:t xml:space="preserve">Согласно приведенным выше данным в целом по НИУ ВШЭ Москвы по итогам второго полугодия 2012-2013 учебного года было отчислено 5,6% студентов, почти половина из них отчислена за академическую неуспеваемость (2,3%). При этом распределение бюджетных студентов </w:t>
      </w:r>
      <w:proofErr w:type="gramStart"/>
      <w:r>
        <w:t>среди</w:t>
      </w:r>
      <w:proofErr w:type="gramEnd"/>
      <w:r>
        <w:t xml:space="preserve"> отчисленных по всем основаниям и отчисленных за академическую неуспеваемость почти равное (36% и 38% соответственно).</w:t>
      </w:r>
    </w:p>
    <w:p w:rsidR="00E04CAD" w:rsidRDefault="00E04CAD" w:rsidP="00044ABF">
      <w:pPr>
        <w:spacing w:after="200" w:line="276" w:lineRule="auto"/>
        <w:jc w:val="both"/>
      </w:pPr>
      <w:r>
        <w:t xml:space="preserve">Можно выделить факультеты, на которых отчисления не связаны с академической неуспеваемостью – это </w:t>
      </w:r>
      <w:proofErr w:type="gramStart"/>
      <w:r>
        <w:t>совместный</w:t>
      </w:r>
      <w:proofErr w:type="gramEnd"/>
      <w:r>
        <w:t xml:space="preserve"> </w:t>
      </w:r>
      <w:proofErr w:type="spellStart"/>
      <w:r>
        <w:t>бакалавриат</w:t>
      </w:r>
      <w:proofErr w:type="spellEnd"/>
      <w:r>
        <w:t xml:space="preserve"> «ВШЭ-РЭШ» (нет отчислений за академическую неуспеваемость), факультеты права, государственного и муниципального управления, социологии (отчисления за академическую неуспеваемость меньше 1%).</w:t>
      </w:r>
    </w:p>
    <w:p w:rsidR="00E04CAD" w:rsidRDefault="00E04CAD" w:rsidP="00044ABF">
      <w:pPr>
        <w:spacing w:after="200" w:line="276" w:lineRule="auto"/>
        <w:jc w:val="both"/>
      </w:pPr>
      <w:r>
        <w:t xml:space="preserve">Ниже представлены диаграммы, показывающие распределение отчисленных студентов по курсам и причинам отчисления (по всем основаниям отчисления и за академическую </w:t>
      </w:r>
      <w:r>
        <w:lastRenderedPageBreak/>
        <w:t>неуспеваемость). При этом на факультетах дизайна, ФИТИВТ отчисления, в основном, связаны с неуспеваемостью.</w:t>
      </w:r>
    </w:p>
    <w:p w:rsidR="00E04CAD" w:rsidRDefault="00E04CAD" w:rsidP="00E04CAD">
      <w:r>
        <w:rPr>
          <w:noProof/>
        </w:rPr>
        <w:drawing>
          <wp:inline distT="0" distB="0" distL="0" distR="0">
            <wp:extent cx="5940425" cy="7380663"/>
            <wp:effectExtent l="0" t="0" r="3175" b="1079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04CAD" w:rsidRDefault="00E04CAD" w:rsidP="00E04CAD"/>
    <w:p w:rsidR="00E04CAD" w:rsidRPr="00C0560A" w:rsidRDefault="00E04CAD" w:rsidP="00E04CAD">
      <w:r>
        <w:rPr>
          <w:noProof/>
        </w:rPr>
        <w:lastRenderedPageBreak/>
        <w:drawing>
          <wp:inline distT="0" distB="0" distL="0" distR="0">
            <wp:extent cx="5940425" cy="6550173"/>
            <wp:effectExtent l="0" t="0" r="22225" b="222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04CAD" w:rsidRDefault="00E04CAD" w:rsidP="00E04CAD"/>
    <w:p w:rsidR="00E04CAD" w:rsidRDefault="00E04CAD" w:rsidP="00044ABF">
      <w:pPr>
        <w:spacing w:after="200" w:line="276" w:lineRule="auto"/>
        <w:jc w:val="both"/>
      </w:pPr>
      <w:r>
        <w:t xml:space="preserve">Сравнение в процентном отношении отчисленных студентов </w:t>
      </w:r>
      <w:proofErr w:type="spellStart"/>
      <w:r>
        <w:t>бакалавриата</w:t>
      </w:r>
      <w:proofErr w:type="spellEnd"/>
      <w:r>
        <w:t xml:space="preserve"> (</w:t>
      </w:r>
      <w:proofErr w:type="spellStart"/>
      <w:r>
        <w:t>специалитета</w:t>
      </w:r>
      <w:proofErr w:type="spellEnd"/>
      <w:r>
        <w:t xml:space="preserve">) по курсам представлено на следующей диаграмме: </w:t>
      </w:r>
    </w:p>
    <w:p w:rsidR="00E04CAD" w:rsidRDefault="00E04CAD" w:rsidP="00E04CAD">
      <w:pPr>
        <w:jc w:val="both"/>
      </w:pPr>
    </w:p>
    <w:p w:rsidR="00E04CAD" w:rsidRDefault="00E04CAD" w:rsidP="00E04CAD">
      <w:pPr>
        <w:jc w:val="both"/>
      </w:pPr>
      <w:r>
        <w:rPr>
          <w:noProof/>
        </w:rPr>
        <w:lastRenderedPageBreak/>
        <w:drawing>
          <wp:inline distT="0" distB="0" distL="0" distR="0">
            <wp:extent cx="6019800" cy="7898130"/>
            <wp:effectExtent l="0" t="0" r="25400" b="2667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04CAD" w:rsidRPr="00044ABF" w:rsidRDefault="00E04CAD" w:rsidP="00044ABF">
      <w:pPr>
        <w:spacing w:after="200" w:line="276" w:lineRule="auto"/>
        <w:jc w:val="both"/>
      </w:pPr>
      <w:bookmarkStart w:id="37" w:name="_Toc235972943"/>
      <w:r w:rsidRPr="00044ABF">
        <w:t xml:space="preserve">Наибольший процент отчислений с первого курса – на </w:t>
      </w:r>
      <w:proofErr w:type="gramStart"/>
      <w:r w:rsidRPr="00044ABF">
        <w:t>факультете</w:t>
      </w:r>
      <w:proofErr w:type="gramEnd"/>
      <w:r w:rsidRPr="00044ABF">
        <w:t xml:space="preserve"> математики (16,98%), ПМ (15,46%), </w:t>
      </w:r>
      <w:proofErr w:type="spellStart"/>
      <w:r w:rsidRPr="00044ABF">
        <w:t>ФПМиК</w:t>
      </w:r>
      <w:proofErr w:type="spellEnd"/>
      <w:r w:rsidRPr="00044ABF">
        <w:t xml:space="preserve"> (12,2%),ПИ (12,09%). </w:t>
      </w:r>
    </w:p>
    <w:p w:rsidR="00E04CAD" w:rsidRPr="00564CEF" w:rsidRDefault="00E04CAD" w:rsidP="00E04CAD"/>
    <w:p w:rsidR="00E04CAD" w:rsidRDefault="00E04CAD" w:rsidP="00044ABF">
      <w:pPr>
        <w:pStyle w:val="4"/>
      </w:pPr>
      <w:r>
        <w:lastRenderedPageBreak/>
        <w:t>Магистры</w:t>
      </w:r>
      <w:bookmarkEnd w:id="37"/>
    </w:p>
    <w:p w:rsidR="00E04CAD" w:rsidRDefault="00E04CAD" w:rsidP="00C373DF">
      <w:pPr>
        <w:spacing w:after="200" w:line="276" w:lineRule="auto"/>
        <w:jc w:val="both"/>
      </w:pPr>
      <w:r>
        <w:t>Изменение процента отчислений студентов по курсам представлено на гистограмме ниже:</w:t>
      </w:r>
    </w:p>
    <w:p w:rsidR="00E04CAD" w:rsidRDefault="00E04CAD" w:rsidP="00E04CAD">
      <w:pPr>
        <w:jc w:val="both"/>
      </w:pPr>
      <w:r w:rsidRPr="002C4ED9">
        <w:rPr>
          <w:noProof/>
          <w:sz w:val="22"/>
          <w:szCs w:val="22"/>
        </w:rPr>
        <w:drawing>
          <wp:inline distT="0" distB="0" distL="0" distR="0">
            <wp:extent cx="6019800" cy="6983730"/>
            <wp:effectExtent l="0" t="0" r="25400" b="2667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04CAD" w:rsidRDefault="00E04CAD" w:rsidP="00044ABF">
      <w:pPr>
        <w:spacing w:after="200" w:line="276" w:lineRule="auto"/>
        <w:jc w:val="both"/>
      </w:pPr>
      <w:r>
        <w:t xml:space="preserve">Согласно диаграмме, представленной выше – наибольший процент отчислений с первого курса наблюдается на кафедре публичной политики (26,92%), ФЭТ (25%), востоковедении (21,05%). Меньше всего отчисляют с первого курса магистратуры на </w:t>
      </w:r>
      <w:proofErr w:type="gramStart"/>
      <w:r>
        <w:t>факультете</w:t>
      </w:r>
      <w:proofErr w:type="gramEnd"/>
      <w:r>
        <w:t xml:space="preserve"> ГМУ (2,04%), права (3,42%). На факультетах логистики и культурологии не отчислили ни одного студента-первокурсника. При этом</w:t>
      </w:r>
      <w:proofErr w:type="gramStart"/>
      <w:r>
        <w:t>,</w:t>
      </w:r>
      <w:proofErr w:type="gramEnd"/>
      <w:r>
        <w:t xml:space="preserve"> на факультетах ПИ и ГМУ – высокий процент отчислений со второго курса (35% и 36% соответственно).</w:t>
      </w:r>
    </w:p>
    <w:p w:rsidR="00E04CAD" w:rsidRPr="00FF3EC8" w:rsidRDefault="00E04CAD" w:rsidP="00044ABF">
      <w:pPr>
        <w:spacing w:after="200" w:line="276" w:lineRule="auto"/>
        <w:jc w:val="both"/>
      </w:pPr>
      <w:r>
        <w:lastRenderedPageBreak/>
        <w:t xml:space="preserve">Сравним факультеты по соотношению причин отчисления, выделив отчисление по академическим причинам в общем числе отчислений. В целом по НИУ ВШЭ Москвы 39% </w:t>
      </w:r>
      <w:r w:rsidRPr="00800EEA">
        <w:t xml:space="preserve"> </w:t>
      </w:r>
      <w:r>
        <w:t xml:space="preserve">отчисленных студентов магистратуры отчислялись за академическую неуспеваемость. </w:t>
      </w:r>
    </w:p>
    <w:p w:rsidR="00E04CAD" w:rsidRDefault="00E04CAD" w:rsidP="00E04CAD"/>
    <w:p w:rsidR="00E04CAD" w:rsidRDefault="00E04CAD" w:rsidP="006145B0">
      <w:r>
        <w:rPr>
          <w:noProof/>
        </w:rPr>
        <w:drawing>
          <wp:inline distT="0" distB="0" distL="0" distR="0">
            <wp:extent cx="5943600" cy="4530090"/>
            <wp:effectExtent l="0" t="0" r="25400" b="1651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04CAD" w:rsidRDefault="00E04CAD" w:rsidP="006145B0">
      <w:pPr>
        <w:spacing w:after="200" w:line="276" w:lineRule="auto"/>
        <w:jc w:val="both"/>
      </w:pPr>
      <w:r>
        <w:t>В магистратуре отделения статистики, анализа данных и демографии, факультете электронных технологий, а также филологии отчисления связаны с академической неуспеваемостью. На факультетах истории, логистики, в Банковском институте отчисляют по основаниям, не связанным с успеваемостью.</w:t>
      </w:r>
    </w:p>
    <w:p w:rsidR="00E04CAD" w:rsidRDefault="00E04CAD" w:rsidP="00CA6818">
      <w:pPr>
        <w:spacing w:after="200" w:line="276" w:lineRule="auto"/>
        <w:jc w:val="both"/>
      </w:pPr>
      <w:r>
        <w:t>В целом по магистратуре НИУ ВШЭ Москвы – 9% отчисленных студентов.</w:t>
      </w:r>
    </w:p>
    <w:p w:rsidR="006010D1" w:rsidRDefault="006010D1" w:rsidP="006010D1">
      <w:pPr>
        <w:pStyle w:val="3"/>
      </w:pPr>
      <w:r>
        <w:t>Программы высшего образования подразделений ДПО</w:t>
      </w:r>
    </w:p>
    <w:p w:rsidR="00B02A0A" w:rsidRDefault="00B02A0A" w:rsidP="006010D1">
      <w:pPr>
        <w:spacing w:after="200" w:line="276" w:lineRule="auto"/>
        <w:jc w:val="both"/>
      </w:pPr>
    </w:p>
    <w:p w:rsidR="006010D1" w:rsidRDefault="006010D1" w:rsidP="006010D1">
      <w:pPr>
        <w:spacing w:after="200" w:line="276" w:lineRule="auto"/>
        <w:jc w:val="both"/>
      </w:pPr>
      <w:proofErr w:type="gramStart"/>
      <w:r>
        <w:t>В 2012/2013 году из НИУ ВШЭ было отчислено 272 студента, обучающиеся по программам высшего образования в подразделениях ДПО, в том числе:</w:t>
      </w:r>
      <w:proofErr w:type="gramEnd"/>
    </w:p>
    <w:p w:rsidR="006010D1" w:rsidRDefault="006010D1" w:rsidP="006010D1">
      <w:pPr>
        <w:spacing w:after="200" w:line="276" w:lineRule="auto"/>
        <w:jc w:val="both"/>
      </w:pPr>
      <w:r>
        <w:t>Москва – 95 человек</w:t>
      </w:r>
    </w:p>
    <w:p w:rsidR="006010D1" w:rsidRDefault="006010D1" w:rsidP="006010D1">
      <w:pPr>
        <w:spacing w:after="200" w:line="276" w:lineRule="auto"/>
        <w:jc w:val="both"/>
      </w:pPr>
      <w:r>
        <w:t>НИУ ВШЭ – Нижний Новгород – 39 человек</w:t>
      </w:r>
    </w:p>
    <w:p w:rsidR="006010D1" w:rsidRDefault="006010D1" w:rsidP="006010D1">
      <w:pPr>
        <w:spacing w:after="200" w:line="276" w:lineRule="auto"/>
        <w:jc w:val="both"/>
      </w:pPr>
      <w:r>
        <w:t>НИУ ВШЭ – Пермь –  88 человек</w:t>
      </w:r>
    </w:p>
    <w:p w:rsidR="006010D1" w:rsidRDefault="006010D1" w:rsidP="006010D1">
      <w:pPr>
        <w:spacing w:after="200" w:line="276" w:lineRule="auto"/>
        <w:jc w:val="both"/>
      </w:pPr>
      <w:r>
        <w:t>НИУ ВШЭ – Санкт-Петербург – 50 человек.</w:t>
      </w:r>
    </w:p>
    <w:p w:rsidR="006010D1" w:rsidRDefault="006010D1" w:rsidP="006010D1">
      <w:pPr>
        <w:spacing w:after="200" w:line="276" w:lineRule="auto"/>
        <w:jc w:val="both"/>
      </w:pPr>
    </w:p>
    <w:p w:rsidR="006010D1" w:rsidRDefault="006010D1" w:rsidP="006010D1">
      <w:pPr>
        <w:spacing w:after="200" w:line="276" w:lineRule="auto"/>
        <w:jc w:val="both"/>
      </w:pPr>
      <w:r>
        <w:t>Причиной более 40% всех отчислений являлось собственное желание студента, около 40% отчислены за академическую неуспеваемость, 17% не прошли итоговую аттестацию, 3% отчислены за неисполнение условий договора.</w:t>
      </w:r>
    </w:p>
    <w:p w:rsidR="006010D1" w:rsidRDefault="006010D1" w:rsidP="006010D1">
      <w:pPr>
        <w:spacing w:after="200" w:line="276" w:lineRule="auto"/>
        <w:jc w:val="both"/>
      </w:pPr>
      <w:r>
        <w:t>Подробная информация об отчисленных студентах представлена в диаграмме</w:t>
      </w:r>
      <w:proofErr w:type="gramStart"/>
      <w:r>
        <w:t xml:space="preserve"> .</w:t>
      </w:r>
      <w:proofErr w:type="gramEnd"/>
    </w:p>
    <w:p w:rsidR="006010D1" w:rsidRDefault="006010D1" w:rsidP="006010D1">
      <w:pPr>
        <w:ind w:firstLine="720"/>
      </w:pPr>
    </w:p>
    <w:p w:rsidR="006010D1" w:rsidRPr="00BB10CD" w:rsidRDefault="006010D1" w:rsidP="006010D1">
      <w:r>
        <w:rPr>
          <w:noProof/>
        </w:rPr>
        <w:drawing>
          <wp:inline distT="0" distB="0" distL="0" distR="0">
            <wp:extent cx="5943600" cy="3698875"/>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3698875"/>
                    </a:xfrm>
                    <a:prstGeom prst="rect">
                      <a:avLst/>
                    </a:prstGeom>
                    <a:noFill/>
                    <a:ln>
                      <a:noFill/>
                    </a:ln>
                  </pic:spPr>
                </pic:pic>
              </a:graphicData>
            </a:graphic>
          </wp:inline>
        </w:drawing>
      </w:r>
    </w:p>
    <w:p w:rsidR="006010D1" w:rsidRDefault="006010D1" w:rsidP="006010D1">
      <w:pPr>
        <w:ind w:left="708"/>
      </w:pPr>
    </w:p>
    <w:p w:rsidR="006010D1" w:rsidRPr="006010D1" w:rsidRDefault="006010D1" w:rsidP="006010D1">
      <w:pPr>
        <w:ind w:left="708"/>
        <w:jc w:val="center"/>
        <w:rPr>
          <w:b/>
        </w:rPr>
      </w:pPr>
      <w:r w:rsidRPr="006010D1">
        <w:rPr>
          <w:b/>
        </w:rPr>
        <w:t>Причины отчислений студентов подразделений ДПО за 2012/2013 учебный год</w:t>
      </w:r>
    </w:p>
    <w:p w:rsidR="006010D1" w:rsidRPr="00E04CAD" w:rsidRDefault="006010D1" w:rsidP="00CA6818">
      <w:pPr>
        <w:spacing w:after="200" w:line="276" w:lineRule="auto"/>
        <w:jc w:val="both"/>
      </w:pPr>
    </w:p>
    <w:p w:rsidR="00CA6818" w:rsidRDefault="00CA6818" w:rsidP="005005BC">
      <w:pPr>
        <w:pStyle w:val="2"/>
        <w:numPr>
          <w:ilvl w:val="1"/>
          <w:numId w:val="1"/>
        </w:numPr>
      </w:pPr>
      <w:bookmarkStart w:id="38" w:name="_Toc374030056"/>
      <w:r>
        <w:t>Анализ предоставления студентам индивидуальных учебных планов по различным основаниям</w:t>
      </w:r>
      <w:bookmarkEnd w:id="38"/>
    </w:p>
    <w:p w:rsidR="00CA6818" w:rsidRDefault="00CA6818" w:rsidP="00CA6818"/>
    <w:p w:rsidR="00CA6818" w:rsidRPr="00DA4695" w:rsidRDefault="00CA6818" w:rsidP="00CA6818">
      <w:pPr>
        <w:spacing w:after="200" w:line="276" w:lineRule="auto"/>
        <w:jc w:val="both"/>
      </w:pPr>
      <w:r w:rsidRPr="00DA4695">
        <w:t>За отчетный  период распределение студентов</w:t>
      </w:r>
      <w:r>
        <w:t xml:space="preserve"> - бакалавров</w:t>
      </w:r>
      <w:r w:rsidRPr="00DA4695">
        <w:t xml:space="preserve">, перешедших на индивидуальный учебный план в связи с наличием академических задолженностей, выглядит следующим образом: 223 студента </w:t>
      </w:r>
      <w:proofErr w:type="gramStart"/>
      <w:r w:rsidRPr="00DA4695">
        <w:t>перешли на ИУП по итогам обучения в первом полугодии 2012-13 учебного года и 103 студента перешли</w:t>
      </w:r>
      <w:proofErr w:type="gramEnd"/>
      <w:r w:rsidRPr="00DA4695">
        <w:t xml:space="preserve"> на ИУП по итогам обучения во втором полугодии 2012-13 учебного года.</w:t>
      </w:r>
    </w:p>
    <w:p w:rsidR="00CA6818" w:rsidRPr="00CA6818" w:rsidRDefault="00CA6818" w:rsidP="00CA6818">
      <w:pPr>
        <w:spacing w:after="200" w:line="276" w:lineRule="auto"/>
        <w:jc w:val="both"/>
      </w:pPr>
      <w:r w:rsidRPr="00DA4695">
        <w:t>Данные по факультетам и кампусам по общему числу студенто</w:t>
      </w:r>
      <w:proofErr w:type="gramStart"/>
      <w:r w:rsidRPr="00DA4695">
        <w:t>в</w:t>
      </w:r>
      <w:r>
        <w:t>-</w:t>
      </w:r>
      <w:proofErr w:type="gramEnd"/>
      <w:r>
        <w:t xml:space="preserve"> бакалавров</w:t>
      </w:r>
      <w:r w:rsidRPr="00DA4695">
        <w:t>, переведенных на ИУП и переведенных  в связи с наличием академических задолженностей,</w:t>
      </w:r>
      <w:r>
        <w:t xml:space="preserve"> представлены в </w:t>
      </w:r>
      <w:r w:rsidR="000435E8" w:rsidRPr="00D534C4">
        <w:t>Приложении к отчету</w:t>
      </w:r>
      <w:r w:rsidR="00FA2206" w:rsidRPr="00D534C4">
        <w:t xml:space="preserve"> </w:t>
      </w:r>
      <w:r w:rsidR="005338AA" w:rsidRPr="00D534C4">
        <w:t xml:space="preserve">№ </w:t>
      </w:r>
      <w:r w:rsidR="00FA2206" w:rsidRPr="00D534C4">
        <w:t>8</w:t>
      </w:r>
      <w:r w:rsidRPr="00D534C4">
        <w:t>.</w:t>
      </w:r>
    </w:p>
    <w:p w:rsidR="00CA6818" w:rsidRPr="00CA6818" w:rsidRDefault="00CA6818" w:rsidP="00CA6818">
      <w:pPr>
        <w:spacing w:after="200" w:line="276" w:lineRule="auto"/>
        <w:jc w:val="both"/>
      </w:pPr>
      <w:proofErr w:type="gramStart"/>
      <w:r w:rsidRPr="00E04725">
        <w:t xml:space="preserve">Таким образом, отношение количества студентов бакалавров, продолживших обучение в университете,  воспользовавшись правом повторного изучения предметов, по которым они получили неудовлетворительные оценки (не более двух за одно полугодие, в </w:t>
      </w:r>
      <w:r w:rsidRPr="00E04725">
        <w:lastRenderedPageBreak/>
        <w:t xml:space="preserve">соответствии с Положением об организации контроля знаний) к общему числу студентов </w:t>
      </w:r>
      <w:proofErr w:type="spellStart"/>
      <w:r w:rsidRPr="00E04725">
        <w:t>бакалавриата</w:t>
      </w:r>
      <w:proofErr w:type="spellEnd"/>
      <w:r w:rsidRPr="00E04725">
        <w:t xml:space="preserve">, отчисленных за академическую неуспеваемость (три и более долгов или отказ от </w:t>
      </w:r>
      <w:proofErr w:type="spellStart"/>
      <w:r w:rsidRPr="00E04725">
        <w:t>ИУПа</w:t>
      </w:r>
      <w:proofErr w:type="spellEnd"/>
      <w:r w:rsidRPr="00E04725">
        <w:t>),  составляет 46,2 % в целом по НИУ ВШЭ за</w:t>
      </w:r>
      <w:proofErr w:type="gramEnd"/>
      <w:r w:rsidRPr="00E04725">
        <w:t xml:space="preserve"> период с 1 ноября2012 года по 31 октября 2013 года.</w:t>
      </w:r>
    </w:p>
    <w:p w:rsidR="00CA6818" w:rsidRPr="00691F12" w:rsidRDefault="00CA6818" w:rsidP="00CA6818">
      <w:pPr>
        <w:spacing w:after="200" w:line="276" w:lineRule="auto"/>
        <w:jc w:val="both"/>
      </w:pPr>
      <w:r>
        <w:t>В связи с тем, что</w:t>
      </w:r>
      <w:r w:rsidRPr="00BE1BAF">
        <w:t xml:space="preserve"> </w:t>
      </w:r>
      <w:r>
        <w:t xml:space="preserve">в </w:t>
      </w:r>
      <w:r w:rsidRPr="00E04725">
        <w:t>магистратуре и в филиалах использование ИУП фрагментарное и не носит системного характера</w:t>
      </w:r>
      <w:r w:rsidRPr="00CA6818">
        <w:t xml:space="preserve">, </w:t>
      </w:r>
      <w:r w:rsidRPr="008E6B24">
        <w:t xml:space="preserve">на диаграммах ниже приведены данные по студентам </w:t>
      </w:r>
      <w:proofErr w:type="spellStart"/>
      <w:r w:rsidRPr="008E6B24">
        <w:t>бакалавриата</w:t>
      </w:r>
      <w:proofErr w:type="spellEnd"/>
      <w:r w:rsidRPr="008E6B24">
        <w:t>/</w:t>
      </w:r>
      <w:proofErr w:type="spellStart"/>
      <w:r w:rsidRPr="008E6B24">
        <w:t>специалитета</w:t>
      </w:r>
      <w:proofErr w:type="spellEnd"/>
      <w:r w:rsidRPr="008E6B24">
        <w:t xml:space="preserve"> Москвы.</w:t>
      </w:r>
      <w:r w:rsidR="00CA4FB2">
        <w:t xml:space="preserve"> </w:t>
      </w:r>
      <w:r w:rsidRPr="00691F12">
        <w:t>Распределение студентов (301 человек), имеющих ИУП по факультетам представлено на диаграмме</w:t>
      </w:r>
      <w:r>
        <w:t>.</w:t>
      </w:r>
      <w:r w:rsidRPr="00691F12">
        <w:t xml:space="preserve"> </w:t>
      </w:r>
      <w:r>
        <w:t>Как видно из диаграммы, на пяти факультетах студенты, имеющие академические задолженности, не воспользовались правом обучения по ИУП.</w:t>
      </w:r>
      <w:r w:rsidR="00CA4FB2">
        <w:t xml:space="preserve"> </w:t>
      </w:r>
      <w:r>
        <w:t>Активно пользуются этим правом студенты выпускных курсов.</w:t>
      </w:r>
    </w:p>
    <w:p w:rsidR="00CA6818" w:rsidRDefault="00CA6818" w:rsidP="00CA6818">
      <w:pPr>
        <w:jc w:val="both"/>
      </w:pPr>
    </w:p>
    <w:p w:rsidR="00CA6818" w:rsidRDefault="00CA6818" w:rsidP="00CA6818">
      <w:pPr>
        <w:jc w:val="both"/>
      </w:pPr>
      <w:r w:rsidRPr="00470740">
        <w:rPr>
          <w:noProof/>
        </w:rPr>
        <w:drawing>
          <wp:inline distT="0" distB="0" distL="0" distR="0">
            <wp:extent cx="5936615" cy="5602333"/>
            <wp:effectExtent l="0" t="0" r="32385" b="3683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A6818" w:rsidRDefault="00CA6818" w:rsidP="00CA6818"/>
    <w:p w:rsidR="00CA6818" w:rsidRDefault="00CA6818" w:rsidP="00A43870">
      <w:pPr>
        <w:spacing w:after="200" w:line="276" w:lineRule="auto"/>
        <w:jc w:val="both"/>
      </w:pPr>
      <w:r>
        <w:t xml:space="preserve">Диаграмма, представленная ниже, дает возможность оценить количество студентов, которым предоставлено право обучения по ИУП в связи с наличием академических задолженностей, по отношению к числу обучающихся переведенным на ИУП по различным обстоятельствам. </w:t>
      </w:r>
    </w:p>
    <w:p w:rsidR="00CA6818" w:rsidRDefault="00CA6818" w:rsidP="00CA6818">
      <w:r w:rsidRPr="00A30654">
        <w:rPr>
          <w:noProof/>
        </w:rPr>
        <w:lastRenderedPageBreak/>
        <w:drawing>
          <wp:inline distT="0" distB="0" distL="0" distR="0">
            <wp:extent cx="5936615" cy="6115050"/>
            <wp:effectExtent l="19050" t="0" r="26035" b="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005BC" w:rsidRDefault="005005BC" w:rsidP="00CA6818">
      <w:pPr>
        <w:pStyle w:val="2"/>
      </w:pPr>
      <w:r>
        <w:t xml:space="preserve">  </w:t>
      </w:r>
    </w:p>
    <w:p w:rsidR="0039448B" w:rsidRPr="00467A16" w:rsidRDefault="0039448B" w:rsidP="0039448B">
      <w:pPr>
        <w:spacing w:after="200" w:line="276" w:lineRule="auto"/>
        <w:jc w:val="both"/>
      </w:pPr>
      <w:r w:rsidRPr="00467A16">
        <w:t xml:space="preserve">На диаграммах </w:t>
      </w:r>
      <w:r>
        <w:t>ниже</w:t>
      </w:r>
      <w:r w:rsidRPr="00467A16">
        <w:t xml:space="preserve"> приведены данные по динамике отчислений студентов, обучающихся по ИУП за три года по Москве и филиалам. </w:t>
      </w:r>
    </w:p>
    <w:p w:rsidR="0039448B" w:rsidRPr="00467A16" w:rsidRDefault="0039448B" w:rsidP="0039448B">
      <w:pPr>
        <w:spacing w:after="200" w:line="276" w:lineRule="auto"/>
        <w:jc w:val="both"/>
      </w:pPr>
      <w:r w:rsidRPr="00467A16">
        <w:t>Данные характеризуют, насколько успешно студенты, повторно изучающие дисциплины, по которым у них были академические задолженности, получив специальный индивидуальный учебный план (</w:t>
      </w:r>
      <w:proofErr w:type="spellStart"/>
      <w:r w:rsidRPr="00467A16">
        <w:t>ИУПс</w:t>
      </w:r>
      <w:proofErr w:type="spellEnd"/>
      <w:r w:rsidRPr="00467A16">
        <w:t>), справляются с более интенсивным обучением</w:t>
      </w:r>
      <w:r>
        <w:t>.</w:t>
      </w:r>
      <w:r w:rsidRPr="00467A16">
        <w:t xml:space="preserve"> </w:t>
      </w:r>
    </w:p>
    <w:p w:rsidR="0039448B" w:rsidRPr="004F4F46" w:rsidRDefault="0039448B" w:rsidP="0039448B">
      <w:r w:rsidRPr="006C4D7E">
        <w:rPr>
          <w:noProof/>
        </w:rPr>
        <w:lastRenderedPageBreak/>
        <w:drawing>
          <wp:inline distT="0" distB="0" distL="0" distR="0">
            <wp:extent cx="5910146" cy="8876371"/>
            <wp:effectExtent l="0" t="0" r="14605" b="20320"/>
            <wp:docPr id="8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39448B" w:rsidRDefault="0039448B" w:rsidP="0039448B">
      <w:pPr>
        <w:jc w:val="both"/>
      </w:pPr>
    </w:p>
    <w:p w:rsidR="0039448B" w:rsidRPr="006E75CC" w:rsidRDefault="0039448B" w:rsidP="0039448B">
      <w:pPr>
        <w:spacing w:after="240"/>
        <w:jc w:val="both"/>
      </w:pPr>
      <w:r w:rsidRPr="006E75CC">
        <w:lastRenderedPageBreak/>
        <w:t>Как видно из диаграммы</w:t>
      </w:r>
      <w:r>
        <w:t>,</w:t>
      </w:r>
      <w:r w:rsidRPr="006E75CC">
        <w:t xml:space="preserve"> в 2011-2012 учебном год</w:t>
      </w:r>
      <w:r>
        <w:t>у</w:t>
      </w:r>
      <w:r w:rsidRPr="006E75CC">
        <w:t xml:space="preserve"> более половины студентов, </w:t>
      </w:r>
      <w:r>
        <w:t xml:space="preserve">обучавшихся </w:t>
      </w:r>
      <w:proofErr w:type="gramStart"/>
      <w:r>
        <w:t>по</w:t>
      </w:r>
      <w:proofErr w:type="gramEnd"/>
      <w:r>
        <w:t xml:space="preserve"> специальным </w:t>
      </w:r>
      <w:proofErr w:type="spellStart"/>
      <w:r>
        <w:t>ИУПам</w:t>
      </w:r>
      <w:proofErr w:type="spellEnd"/>
      <w:r>
        <w:t xml:space="preserve"> на факультетах менеджмента и ГМУ,</w:t>
      </w:r>
      <w:r w:rsidRPr="006E75CC">
        <w:t xml:space="preserve"> не справились </w:t>
      </w:r>
      <w:r>
        <w:t xml:space="preserve">с ним и </w:t>
      </w:r>
      <w:r w:rsidRPr="006E75CC">
        <w:t xml:space="preserve"> были отч</w:t>
      </w:r>
      <w:r>
        <w:t>ислены</w:t>
      </w:r>
      <w:r w:rsidRPr="006E75CC">
        <w:t>.</w:t>
      </w:r>
    </w:p>
    <w:p w:rsidR="0039448B" w:rsidRDefault="0039448B" w:rsidP="0039448B">
      <w:pPr>
        <w:spacing w:after="240"/>
        <w:jc w:val="both"/>
      </w:pPr>
      <w:r>
        <w:t xml:space="preserve">Ни один студент не ликвидировал академические задолженности,  и были отчислены с факультетов: </w:t>
      </w:r>
      <w:r w:rsidRPr="003E2151">
        <w:t xml:space="preserve">права, </w:t>
      </w:r>
      <w:proofErr w:type="spellStart"/>
      <w:r w:rsidRPr="003E2151">
        <w:t>медиакоммуникаци</w:t>
      </w:r>
      <w:r>
        <w:t>й</w:t>
      </w:r>
      <w:proofErr w:type="spellEnd"/>
      <w:r w:rsidRPr="003E2151">
        <w:t xml:space="preserve"> и логистики </w:t>
      </w:r>
      <w:r>
        <w:t>(11; 3 и 3 чел. соответственно).</w:t>
      </w:r>
    </w:p>
    <w:p w:rsidR="0039448B" w:rsidRDefault="0039448B" w:rsidP="0039448B">
      <w:pPr>
        <w:spacing w:after="240"/>
        <w:jc w:val="both"/>
      </w:pPr>
      <w:r>
        <w:t xml:space="preserve">Более успешно завершили обучение по ИУП студенты отделения интегрированных коммуникаций (18 – успешно, 6 – отчислено), факультета </w:t>
      </w:r>
      <w:proofErr w:type="spellStart"/>
      <w:r>
        <w:t>МЭиМП</w:t>
      </w:r>
      <w:proofErr w:type="spellEnd"/>
      <w:r>
        <w:t xml:space="preserve"> (7 - успешно, 5 – отчислено). </w:t>
      </w:r>
    </w:p>
    <w:p w:rsidR="0039448B" w:rsidRDefault="0039448B" w:rsidP="0039448B">
      <w:pPr>
        <w:spacing w:after="240"/>
        <w:jc w:val="both"/>
      </w:pPr>
      <w:r>
        <w:t xml:space="preserve">Примерно равное распределение студентов, «успешных» и «неуспешных», на факультетах экономики и БИ. </w:t>
      </w:r>
    </w:p>
    <w:p w:rsidR="0039448B" w:rsidRDefault="0039448B" w:rsidP="0039448B">
      <w:pPr>
        <w:spacing w:after="240"/>
        <w:jc w:val="both"/>
      </w:pPr>
      <w:r>
        <w:t>На остальных факультетах количество отчисленных студентов, обучавшихся по ИУП, превышает количество, успешно его сдавших.</w:t>
      </w:r>
    </w:p>
    <w:p w:rsidR="0039448B" w:rsidRPr="00AB1EF2" w:rsidRDefault="0039448B" w:rsidP="0039448B">
      <w:pPr>
        <w:spacing w:after="240"/>
        <w:jc w:val="both"/>
      </w:pPr>
      <w:r w:rsidRPr="00AB1EF2">
        <w:t xml:space="preserve">Число студентов, обучающихся в Москве по </w:t>
      </w:r>
      <w:proofErr w:type="spellStart"/>
      <w:r w:rsidRPr="00AB1EF2">
        <w:t>ИУПс</w:t>
      </w:r>
      <w:proofErr w:type="spellEnd"/>
      <w:r w:rsidRPr="00AB1EF2">
        <w:t xml:space="preserve"> в 2012/2013 учебном году, снизился по сравнению с предыдущим годом с 399 в 2011/2012 до</w:t>
      </w:r>
      <w:r>
        <w:t xml:space="preserve"> 334 </w:t>
      </w:r>
      <w:proofErr w:type="gramStart"/>
      <w:r>
        <w:t>в</w:t>
      </w:r>
      <w:proofErr w:type="gramEnd"/>
      <w:r>
        <w:t xml:space="preserve"> 2012/2013 </w:t>
      </w:r>
      <w:proofErr w:type="spellStart"/>
      <w:r>
        <w:t>уч.гг</w:t>
      </w:r>
      <w:proofErr w:type="spellEnd"/>
      <w:r>
        <w:t>.</w:t>
      </w:r>
    </w:p>
    <w:p w:rsidR="0039448B" w:rsidRDefault="0039448B" w:rsidP="0039448B">
      <w:pPr>
        <w:spacing w:after="200"/>
        <w:jc w:val="both"/>
      </w:pPr>
      <w:r w:rsidRPr="00AB1EF2">
        <w:t xml:space="preserve">В 2012/2013 учебном году наибольшее число студентов, обучающихся по </w:t>
      </w:r>
      <w:proofErr w:type="spellStart"/>
      <w:r w:rsidRPr="00AB1EF2">
        <w:t>ИУПс</w:t>
      </w:r>
      <w:proofErr w:type="spellEnd"/>
      <w:r w:rsidRPr="00AB1EF2">
        <w:t xml:space="preserve">, на факультетах менеджмента, права, </w:t>
      </w:r>
      <w:proofErr w:type="spellStart"/>
      <w:r w:rsidRPr="00AB1EF2">
        <w:t>ГиМУ</w:t>
      </w:r>
      <w:proofErr w:type="spellEnd"/>
      <w:r w:rsidRPr="00AB1EF2">
        <w:t xml:space="preserve"> и экономики.</w:t>
      </w:r>
    </w:p>
    <w:p w:rsidR="0039448B" w:rsidRPr="00BE3648" w:rsidRDefault="0039448B" w:rsidP="0039448B">
      <w:pPr>
        <w:spacing w:after="200"/>
        <w:jc w:val="both"/>
      </w:pPr>
      <w:r w:rsidRPr="00BE3648">
        <w:t xml:space="preserve">Не </w:t>
      </w:r>
      <w:proofErr w:type="gramStart"/>
      <w:r w:rsidRPr="00BE3648">
        <w:t xml:space="preserve">справились со специальным </w:t>
      </w:r>
      <w:proofErr w:type="spellStart"/>
      <w:r w:rsidRPr="00BE3648">
        <w:t>ИУПом</w:t>
      </w:r>
      <w:proofErr w:type="spellEnd"/>
      <w:r w:rsidRPr="00BE3648">
        <w:t xml:space="preserve">  и были</w:t>
      </w:r>
      <w:proofErr w:type="gramEnd"/>
      <w:r w:rsidRPr="00BE3648">
        <w:t xml:space="preserve"> отчислены  113 чел., что составляет 34 % от числа студентов, которым было предоставлено право обучения по ИУП, что на14% меньше, чем в 2011/2012 учебном году.</w:t>
      </w:r>
    </w:p>
    <w:p w:rsidR="0039448B" w:rsidRPr="00AB1EF2" w:rsidRDefault="0039448B" w:rsidP="0039448B">
      <w:pPr>
        <w:spacing w:after="200"/>
        <w:jc w:val="both"/>
      </w:pPr>
    </w:p>
    <w:p w:rsidR="0039448B" w:rsidRPr="00331265" w:rsidRDefault="0039448B" w:rsidP="0039448B">
      <w:pPr>
        <w:rPr>
          <w:b/>
        </w:rPr>
      </w:pPr>
      <w:r w:rsidRPr="00873E6E">
        <w:rPr>
          <w:b/>
          <w:noProof/>
        </w:rPr>
        <w:lastRenderedPageBreak/>
        <w:drawing>
          <wp:inline distT="0" distB="0" distL="0" distR="0">
            <wp:extent cx="5940425" cy="7422226"/>
            <wp:effectExtent l="0" t="0" r="3175"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9448B" w:rsidRPr="004F4F46" w:rsidRDefault="0039448B" w:rsidP="0039448B">
      <w:pPr>
        <w:jc w:val="center"/>
      </w:pPr>
    </w:p>
    <w:p w:rsidR="0039448B" w:rsidRPr="00B654C5" w:rsidRDefault="0039448B" w:rsidP="0039448B">
      <w:pPr>
        <w:spacing w:after="200" w:line="276" w:lineRule="auto"/>
        <w:jc w:val="both"/>
      </w:pPr>
      <w:r w:rsidRPr="00AA1C98">
        <w:t>В филиалах в отчетном 2012/2013 учебном году специальный ИУП был предоставлен 51 студенту, (Пермь-28 чел.; С-Петербург -</w:t>
      </w:r>
      <w:r>
        <w:t>17</w:t>
      </w:r>
      <w:r w:rsidRPr="00AA1C98">
        <w:t xml:space="preserve"> чел.; Н. Новгород -</w:t>
      </w:r>
      <w:r>
        <w:t xml:space="preserve">6 </w:t>
      </w:r>
      <w:r w:rsidRPr="00AA1C98">
        <w:t xml:space="preserve">чел.), что на треть меньше по сравнению с предыдущим годом, когда по </w:t>
      </w:r>
      <w:proofErr w:type="spellStart"/>
      <w:r w:rsidRPr="00AA1C98">
        <w:t>ИУПс</w:t>
      </w:r>
      <w:proofErr w:type="spellEnd"/>
      <w:r w:rsidRPr="00AA1C98">
        <w:t xml:space="preserve"> обучалось 78 студентов (Пермь – 11чел., Санкт-Петербург – 35 чел., </w:t>
      </w:r>
      <w:proofErr w:type="spellStart"/>
      <w:r w:rsidRPr="00AA1C98">
        <w:t>Н.Новгород</w:t>
      </w:r>
      <w:proofErr w:type="spellEnd"/>
      <w:r w:rsidRPr="00AA1C98">
        <w:t xml:space="preserve"> – 32 чел.).</w:t>
      </w:r>
      <w:r w:rsidRPr="0039448B">
        <w:t xml:space="preserve"> </w:t>
      </w:r>
      <w:r w:rsidRPr="00B654C5">
        <w:t xml:space="preserve">Успешно </w:t>
      </w:r>
      <w:proofErr w:type="gramStart"/>
      <w:r w:rsidRPr="00B654C5">
        <w:t>справились и продолжили</w:t>
      </w:r>
      <w:proofErr w:type="gramEnd"/>
      <w:r w:rsidRPr="00B654C5">
        <w:t xml:space="preserve"> обучение  в 2010/2011 </w:t>
      </w:r>
      <w:proofErr w:type="spellStart"/>
      <w:r w:rsidRPr="00B654C5">
        <w:t>уч.г</w:t>
      </w:r>
      <w:proofErr w:type="spellEnd"/>
      <w:r w:rsidRPr="00B654C5">
        <w:t xml:space="preserve">. – 17 чел. (40%), в 2011/2012 уч. г. - 50 чел. (64%), в 2012/2013 </w:t>
      </w:r>
      <w:proofErr w:type="spellStart"/>
      <w:r w:rsidRPr="00B654C5">
        <w:t>уч.г</w:t>
      </w:r>
      <w:proofErr w:type="spellEnd"/>
      <w:r w:rsidRPr="00B654C5">
        <w:t xml:space="preserve">.  </w:t>
      </w:r>
      <w:r>
        <w:t>–</w:t>
      </w:r>
      <w:r w:rsidRPr="00B654C5">
        <w:t xml:space="preserve"> </w:t>
      </w:r>
      <w:r>
        <w:t xml:space="preserve">12 </w:t>
      </w:r>
      <w:r w:rsidRPr="00B654C5">
        <w:t>чел. (</w:t>
      </w:r>
      <w:r>
        <w:t xml:space="preserve">24 </w:t>
      </w:r>
      <w:r w:rsidRPr="00B654C5">
        <w:t>%).</w:t>
      </w:r>
    </w:p>
    <w:p w:rsidR="0039448B" w:rsidRPr="0039448B" w:rsidRDefault="0039448B" w:rsidP="0039448B">
      <w:pPr>
        <w:spacing w:after="200" w:line="276" w:lineRule="auto"/>
        <w:jc w:val="both"/>
      </w:pPr>
      <w:r w:rsidRPr="008301D5">
        <w:lastRenderedPageBreak/>
        <w:t xml:space="preserve">В 2011/2012 учебном году были отчислены все студенты, имевшие </w:t>
      </w:r>
      <w:proofErr w:type="spellStart"/>
      <w:r w:rsidRPr="008301D5">
        <w:t>ИУПс</w:t>
      </w:r>
      <w:proofErr w:type="spellEnd"/>
      <w:r w:rsidRPr="008301D5">
        <w:t>, на факультете</w:t>
      </w:r>
      <w:r w:rsidRPr="0039448B">
        <w:t xml:space="preserve"> </w:t>
      </w:r>
      <w:r>
        <w:t>бизнес-информатики и прикладной математики Нижегородского филиала, а также на юридическом факультете</w:t>
      </w:r>
      <w:proofErr w:type="gramStart"/>
      <w:r>
        <w:t xml:space="preserve"> С</w:t>
      </w:r>
      <w:proofErr w:type="gramEnd"/>
      <w:r>
        <w:t xml:space="preserve">анкт - Петербургского филиала. </w:t>
      </w:r>
    </w:p>
    <w:p w:rsidR="009E4877" w:rsidRDefault="005005BC" w:rsidP="009E4877">
      <w:pPr>
        <w:pStyle w:val="2"/>
        <w:numPr>
          <w:ilvl w:val="1"/>
          <w:numId w:val="1"/>
        </w:numPr>
      </w:pPr>
      <w:bookmarkStart w:id="39" w:name="_Toc374030057"/>
      <w:r>
        <w:t xml:space="preserve">Перевод студентов с платных мест обучения на </w:t>
      </w:r>
      <w:r w:rsidR="009E4877">
        <w:t>бесплатные</w:t>
      </w:r>
      <w:bookmarkEnd w:id="39"/>
      <w:r w:rsidR="009E4877">
        <w:t xml:space="preserve"> </w:t>
      </w:r>
    </w:p>
    <w:p w:rsidR="000C28EF" w:rsidRDefault="000C28EF" w:rsidP="000C28EF">
      <w:pPr>
        <w:spacing w:after="200" w:line="276" w:lineRule="auto"/>
        <w:jc w:val="both"/>
      </w:pPr>
      <w:r>
        <w:t xml:space="preserve">По итогам 2012/13 учебного года  47 студентов НИУ ВШЭ получили право продолжить </w:t>
      </w:r>
      <w:proofErr w:type="gramStart"/>
      <w:r>
        <w:t>обучение</w:t>
      </w:r>
      <w:proofErr w:type="gramEnd"/>
      <w:r>
        <w:t xml:space="preserve"> по своей образовательной программе бесплатно: 19 студентов были переведены с платных мест на </w:t>
      </w:r>
      <w:r w:rsidRPr="00944F92">
        <w:t>места, финансируемые за счет средств государственного бюджета</w:t>
      </w:r>
      <w:r>
        <w:t xml:space="preserve">,  28 студентов получили право на 100 % скидку на оплату обучения. </w:t>
      </w:r>
    </w:p>
    <w:p w:rsidR="000C28EF" w:rsidRDefault="000C28EF" w:rsidP="000C28EF">
      <w:pPr>
        <w:spacing w:after="200" w:line="276" w:lineRule="auto"/>
        <w:jc w:val="both"/>
      </w:pPr>
      <w:r>
        <w:t>В таблице ниже представлено распределение студентов, получивших право на дальнейшее бесплатное обучение, по кампусам:</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1275"/>
        <w:gridCol w:w="1665"/>
        <w:gridCol w:w="1170"/>
        <w:gridCol w:w="2127"/>
      </w:tblGrid>
      <w:tr w:rsidR="000C28EF" w:rsidRPr="006E13BA" w:rsidTr="000C28EF">
        <w:tc>
          <w:tcPr>
            <w:tcW w:w="1560" w:type="dxa"/>
            <w:vAlign w:val="center"/>
          </w:tcPr>
          <w:p w:rsidR="000C28EF" w:rsidRPr="006E13BA" w:rsidRDefault="000C28EF" w:rsidP="000C28EF">
            <w:pPr>
              <w:autoSpaceDE w:val="0"/>
              <w:autoSpaceDN w:val="0"/>
              <w:adjustRightInd w:val="0"/>
              <w:spacing w:line="360" w:lineRule="auto"/>
              <w:jc w:val="center"/>
            </w:pPr>
            <w:r w:rsidRPr="006E13BA">
              <w:rPr>
                <w:sz w:val="22"/>
                <w:szCs w:val="22"/>
              </w:rPr>
              <w:t>НИУ ВШЭ</w:t>
            </w:r>
          </w:p>
        </w:tc>
        <w:tc>
          <w:tcPr>
            <w:tcW w:w="1275" w:type="dxa"/>
            <w:vAlign w:val="center"/>
          </w:tcPr>
          <w:p w:rsidR="000C28EF" w:rsidRPr="006E13BA" w:rsidRDefault="000C28EF" w:rsidP="000C28EF">
            <w:pPr>
              <w:autoSpaceDE w:val="0"/>
              <w:autoSpaceDN w:val="0"/>
              <w:adjustRightInd w:val="0"/>
              <w:spacing w:line="360" w:lineRule="auto"/>
              <w:jc w:val="center"/>
            </w:pPr>
            <w:r w:rsidRPr="006E13BA">
              <w:rPr>
                <w:sz w:val="22"/>
                <w:szCs w:val="22"/>
              </w:rPr>
              <w:t>Москва</w:t>
            </w:r>
          </w:p>
        </w:tc>
        <w:tc>
          <w:tcPr>
            <w:tcW w:w="1665" w:type="dxa"/>
            <w:vAlign w:val="center"/>
          </w:tcPr>
          <w:p w:rsidR="000C28EF" w:rsidRPr="006E13BA" w:rsidRDefault="000C28EF" w:rsidP="000C28EF">
            <w:pPr>
              <w:autoSpaceDE w:val="0"/>
              <w:autoSpaceDN w:val="0"/>
              <w:adjustRightInd w:val="0"/>
              <w:spacing w:line="360" w:lineRule="auto"/>
              <w:jc w:val="center"/>
            </w:pPr>
            <w:r w:rsidRPr="006E13BA">
              <w:rPr>
                <w:sz w:val="22"/>
                <w:szCs w:val="22"/>
              </w:rPr>
              <w:t>Н-Новгород</w:t>
            </w:r>
          </w:p>
        </w:tc>
        <w:tc>
          <w:tcPr>
            <w:tcW w:w="1170" w:type="dxa"/>
            <w:vAlign w:val="center"/>
          </w:tcPr>
          <w:p w:rsidR="000C28EF" w:rsidRPr="006E13BA" w:rsidRDefault="000C28EF" w:rsidP="000C28EF">
            <w:pPr>
              <w:autoSpaceDE w:val="0"/>
              <w:autoSpaceDN w:val="0"/>
              <w:adjustRightInd w:val="0"/>
              <w:spacing w:line="360" w:lineRule="auto"/>
              <w:jc w:val="center"/>
            </w:pPr>
            <w:r w:rsidRPr="006E13BA">
              <w:rPr>
                <w:sz w:val="22"/>
                <w:szCs w:val="22"/>
              </w:rPr>
              <w:t>Пермь</w:t>
            </w:r>
          </w:p>
        </w:tc>
        <w:tc>
          <w:tcPr>
            <w:tcW w:w="2127" w:type="dxa"/>
            <w:vAlign w:val="center"/>
          </w:tcPr>
          <w:p w:rsidR="000C28EF" w:rsidRPr="006E13BA" w:rsidRDefault="000C28EF" w:rsidP="000C28EF">
            <w:pPr>
              <w:autoSpaceDE w:val="0"/>
              <w:autoSpaceDN w:val="0"/>
              <w:adjustRightInd w:val="0"/>
              <w:spacing w:line="360" w:lineRule="auto"/>
              <w:jc w:val="center"/>
            </w:pPr>
            <w:r w:rsidRPr="006E13BA">
              <w:rPr>
                <w:sz w:val="22"/>
                <w:szCs w:val="22"/>
              </w:rPr>
              <w:t>Санкт-Петербург</w:t>
            </w:r>
          </w:p>
        </w:tc>
      </w:tr>
      <w:tr w:rsidR="000C28EF" w:rsidRPr="006E13BA" w:rsidTr="000C28EF">
        <w:tc>
          <w:tcPr>
            <w:tcW w:w="1560" w:type="dxa"/>
            <w:vAlign w:val="center"/>
          </w:tcPr>
          <w:p w:rsidR="000C28EF" w:rsidRPr="006E13BA" w:rsidRDefault="000C28EF" w:rsidP="000C28EF">
            <w:pPr>
              <w:autoSpaceDE w:val="0"/>
              <w:autoSpaceDN w:val="0"/>
              <w:adjustRightInd w:val="0"/>
              <w:spacing w:line="360" w:lineRule="auto"/>
              <w:jc w:val="center"/>
            </w:pPr>
            <w:r w:rsidRPr="006E13BA">
              <w:rPr>
                <w:sz w:val="22"/>
                <w:szCs w:val="22"/>
              </w:rPr>
              <w:t>4</w:t>
            </w:r>
            <w:r>
              <w:rPr>
                <w:sz w:val="22"/>
                <w:szCs w:val="22"/>
              </w:rPr>
              <w:t>7</w:t>
            </w:r>
            <w:r w:rsidRPr="006E13BA">
              <w:rPr>
                <w:sz w:val="22"/>
                <w:szCs w:val="22"/>
              </w:rPr>
              <w:t xml:space="preserve"> (1</w:t>
            </w:r>
            <w:r>
              <w:rPr>
                <w:sz w:val="22"/>
                <w:szCs w:val="22"/>
              </w:rPr>
              <w:t>9</w:t>
            </w:r>
            <w:r w:rsidRPr="006E13BA">
              <w:rPr>
                <w:rStyle w:val="ac"/>
                <w:sz w:val="22"/>
                <w:szCs w:val="22"/>
              </w:rPr>
              <w:footnoteReference w:id="9"/>
            </w:r>
            <w:r w:rsidRPr="006E13BA">
              <w:rPr>
                <w:sz w:val="22"/>
                <w:szCs w:val="22"/>
              </w:rPr>
              <w:t>+2</w:t>
            </w:r>
            <w:r>
              <w:rPr>
                <w:sz w:val="22"/>
                <w:szCs w:val="22"/>
              </w:rPr>
              <w:t>8</w:t>
            </w:r>
            <w:r w:rsidRPr="006E13BA">
              <w:rPr>
                <w:rStyle w:val="ac"/>
                <w:sz w:val="22"/>
                <w:szCs w:val="22"/>
              </w:rPr>
              <w:footnoteReference w:id="10"/>
            </w:r>
            <w:r w:rsidRPr="006E13BA">
              <w:rPr>
                <w:sz w:val="22"/>
                <w:szCs w:val="22"/>
              </w:rPr>
              <w:t>)</w:t>
            </w:r>
          </w:p>
        </w:tc>
        <w:tc>
          <w:tcPr>
            <w:tcW w:w="1275" w:type="dxa"/>
            <w:vAlign w:val="center"/>
          </w:tcPr>
          <w:p w:rsidR="000C28EF" w:rsidRPr="006E13BA" w:rsidRDefault="000C28EF" w:rsidP="000C28EF">
            <w:pPr>
              <w:autoSpaceDE w:val="0"/>
              <w:autoSpaceDN w:val="0"/>
              <w:adjustRightInd w:val="0"/>
              <w:spacing w:line="360" w:lineRule="auto"/>
              <w:jc w:val="center"/>
            </w:pPr>
            <w:r w:rsidRPr="006E13BA">
              <w:rPr>
                <w:sz w:val="22"/>
                <w:szCs w:val="22"/>
              </w:rPr>
              <w:t>42 (17+25)</w:t>
            </w:r>
          </w:p>
        </w:tc>
        <w:tc>
          <w:tcPr>
            <w:tcW w:w="1665" w:type="dxa"/>
            <w:vAlign w:val="center"/>
          </w:tcPr>
          <w:p w:rsidR="000C28EF" w:rsidRPr="006E13BA" w:rsidRDefault="000C28EF" w:rsidP="000C28EF">
            <w:pPr>
              <w:autoSpaceDE w:val="0"/>
              <w:autoSpaceDN w:val="0"/>
              <w:adjustRightInd w:val="0"/>
              <w:spacing w:line="360" w:lineRule="auto"/>
              <w:jc w:val="center"/>
            </w:pPr>
            <w:r w:rsidRPr="006E13BA">
              <w:rPr>
                <w:sz w:val="22"/>
                <w:szCs w:val="22"/>
              </w:rPr>
              <w:t>1 (0+1)</w:t>
            </w:r>
          </w:p>
        </w:tc>
        <w:tc>
          <w:tcPr>
            <w:tcW w:w="1170" w:type="dxa"/>
            <w:vAlign w:val="center"/>
          </w:tcPr>
          <w:p w:rsidR="000C28EF" w:rsidRPr="006E13BA" w:rsidRDefault="000C28EF" w:rsidP="000C28EF">
            <w:pPr>
              <w:autoSpaceDE w:val="0"/>
              <w:autoSpaceDN w:val="0"/>
              <w:adjustRightInd w:val="0"/>
              <w:spacing w:line="360" w:lineRule="auto"/>
              <w:jc w:val="center"/>
            </w:pPr>
            <w:r w:rsidRPr="006E13BA">
              <w:rPr>
                <w:sz w:val="22"/>
                <w:szCs w:val="22"/>
              </w:rPr>
              <w:t>1 (1+0)</w:t>
            </w:r>
          </w:p>
        </w:tc>
        <w:tc>
          <w:tcPr>
            <w:tcW w:w="2127" w:type="dxa"/>
            <w:vAlign w:val="center"/>
          </w:tcPr>
          <w:p w:rsidR="000C28EF" w:rsidRPr="006E13BA" w:rsidRDefault="000C28EF" w:rsidP="000C28EF">
            <w:pPr>
              <w:autoSpaceDE w:val="0"/>
              <w:autoSpaceDN w:val="0"/>
              <w:adjustRightInd w:val="0"/>
              <w:spacing w:line="360" w:lineRule="auto"/>
              <w:jc w:val="center"/>
            </w:pPr>
            <w:r>
              <w:rPr>
                <w:sz w:val="22"/>
                <w:szCs w:val="22"/>
              </w:rPr>
              <w:t>3</w:t>
            </w:r>
            <w:r w:rsidRPr="006E13BA">
              <w:rPr>
                <w:sz w:val="22"/>
                <w:szCs w:val="22"/>
              </w:rPr>
              <w:t xml:space="preserve"> (</w:t>
            </w:r>
            <w:r>
              <w:rPr>
                <w:sz w:val="22"/>
                <w:szCs w:val="22"/>
              </w:rPr>
              <w:t>1</w:t>
            </w:r>
            <w:r w:rsidRPr="006E13BA">
              <w:rPr>
                <w:sz w:val="22"/>
                <w:szCs w:val="22"/>
              </w:rPr>
              <w:t>+</w:t>
            </w:r>
            <w:r>
              <w:rPr>
                <w:sz w:val="22"/>
                <w:szCs w:val="22"/>
              </w:rPr>
              <w:t>2</w:t>
            </w:r>
            <w:r w:rsidRPr="006E13BA">
              <w:rPr>
                <w:sz w:val="22"/>
                <w:szCs w:val="22"/>
              </w:rPr>
              <w:t>)</w:t>
            </w:r>
          </w:p>
        </w:tc>
      </w:tr>
    </w:tbl>
    <w:p w:rsidR="000C28EF" w:rsidRDefault="000C28EF" w:rsidP="000C28EF">
      <w:pPr>
        <w:spacing w:after="200" w:line="276" w:lineRule="auto"/>
        <w:jc w:val="both"/>
      </w:pPr>
    </w:p>
    <w:p w:rsidR="000C28EF" w:rsidRDefault="000C28EF" w:rsidP="000C28EF">
      <w:pPr>
        <w:spacing w:after="200" w:line="276" w:lineRule="auto"/>
        <w:jc w:val="both"/>
      </w:pPr>
      <w:r>
        <w:t xml:space="preserve">Среди переведенных на бесплатное обучение 40 студентов </w:t>
      </w:r>
      <w:proofErr w:type="spellStart"/>
      <w:r>
        <w:t>бакалавриата</w:t>
      </w:r>
      <w:proofErr w:type="spellEnd"/>
      <w:r>
        <w:t xml:space="preserve">, 6 студентов </w:t>
      </w:r>
      <w:proofErr w:type="spellStart"/>
      <w:r>
        <w:t>специалитета</w:t>
      </w:r>
      <w:proofErr w:type="spellEnd"/>
      <w:r>
        <w:t xml:space="preserve"> и 1 студент магистратуры:</w:t>
      </w:r>
    </w:p>
    <w:p w:rsidR="000C28EF" w:rsidRDefault="000C28EF" w:rsidP="000C28EF">
      <w:pPr>
        <w:spacing w:line="360" w:lineRule="auto"/>
        <w:jc w:val="both"/>
      </w:pPr>
      <w:r w:rsidRPr="00D22EF7">
        <w:rPr>
          <w:noProof/>
        </w:rPr>
        <w:drawing>
          <wp:inline distT="0" distB="0" distL="0" distR="0">
            <wp:extent cx="4572000" cy="2743200"/>
            <wp:effectExtent l="0" t="0" r="0" b="0"/>
            <wp:docPr id="672" name="Диаграмма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C28EF" w:rsidRDefault="000C28EF" w:rsidP="000C28EF">
      <w:pPr>
        <w:spacing w:after="200" w:line="276" w:lineRule="auto"/>
        <w:jc w:val="both"/>
      </w:pPr>
      <w:r>
        <w:t>Распределение московских студентов, получивших право на дальнейшее бесплатное обучение в НИУ ВШЭ (по факультетам/отделениям/институтам) представлено на диаграмме ниже:</w:t>
      </w:r>
    </w:p>
    <w:p w:rsidR="000C28EF" w:rsidRDefault="000C28EF" w:rsidP="000C28EF">
      <w:pPr>
        <w:spacing w:line="360" w:lineRule="auto"/>
        <w:jc w:val="both"/>
      </w:pPr>
      <w:r>
        <w:lastRenderedPageBreak/>
        <w:t xml:space="preserve"> </w:t>
      </w:r>
      <w:r w:rsidRPr="00D22EF7">
        <w:rPr>
          <w:noProof/>
        </w:rPr>
        <w:drawing>
          <wp:inline distT="0" distB="0" distL="0" distR="0">
            <wp:extent cx="5887844" cy="3456878"/>
            <wp:effectExtent l="0" t="0" r="17780" b="10795"/>
            <wp:docPr id="67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0C28EF" w:rsidRPr="000C28EF" w:rsidRDefault="000C28EF" w:rsidP="000C28EF">
      <w:pPr>
        <w:spacing w:after="200" w:line="276" w:lineRule="auto"/>
        <w:jc w:val="both"/>
      </w:pPr>
      <w:r w:rsidRPr="000C28EF">
        <w:t xml:space="preserve">Больше всего студентов получили право обучаться бесплатно на </w:t>
      </w:r>
      <w:proofErr w:type="gramStart"/>
      <w:r w:rsidRPr="000C28EF">
        <w:t>отделении</w:t>
      </w:r>
      <w:proofErr w:type="gramEnd"/>
      <w:r w:rsidRPr="000C28EF">
        <w:t xml:space="preserve"> востоковедения (9 студентов) и факультете мировой экономики и мировой политики (8 студентов).</w:t>
      </w:r>
    </w:p>
    <w:p w:rsidR="000C28EF" w:rsidRPr="000C28EF" w:rsidRDefault="000C28EF" w:rsidP="000C28EF">
      <w:pPr>
        <w:spacing w:after="200" w:line="276" w:lineRule="auto"/>
        <w:jc w:val="both"/>
      </w:pPr>
      <w:r w:rsidRPr="000C28EF">
        <w:t xml:space="preserve">По сравнению с прошлым учебным годом, в течение которого на места обучения, финансируемые за счет средств государственного бюджета, было переведено 38 студентов НИУ ВШЭ, в этом году официально сменили форму обучения с </w:t>
      </w:r>
      <w:proofErr w:type="gramStart"/>
      <w:r w:rsidRPr="000C28EF">
        <w:t>платной</w:t>
      </w:r>
      <w:proofErr w:type="gramEnd"/>
      <w:r w:rsidRPr="000C28EF">
        <w:t xml:space="preserve"> на бесплатную  19 студентов. </w:t>
      </w:r>
    </w:p>
    <w:p w:rsidR="000C28EF" w:rsidRDefault="000C28EF" w:rsidP="000C28EF">
      <w:pPr>
        <w:spacing w:after="200" w:line="276" w:lineRule="auto"/>
        <w:jc w:val="both"/>
      </w:pPr>
      <w:r w:rsidRPr="000C28EF">
        <w:t xml:space="preserve">Снижение количества студентов, переведенных на бюджет, связано с введением в действие </w:t>
      </w:r>
      <w:r>
        <w:t>нового нормативного акта федерального уровня "Порядок и случаи перехода лиц, обучающихся по образовательным программам среднего профессионального и высшего образования, с платного обучения на бесплатное" (приказ МОН</w:t>
      </w:r>
      <w:r w:rsidRPr="000C28EF">
        <w:footnoteReference w:id="11"/>
      </w:r>
      <w:r>
        <w:t>).</w:t>
      </w:r>
    </w:p>
    <w:p w:rsidR="000C28EF" w:rsidRDefault="000C28EF" w:rsidP="000C28EF">
      <w:pPr>
        <w:spacing w:after="200" w:line="276" w:lineRule="auto"/>
        <w:jc w:val="both"/>
      </w:pPr>
      <w:r>
        <w:t>На следующей диаграмме представлено распределение студентов НИУ ВШЭ, получивших право обучаться бесплатно (% от общего количества), в зависимости от основания (перевод на бюджет или предоставление 100 % скидки на оплату обучения):</w:t>
      </w:r>
    </w:p>
    <w:p w:rsidR="000C28EF" w:rsidRDefault="000C28EF" w:rsidP="000C28EF">
      <w:pPr>
        <w:spacing w:line="360" w:lineRule="auto"/>
        <w:jc w:val="both"/>
      </w:pPr>
      <w:r w:rsidRPr="00511018">
        <w:rPr>
          <w:noProof/>
        </w:rPr>
        <w:drawing>
          <wp:inline distT="0" distB="0" distL="0" distR="0">
            <wp:extent cx="5999356" cy="1516566"/>
            <wp:effectExtent l="0" t="0" r="20955" b="26670"/>
            <wp:docPr id="67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C28EF" w:rsidRDefault="000C28EF" w:rsidP="000C28EF">
      <w:pPr>
        <w:spacing w:after="200" w:line="276" w:lineRule="auto"/>
        <w:jc w:val="both"/>
      </w:pPr>
      <w:r>
        <w:lastRenderedPageBreak/>
        <w:t>На следующей диаграмме наглядно продемонстрировано, каково соотношение «студентов - бюджетников» и обучающихся со 100 % скидкой на оплату обучения на каждом отдельно взятом факультете Московского кампуса:</w:t>
      </w:r>
    </w:p>
    <w:p w:rsidR="000C28EF" w:rsidRDefault="000C28EF" w:rsidP="000C28EF">
      <w:pPr>
        <w:spacing w:line="360" w:lineRule="auto"/>
        <w:jc w:val="both"/>
      </w:pPr>
      <w:r w:rsidRPr="00D22EF7">
        <w:rPr>
          <w:noProof/>
        </w:rPr>
        <w:drawing>
          <wp:inline distT="0" distB="0" distL="0" distR="0">
            <wp:extent cx="5597912" cy="3612996"/>
            <wp:effectExtent l="0" t="0" r="22225" b="26035"/>
            <wp:docPr id="67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C28EF" w:rsidRDefault="000C28EF" w:rsidP="005E0261">
      <w:pPr>
        <w:spacing w:after="200" w:line="276" w:lineRule="auto"/>
        <w:jc w:val="both"/>
      </w:pPr>
      <w:r>
        <w:t>Динамика перевода студентов НИУ ВШЭ на бесплатные места обучения с 2010 по 2013 год приведена в следующей диаграмме:</w:t>
      </w:r>
    </w:p>
    <w:p w:rsidR="000C28EF" w:rsidRDefault="000C28EF" w:rsidP="000C28EF">
      <w:pPr>
        <w:spacing w:line="360" w:lineRule="auto"/>
        <w:jc w:val="both"/>
      </w:pPr>
      <w:r w:rsidRPr="00D22EF7">
        <w:rPr>
          <w:noProof/>
        </w:rPr>
        <w:drawing>
          <wp:inline distT="0" distB="0" distL="0" distR="0">
            <wp:extent cx="4572000" cy="3612995"/>
            <wp:effectExtent l="0" t="0" r="19050" b="26035"/>
            <wp:docPr id="67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E4877" w:rsidRPr="009E4877" w:rsidRDefault="000C28EF" w:rsidP="00716F62">
      <w:pPr>
        <w:spacing w:after="200" w:line="276" w:lineRule="auto"/>
        <w:jc w:val="both"/>
      </w:pPr>
      <w:r>
        <w:t xml:space="preserve">Как видно из диаграммы, начиная с 2011 года, в московском кампусе наблюдается положительная динамика. </w:t>
      </w:r>
    </w:p>
    <w:p w:rsidR="00D03DDA" w:rsidRDefault="005005BC" w:rsidP="005005BC">
      <w:pPr>
        <w:pStyle w:val="2"/>
        <w:numPr>
          <w:ilvl w:val="1"/>
          <w:numId w:val="1"/>
        </w:numPr>
      </w:pPr>
      <w:bookmarkStart w:id="40" w:name="_Toc374030058"/>
      <w:r>
        <w:lastRenderedPageBreak/>
        <w:t>Анализ перевода студентов внутри НИУ ВШЭ</w:t>
      </w:r>
      <w:bookmarkEnd w:id="40"/>
    </w:p>
    <w:p w:rsidR="00D03DDA" w:rsidRPr="002E318A" w:rsidRDefault="00D03DDA" w:rsidP="00D03DDA">
      <w:pPr>
        <w:spacing w:before="240" w:line="360" w:lineRule="auto"/>
        <w:jc w:val="both"/>
        <w:rPr>
          <w:szCs w:val="26"/>
        </w:rPr>
      </w:pPr>
      <w:r w:rsidRPr="002E318A">
        <w:rPr>
          <w:szCs w:val="26"/>
        </w:rPr>
        <w:t xml:space="preserve">С 1 октября 2012 по 1 октября 2013 внутри НИУ ВШЭ </w:t>
      </w:r>
      <w:r>
        <w:rPr>
          <w:szCs w:val="26"/>
        </w:rPr>
        <w:t xml:space="preserve">совершили переходы с одной образовательной программы на другую </w:t>
      </w:r>
      <w:r w:rsidRPr="00B3735D">
        <w:rPr>
          <w:szCs w:val="26"/>
        </w:rPr>
        <w:t>23</w:t>
      </w:r>
      <w:r w:rsidR="00FB2B18">
        <w:rPr>
          <w:szCs w:val="26"/>
        </w:rPr>
        <w:t>9</w:t>
      </w:r>
      <w:r w:rsidRPr="00B3735D">
        <w:rPr>
          <w:szCs w:val="26"/>
        </w:rPr>
        <w:t xml:space="preserve"> </w:t>
      </w:r>
      <w:r>
        <w:rPr>
          <w:szCs w:val="26"/>
        </w:rPr>
        <w:t>студентов</w:t>
      </w:r>
      <w:r w:rsidRPr="002E318A">
        <w:rPr>
          <w:szCs w:val="26"/>
        </w:rPr>
        <w:t>. По сравнению с прошлым учебным годом</w:t>
      </w:r>
      <w:r>
        <w:rPr>
          <w:szCs w:val="26"/>
        </w:rPr>
        <w:t xml:space="preserve"> (</w:t>
      </w:r>
      <w:r w:rsidRPr="002E318A">
        <w:rPr>
          <w:szCs w:val="26"/>
        </w:rPr>
        <w:t>245 студентов</w:t>
      </w:r>
      <w:r>
        <w:rPr>
          <w:szCs w:val="26"/>
        </w:rPr>
        <w:t>)</w:t>
      </w:r>
      <w:r w:rsidRPr="002E318A">
        <w:rPr>
          <w:szCs w:val="26"/>
        </w:rPr>
        <w:t xml:space="preserve">, в 2012-2013 учебном году процесс </w:t>
      </w:r>
      <w:r>
        <w:rPr>
          <w:szCs w:val="26"/>
        </w:rPr>
        <w:t>незначительно</w:t>
      </w:r>
      <w:r w:rsidRPr="002E318A">
        <w:rPr>
          <w:szCs w:val="26"/>
        </w:rPr>
        <w:t xml:space="preserve"> замедлился. Распределение количества переведенных </w:t>
      </w:r>
      <w:r>
        <w:rPr>
          <w:szCs w:val="26"/>
        </w:rPr>
        <w:t xml:space="preserve">внутри университета </w:t>
      </w:r>
      <w:r w:rsidRPr="002E318A">
        <w:rPr>
          <w:szCs w:val="26"/>
        </w:rPr>
        <w:t xml:space="preserve">студентов в сравнении за три года представлено в </w:t>
      </w:r>
      <w:r>
        <w:rPr>
          <w:szCs w:val="26"/>
        </w:rPr>
        <w:t>следующей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2"/>
        <w:gridCol w:w="1380"/>
        <w:gridCol w:w="1559"/>
        <w:gridCol w:w="1701"/>
        <w:gridCol w:w="1689"/>
        <w:gridCol w:w="1814"/>
      </w:tblGrid>
      <w:tr w:rsidR="00FB2B18" w:rsidRPr="002E318A" w:rsidTr="00FB2B18">
        <w:tc>
          <w:tcPr>
            <w:tcW w:w="743" w:type="pct"/>
            <w:vAlign w:val="center"/>
          </w:tcPr>
          <w:p w:rsidR="00FB2B18" w:rsidRPr="00D03DDA" w:rsidRDefault="00FB2B18" w:rsidP="00FB2B18">
            <w:pPr>
              <w:autoSpaceDE w:val="0"/>
              <w:autoSpaceDN w:val="0"/>
              <w:adjustRightInd w:val="0"/>
              <w:spacing w:line="360" w:lineRule="auto"/>
              <w:jc w:val="center"/>
              <w:rPr>
                <w:b/>
              </w:rPr>
            </w:pPr>
            <w:r w:rsidRPr="00D03DDA">
              <w:rPr>
                <w:b/>
                <w:sz w:val="22"/>
                <w:szCs w:val="22"/>
              </w:rPr>
              <w:t>НИУ ВШЭ</w:t>
            </w:r>
          </w:p>
        </w:tc>
        <w:tc>
          <w:tcPr>
            <w:tcW w:w="721" w:type="pct"/>
            <w:vAlign w:val="center"/>
          </w:tcPr>
          <w:p w:rsidR="00FB2B18" w:rsidRPr="00D03DDA" w:rsidRDefault="00FB2B18" w:rsidP="00FB2B18">
            <w:pPr>
              <w:autoSpaceDE w:val="0"/>
              <w:autoSpaceDN w:val="0"/>
              <w:adjustRightInd w:val="0"/>
              <w:spacing w:line="360" w:lineRule="auto"/>
              <w:jc w:val="center"/>
              <w:rPr>
                <w:b/>
              </w:rPr>
            </w:pPr>
            <w:r w:rsidRPr="00D03DDA">
              <w:rPr>
                <w:b/>
                <w:sz w:val="22"/>
                <w:szCs w:val="22"/>
              </w:rPr>
              <w:t>Москва</w:t>
            </w:r>
          </w:p>
        </w:tc>
        <w:tc>
          <w:tcPr>
            <w:tcW w:w="815" w:type="pct"/>
            <w:vAlign w:val="center"/>
          </w:tcPr>
          <w:p w:rsidR="00FB2B18" w:rsidRPr="00D03DDA" w:rsidRDefault="00FB2B18" w:rsidP="00FB2B18">
            <w:pPr>
              <w:autoSpaceDE w:val="0"/>
              <w:autoSpaceDN w:val="0"/>
              <w:adjustRightInd w:val="0"/>
              <w:spacing w:line="360" w:lineRule="auto"/>
              <w:jc w:val="center"/>
              <w:rPr>
                <w:b/>
              </w:rPr>
            </w:pPr>
            <w:r w:rsidRPr="00D03DDA">
              <w:rPr>
                <w:b/>
                <w:sz w:val="22"/>
                <w:szCs w:val="22"/>
              </w:rPr>
              <w:t>Н-Новгород</w:t>
            </w:r>
          </w:p>
        </w:tc>
        <w:tc>
          <w:tcPr>
            <w:tcW w:w="889" w:type="pct"/>
            <w:vAlign w:val="center"/>
          </w:tcPr>
          <w:p w:rsidR="00FB2B18" w:rsidRPr="00D03DDA" w:rsidRDefault="00FB2B18" w:rsidP="00FB2B18">
            <w:pPr>
              <w:autoSpaceDE w:val="0"/>
              <w:autoSpaceDN w:val="0"/>
              <w:adjustRightInd w:val="0"/>
              <w:spacing w:line="360" w:lineRule="auto"/>
              <w:jc w:val="center"/>
              <w:rPr>
                <w:b/>
              </w:rPr>
            </w:pPr>
            <w:r w:rsidRPr="00D03DDA">
              <w:rPr>
                <w:b/>
                <w:sz w:val="22"/>
                <w:szCs w:val="22"/>
              </w:rPr>
              <w:t>Пермь</w:t>
            </w:r>
          </w:p>
        </w:tc>
        <w:tc>
          <w:tcPr>
            <w:tcW w:w="883" w:type="pct"/>
            <w:vAlign w:val="center"/>
          </w:tcPr>
          <w:p w:rsidR="00FB2B18" w:rsidRPr="00D03DDA" w:rsidRDefault="00FB2B18" w:rsidP="00FB2B18">
            <w:pPr>
              <w:autoSpaceDE w:val="0"/>
              <w:autoSpaceDN w:val="0"/>
              <w:adjustRightInd w:val="0"/>
              <w:spacing w:line="360" w:lineRule="auto"/>
              <w:jc w:val="center"/>
              <w:rPr>
                <w:b/>
              </w:rPr>
            </w:pPr>
            <w:r w:rsidRPr="00D03DDA">
              <w:rPr>
                <w:b/>
                <w:sz w:val="22"/>
                <w:szCs w:val="22"/>
              </w:rPr>
              <w:t>С-Петербург</w:t>
            </w:r>
          </w:p>
        </w:tc>
        <w:tc>
          <w:tcPr>
            <w:tcW w:w="948" w:type="pct"/>
            <w:vAlign w:val="center"/>
          </w:tcPr>
          <w:p w:rsidR="00FB2B18" w:rsidRPr="00D03DDA" w:rsidRDefault="00FB2B18" w:rsidP="00FB2B18">
            <w:pPr>
              <w:autoSpaceDE w:val="0"/>
              <w:autoSpaceDN w:val="0"/>
              <w:adjustRightInd w:val="0"/>
              <w:spacing w:line="360" w:lineRule="auto"/>
              <w:jc w:val="center"/>
              <w:rPr>
                <w:b/>
              </w:rPr>
            </w:pPr>
            <w:r w:rsidRPr="00D03DDA">
              <w:rPr>
                <w:b/>
                <w:sz w:val="22"/>
                <w:szCs w:val="22"/>
              </w:rPr>
              <w:t>Всего</w:t>
            </w:r>
          </w:p>
        </w:tc>
      </w:tr>
      <w:tr w:rsidR="00FB2B18" w:rsidRPr="002E318A" w:rsidTr="00FB2B18">
        <w:tc>
          <w:tcPr>
            <w:tcW w:w="743" w:type="pct"/>
            <w:vAlign w:val="center"/>
          </w:tcPr>
          <w:p w:rsidR="00FB2B18" w:rsidRPr="00B422F7" w:rsidRDefault="00FB2B18" w:rsidP="00D03DDA">
            <w:pPr>
              <w:autoSpaceDE w:val="0"/>
              <w:autoSpaceDN w:val="0"/>
              <w:adjustRightInd w:val="0"/>
              <w:spacing w:line="360" w:lineRule="auto"/>
              <w:jc w:val="center"/>
            </w:pPr>
            <w:r w:rsidRPr="00B422F7">
              <w:rPr>
                <w:sz w:val="22"/>
                <w:szCs w:val="22"/>
              </w:rPr>
              <w:t>2012-2013</w:t>
            </w:r>
          </w:p>
        </w:tc>
        <w:tc>
          <w:tcPr>
            <w:tcW w:w="721" w:type="pct"/>
            <w:vAlign w:val="center"/>
          </w:tcPr>
          <w:p w:rsidR="00FB2B18" w:rsidRPr="00B422F7" w:rsidRDefault="00FB2B18" w:rsidP="00D03DDA">
            <w:pPr>
              <w:autoSpaceDE w:val="0"/>
              <w:autoSpaceDN w:val="0"/>
              <w:adjustRightInd w:val="0"/>
              <w:spacing w:line="360" w:lineRule="auto"/>
              <w:jc w:val="center"/>
            </w:pPr>
            <w:r>
              <w:rPr>
                <w:sz w:val="22"/>
                <w:szCs w:val="22"/>
              </w:rPr>
              <w:t>203</w:t>
            </w:r>
          </w:p>
        </w:tc>
        <w:tc>
          <w:tcPr>
            <w:tcW w:w="815" w:type="pct"/>
            <w:vAlign w:val="center"/>
          </w:tcPr>
          <w:p w:rsidR="00FB2B18" w:rsidRPr="00B422F7" w:rsidRDefault="00FB2B18" w:rsidP="00D03DDA">
            <w:pPr>
              <w:autoSpaceDE w:val="0"/>
              <w:autoSpaceDN w:val="0"/>
              <w:adjustRightInd w:val="0"/>
              <w:spacing w:line="360" w:lineRule="auto"/>
              <w:jc w:val="center"/>
            </w:pPr>
            <w:r w:rsidRPr="00B422F7">
              <w:rPr>
                <w:sz w:val="22"/>
                <w:szCs w:val="22"/>
              </w:rPr>
              <w:t>7</w:t>
            </w:r>
          </w:p>
        </w:tc>
        <w:tc>
          <w:tcPr>
            <w:tcW w:w="889" w:type="pct"/>
            <w:vAlign w:val="center"/>
          </w:tcPr>
          <w:p w:rsidR="00FB2B18" w:rsidRPr="00B422F7" w:rsidRDefault="00FB2B18" w:rsidP="00D03DDA">
            <w:pPr>
              <w:autoSpaceDE w:val="0"/>
              <w:autoSpaceDN w:val="0"/>
              <w:adjustRightInd w:val="0"/>
              <w:spacing w:line="360" w:lineRule="auto"/>
              <w:jc w:val="center"/>
            </w:pPr>
            <w:r w:rsidRPr="00B422F7">
              <w:rPr>
                <w:sz w:val="22"/>
                <w:szCs w:val="22"/>
              </w:rPr>
              <w:t>11</w:t>
            </w:r>
          </w:p>
        </w:tc>
        <w:tc>
          <w:tcPr>
            <w:tcW w:w="883" w:type="pct"/>
            <w:vAlign w:val="center"/>
          </w:tcPr>
          <w:p w:rsidR="00FB2B18" w:rsidRPr="00B422F7" w:rsidRDefault="00FB2B18" w:rsidP="00D03DDA">
            <w:pPr>
              <w:autoSpaceDE w:val="0"/>
              <w:autoSpaceDN w:val="0"/>
              <w:adjustRightInd w:val="0"/>
              <w:spacing w:line="360" w:lineRule="auto"/>
              <w:jc w:val="center"/>
            </w:pPr>
            <w:r w:rsidRPr="00B422F7">
              <w:rPr>
                <w:sz w:val="22"/>
                <w:szCs w:val="22"/>
              </w:rPr>
              <w:t>18</w:t>
            </w:r>
          </w:p>
        </w:tc>
        <w:tc>
          <w:tcPr>
            <w:tcW w:w="948" w:type="pct"/>
            <w:vAlign w:val="center"/>
          </w:tcPr>
          <w:p w:rsidR="00FB2B18" w:rsidRPr="00FB2B18" w:rsidRDefault="00FB2B18" w:rsidP="00FB2B18">
            <w:pPr>
              <w:autoSpaceDE w:val="0"/>
              <w:autoSpaceDN w:val="0"/>
              <w:adjustRightInd w:val="0"/>
              <w:spacing w:line="360" w:lineRule="auto"/>
              <w:jc w:val="center"/>
              <w:rPr>
                <w:b/>
              </w:rPr>
            </w:pPr>
            <w:r w:rsidRPr="00FB2B18">
              <w:rPr>
                <w:b/>
                <w:sz w:val="22"/>
                <w:szCs w:val="22"/>
              </w:rPr>
              <w:t>239</w:t>
            </w:r>
          </w:p>
        </w:tc>
      </w:tr>
      <w:tr w:rsidR="00FB2B18" w:rsidRPr="002E318A" w:rsidTr="00FB2B18">
        <w:tc>
          <w:tcPr>
            <w:tcW w:w="743" w:type="pct"/>
            <w:vAlign w:val="center"/>
          </w:tcPr>
          <w:p w:rsidR="00FB2B18" w:rsidRPr="00B422F7" w:rsidRDefault="00FB2B18" w:rsidP="00D03DDA">
            <w:pPr>
              <w:autoSpaceDE w:val="0"/>
              <w:autoSpaceDN w:val="0"/>
              <w:adjustRightInd w:val="0"/>
              <w:spacing w:line="360" w:lineRule="auto"/>
              <w:jc w:val="center"/>
            </w:pPr>
            <w:r w:rsidRPr="00B422F7">
              <w:rPr>
                <w:sz w:val="22"/>
                <w:szCs w:val="22"/>
              </w:rPr>
              <w:t>2011-2012</w:t>
            </w:r>
          </w:p>
        </w:tc>
        <w:tc>
          <w:tcPr>
            <w:tcW w:w="721" w:type="pct"/>
            <w:vAlign w:val="center"/>
          </w:tcPr>
          <w:p w:rsidR="00FB2B18" w:rsidRPr="00B422F7" w:rsidRDefault="00FB2B18" w:rsidP="00D03DDA">
            <w:pPr>
              <w:autoSpaceDE w:val="0"/>
              <w:autoSpaceDN w:val="0"/>
              <w:adjustRightInd w:val="0"/>
              <w:spacing w:line="360" w:lineRule="auto"/>
              <w:jc w:val="center"/>
            </w:pPr>
            <w:r w:rsidRPr="00B422F7">
              <w:rPr>
                <w:sz w:val="22"/>
                <w:szCs w:val="22"/>
              </w:rPr>
              <w:t>214</w:t>
            </w:r>
          </w:p>
        </w:tc>
        <w:tc>
          <w:tcPr>
            <w:tcW w:w="815" w:type="pct"/>
            <w:vAlign w:val="center"/>
          </w:tcPr>
          <w:p w:rsidR="00FB2B18" w:rsidRPr="00B422F7" w:rsidRDefault="00FB2B18" w:rsidP="00D03DDA">
            <w:pPr>
              <w:autoSpaceDE w:val="0"/>
              <w:autoSpaceDN w:val="0"/>
              <w:adjustRightInd w:val="0"/>
              <w:spacing w:line="360" w:lineRule="auto"/>
              <w:jc w:val="center"/>
            </w:pPr>
            <w:r w:rsidRPr="00B422F7">
              <w:rPr>
                <w:sz w:val="22"/>
                <w:szCs w:val="22"/>
              </w:rPr>
              <w:t>12</w:t>
            </w:r>
          </w:p>
        </w:tc>
        <w:tc>
          <w:tcPr>
            <w:tcW w:w="889" w:type="pct"/>
            <w:vAlign w:val="center"/>
          </w:tcPr>
          <w:p w:rsidR="00FB2B18" w:rsidRPr="00B422F7" w:rsidRDefault="00FB2B18" w:rsidP="00D03DDA">
            <w:pPr>
              <w:autoSpaceDE w:val="0"/>
              <w:autoSpaceDN w:val="0"/>
              <w:adjustRightInd w:val="0"/>
              <w:spacing w:line="360" w:lineRule="auto"/>
              <w:jc w:val="center"/>
            </w:pPr>
            <w:r w:rsidRPr="00B422F7">
              <w:rPr>
                <w:sz w:val="22"/>
                <w:szCs w:val="22"/>
              </w:rPr>
              <w:t>8</w:t>
            </w:r>
          </w:p>
        </w:tc>
        <w:tc>
          <w:tcPr>
            <w:tcW w:w="883" w:type="pct"/>
            <w:vAlign w:val="center"/>
          </w:tcPr>
          <w:p w:rsidR="00FB2B18" w:rsidRPr="00B422F7" w:rsidRDefault="00FB2B18" w:rsidP="00D03DDA">
            <w:pPr>
              <w:autoSpaceDE w:val="0"/>
              <w:autoSpaceDN w:val="0"/>
              <w:adjustRightInd w:val="0"/>
              <w:spacing w:line="360" w:lineRule="auto"/>
              <w:jc w:val="center"/>
            </w:pPr>
            <w:r w:rsidRPr="00B422F7">
              <w:rPr>
                <w:sz w:val="22"/>
                <w:szCs w:val="22"/>
              </w:rPr>
              <w:t>11</w:t>
            </w:r>
          </w:p>
        </w:tc>
        <w:tc>
          <w:tcPr>
            <w:tcW w:w="948" w:type="pct"/>
            <w:vAlign w:val="center"/>
          </w:tcPr>
          <w:p w:rsidR="00FB2B18" w:rsidRPr="00FB2B18" w:rsidRDefault="00FB2B18" w:rsidP="00D03DDA">
            <w:pPr>
              <w:autoSpaceDE w:val="0"/>
              <w:autoSpaceDN w:val="0"/>
              <w:adjustRightInd w:val="0"/>
              <w:spacing w:line="360" w:lineRule="auto"/>
              <w:jc w:val="center"/>
              <w:rPr>
                <w:b/>
              </w:rPr>
            </w:pPr>
            <w:r w:rsidRPr="00FB2B18">
              <w:rPr>
                <w:b/>
                <w:sz w:val="22"/>
                <w:szCs w:val="22"/>
              </w:rPr>
              <w:t>245</w:t>
            </w:r>
          </w:p>
        </w:tc>
      </w:tr>
      <w:tr w:rsidR="00FB2B18" w:rsidRPr="002E318A" w:rsidTr="00FB2B18">
        <w:tc>
          <w:tcPr>
            <w:tcW w:w="743" w:type="pct"/>
            <w:vAlign w:val="center"/>
          </w:tcPr>
          <w:p w:rsidR="00FB2B18" w:rsidRPr="00B422F7" w:rsidRDefault="00FB2B18" w:rsidP="00D03DDA">
            <w:pPr>
              <w:autoSpaceDE w:val="0"/>
              <w:autoSpaceDN w:val="0"/>
              <w:adjustRightInd w:val="0"/>
              <w:spacing w:line="360" w:lineRule="auto"/>
              <w:jc w:val="center"/>
            </w:pPr>
            <w:r w:rsidRPr="00B422F7">
              <w:rPr>
                <w:sz w:val="22"/>
                <w:szCs w:val="22"/>
              </w:rPr>
              <w:t>2010-2011</w:t>
            </w:r>
          </w:p>
        </w:tc>
        <w:tc>
          <w:tcPr>
            <w:tcW w:w="721" w:type="pct"/>
            <w:vAlign w:val="center"/>
          </w:tcPr>
          <w:p w:rsidR="00FB2B18" w:rsidRPr="00B422F7" w:rsidRDefault="00FB2B18" w:rsidP="00D03DDA">
            <w:pPr>
              <w:autoSpaceDE w:val="0"/>
              <w:autoSpaceDN w:val="0"/>
              <w:adjustRightInd w:val="0"/>
              <w:spacing w:line="360" w:lineRule="auto"/>
              <w:jc w:val="center"/>
            </w:pPr>
            <w:r w:rsidRPr="00B422F7">
              <w:rPr>
                <w:sz w:val="22"/>
                <w:szCs w:val="22"/>
              </w:rPr>
              <w:t>223</w:t>
            </w:r>
          </w:p>
        </w:tc>
        <w:tc>
          <w:tcPr>
            <w:tcW w:w="815" w:type="pct"/>
            <w:vAlign w:val="center"/>
          </w:tcPr>
          <w:p w:rsidR="00FB2B18" w:rsidRPr="00B422F7" w:rsidRDefault="00FB2B18" w:rsidP="00D03DDA">
            <w:pPr>
              <w:autoSpaceDE w:val="0"/>
              <w:autoSpaceDN w:val="0"/>
              <w:adjustRightInd w:val="0"/>
              <w:spacing w:line="360" w:lineRule="auto"/>
              <w:jc w:val="center"/>
            </w:pPr>
            <w:r w:rsidRPr="00B422F7">
              <w:rPr>
                <w:sz w:val="22"/>
                <w:szCs w:val="22"/>
              </w:rPr>
              <w:t>25</w:t>
            </w:r>
          </w:p>
        </w:tc>
        <w:tc>
          <w:tcPr>
            <w:tcW w:w="889" w:type="pct"/>
            <w:vAlign w:val="center"/>
          </w:tcPr>
          <w:p w:rsidR="00FB2B18" w:rsidRPr="00B422F7" w:rsidRDefault="00FB2B18" w:rsidP="00D03DDA">
            <w:pPr>
              <w:autoSpaceDE w:val="0"/>
              <w:autoSpaceDN w:val="0"/>
              <w:adjustRightInd w:val="0"/>
              <w:spacing w:line="360" w:lineRule="auto"/>
              <w:jc w:val="center"/>
            </w:pPr>
            <w:r w:rsidRPr="00B422F7">
              <w:rPr>
                <w:sz w:val="22"/>
                <w:szCs w:val="22"/>
              </w:rPr>
              <w:t>10</w:t>
            </w:r>
          </w:p>
        </w:tc>
        <w:tc>
          <w:tcPr>
            <w:tcW w:w="883" w:type="pct"/>
            <w:vAlign w:val="center"/>
          </w:tcPr>
          <w:p w:rsidR="00FB2B18" w:rsidRPr="00B422F7" w:rsidRDefault="00FB2B18" w:rsidP="00D03DDA">
            <w:pPr>
              <w:autoSpaceDE w:val="0"/>
              <w:autoSpaceDN w:val="0"/>
              <w:adjustRightInd w:val="0"/>
              <w:spacing w:line="360" w:lineRule="auto"/>
              <w:jc w:val="center"/>
            </w:pPr>
            <w:r w:rsidRPr="00B422F7">
              <w:rPr>
                <w:sz w:val="22"/>
                <w:szCs w:val="22"/>
              </w:rPr>
              <w:t>18</w:t>
            </w:r>
          </w:p>
        </w:tc>
        <w:tc>
          <w:tcPr>
            <w:tcW w:w="948" w:type="pct"/>
            <w:vAlign w:val="center"/>
          </w:tcPr>
          <w:p w:rsidR="00FB2B18" w:rsidRPr="00FB2B18" w:rsidRDefault="00FB2B18" w:rsidP="00D03DDA">
            <w:pPr>
              <w:autoSpaceDE w:val="0"/>
              <w:autoSpaceDN w:val="0"/>
              <w:adjustRightInd w:val="0"/>
              <w:spacing w:line="360" w:lineRule="auto"/>
              <w:jc w:val="center"/>
              <w:rPr>
                <w:b/>
              </w:rPr>
            </w:pPr>
            <w:r w:rsidRPr="00FB2B18">
              <w:rPr>
                <w:b/>
                <w:sz w:val="22"/>
                <w:szCs w:val="22"/>
              </w:rPr>
              <w:t>276</w:t>
            </w:r>
          </w:p>
        </w:tc>
      </w:tr>
    </w:tbl>
    <w:p w:rsidR="00716F62" w:rsidRDefault="00716F62" w:rsidP="005E0261">
      <w:pPr>
        <w:spacing w:after="200" w:line="276" w:lineRule="auto"/>
        <w:jc w:val="both"/>
      </w:pPr>
    </w:p>
    <w:p w:rsidR="00D03DDA" w:rsidRDefault="00D03DDA" w:rsidP="005E0261">
      <w:pPr>
        <w:spacing w:after="200" w:line="276" w:lineRule="auto"/>
        <w:jc w:val="both"/>
      </w:pPr>
      <w:r w:rsidRPr="00B3735D">
        <w:t xml:space="preserve">Следующая диаграмма наглядно демонстрирует участие студентов </w:t>
      </w:r>
      <w:r>
        <w:t xml:space="preserve">разных кампусов в переводе студентов внутри </w:t>
      </w:r>
      <w:r w:rsidRPr="00B3735D">
        <w:t>НИУ ВШЭ в 2012-2013</w:t>
      </w:r>
      <w:r>
        <w:t xml:space="preserve"> учебном году</w:t>
      </w:r>
      <w:r w:rsidRPr="00B3735D">
        <w:t>:</w:t>
      </w:r>
    </w:p>
    <w:p w:rsidR="00FB2B18" w:rsidRDefault="00FB2B18" w:rsidP="005E0261">
      <w:pPr>
        <w:spacing w:after="200" w:line="276" w:lineRule="auto"/>
        <w:jc w:val="both"/>
      </w:pPr>
      <w:r w:rsidRPr="00FB2B18">
        <w:rPr>
          <w:noProof/>
        </w:rPr>
        <w:drawing>
          <wp:inline distT="0" distB="0" distL="0" distR="0">
            <wp:extent cx="5781675" cy="3124200"/>
            <wp:effectExtent l="19050" t="0" r="9525" b="0"/>
            <wp:docPr id="7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03DDA" w:rsidRDefault="00D03DDA" w:rsidP="00716F62">
      <w:pPr>
        <w:spacing w:after="200" w:line="360" w:lineRule="auto"/>
        <w:jc w:val="both"/>
      </w:pPr>
      <w:r w:rsidRPr="00321878">
        <w:t xml:space="preserve">В Москве в процессе перевода внутри университета приняли участие </w:t>
      </w:r>
      <w:r>
        <w:t>203</w:t>
      </w:r>
      <w:r w:rsidRPr="00321878">
        <w:t xml:space="preserve"> студент</w:t>
      </w:r>
      <w:r>
        <w:t>а, из них 6</w:t>
      </w:r>
      <w:r w:rsidRPr="007A3801">
        <w:t>7</w:t>
      </w:r>
      <w:r>
        <w:t xml:space="preserve">  – студенты МИЭМ</w:t>
      </w:r>
      <w:r w:rsidRPr="00321878">
        <w:t xml:space="preserve">. </w:t>
      </w:r>
    </w:p>
    <w:p w:rsidR="00D03DDA" w:rsidRPr="00143237" w:rsidRDefault="00D03DDA" w:rsidP="00D03DDA">
      <w:pPr>
        <w:autoSpaceDE w:val="0"/>
        <w:autoSpaceDN w:val="0"/>
        <w:adjustRightInd w:val="0"/>
        <w:spacing w:line="360" w:lineRule="auto"/>
        <w:jc w:val="both"/>
      </w:pPr>
      <w:r w:rsidRPr="00143237">
        <w:t xml:space="preserve">Больше всего </w:t>
      </w:r>
      <w:r>
        <w:t xml:space="preserve">студентов за отчетный период перевелось с факультета электроники и телекоммуникаций на факультет </w:t>
      </w:r>
      <w:r w:rsidRPr="00852196">
        <w:t>Информационных технологий и вычислительной техники</w:t>
      </w:r>
      <w:r>
        <w:t xml:space="preserve"> (63 студента), на </w:t>
      </w:r>
      <w:proofErr w:type="gramStart"/>
      <w:r>
        <w:t>втором</w:t>
      </w:r>
      <w:proofErr w:type="gramEnd"/>
      <w:r>
        <w:t xml:space="preserve"> месте – факультет экономики, с которого на другие факультеты перешли 26 студентов и факультет мировой экономики и мировой политики, с него перевелись 18 студентов.</w:t>
      </w:r>
    </w:p>
    <w:p w:rsidR="00D03DDA" w:rsidRDefault="00D03DDA" w:rsidP="00D03DDA">
      <w:pPr>
        <w:autoSpaceDE w:val="0"/>
        <w:autoSpaceDN w:val="0"/>
        <w:adjustRightInd w:val="0"/>
        <w:spacing w:line="360" w:lineRule="auto"/>
        <w:jc w:val="both"/>
      </w:pPr>
      <w:r>
        <w:lastRenderedPageBreak/>
        <w:t>На</w:t>
      </w:r>
      <w:r w:rsidRPr="00143237">
        <w:t xml:space="preserve"> следующей диа</w:t>
      </w:r>
      <w:r w:rsidR="00E905B0">
        <w:t xml:space="preserve">грамме – распределение факультетов Москвы по соотношению приема и потери студентов очного обучения в ходе </w:t>
      </w:r>
      <w:proofErr w:type="spellStart"/>
      <w:r w:rsidR="00E905B0">
        <w:t>внутрикампусных</w:t>
      </w:r>
      <w:proofErr w:type="spellEnd"/>
      <w:r w:rsidR="00E905B0">
        <w:t xml:space="preserve"> переходов период с 1 октября 2012 по 1 октября 2013 года.</w:t>
      </w:r>
    </w:p>
    <w:p w:rsidR="00D03DDA" w:rsidRDefault="00E905B0" w:rsidP="00D03DDA">
      <w:pPr>
        <w:autoSpaceDE w:val="0"/>
        <w:autoSpaceDN w:val="0"/>
        <w:adjustRightInd w:val="0"/>
        <w:spacing w:line="360" w:lineRule="auto"/>
        <w:jc w:val="both"/>
      </w:pPr>
      <w:r>
        <w:rPr>
          <w:noProof/>
        </w:rPr>
        <w:drawing>
          <wp:inline distT="0" distB="0" distL="0" distR="0">
            <wp:extent cx="5936615" cy="5901690"/>
            <wp:effectExtent l="0" t="0" r="32385" b="1651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005BC" w:rsidRDefault="00D03DDA" w:rsidP="006C4B2A">
      <w:pPr>
        <w:autoSpaceDE w:val="0"/>
        <w:autoSpaceDN w:val="0"/>
        <w:adjustRightInd w:val="0"/>
        <w:spacing w:line="360" w:lineRule="auto"/>
        <w:jc w:val="both"/>
      </w:pPr>
      <w:r w:rsidRPr="00143237">
        <w:t xml:space="preserve">Полная таблица переводов студентов </w:t>
      </w:r>
      <w:r>
        <w:t xml:space="preserve">НИУ ВШЭ </w:t>
      </w:r>
      <w:r w:rsidR="00CE7EAD">
        <w:t xml:space="preserve">в отчетный период </w:t>
      </w:r>
      <w:r w:rsidRPr="00143237">
        <w:t xml:space="preserve">приведена в </w:t>
      </w:r>
      <w:r w:rsidRPr="00D534C4">
        <w:t>Приложении</w:t>
      </w:r>
      <w:r w:rsidR="00686751" w:rsidRPr="00D534C4">
        <w:t xml:space="preserve"> </w:t>
      </w:r>
      <w:r w:rsidR="00FA2206" w:rsidRPr="00D534C4">
        <w:t xml:space="preserve">к отчету </w:t>
      </w:r>
      <w:r w:rsidR="0072776F" w:rsidRPr="00D534C4">
        <w:t xml:space="preserve">№ </w:t>
      </w:r>
      <w:r w:rsidR="00FA2206" w:rsidRPr="00D534C4">
        <w:t>9</w:t>
      </w:r>
      <w:r w:rsidRPr="00D534C4">
        <w:t>.</w:t>
      </w:r>
      <w:r w:rsidRPr="00143237">
        <w:t xml:space="preserve"> </w:t>
      </w:r>
      <w:r w:rsidR="005005BC">
        <w:tab/>
      </w:r>
    </w:p>
    <w:p w:rsidR="00CC55CD" w:rsidRDefault="005005BC" w:rsidP="00A35C6F">
      <w:pPr>
        <w:pStyle w:val="2"/>
        <w:numPr>
          <w:ilvl w:val="1"/>
          <w:numId w:val="1"/>
        </w:numPr>
      </w:pPr>
      <w:bookmarkStart w:id="41" w:name="_Toc374030059"/>
      <w:r>
        <w:t xml:space="preserve">Выживаемость контингента студентов на первоначальном  </w:t>
      </w:r>
      <w:proofErr w:type="gramStart"/>
      <w:r>
        <w:t>факультете</w:t>
      </w:r>
      <w:proofErr w:type="gramEnd"/>
      <w:r>
        <w:t xml:space="preserve"> (в сравнении за три последних года) (</w:t>
      </w:r>
      <w:proofErr w:type="spellStart"/>
      <w:r>
        <w:t>graduation</w:t>
      </w:r>
      <w:proofErr w:type="spellEnd"/>
      <w:r>
        <w:t xml:space="preserve"> </w:t>
      </w:r>
      <w:proofErr w:type="spellStart"/>
      <w:r>
        <w:t>rate</w:t>
      </w:r>
      <w:proofErr w:type="spellEnd"/>
      <w:r>
        <w:t>)</w:t>
      </w:r>
      <w:bookmarkEnd w:id="41"/>
    </w:p>
    <w:p w:rsidR="00B02A0A" w:rsidRDefault="00B02A0A" w:rsidP="00CC55CD">
      <w:pPr>
        <w:spacing w:after="200" w:line="276" w:lineRule="auto"/>
        <w:jc w:val="both"/>
      </w:pPr>
    </w:p>
    <w:p w:rsidR="005A636D" w:rsidRDefault="005A636D" w:rsidP="00CC55CD">
      <w:pPr>
        <w:spacing w:after="200" w:line="276" w:lineRule="auto"/>
        <w:jc w:val="both"/>
      </w:pPr>
      <w:r w:rsidRPr="00C8675F">
        <w:t xml:space="preserve">С 2011 года мы анализируем </w:t>
      </w:r>
      <w:r>
        <w:t xml:space="preserve">в ежегодном отчете об итогах </w:t>
      </w:r>
      <w:r w:rsidR="00CC55CD">
        <w:t>учебно-методической деятельности</w:t>
      </w:r>
      <w:r>
        <w:t xml:space="preserve"> </w:t>
      </w:r>
      <w:r w:rsidRPr="00C8675F">
        <w:t>динамику «коэффициента выживаемости»</w:t>
      </w:r>
      <w:r w:rsidR="00CC55CD">
        <w:t xml:space="preserve"> (</w:t>
      </w:r>
      <w:proofErr w:type="spellStart"/>
      <w:r w:rsidR="00CC55CD">
        <w:t>graduation</w:t>
      </w:r>
      <w:proofErr w:type="spellEnd"/>
      <w:r w:rsidR="00CC55CD">
        <w:t xml:space="preserve"> </w:t>
      </w:r>
      <w:proofErr w:type="spellStart"/>
      <w:r w:rsidR="00CC55CD">
        <w:t>rate</w:t>
      </w:r>
      <w:proofErr w:type="spellEnd"/>
      <w:r w:rsidR="00CC55CD">
        <w:t>)</w:t>
      </w:r>
      <w:r w:rsidRPr="00C8675F">
        <w:t xml:space="preserve"> </w:t>
      </w:r>
      <w:r w:rsidR="00CC55CD">
        <w:t>студентов НИУ ВШЭ. Коэффициент рассчитываем как процент</w:t>
      </w:r>
      <w:r w:rsidRPr="00C8675F">
        <w:t xml:space="preserve"> студентов, завершивших обучение в нормативный срок на выбранном </w:t>
      </w:r>
      <w:proofErr w:type="gramStart"/>
      <w:r w:rsidR="00CC55CD">
        <w:t>направлении</w:t>
      </w:r>
      <w:proofErr w:type="gramEnd"/>
      <w:r w:rsidR="00CC55CD">
        <w:t xml:space="preserve"> от числа поступивших на конкретное </w:t>
      </w:r>
      <w:r w:rsidR="00CC55CD">
        <w:lastRenderedPageBreak/>
        <w:t>направление</w:t>
      </w:r>
      <w:r w:rsidRPr="00C8675F">
        <w:t xml:space="preserve"> </w:t>
      </w:r>
      <w:r>
        <w:t>подготовки</w:t>
      </w:r>
      <w:r w:rsidR="00420586">
        <w:t xml:space="preserve"> в одном году</w:t>
      </w:r>
      <w:r>
        <w:t>.</w:t>
      </w:r>
      <w:r w:rsidR="00CC55CD">
        <w:t xml:space="preserve"> Нормативным сроком подготовки на </w:t>
      </w:r>
      <w:proofErr w:type="gramStart"/>
      <w:r w:rsidR="00CC55CD">
        <w:t>программах</w:t>
      </w:r>
      <w:proofErr w:type="gramEnd"/>
      <w:r w:rsidR="00CC55CD">
        <w:t xml:space="preserve"> </w:t>
      </w:r>
      <w:proofErr w:type="spellStart"/>
      <w:r w:rsidR="00CC55CD">
        <w:t>бакалавриата</w:t>
      </w:r>
      <w:proofErr w:type="spellEnd"/>
      <w:r w:rsidR="00CC55CD">
        <w:t>, в соответствии с образовательными стандартами</w:t>
      </w:r>
      <w:r w:rsidR="00420586">
        <w:t>, считаем 4 года, на программах магистратуры – 2 года.</w:t>
      </w:r>
    </w:p>
    <w:p w:rsidR="005A636D" w:rsidRDefault="005A636D" w:rsidP="00CC55CD">
      <w:pPr>
        <w:spacing w:after="200" w:line="276" w:lineRule="auto"/>
        <w:jc w:val="both"/>
      </w:pPr>
      <w:proofErr w:type="gramStart"/>
      <w:r>
        <w:t xml:space="preserve">Средний «коэффициент выживаемости» выпускников бакалавров Московского кампуса НИУ ВШЭ равен в </w:t>
      </w:r>
      <w:r w:rsidR="00420586">
        <w:t>2013 году</w:t>
      </w:r>
      <w:r>
        <w:t xml:space="preserve"> </w:t>
      </w:r>
      <w:r w:rsidR="0042774E" w:rsidRPr="00CE7EAD">
        <w:t>60</w:t>
      </w:r>
      <w:r w:rsidRPr="00CE7EAD">
        <w:t>,</w:t>
      </w:r>
      <w:r w:rsidR="0042774E" w:rsidRPr="00CE7EAD">
        <w:t>4</w:t>
      </w:r>
      <w:r w:rsidRPr="00CE7EAD">
        <w:t xml:space="preserve"> %</w:t>
      </w:r>
      <w:r w:rsidR="00420586" w:rsidRPr="00CE7EAD">
        <w:t xml:space="preserve"> (от поступивших</w:t>
      </w:r>
      <w:r w:rsidR="00420586">
        <w:t xml:space="preserve"> в 2009 году)</w:t>
      </w:r>
      <w:r>
        <w:t>.</w:t>
      </w:r>
      <w:proofErr w:type="gramEnd"/>
    </w:p>
    <w:p w:rsidR="005A636D" w:rsidRDefault="005A636D" w:rsidP="00CC55CD">
      <w:pPr>
        <w:spacing w:after="200" w:line="276" w:lineRule="auto"/>
        <w:jc w:val="both"/>
      </w:pPr>
      <w:r>
        <w:t>По отдельным направлениям  подготовки коэффициент распределился следующим образом:</w:t>
      </w:r>
    </w:p>
    <w:p w:rsidR="005A636D" w:rsidRDefault="00741C1F" w:rsidP="005A636D">
      <w:pPr>
        <w:spacing w:after="200" w:line="276" w:lineRule="auto"/>
        <w:jc w:val="both"/>
      </w:pPr>
      <w:r w:rsidRPr="00741C1F">
        <w:rPr>
          <w:noProof/>
        </w:rPr>
        <w:drawing>
          <wp:inline distT="0" distB="0" distL="0" distR="0">
            <wp:extent cx="5936615" cy="6329767"/>
            <wp:effectExtent l="19050" t="0" r="26035" b="0"/>
            <wp:docPr id="74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41C1F" w:rsidRDefault="005A636D" w:rsidP="00741C1F">
      <w:pPr>
        <w:spacing w:line="360" w:lineRule="auto"/>
        <w:jc w:val="both"/>
      </w:pPr>
      <w:r>
        <w:t xml:space="preserve">Достаточно высокий уровень «выживаемости» (более 67 %) у студентов, завершивших </w:t>
      </w:r>
      <w:proofErr w:type="gramStart"/>
      <w:r>
        <w:t>обучение по направлениям</w:t>
      </w:r>
      <w:proofErr w:type="gramEnd"/>
      <w:r>
        <w:t xml:space="preserve"> подготовки «Журналистика» (67,86%) и «Менеджмент» </w:t>
      </w:r>
      <w:r>
        <w:lastRenderedPageBreak/>
        <w:t xml:space="preserve">(67,59%). </w:t>
      </w:r>
      <w:r w:rsidR="00741C1F">
        <w:t>Сравнительно низкий уровень «выживаемости» у бакалавров, обучавшихся по направлению подготовки «Прикладная математика и информатика» (31,03%).</w:t>
      </w:r>
    </w:p>
    <w:p w:rsidR="005A636D" w:rsidRDefault="005A636D" w:rsidP="00A35C6F">
      <w:pPr>
        <w:spacing w:after="200" w:line="276" w:lineRule="auto"/>
        <w:jc w:val="both"/>
      </w:pPr>
      <w:r>
        <w:t xml:space="preserve">На следующей диаграмме представлено сравнение коэффициента выживаемости выпускников </w:t>
      </w:r>
      <w:proofErr w:type="spellStart"/>
      <w:r>
        <w:t>бакалавриата</w:t>
      </w:r>
      <w:proofErr w:type="spellEnd"/>
      <w:r>
        <w:t xml:space="preserve"> за последние три года:</w:t>
      </w:r>
    </w:p>
    <w:p w:rsidR="005A636D" w:rsidRDefault="00741C1F" w:rsidP="005A636D">
      <w:pPr>
        <w:spacing w:line="360" w:lineRule="auto"/>
        <w:jc w:val="both"/>
      </w:pPr>
      <w:r w:rsidRPr="00741C1F">
        <w:rPr>
          <w:noProof/>
        </w:rPr>
        <w:drawing>
          <wp:inline distT="0" distB="0" distL="0" distR="0">
            <wp:extent cx="5924550" cy="6230203"/>
            <wp:effectExtent l="0" t="0" r="19050" b="18415"/>
            <wp:docPr id="74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A636D" w:rsidRDefault="005A636D" w:rsidP="00A35C6F">
      <w:pPr>
        <w:spacing w:after="200" w:line="276" w:lineRule="auto"/>
        <w:jc w:val="both"/>
      </w:pPr>
      <w:r>
        <w:t>Стабильный рост коэффициента наблюдается у выпускников бакалавров, обучавшихся по направлениям подготовки «Экономика» на факультете экономики (50,2%-56,9%-59,2%) и в МИЭФ (47,5%-54%-57,75%) и «Социология» (60,5%-62,7%-64,55%). Явное снижение коэффициента наблюдается у выпускников, обучавшихся по направлению «Бизнес-информатика» (56,1%-51,8%-42,5%).</w:t>
      </w:r>
    </w:p>
    <w:p w:rsidR="005A636D" w:rsidRDefault="005A636D" w:rsidP="00A35C6F">
      <w:pPr>
        <w:spacing w:after="200" w:line="276" w:lineRule="auto"/>
        <w:jc w:val="both"/>
      </w:pPr>
      <w:r>
        <w:t>По сравнению с бакалаврами коэффициент выживаемости магистров значительно выше.</w:t>
      </w:r>
    </w:p>
    <w:p w:rsidR="005A636D" w:rsidRDefault="005A636D" w:rsidP="000049C9">
      <w:pPr>
        <w:spacing w:after="200" w:line="276" w:lineRule="auto"/>
        <w:jc w:val="both"/>
      </w:pPr>
      <w:r>
        <w:lastRenderedPageBreak/>
        <w:t>На диаграмме ниже представлено распределение значений коэффициента выживаемости выпускников по направлениям подготовки в п</w:t>
      </w:r>
      <w:r w:rsidR="000049C9">
        <w:t>орядке уменьшения коэффициента:</w:t>
      </w:r>
    </w:p>
    <w:p w:rsidR="005A636D" w:rsidRPr="00C8675F" w:rsidRDefault="005A636D" w:rsidP="005A636D">
      <w:pPr>
        <w:spacing w:line="360" w:lineRule="auto"/>
        <w:jc w:val="both"/>
      </w:pPr>
      <w:r w:rsidRPr="00375486">
        <w:rPr>
          <w:noProof/>
        </w:rPr>
        <w:drawing>
          <wp:inline distT="0" distB="0" distL="0" distR="0">
            <wp:extent cx="5181601" cy="6848474"/>
            <wp:effectExtent l="0" t="0" r="19050" b="10160"/>
            <wp:docPr id="7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A636D" w:rsidRPr="00375486" w:rsidRDefault="005A636D" w:rsidP="00A35C6F">
      <w:pPr>
        <w:spacing w:after="200" w:line="276" w:lineRule="auto"/>
        <w:jc w:val="both"/>
      </w:pPr>
      <w:r>
        <w:t>Наибольшую выживаемость демонстрируют магистры, обучавшиеся по направлениям подготовки «Прикладная информатика и информатика» (90 %) и «Философия» (82,35%).</w:t>
      </w:r>
    </w:p>
    <w:p w:rsidR="005A636D" w:rsidRDefault="005A636D" w:rsidP="00A35C6F">
      <w:pPr>
        <w:spacing w:after="200" w:line="276" w:lineRule="auto"/>
        <w:jc w:val="both"/>
      </w:pPr>
      <w:r>
        <w:t>Динамика коэффициента выживаемости магистров за последние три года представлена на следующей диаграмме:</w:t>
      </w:r>
    </w:p>
    <w:p w:rsidR="005A636D" w:rsidRPr="00375486" w:rsidRDefault="005A636D" w:rsidP="005A636D">
      <w:pPr>
        <w:spacing w:line="360" w:lineRule="auto"/>
        <w:jc w:val="both"/>
      </w:pPr>
      <w:r w:rsidRPr="003A4BD2">
        <w:rPr>
          <w:noProof/>
        </w:rPr>
        <w:lastRenderedPageBreak/>
        <w:drawing>
          <wp:inline distT="0" distB="0" distL="0" distR="0">
            <wp:extent cx="5765370" cy="8539566"/>
            <wp:effectExtent l="0" t="0" r="26035" b="13970"/>
            <wp:docPr id="7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5A636D" w:rsidRDefault="005A636D" w:rsidP="005A636D">
      <w:pPr>
        <w:spacing w:after="200" w:line="276" w:lineRule="auto"/>
        <w:jc w:val="both"/>
      </w:pPr>
      <w:r w:rsidRPr="003A4BD2">
        <w:t xml:space="preserve">Сравнение коэффициента «выживаемости» </w:t>
      </w:r>
      <w:r>
        <w:t>выпускников</w:t>
      </w:r>
      <w:r w:rsidRPr="003A4BD2">
        <w:t xml:space="preserve"> </w:t>
      </w:r>
      <w:proofErr w:type="spellStart"/>
      <w:r w:rsidRPr="003A4BD2">
        <w:t>бакалавриата</w:t>
      </w:r>
      <w:proofErr w:type="spellEnd"/>
      <w:r w:rsidRPr="003A4BD2">
        <w:t xml:space="preserve"> </w:t>
      </w:r>
      <w:r>
        <w:t xml:space="preserve">и магистратуры </w:t>
      </w:r>
      <w:r w:rsidRPr="003A4BD2">
        <w:t xml:space="preserve">за </w:t>
      </w:r>
      <w:r>
        <w:t>три</w:t>
      </w:r>
      <w:r w:rsidRPr="003A4BD2">
        <w:t xml:space="preserve"> последних года в целом по Университету представлено в следующей диаграмме:</w:t>
      </w:r>
    </w:p>
    <w:p w:rsidR="005A636D" w:rsidRPr="003A4BD2" w:rsidRDefault="00741C1F" w:rsidP="005A636D">
      <w:pPr>
        <w:spacing w:after="200" w:line="276" w:lineRule="auto"/>
        <w:jc w:val="both"/>
      </w:pPr>
      <w:r w:rsidRPr="00741C1F">
        <w:rPr>
          <w:noProof/>
        </w:rPr>
        <w:lastRenderedPageBreak/>
        <w:drawing>
          <wp:inline distT="0" distB="0" distL="0" distR="0">
            <wp:extent cx="5936615" cy="3111990"/>
            <wp:effectExtent l="0" t="0" r="26035" b="12700"/>
            <wp:docPr id="74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A636D" w:rsidRDefault="005A636D" w:rsidP="00A35C6F">
      <w:pPr>
        <w:spacing w:after="200" w:line="276" w:lineRule="auto"/>
        <w:jc w:val="both"/>
      </w:pPr>
      <w:r>
        <w:t xml:space="preserve">Показатели 2013 года представляют собой средние значения коэффициентов по двум предыдущим годам как по бакалаврам, так и по магистрам. </w:t>
      </w:r>
    </w:p>
    <w:p w:rsidR="005A636D" w:rsidRDefault="005A636D" w:rsidP="00A35C6F">
      <w:pPr>
        <w:spacing w:after="200" w:line="276" w:lineRule="auto"/>
        <w:jc w:val="both"/>
      </w:pPr>
      <w:r>
        <w:t>Предметом стабильного интереса является информация о судьбе студентов, которые поступали вместе с выпускниками, но не получили дипломы в срок на выбранном при поступлении направлении подготовки. Из следующей диаграммы видно, что примерно половина из них отчислена из университета (бакалавры – 48,59%, магистры – 62,08%)., значительная часть (бакалавры – 15,61%, магистры – 27,7%) еще учатся.</w:t>
      </w:r>
    </w:p>
    <w:p w:rsidR="005A636D" w:rsidRDefault="00D932DE" w:rsidP="00311FE6">
      <w:pPr>
        <w:spacing w:after="200" w:line="276" w:lineRule="auto"/>
        <w:jc w:val="both"/>
      </w:pPr>
      <w:r w:rsidRPr="00590F41">
        <w:rPr>
          <w:noProof/>
        </w:rPr>
        <w:drawing>
          <wp:inline distT="0" distB="0" distL="0" distR="0" wp14:anchorId="5A812581" wp14:editId="27889DD5">
            <wp:extent cx="5375563" cy="3366655"/>
            <wp:effectExtent l="0" t="0" r="0" b="5715"/>
            <wp:docPr id="716" name="Диаграмма 7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00236951">
        <w:t>Показательными также являются гистограммы, демонстрирующие долю студентов, завершивших обучение на своем «родном» направлении подготовки в нормативный срок, через один и через два года.</w:t>
      </w:r>
    </w:p>
    <w:p w:rsidR="00834247" w:rsidRPr="00236951" w:rsidRDefault="00834247" w:rsidP="005A636D">
      <w:pPr>
        <w:spacing w:line="360" w:lineRule="auto"/>
        <w:jc w:val="both"/>
      </w:pPr>
      <w:r>
        <w:rPr>
          <w:noProof/>
        </w:rPr>
        <w:lastRenderedPageBreak/>
        <w:drawing>
          <wp:inline distT="0" distB="0" distL="0" distR="0">
            <wp:extent cx="5929745" cy="3823855"/>
            <wp:effectExtent l="0" t="0" r="0" b="5715"/>
            <wp:docPr id="719" name="Диаграмма 7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5A636D" w:rsidRPr="005A636D" w:rsidRDefault="00834247" w:rsidP="005A636D">
      <w:pPr>
        <w:spacing w:line="360" w:lineRule="auto"/>
        <w:jc w:val="both"/>
        <w:rPr>
          <w:color w:val="FF0000"/>
        </w:rPr>
      </w:pPr>
      <w:r>
        <w:rPr>
          <w:noProof/>
        </w:rPr>
        <w:drawing>
          <wp:inline distT="0" distB="0" distL="0" distR="0">
            <wp:extent cx="5832763" cy="4890655"/>
            <wp:effectExtent l="0" t="0" r="0" b="5715"/>
            <wp:docPr id="720" name="Диаграмма 7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5005BC" w:rsidRDefault="005005BC" w:rsidP="005005BC">
      <w:pPr>
        <w:pStyle w:val="2"/>
        <w:numPr>
          <w:ilvl w:val="1"/>
          <w:numId w:val="1"/>
        </w:numPr>
      </w:pPr>
      <w:bookmarkStart w:id="42" w:name="_Toc374030060"/>
      <w:r>
        <w:lastRenderedPageBreak/>
        <w:t>Внешняя оценка знаний студентов по английскому языку</w:t>
      </w:r>
      <w:bookmarkEnd w:id="42"/>
    </w:p>
    <w:p w:rsidR="00C15B0D" w:rsidRPr="00C15B0D" w:rsidRDefault="005005BC" w:rsidP="00C14E24">
      <w:pPr>
        <w:pStyle w:val="2"/>
        <w:numPr>
          <w:ilvl w:val="2"/>
          <w:numId w:val="1"/>
        </w:numPr>
      </w:pPr>
      <w:bookmarkStart w:id="43" w:name="_Toc374030061"/>
      <w:r>
        <w:t>Итоги проведения экзамена по английскому языку по правилам международных экзаменов IELTS и BEC</w:t>
      </w:r>
      <w:bookmarkEnd w:id="43"/>
      <w:r>
        <w:t xml:space="preserve"> </w:t>
      </w:r>
    </w:p>
    <w:p w:rsidR="00B02A0A" w:rsidRDefault="00B02A0A" w:rsidP="00C15B0D">
      <w:pPr>
        <w:spacing w:after="200" w:line="276" w:lineRule="auto"/>
        <w:jc w:val="both"/>
      </w:pPr>
    </w:p>
    <w:p w:rsidR="00C15B0D" w:rsidRPr="00C15B0D" w:rsidRDefault="00C15B0D" w:rsidP="00C15B0D">
      <w:pPr>
        <w:spacing w:after="200" w:line="276" w:lineRule="auto"/>
        <w:jc w:val="both"/>
      </w:pPr>
      <w:r w:rsidRPr="00C15B0D">
        <w:t xml:space="preserve">В соответствии с концепцией преподавания английского языка в Государственном университете – Высшей школе экономики, утвержденной решением ученого совета ГУ-ВШЭ  (протокол от 02.07.2010 № 15), с 18 марта по 19 июня 2013 года студенты </w:t>
      </w:r>
      <w:proofErr w:type="spellStart"/>
      <w:r w:rsidRPr="00C15B0D">
        <w:t>бакалавриата</w:t>
      </w:r>
      <w:proofErr w:type="spellEnd"/>
      <w:r w:rsidRPr="00C15B0D">
        <w:t xml:space="preserve"> Московского кампуса ВШЭ сдавали экзамен по английскому языку по правилам и материалам международных экзаменов: IELTS (International </w:t>
      </w:r>
      <w:proofErr w:type="spellStart"/>
      <w:r w:rsidRPr="00C15B0D">
        <w:t>English</w:t>
      </w:r>
      <w:proofErr w:type="spellEnd"/>
      <w:r w:rsidRPr="00C15B0D">
        <w:t xml:space="preserve"> </w:t>
      </w:r>
      <w:proofErr w:type="spellStart"/>
      <w:r w:rsidRPr="00C15B0D">
        <w:t>Language</w:t>
      </w:r>
      <w:proofErr w:type="spellEnd"/>
      <w:r w:rsidRPr="00C15B0D">
        <w:t xml:space="preserve"> </w:t>
      </w:r>
      <w:proofErr w:type="spellStart"/>
      <w:r w:rsidRPr="00C15B0D">
        <w:t>Testing</w:t>
      </w:r>
      <w:proofErr w:type="spellEnd"/>
      <w:r w:rsidRPr="00C15B0D">
        <w:t xml:space="preserve"> </w:t>
      </w:r>
      <w:proofErr w:type="spellStart"/>
      <w:r w:rsidRPr="00C15B0D">
        <w:t>System</w:t>
      </w:r>
      <w:proofErr w:type="spellEnd"/>
      <w:r w:rsidRPr="00C15B0D">
        <w:t>) и BEC (</w:t>
      </w:r>
      <w:proofErr w:type="spellStart"/>
      <w:r w:rsidRPr="00C15B0D">
        <w:t>Business</w:t>
      </w:r>
      <w:proofErr w:type="spellEnd"/>
      <w:r w:rsidRPr="00C15B0D">
        <w:t xml:space="preserve"> </w:t>
      </w:r>
      <w:proofErr w:type="spellStart"/>
      <w:r w:rsidRPr="00C15B0D">
        <w:t>English</w:t>
      </w:r>
      <w:proofErr w:type="spellEnd"/>
      <w:r w:rsidRPr="00C15B0D">
        <w:t xml:space="preserve"> </w:t>
      </w:r>
      <w:proofErr w:type="spellStart"/>
      <w:r w:rsidRPr="00C15B0D">
        <w:t>Certificate</w:t>
      </w:r>
      <w:proofErr w:type="spellEnd"/>
      <w:r w:rsidRPr="00C15B0D">
        <w:t xml:space="preserve">), уровень </w:t>
      </w:r>
      <w:proofErr w:type="spellStart"/>
      <w:r w:rsidRPr="00C15B0D">
        <w:t>Higher</w:t>
      </w:r>
      <w:proofErr w:type="spellEnd"/>
      <w:r w:rsidRPr="00C15B0D">
        <w:t xml:space="preserve">. </w:t>
      </w:r>
    </w:p>
    <w:p w:rsidR="00C15B0D" w:rsidRPr="00C15B0D" w:rsidRDefault="00C15B0D" w:rsidP="00C15B0D">
      <w:pPr>
        <w:spacing w:after="200" w:line="276" w:lineRule="auto"/>
        <w:jc w:val="both"/>
      </w:pPr>
      <w:r w:rsidRPr="00C15B0D">
        <w:t xml:space="preserve">Экзамен по правилам и материалам IELTS сдавали студенты 13 факультетов и отделений Московского кампуса: Экономики, Статистики, Анализа данных и демографии, Философии, Культурологии, Востоковедения, Социологии, </w:t>
      </w:r>
      <w:proofErr w:type="spellStart"/>
      <w:r w:rsidRPr="00C15B0D">
        <w:t>Медиакоммуникаций</w:t>
      </w:r>
      <w:proofErr w:type="spellEnd"/>
      <w:r w:rsidRPr="00C15B0D">
        <w:t xml:space="preserve">, </w:t>
      </w:r>
      <w:proofErr w:type="gramStart"/>
      <w:r w:rsidRPr="00C15B0D">
        <w:t>Бизнес-информатики</w:t>
      </w:r>
      <w:proofErr w:type="gramEnd"/>
      <w:r w:rsidRPr="00C15B0D">
        <w:t xml:space="preserve">, Программной инженерии, Прикладной математики и информатики, Математики, Государственного и муниципального управления, Совместного </w:t>
      </w:r>
      <w:proofErr w:type="spellStart"/>
      <w:r w:rsidRPr="00C15B0D">
        <w:t>бакалавриата</w:t>
      </w:r>
      <w:proofErr w:type="spellEnd"/>
      <w:r w:rsidRPr="00C15B0D">
        <w:t xml:space="preserve"> ВШЭ и РЭШ. Экзамен по правилам и материалам BEC сдавали студенты четвертого курса </w:t>
      </w:r>
      <w:proofErr w:type="spellStart"/>
      <w:r w:rsidRPr="00C15B0D">
        <w:t>бакалавриата</w:t>
      </w:r>
      <w:proofErr w:type="spellEnd"/>
      <w:r w:rsidRPr="00C15B0D">
        <w:t xml:space="preserve"> факультета мировой экономики и мировой политики</w:t>
      </w:r>
    </w:p>
    <w:p w:rsidR="00C15B0D" w:rsidRPr="00C15B0D" w:rsidRDefault="00C15B0D" w:rsidP="00C15B0D">
      <w:pPr>
        <w:spacing w:after="200" w:line="276" w:lineRule="auto"/>
        <w:jc w:val="both"/>
      </w:pPr>
      <w:r w:rsidRPr="00C15B0D">
        <w:t>Для проведения экзамена был разработан  «</w:t>
      </w:r>
      <w:hyperlink r:id="rId91" w:history="1">
        <w:r w:rsidRPr="00C15B0D">
          <w:t>Регламент организации и проведения экзамена по английскому языку в 2012-2013 учебном году</w:t>
        </w:r>
      </w:hyperlink>
      <w:r w:rsidRPr="00C15B0D">
        <w:t xml:space="preserve">», в котором подробно описаны все процессы, начиная от формирования списков и регистрации студентов на экзамен и заканчивая порядком пересдачи экзамена.  </w:t>
      </w:r>
    </w:p>
    <w:p w:rsidR="00C15B0D" w:rsidRPr="00C15B0D" w:rsidRDefault="00C15B0D" w:rsidP="00C15B0D">
      <w:pPr>
        <w:spacing w:after="200" w:line="276" w:lineRule="auto"/>
        <w:jc w:val="both"/>
      </w:pPr>
      <w:r w:rsidRPr="00C15B0D">
        <w:t>В соответствии с решением ученого совета 2012 года, рассмотревшим результаты предыдущих экзаменов, в шкалу соответствия оценкам по десятибалльной  шкале НИУ ВШЭ по сравнению с прошлым годом были внесены изменения, которые были согласованы с заведующими кафедрами английского языка, реализующими дисциплину у студентов, сдающих экзамен.</w:t>
      </w:r>
    </w:p>
    <w:p w:rsidR="00C15B0D" w:rsidRPr="00C15B0D" w:rsidRDefault="00C15B0D" w:rsidP="00C15B0D">
      <w:pPr>
        <w:spacing w:after="200" w:line="276" w:lineRule="auto"/>
        <w:jc w:val="both"/>
      </w:pPr>
      <w:r w:rsidRPr="00C15B0D">
        <w:t>Шкала была определена по результатам анализа статистической выборки результатов экзамена 2012 года (1 тысяча результатов), приближающая распределение оценок к нормальному распределению.</w:t>
      </w:r>
    </w:p>
    <w:p w:rsidR="00C15B0D" w:rsidRPr="00C15B0D" w:rsidRDefault="00C15B0D" w:rsidP="00C15B0D">
      <w:pPr>
        <w:spacing w:after="200" w:line="276" w:lineRule="auto"/>
        <w:jc w:val="both"/>
      </w:pPr>
      <w:r w:rsidRPr="00C15B0D">
        <w:t xml:space="preserve">Экзамены состояли из четырех этапов: </w:t>
      </w:r>
      <w:proofErr w:type="spellStart"/>
      <w:r w:rsidRPr="00C15B0D">
        <w:t>аудирование</w:t>
      </w:r>
      <w:proofErr w:type="spellEnd"/>
      <w:r w:rsidRPr="00C15B0D">
        <w:t xml:space="preserve">, письмо, чтение и интервью. Первые три этапа (Письменную часть экзамена) студенты сдавали в один день </w:t>
      </w:r>
      <w:proofErr w:type="spellStart"/>
      <w:r w:rsidRPr="00C15B0D">
        <w:t>пофакультетно</w:t>
      </w:r>
      <w:proofErr w:type="spellEnd"/>
      <w:r w:rsidRPr="00C15B0D">
        <w:t>. Интервью студенты проходили в течение 15-20 минут на одной территории в соответствии с расписанием.</w:t>
      </w:r>
    </w:p>
    <w:p w:rsidR="00C15B0D" w:rsidRPr="00C15B0D" w:rsidRDefault="00C15B0D" w:rsidP="00C15B0D">
      <w:pPr>
        <w:spacing w:after="200" w:line="276" w:lineRule="auto"/>
        <w:jc w:val="both"/>
      </w:pPr>
      <w:proofErr w:type="gramStart"/>
      <w:r w:rsidRPr="00C15B0D">
        <w:t xml:space="preserve">Для проведения письменной части экзамена были подобраны тестовые материалы в текстовом и </w:t>
      </w:r>
      <w:proofErr w:type="spellStart"/>
      <w:r w:rsidRPr="00C15B0D">
        <w:t>аудиоформате</w:t>
      </w:r>
      <w:proofErr w:type="spellEnd"/>
      <w:r w:rsidRPr="00C15B0D">
        <w:t xml:space="preserve">, аналогичные материалам, используемым при тестировании IELTS и ВЕС. </w:t>
      </w:r>
      <w:proofErr w:type="gramEnd"/>
    </w:p>
    <w:p w:rsidR="00C15B0D" w:rsidRPr="00C15B0D" w:rsidRDefault="00C15B0D" w:rsidP="00C15B0D">
      <w:pPr>
        <w:spacing w:after="200" w:line="276" w:lineRule="auto"/>
        <w:jc w:val="both"/>
      </w:pPr>
      <w:r w:rsidRPr="00C15B0D">
        <w:t xml:space="preserve">Верификаторами, которые осуществляли проверку письменных работ (чтение и </w:t>
      </w:r>
      <w:proofErr w:type="spellStart"/>
      <w:r w:rsidRPr="00C15B0D">
        <w:t>аудирование</w:t>
      </w:r>
      <w:proofErr w:type="spellEnd"/>
      <w:r w:rsidRPr="00C15B0D">
        <w:t xml:space="preserve">) по ключам, выступили студенты магистратуры МИЭФ. В организации </w:t>
      </w:r>
      <w:r w:rsidRPr="00C15B0D">
        <w:lastRenderedPageBreak/>
        <w:t>проведения экзамена были задействованы работники учебных частей и других структурных подразделений. Проверку письменных работ за этап «Письмо»  и «Интервью» проводили иностранные сертифицированные экзаменаторы, приглашенные координатором экзамена.</w:t>
      </w:r>
    </w:p>
    <w:p w:rsidR="00C15B0D" w:rsidRPr="00C15B0D" w:rsidRDefault="00C15B0D" w:rsidP="00C15B0D">
      <w:pPr>
        <w:spacing w:after="200" w:line="276" w:lineRule="auto"/>
        <w:jc w:val="both"/>
      </w:pPr>
      <w:r w:rsidRPr="00C15B0D">
        <w:t>В LMS для каждого факультета-участника был создан сайт, на котором была размещена вся необходимая студенту информация: регламент организации и проведения, расписание, ссылки на первоисточники, шкала перевода оценок, полученных на экзамене, в Шкалу ВШЭ, а также ответы на часто задаваемые вопросы и объявления.</w:t>
      </w:r>
    </w:p>
    <w:p w:rsidR="00C15B0D" w:rsidRPr="00C15B0D" w:rsidRDefault="00C15B0D" w:rsidP="00C15B0D">
      <w:pPr>
        <w:spacing w:after="200" w:line="276" w:lineRule="auto"/>
        <w:jc w:val="both"/>
      </w:pPr>
      <w:r w:rsidRPr="00C15B0D">
        <w:t xml:space="preserve">На экзамен по правилам BEC (уровень </w:t>
      </w:r>
      <w:proofErr w:type="spellStart"/>
      <w:r w:rsidRPr="00C15B0D">
        <w:t>Higher</w:t>
      </w:r>
      <w:proofErr w:type="spellEnd"/>
      <w:r w:rsidRPr="00C15B0D">
        <w:t>) было зарегистрировано 227 студентов факультета Мировой экономики и мировой политики.</w:t>
      </w:r>
    </w:p>
    <w:p w:rsidR="00C15B0D" w:rsidRPr="00C15B0D" w:rsidRDefault="00C15B0D" w:rsidP="00C15B0D">
      <w:pPr>
        <w:spacing w:after="200" w:line="276" w:lineRule="auto"/>
        <w:jc w:val="both"/>
      </w:pPr>
      <w:r w:rsidRPr="00C15B0D">
        <w:t>62% студентов сдали экзамен на хорошо и отлично; 36% студентов получили удовлетворительные оценки. В пятибалльную шкалу оценок переводилась сумма результатов, полученных по каждому из четырех испытаний.</w:t>
      </w:r>
    </w:p>
    <w:p w:rsidR="00C15B0D" w:rsidRPr="007F71BE" w:rsidRDefault="00C15B0D" w:rsidP="007F71BE">
      <w:pPr>
        <w:spacing w:after="200" w:line="276" w:lineRule="auto"/>
        <w:jc w:val="both"/>
      </w:pPr>
      <w:r w:rsidRPr="00C15B0D">
        <w:t>В диаграмме 5.</w:t>
      </w:r>
      <w:r w:rsidR="00D07E59">
        <w:t>8</w:t>
      </w:r>
      <w:r w:rsidRPr="00C15B0D">
        <w:t>.1</w:t>
      </w:r>
      <w:r w:rsidR="00D07E59">
        <w:t>.1</w:t>
      </w:r>
      <w:r w:rsidRPr="00C15B0D">
        <w:t xml:space="preserve"> представлено процентное распределение студентов</w:t>
      </w:r>
      <w:r w:rsidR="007F71BE">
        <w:t xml:space="preserve"> по результатам сдачи экзамена:</w:t>
      </w:r>
    </w:p>
    <w:p w:rsidR="00C15B0D" w:rsidRPr="00C15B0D" w:rsidRDefault="00C15B0D" w:rsidP="00C15B0D">
      <w:pPr>
        <w:pStyle w:val="32"/>
        <w:snapToGrid w:val="0"/>
        <w:spacing w:after="0"/>
        <w:jc w:val="both"/>
        <w:rPr>
          <w:b/>
          <w:bCs/>
          <w:color w:val="000000"/>
          <w:sz w:val="24"/>
          <w:szCs w:val="24"/>
          <w:lang w:eastAsia="ru-RU"/>
        </w:rPr>
      </w:pPr>
      <w:r w:rsidRPr="00C15B0D">
        <w:rPr>
          <w:b/>
          <w:bCs/>
          <w:color w:val="000000"/>
          <w:sz w:val="24"/>
          <w:szCs w:val="24"/>
          <w:lang w:eastAsia="ru-RU"/>
        </w:rPr>
        <w:t>Диаграмма 5.</w:t>
      </w:r>
      <w:r w:rsidR="00D07E59">
        <w:rPr>
          <w:b/>
          <w:bCs/>
          <w:color w:val="000000"/>
          <w:sz w:val="24"/>
          <w:szCs w:val="24"/>
          <w:lang w:eastAsia="ru-RU"/>
        </w:rPr>
        <w:t>8</w:t>
      </w:r>
      <w:r w:rsidRPr="00C15B0D">
        <w:rPr>
          <w:b/>
          <w:bCs/>
          <w:color w:val="000000"/>
          <w:sz w:val="24"/>
          <w:szCs w:val="24"/>
          <w:lang w:eastAsia="ru-RU"/>
        </w:rPr>
        <w:t>.1</w:t>
      </w:r>
      <w:r w:rsidR="00D07E59">
        <w:rPr>
          <w:b/>
          <w:bCs/>
          <w:color w:val="000000"/>
          <w:sz w:val="24"/>
          <w:szCs w:val="24"/>
          <w:lang w:eastAsia="ru-RU"/>
        </w:rPr>
        <w:t>.1</w:t>
      </w:r>
    </w:p>
    <w:p w:rsidR="00C15B0D" w:rsidRDefault="00C15B0D" w:rsidP="00C15B0D">
      <w:pPr>
        <w:spacing w:after="200" w:line="276" w:lineRule="auto"/>
        <w:jc w:val="both"/>
        <w:rPr>
          <w:bCs/>
          <w:color w:val="000000"/>
        </w:rPr>
      </w:pPr>
      <w:r w:rsidRPr="00176B20">
        <w:rPr>
          <w:bCs/>
          <w:noProof/>
          <w:color w:val="000000"/>
        </w:rPr>
        <w:drawing>
          <wp:inline distT="0" distB="0" distL="0" distR="0">
            <wp:extent cx="5829935" cy="3425190"/>
            <wp:effectExtent l="0" t="0" r="37465" b="2921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15B0D" w:rsidRPr="00C15B0D" w:rsidRDefault="00C15B0D" w:rsidP="00C15B0D">
      <w:pPr>
        <w:spacing w:after="200" w:line="276" w:lineRule="auto"/>
        <w:jc w:val="both"/>
      </w:pPr>
      <w:r w:rsidRPr="00C15B0D">
        <w:t xml:space="preserve">В прошлом году результаты сдачи были представлены следующей диаграммой: </w:t>
      </w:r>
    </w:p>
    <w:p w:rsidR="00C15B0D" w:rsidRPr="00AD69D4" w:rsidRDefault="00C15B0D" w:rsidP="00C15B0D">
      <w:pPr>
        <w:spacing w:after="200" w:line="276" w:lineRule="auto"/>
        <w:rPr>
          <w:bCs/>
          <w:color w:val="000000"/>
        </w:rPr>
      </w:pPr>
      <w:r w:rsidRPr="00C15B0D">
        <w:rPr>
          <w:b/>
          <w:bCs/>
          <w:color w:val="000000"/>
        </w:rPr>
        <w:lastRenderedPageBreak/>
        <w:t>Диаграмма</w:t>
      </w:r>
      <w:r w:rsidRPr="00D02EF3">
        <w:rPr>
          <w:b/>
          <w:bCs/>
          <w:color w:val="000000"/>
        </w:rPr>
        <w:t xml:space="preserve"> 5.</w:t>
      </w:r>
      <w:r w:rsidR="00D07E59">
        <w:rPr>
          <w:b/>
          <w:bCs/>
          <w:color w:val="000000"/>
        </w:rPr>
        <w:t>8</w:t>
      </w:r>
      <w:r w:rsidRPr="00D02EF3">
        <w:rPr>
          <w:b/>
          <w:bCs/>
          <w:color w:val="000000"/>
        </w:rPr>
        <w:t>.</w:t>
      </w:r>
      <w:r w:rsidR="00D07E59">
        <w:rPr>
          <w:b/>
          <w:bCs/>
          <w:color w:val="000000"/>
        </w:rPr>
        <w:t>1.</w:t>
      </w:r>
      <w:r w:rsidRPr="00D02EF3">
        <w:rPr>
          <w:b/>
          <w:bCs/>
          <w:color w:val="000000"/>
        </w:rPr>
        <w:t>2</w:t>
      </w:r>
      <w:r w:rsidRPr="00984685">
        <w:rPr>
          <w:bCs/>
          <w:noProof/>
          <w:color w:val="000000"/>
        </w:rPr>
        <w:drawing>
          <wp:inline distT="0" distB="0" distL="0" distR="0">
            <wp:extent cx="5829935" cy="3145790"/>
            <wp:effectExtent l="0" t="0" r="37465" b="29210"/>
            <wp:docPr id="2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C15B0D" w:rsidRPr="00C15B0D" w:rsidRDefault="00C15B0D" w:rsidP="00C15B0D">
      <w:pPr>
        <w:spacing w:after="200" w:line="276" w:lineRule="auto"/>
        <w:jc w:val="both"/>
      </w:pPr>
      <w:r w:rsidRPr="00C15B0D">
        <w:t>Более низкий результат по BEC связан с тем, что в этом году экзамен сдавали все студенты 4 курса факультета Мировой экономики и мировой политики, а в прошлом  - только желающие.</w:t>
      </w:r>
    </w:p>
    <w:p w:rsidR="00C15B0D" w:rsidRPr="00B44E4D" w:rsidRDefault="00C15B0D" w:rsidP="00B44E4D">
      <w:pPr>
        <w:spacing w:after="200" w:line="276" w:lineRule="auto"/>
        <w:jc w:val="both"/>
      </w:pPr>
      <w:r w:rsidRPr="00C15B0D">
        <w:t xml:space="preserve">Распределение студентов, получивших оценки по </w:t>
      </w:r>
      <w:proofErr w:type="spellStart"/>
      <w:r w:rsidRPr="00C15B0D">
        <w:t>тридцатибальной</w:t>
      </w:r>
      <w:proofErr w:type="spellEnd"/>
      <w:r w:rsidRPr="00C15B0D">
        <w:t xml:space="preserve"> шкале ВЕС по отдельным видам испытаний, приведено на диаграмме 5.</w:t>
      </w:r>
      <w:r w:rsidR="00D07E59">
        <w:t>8</w:t>
      </w:r>
      <w:r w:rsidRPr="00C15B0D">
        <w:t>.</w:t>
      </w:r>
      <w:r w:rsidR="00D07E59">
        <w:t>1.</w:t>
      </w:r>
      <w:r w:rsidRPr="00C15B0D">
        <w:t>3:</w:t>
      </w:r>
    </w:p>
    <w:p w:rsidR="00C15B0D" w:rsidRPr="00C15B0D" w:rsidRDefault="00C15B0D" w:rsidP="00C15B0D">
      <w:pPr>
        <w:pStyle w:val="32"/>
        <w:snapToGrid w:val="0"/>
        <w:spacing w:after="0"/>
        <w:jc w:val="both"/>
        <w:rPr>
          <w:b/>
          <w:bCs/>
          <w:color w:val="000000"/>
          <w:sz w:val="24"/>
          <w:szCs w:val="24"/>
          <w:lang w:eastAsia="ru-RU"/>
        </w:rPr>
      </w:pPr>
      <w:r w:rsidRPr="00C15B0D">
        <w:rPr>
          <w:rFonts w:ascii="Times New Roman" w:hAnsi="Times New Roman"/>
          <w:b/>
          <w:sz w:val="24"/>
          <w:szCs w:val="24"/>
        </w:rPr>
        <w:t>Диаграмма 5.</w:t>
      </w:r>
      <w:r w:rsidR="00D07E59">
        <w:rPr>
          <w:rFonts w:ascii="Times New Roman" w:hAnsi="Times New Roman"/>
          <w:b/>
          <w:sz w:val="24"/>
          <w:szCs w:val="24"/>
        </w:rPr>
        <w:t>8</w:t>
      </w:r>
      <w:r w:rsidRPr="00C15B0D">
        <w:rPr>
          <w:rFonts w:ascii="Times New Roman" w:hAnsi="Times New Roman"/>
          <w:b/>
          <w:sz w:val="24"/>
          <w:szCs w:val="24"/>
        </w:rPr>
        <w:t>.</w:t>
      </w:r>
      <w:r w:rsidR="00D07E59">
        <w:rPr>
          <w:rFonts w:ascii="Times New Roman" w:hAnsi="Times New Roman"/>
          <w:b/>
          <w:sz w:val="24"/>
          <w:szCs w:val="24"/>
        </w:rPr>
        <w:t>1.</w:t>
      </w:r>
      <w:r w:rsidRPr="00C15B0D">
        <w:rPr>
          <w:rFonts w:ascii="Times New Roman" w:hAnsi="Times New Roman"/>
          <w:b/>
          <w:sz w:val="24"/>
          <w:szCs w:val="24"/>
        </w:rPr>
        <w:t>3.</w:t>
      </w:r>
    </w:p>
    <w:p w:rsidR="00C15B0D" w:rsidRPr="00B44E4D" w:rsidRDefault="00C15B0D" w:rsidP="00B44E4D">
      <w:pPr>
        <w:pStyle w:val="32"/>
        <w:snapToGrid w:val="0"/>
        <w:spacing w:after="0"/>
        <w:jc w:val="both"/>
        <w:rPr>
          <w:bCs/>
          <w:color w:val="000000"/>
          <w:sz w:val="24"/>
          <w:szCs w:val="24"/>
          <w:lang w:eastAsia="ru-RU"/>
        </w:rPr>
      </w:pPr>
      <w:r w:rsidRPr="00D3620E">
        <w:rPr>
          <w:bCs/>
          <w:noProof/>
          <w:color w:val="000000"/>
          <w:sz w:val="24"/>
          <w:szCs w:val="24"/>
          <w:lang w:eastAsia="ru-RU"/>
        </w:rPr>
        <w:drawing>
          <wp:inline distT="0" distB="0" distL="0" distR="0">
            <wp:extent cx="6147435" cy="3272790"/>
            <wp:effectExtent l="0" t="0" r="24765" b="29210"/>
            <wp:docPr id="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15B0D" w:rsidRPr="00C15B0D" w:rsidRDefault="00C15B0D" w:rsidP="00C15B0D">
      <w:pPr>
        <w:spacing w:after="200" w:line="276" w:lineRule="auto"/>
        <w:jc w:val="both"/>
      </w:pPr>
      <w:r w:rsidRPr="00C15B0D">
        <w:t xml:space="preserve">Диаграмма демонстрирует в целом по выборке более высокие показатели по чтению с пиком в районе 25 баллов, за интервью с двумя пиками – в районе 22 и 27 баллов из 30 возможных. Письмо имеет пик в районе 22 баллов,  </w:t>
      </w:r>
      <w:proofErr w:type="spellStart"/>
      <w:r w:rsidRPr="00C15B0D">
        <w:t>аудирование</w:t>
      </w:r>
      <w:proofErr w:type="spellEnd"/>
      <w:r w:rsidRPr="00C15B0D">
        <w:t xml:space="preserve"> - в районе 22 и 27 баллов.</w:t>
      </w:r>
    </w:p>
    <w:p w:rsidR="00C15B0D" w:rsidRPr="00C15B0D" w:rsidRDefault="00C15B0D" w:rsidP="00C15B0D">
      <w:pPr>
        <w:spacing w:after="200" w:line="276" w:lineRule="auto"/>
        <w:jc w:val="both"/>
      </w:pPr>
      <w:r w:rsidRPr="00C15B0D">
        <w:lastRenderedPageBreak/>
        <w:t>Для участия в экзамене по правилам IELTS было зарегистрировано 939 человек. 661 из них сдали экзамен на хорошо и отлично, 238 студентов получили оценку удовлетворительно, 14 студентов имели «неявку», 16 студентов получили за экзамен неудовлетворительные оценки.</w:t>
      </w:r>
    </w:p>
    <w:p w:rsidR="00C15B0D" w:rsidRPr="00C15B0D" w:rsidRDefault="00C15B0D" w:rsidP="00C15B0D">
      <w:pPr>
        <w:spacing w:after="200" w:line="276" w:lineRule="auto"/>
        <w:jc w:val="both"/>
      </w:pPr>
      <w:r w:rsidRPr="00C15B0D">
        <w:t xml:space="preserve">Диаграммы </w:t>
      </w:r>
      <w:r>
        <w:t>5.</w:t>
      </w:r>
      <w:r w:rsidR="00D07E59">
        <w:t>8</w:t>
      </w:r>
      <w:r>
        <w:t>.</w:t>
      </w:r>
      <w:r w:rsidR="00D07E59">
        <w:t>1.</w:t>
      </w:r>
      <w:r w:rsidRPr="00C15B0D">
        <w:t xml:space="preserve">4 и </w:t>
      </w:r>
      <w:r>
        <w:t>5.</w:t>
      </w:r>
      <w:r w:rsidR="00D07E59">
        <w:t>8</w:t>
      </w:r>
      <w:r>
        <w:t>.</w:t>
      </w:r>
      <w:r w:rsidR="00D07E59">
        <w:t>1.</w:t>
      </w:r>
      <w:r w:rsidRPr="00C15B0D">
        <w:t>5 представляют распределение студентов в процентном соотношении по результатам 2013 и 2012 годов по пятибалльной шкале ВШЭ. В пятибалльную шкалу оценок переводилось среднее арифметическое результатов, полученных по каждому из четырех испытаний.</w:t>
      </w:r>
    </w:p>
    <w:p w:rsidR="00C15B0D" w:rsidRPr="00CE2013" w:rsidRDefault="00C15B0D" w:rsidP="00C15B0D">
      <w:pPr>
        <w:pStyle w:val="af"/>
        <w:keepNext/>
        <w:spacing w:line="360" w:lineRule="auto"/>
        <w:jc w:val="both"/>
        <w:rPr>
          <w:rFonts w:ascii="Times New Roman" w:hAnsi="Times New Roman"/>
          <w:color w:val="auto"/>
          <w:sz w:val="24"/>
          <w:szCs w:val="24"/>
        </w:rPr>
      </w:pPr>
      <w:r w:rsidRPr="00CE2013">
        <w:rPr>
          <w:rFonts w:ascii="Times New Roman" w:hAnsi="Times New Roman"/>
          <w:color w:val="auto"/>
          <w:sz w:val="24"/>
          <w:szCs w:val="24"/>
        </w:rPr>
        <w:t xml:space="preserve">Диаграмма </w:t>
      </w:r>
      <w:r w:rsidR="00CE2013" w:rsidRPr="00CE2013">
        <w:rPr>
          <w:rFonts w:ascii="Times New Roman" w:hAnsi="Times New Roman"/>
          <w:color w:val="auto"/>
          <w:sz w:val="24"/>
          <w:szCs w:val="24"/>
        </w:rPr>
        <w:t>5.</w:t>
      </w:r>
      <w:r w:rsidR="00D07E59">
        <w:rPr>
          <w:rFonts w:ascii="Times New Roman" w:hAnsi="Times New Roman"/>
          <w:color w:val="auto"/>
          <w:sz w:val="24"/>
          <w:szCs w:val="24"/>
        </w:rPr>
        <w:t>8</w:t>
      </w:r>
      <w:r w:rsidR="00CE2013" w:rsidRPr="00CE2013">
        <w:rPr>
          <w:rFonts w:ascii="Times New Roman" w:hAnsi="Times New Roman"/>
          <w:color w:val="auto"/>
          <w:sz w:val="24"/>
          <w:szCs w:val="24"/>
        </w:rPr>
        <w:t>.</w:t>
      </w:r>
      <w:r w:rsidR="00D07E59">
        <w:rPr>
          <w:rFonts w:ascii="Times New Roman" w:hAnsi="Times New Roman"/>
          <w:color w:val="auto"/>
          <w:sz w:val="24"/>
          <w:szCs w:val="24"/>
        </w:rPr>
        <w:t>1.</w:t>
      </w:r>
      <w:r w:rsidRPr="00CE2013">
        <w:rPr>
          <w:rFonts w:ascii="Times New Roman" w:hAnsi="Times New Roman"/>
          <w:color w:val="auto"/>
          <w:sz w:val="24"/>
          <w:szCs w:val="24"/>
        </w:rPr>
        <w:t>4</w:t>
      </w:r>
    </w:p>
    <w:p w:rsidR="00C15B0D" w:rsidRPr="007769FA" w:rsidRDefault="00C15B0D" w:rsidP="00C15B0D">
      <w:pPr>
        <w:pStyle w:val="32"/>
        <w:snapToGrid w:val="0"/>
        <w:spacing w:after="0" w:line="360" w:lineRule="auto"/>
        <w:jc w:val="center"/>
        <w:rPr>
          <w:rFonts w:ascii="Times New Roman" w:hAnsi="Times New Roman"/>
          <w:sz w:val="24"/>
          <w:szCs w:val="24"/>
          <w:highlight w:val="lightGray"/>
        </w:rPr>
      </w:pPr>
      <w:r w:rsidRPr="009A6CC4">
        <w:rPr>
          <w:rFonts w:ascii="Times New Roman" w:hAnsi="Times New Roman"/>
          <w:noProof/>
          <w:sz w:val="24"/>
          <w:szCs w:val="24"/>
          <w:lang w:eastAsia="ru-RU"/>
        </w:rPr>
        <w:drawing>
          <wp:inline distT="0" distB="0" distL="0" distR="0">
            <wp:extent cx="6067425" cy="3038475"/>
            <wp:effectExtent l="0" t="0" r="3175"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9A6CC4">
        <w:rPr>
          <w:rFonts w:ascii="Times New Roman" w:hAnsi="Times New Roman"/>
          <w:noProof/>
          <w:sz w:val="24"/>
          <w:szCs w:val="24"/>
          <w:highlight w:val="lightGray"/>
          <w:lang w:eastAsia="ru-RU"/>
        </w:rPr>
        <w:t xml:space="preserve"> </w:t>
      </w:r>
    </w:p>
    <w:p w:rsidR="00C15B0D" w:rsidRPr="00CE2013" w:rsidRDefault="00C15B0D" w:rsidP="00C15B0D">
      <w:pPr>
        <w:pStyle w:val="af"/>
        <w:keepNext/>
        <w:spacing w:line="360" w:lineRule="auto"/>
      </w:pPr>
      <w:r w:rsidRPr="00CE2013">
        <w:rPr>
          <w:rFonts w:ascii="Times New Roman" w:hAnsi="Times New Roman"/>
          <w:color w:val="auto"/>
          <w:sz w:val="24"/>
          <w:szCs w:val="24"/>
        </w:rPr>
        <w:t>Диаграмма 5</w:t>
      </w:r>
      <w:r w:rsidR="00CE2013" w:rsidRPr="00CE2013">
        <w:rPr>
          <w:rFonts w:ascii="Times New Roman" w:hAnsi="Times New Roman"/>
          <w:color w:val="auto"/>
          <w:sz w:val="24"/>
          <w:szCs w:val="24"/>
        </w:rPr>
        <w:t>.</w:t>
      </w:r>
      <w:r w:rsidR="00D07E59">
        <w:rPr>
          <w:rFonts w:ascii="Times New Roman" w:hAnsi="Times New Roman"/>
          <w:color w:val="auto"/>
          <w:sz w:val="24"/>
          <w:szCs w:val="24"/>
        </w:rPr>
        <w:t>8</w:t>
      </w:r>
      <w:r w:rsidR="00CE2013" w:rsidRPr="00CE2013">
        <w:rPr>
          <w:rFonts w:ascii="Times New Roman" w:hAnsi="Times New Roman"/>
          <w:color w:val="auto"/>
          <w:sz w:val="24"/>
          <w:szCs w:val="24"/>
        </w:rPr>
        <w:t>.</w:t>
      </w:r>
      <w:r w:rsidR="00D07E59">
        <w:rPr>
          <w:rFonts w:ascii="Times New Roman" w:hAnsi="Times New Roman"/>
          <w:color w:val="auto"/>
          <w:sz w:val="24"/>
          <w:szCs w:val="24"/>
        </w:rPr>
        <w:t>1.</w:t>
      </w:r>
      <w:r w:rsidR="00CE2013" w:rsidRPr="00CE2013">
        <w:rPr>
          <w:rFonts w:ascii="Times New Roman" w:hAnsi="Times New Roman"/>
          <w:color w:val="auto"/>
          <w:sz w:val="24"/>
          <w:szCs w:val="24"/>
        </w:rPr>
        <w:t>5</w:t>
      </w:r>
    </w:p>
    <w:p w:rsidR="00C15B0D" w:rsidRPr="00CE2013" w:rsidRDefault="00C15B0D" w:rsidP="00CE2013">
      <w:pPr>
        <w:rPr>
          <w:lang w:eastAsia="en-US"/>
        </w:rPr>
      </w:pPr>
      <w:r w:rsidRPr="00E23CB3">
        <w:rPr>
          <w:noProof/>
        </w:rPr>
        <w:drawing>
          <wp:inline distT="0" distB="0" distL="0" distR="0">
            <wp:extent cx="5953125" cy="2842804"/>
            <wp:effectExtent l="0" t="0" r="15875" b="2794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CE2013" w:rsidRDefault="00CE2013" w:rsidP="00C15B0D">
      <w:pPr>
        <w:spacing w:after="200" w:line="276" w:lineRule="auto"/>
        <w:jc w:val="both"/>
        <w:rPr>
          <w:color w:val="000000"/>
        </w:rPr>
      </w:pPr>
    </w:p>
    <w:p w:rsidR="00C15B0D" w:rsidRDefault="00C15B0D" w:rsidP="00C15B0D">
      <w:pPr>
        <w:spacing w:after="200" w:line="276" w:lineRule="auto"/>
        <w:jc w:val="both"/>
        <w:rPr>
          <w:color w:val="000000"/>
        </w:rPr>
      </w:pPr>
      <w:r w:rsidRPr="00AD75E5">
        <w:rPr>
          <w:color w:val="000000"/>
        </w:rPr>
        <w:lastRenderedPageBreak/>
        <w:t>Диаграмм</w:t>
      </w:r>
      <w:r>
        <w:rPr>
          <w:color w:val="000000"/>
        </w:rPr>
        <w:t>а</w:t>
      </w:r>
      <w:r w:rsidRPr="00AD75E5">
        <w:rPr>
          <w:color w:val="000000"/>
        </w:rPr>
        <w:t xml:space="preserve"> </w:t>
      </w:r>
      <w:r w:rsidR="00CE2013">
        <w:rPr>
          <w:color w:val="000000"/>
        </w:rPr>
        <w:t>5.</w:t>
      </w:r>
      <w:r w:rsidR="00D07E59">
        <w:rPr>
          <w:color w:val="000000"/>
        </w:rPr>
        <w:t>8</w:t>
      </w:r>
      <w:r w:rsidR="00CE2013">
        <w:rPr>
          <w:color w:val="000000"/>
        </w:rPr>
        <w:t>.</w:t>
      </w:r>
      <w:r w:rsidR="00D07E59">
        <w:rPr>
          <w:color w:val="000000"/>
        </w:rPr>
        <w:t>1.</w:t>
      </w:r>
      <w:r>
        <w:rPr>
          <w:color w:val="000000"/>
        </w:rPr>
        <w:t xml:space="preserve">6 </w:t>
      </w:r>
      <w:r w:rsidRPr="00AD75E5">
        <w:rPr>
          <w:color w:val="000000"/>
        </w:rPr>
        <w:t>представля</w:t>
      </w:r>
      <w:r>
        <w:rPr>
          <w:color w:val="000000"/>
        </w:rPr>
        <w:t>е</w:t>
      </w:r>
      <w:r w:rsidRPr="00AD75E5">
        <w:rPr>
          <w:color w:val="000000"/>
        </w:rPr>
        <w:t xml:space="preserve">т распределение по отдельным факультетам, студенты которых сдавали </w:t>
      </w:r>
      <w:r w:rsidRPr="00EF581A">
        <w:rPr>
          <w:bCs/>
          <w:color w:val="000000"/>
        </w:rPr>
        <w:t>экзамен по правилам IELTS</w:t>
      </w:r>
      <w:r>
        <w:rPr>
          <w:bCs/>
          <w:color w:val="000000"/>
        </w:rPr>
        <w:t>.</w:t>
      </w:r>
    </w:p>
    <w:p w:rsidR="00C15B0D" w:rsidRPr="00CE2013" w:rsidRDefault="00C15B0D" w:rsidP="00C15B0D">
      <w:pPr>
        <w:pStyle w:val="af"/>
        <w:keepNext/>
        <w:spacing w:line="360" w:lineRule="auto"/>
        <w:rPr>
          <w:rFonts w:ascii="Times New Roman" w:hAnsi="Times New Roman"/>
          <w:color w:val="auto"/>
          <w:sz w:val="24"/>
          <w:szCs w:val="24"/>
        </w:rPr>
      </w:pPr>
      <w:r w:rsidRPr="00CE2013">
        <w:rPr>
          <w:rFonts w:ascii="Times New Roman" w:hAnsi="Times New Roman"/>
          <w:color w:val="auto"/>
          <w:sz w:val="24"/>
          <w:szCs w:val="24"/>
        </w:rPr>
        <w:t xml:space="preserve">Диаграмма </w:t>
      </w:r>
      <w:r w:rsidR="00CE2013" w:rsidRPr="00CE2013">
        <w:rPr>
          <w:rFonts w:ascii="Times New Roman" w:hAnsi="Times New Roman"/>
          <w:color w:val="auto"/>
          <w:sz w:val="24"/>
          <w:szCs w:val="24"/>
        </w:rPr>
        <w:t>5.</w:t>
      </w:r>
      <w:r w:rsidR="00D07E59">
        <w:rPr>
          <w:rFonts w:ascii="Times New Roman" w:hAnsi="Times New Roman"/>
          <w:color w:val="auto"/>
          <w:sz w:val="24"/>
          <w:szCs w:val="24"/>
        </w:rPr>
        <w:t>8</w:t>
      </w:r>
      <w:r w:rsidR="00CE2013" w:rsidRPr="00CE2013">
        <w:rPr>
          <w:rFonts w:ascii="Times New Roman" w:hAnsi="Times New Roman"/>
          <w:color w:val="auto"/>
          <w:sz w:val="24"/>
          <w:szCs w:val="24"/>
        </w:rPr>
        <w:t>.</w:t>
      </w:r>
      <w:r w:rsidR="00D07E59">
        <w:rPr>
          <w:rFonts w:ascii="Times New Roman" w:hAnsi="Times New Roman"/>
          <w:color w:val="auto"/>
          <w:sz w:val="24"/>
          <w:szCs w:val="24"/>
        </w:rPr>
        <w:t>1.</w:t>
      </w:r>
      <w:r w:rsidRPr="00CE2013">
        <w:rPr>
          <w:rFonts w:ascii="Times New Roman" w:hAnsi="Times New Roman"/>
          <w:color w:val="auto"/>
          <w:sz w:val="24"/>
          <w:szCs w:val="24"/>
        </w:rPr>
        <w:t>6</w:t>
      </w:r>
    </w:p>
    <w:p w:rsidR="00C15B0D" w:rsidRDefault="00C15B0D" w:rsidP="00C15B0D">
      <w:pPr>
        <w:rPr>
          <w:highlight w:val="lightGray"/>
          <w:lang w:eastAsia="en-US"/>
        </w:rPr>
      </w:pPr>
      <w:r w:rsidRPr="00E724D8">
        <w:rPr>
          <w:noProof/>
        </w:rPr>
        <w:drawing>
          <wp:inline distT="0" distB="0" distL="0" distR="0">
            <wp:extent cx="5920740" cy="3634740"/>
            <wp:effectExtent l="0" t="0" r="3810" b="3810"/>
            <wp:docPr id="2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C15B0D" w:rsidRPr="003737D0" w:rsidRDefault="00C15B0D" w:rsidP="00C15B0D">
      <w:pPr>
        <w:spacing w:after="200" w:line="276" w:lineRule="auto"/>
        <w:jc w:val="both"/>
        <w:rPr>
          <w:color w:val="000000"/>
        </w:rPr>
      </w:pPr>
      <w:r w:rsidRPr="00EB6794">
        <w:rPr>
          <w:rFonts w:ascii="Times New Roman" w:hAnsi="Times New Roman"/>
        </w:rPr>
        <w:t xml:space="preserve"> </w:t>
      </w:r>
      <w:r w:rsidRPr="003737D0">
        <w:rPr>
          <w:color w:val="000000"/>
        </w:rPr>
        <w:t>В прошлом году распределение выглядело следующим образом:</w:t>
      </w:r>
    </w:p>
    <w:p w:rsidR="00C15B0D" w:rsidRPr="00CE2013" w:rsidRDefault="00C15B0D" w:rsidP="00C15B0D">
      <w:pPr>
        <w:pStyle w:val="af"/>
        <w:keepNext/>
        <w:spacing w:line="360" w:lineRule="auto"/>
      </w:pPr>
      <w:r w:rsidRPr="00CE2013">
        <w:rPr>
          <w:rFonts w:ascii="Times New Roman" w:hAnsi="Times New Roman"/>
          <w:color w:val="auto"/>
          <w:sz w:val="24"/>
          <w:szCs w:val="24"/>
        </w:rPr>
        <w:t xml:space="preserve">Диаграмма </w:t>
      </w:r>
      <w:r w:rsidR="00CE2013" w:rsidRPr="00CE2013">
        <w:rPr>
          <w:rFonts w:ascii="Times New Roman" w:hAnsi="Times New Roman"/>
          <w:color w:val="auto"/>
          <w:sz w:val="24"/>
          <w:szCs w:val="24"/>
        </w:rPr>
        <w:t>5.</w:t>
      </w:r>
      <w:r w:rsidR="00D07E59">
        <w:rPr>
          <w:rFonts w:ascii="Times New Roman" w:hAnsi="Times New Roman"/>
          <w:color w:val="auto"/>
          <w:sz w:val="24"/>
          <w:szCs w:val="24"/>
        </w:rPr>
        <w:t>8</w:t>
      </w:r>
      <w:r w:rsidR="00CE2013" w:rsidRPr="00CE2013">
        <w:rPr>
          <w:rFonts w:ascii="Times New Roman" w:hAnsi="Times New Roman"/>
          <w:color w:val="auto"/>
          <w:sz w:val="24"/>
          <w:szCs w:val="24"/>
        </w:rPr>
        <w:t>.</w:t>
      </w:r>
      <w:r w:rsidR="00D07E59">
        <w:rPr>
          <w:rFonts w:ascii="Times New Roman" w:hAnsi="Times New Roman"/>
          <w:color w:val="auto"/>
          <w:sz w:val="24"/>
          <w:szCs w:val="24"/>
        </w:rPr>
        <w:t>1.</w:t>
      </w:r>
      <w:r w:rsidRPr="00CE2013">
        <w:rPr>
          <w:rFonts w:ascii="Times New Roman" w:hAnsi="Times New Roman"/>
          <w:color w:val="auto"/>
          <w:sz w:val="24"/>
          <w:szCs w:val="24"/>
        </w:rPr>
        <w:t>7</w:t>
      </w:r>
    </w:p>
    <w:p w:rsidR="00C15B0D" w:rsidRPr="003737D0" w:rsidRDefault="00C15B0D" w:rsidP="00C15B0D">
      <w:pPr>
        <w:rPr>
          <w:lang w:eastAsia="en-US"/>
        </w:rPr>
      </w:pPr>
      <w:r w:rsidRPr="003737D0">
        <w:rPr>
          <w:noProof/>
        </w:rPr>
        <w:drawing>
          <wp:inline distT="0" distB="0" distL="0" distR="0">
            <wp:extent cx="6118860" cy="3505200"/>
            <wp:effectExtent l="0" t="0" r="0" b="0"/>
            <wp:docPr id="2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C15B0D" w:rsidRPr="003737D0" w:rsidRDefault="00C15B0D" w:rsidP="00C15B0D">
      <w:pPr>
        <w:rPr>
          <w:lang w:eastAsia="en-US"/>
        </w:rPr>
      </w:pPr>
    </w:p>
    <w:p w:rsidR="00C15B0D" w:rsidRDefault="00C15B0D" w:rsidP="00C15B0D">
      <w:pPr>
        <w:spacing w:after="200" w:line="276" w:lineRule="auto"/>
        <w:jc w:val="both"/>
        <w:rPr>
          <w:color w:val="000000"/>
        </w:rPr>
      </w:pPr>
      <w:r w:rsidRPr="003737D0">
        <w:rPr>
          <w:color w:val="000000"/>
        </w:rPr>
        <w:lastRenderedPageBreak/>
        <w:t xml:space="preserve">Без двоек в этом году сдали экзамен студенты шести факультетов и отделений: </w:t>
      </w:r>
      <w:r>
        <w:rPr>
          <w:color w:val="000000"/>
        </w:rPr>
        <w:t xml:space="preserve">ВШЭ и РЭШ, </w:t>
      </w:r>
      <w:r w:rsidRPr="003737D0">
        <w:rPr>
          <w:color w:val="000000"/>
        </w:rPr>
        <w:t xml:space="preserve">Философии, Востоковедения, </w:t>
      </w:r>
      <w:proofErr w:type="gramStart"/>
      <w:r w:rsidRPr="003737D0">
        <w:rPr>
          <w:color w:val="000000"/>
        </w:rPr>
        <w:t>Бизнес-информатики</w:t>
      </w:r>
      <w:proofErr w:type="gramEnd"/>
      <w:r w:rsidRPr="003737D0">
        <w:rPr>
          <w:color w:val="000000"/>
        </w:rPr>
        <w:t xml:space="preserve">, </w:t>
      </w:r>
      <w:r>
        <w:rPr>
          <w:color w:val="000000"/>
        </w:rPr>
        <w:t>М</w:t>
      </w:r>
      <w:r w:rsidRPr="003737D0">
        <w:rPr>
          <w:color w:val="000000"/>
        </w:rPr>
        <w:t xml:space="preserve">атематики и </w:t>
      </w:r>
      <w:r>
        <w:rPr>
          <w:color w:val="000000"/>
        </w:rPr>
        <w:t>С</w:t>
      </w:r>
      <w:r w:rsidRPr="003737D0">
        <w:rPr>
          <w:color w:val="000000"/>
        </w:rPr>
        <w:t>татистики</w:t>
      </w:r>
      <w:r>
        <w:rPr>
          <w:color w:val="000000"/>
        </w:rPr>
        <w:t>.</w:t>
      </w:r>
    </w:p>
    <w:p w:rsidR="00C15B0D" w:rsidRPr="003D5A70" w:rsidRDefault="00C15B0D" w:rsidP="00C15B0D">
      <w:pPr>
        <w:spacing w:after="200" w:line="276" w:lineRule="auto"/>
        <w:jc w:val="both"/>
        <w:rPr>
          <w:bCs/>
        </w:rPr>
      </w:pPr>
      <w:r w:rsidRPr="00953FF8">
        <w:rPr>
          <w:color w:val="000000"/>
        </w:rPr>
        <w:t>100% явку продемонстрировали студенты отделения востоковедения, программной инженерии, ВШЭ и РЭШ.</w:t>
      </w:r>
    </w:p>
    <w:p w:rsidR="00C15B0D" w:rsidRPr="003D5A70" w:rsidRDefault="00C15B0D" w:rsidP="00C15B0D">
      <w:pPr>
        <w:spacing w:after="200" w:line="276" w:lineRule="auto"/>
        <w:jc w:val="both"/>
        <w:rPr>
          <w:color w:val="000000"/>
        </w:rPr>
      </w:pPr>
      <w:r w:rsidRPr="003D5A70">
        <w:rPr>
          <w:color w:val="000000"/>
        </w:rPr>
        <w:t>Ниже приведены диаграммы, демонстрирующие результаты сдачи по разным видам испытаний в соответствии с девятибалльной шкалой IELTS.</w:t>
      </w:r>
    </w:p>
    <w:p w:rsidR="00C15B0D" w:rsidRPr="003D5A70" w:rsidRDefault="00C15B0D" w:rsidP="00C15B0D">
      <w:pPr>
        <w:spacing w:after="200" w:line="276" w:lineRule="auto"/>
        <w:jc w:val="both"/>
        <w:rPr>
          <w:color w:val="000000"/>
        </w:rPr>
      </w:pPr>
      <w:r w:rsidRPr="003D5A70">
        <w:rPr>
          <w:color w:val="000000"/>
        </w:rPr>
        <w:t xml:space="preserve">Распределение оценок IELTS по факультетам (по четырем видам и среднее значение) </w:t>
      </w:r>
      <w:proofErr w:type="gramStart"/>
      <w:r w:rsidRPr="003D5A70">
        <w:rPr>
          <w:color w:val="000000"/>
        </w:rPr>
        <w:t>представлены</w:t>
      </w:r>
      <w:proofErr w:type="gramEnd"/>
      <w:r w:rsidRPr="003D5A70">
        <w:rPr>
          <w:color w:val="000000"/>
        </w:rPr>
        <w:t xml:space="preserve"> на диаграмме </w:t>
      </w:r>
      <w:r w:rsidR="00BF7914">
        <w:rPr>
          <w:color w:val="000000"/>
        </w:rPr>
        <w:t>5.</w:t>
      </w:r>
      <w:r w:rsidR="00D07E59">
        <w:rPr>
          <w:color w:val="000000"/>
        </w:rPr>
        <w:t>8</w:t>
      </w:r>
      <w:r w:rsidR="00BF7914">
        <w:rPr>
          <w:color w:val="000000"/>
        </w:rPr>
        <w:t>.</w:t>
      </w:r>
      <w:r w:rsidR="00D07E59">
        <w:rPr>
          <w:color w:val="000000"/>
        </w:rPr>
        <w:t>1.</w:t>
      </w:r>
      <w:r w:rsidRPr="003D5A70">
        <w:rPr>
          <w:color w:val="000000"/>
        </w:rPr>
        <w:t>8:</w:t>
      </w:r>
    </w:p>
    <w:p w:rsidR="00C15B0D" w:rsidRPr="00BF7914" w:rsidRDefault="00C15B0D" w:rsidP="00C15B0D">
      <w:pPr>
        <w:pStyle w:val="af"/>
        <w:keepNext/>
        <w:spacing w:line="360" w:lineRule="auto"/>
        <w:rPr>
          <w:rFonts w:ascii="Times New Roman" w:hAnsi="Times New Roman"/>
          <w:color w:val="auto"/>
          <w:sz w:val="24"/>
          <w:szCs w:val="24"/>
        </w:rPr>
      </w:pPr>
      <w:r w:rsidRPr="00BF7914">
        <w:rPr>
          <w:rFonts w:ascii="Times New Roman" w:hAnsi="Times New Roman"/>
          <w:color w:val="auto"/>
          <w:sz w:val="24"/>
          <w:szCs w:val="24"/>
        </w:rPr>
        <w:t xml:space="preserve">Диаграмма </w:t>
      </w:r>
      <w:r w:rsidR="00BF7914" w:rsidRPr="00BF7914">
        <w:rPr>
          <w:rFonts w:ascii="Times New Roman" w:hAnsi="Times New Roman"/>
          <w:color w:val="auto"/>
          <w:sz w:val="24"/>
          <w:szCs w:val="24"/>
        </w:rPr>
        <w:t>5.</w:t>
      </w:r>
      <w:r w:rsidR="00D07E59">
        <w:rPr>
          <w:rFonts w:ascii="Times New Roman" w:hAnsi="Times New Roman"/>
          <w:color w:val="auto"/>
          <w:sz w:val="24"/>
          <w:szCs w:val="24"/>
        </w:rPr>
        <w:t>8</w:t>
      </w:r>
      <w:r w:rsidR="00BF7914" w:rsidRPr="00BF7914">
        <w:rPr>
          <w:rFonts w:ascii="Times New Roman" w:hAnsi="Times New Roman"/>
          <w:color w:val="auto"/>
          <w:sz w:val="24"/>
          <w:szCs w:val="24"/>
        </w:rPr>
        <w:t>.</w:t>
      </w:r>
      <w:r w:rsidR="00D07E59">
        <w:rPr>
          <w:rFonts w:ascii="Times New Roman" w:hAnsi="Times New Roman"/>
          <w:color w:val="auto"/>
          <w:sz w:val="24"/>
          <w:szCs w:val="24"/>
        </w:rPr>
        <w:t>1.</w:t>
      </w:r>
      <w:r w:rsidRPr="00BF7914">
        <w:rPr>
          <w:rFonts w:ascii="Times New Roman" w:hAnsi="Times New Roman"/>
          <w:color w:val="auto"/>
          <w:sz w:val="24"/>
          <w:szCs w:val="24"/>
        </w:rPr>
        <w:t>8</w:t>
      </w:r>
    </w:p>
    <w:p w:rsidR="00C15B0D" w:rsidRPr="003D5A70" w:rsidRDefault="002D10EF" w:rsidP="00C15B0D">
      <w:pPr>
        <w:rPr>
          <w:lang w:eastAsia="en-US"/>
        </w:rPr>
      </w:pPr>
      <w:r w:rsidRPr="002D10EF">
        <w:rPr>
          <w:noProof/>
        </w:rPr>
        <w:drawing>
          <wp:inline distT="0" distB="0" distL="0" distR="0">
            <wp:extent cx="5936615" cy="5194300"/>
            <wp:effectExtent l="0" t="0" r="6985"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15B0D" w:rsidRPr="007769FA" w:rsidRDefault="00C15B0D" w:rsidP="00C15B0D">
      <w:pPr>
        <w:pStyle w:val="32"/>
        <w:snapToGrid w:val="0"/>
        <w:spacing w:after="0" w:line="360" w:lineRule="auto"/>
        <w:jc w:val="center"/>
        <w:rPr>
          <w:rFonts w:ascii="Times New Roman" w:hAnsi="Times New Roman"/>
          <w:sz w:val="24"/>
          <w:szCs w:val="24"/>
          <w:highlight w:val="lightGray"/>
        </w:rPr>
      </w:pPr>
    </w:p>
    <w:p w:rsidR="00C15B0D" w:rsidRPr="00BF7914" w:rsidRDefault="00C15B0D" w:rsidP="00C15B0D">
      <w:pPr>
        <w:spacing w:after="200" w:line="276" w:lineRule="auto"/>
        <w:jc w:val="both"/>
        <w:rPr>
          <w:color w:val="000000"/>
        </w:rPr>
      </w:pPr>
      <w:r w:rsidRPr="003D706E">
        <w:rPr>
          <w:color w:val="000000"/>
        </w:rPr>
        <w:t>Если в качестве критерия для сравнения достижений отдельных факультетов выбрать средний балл по всем видам испытаний, то результаты выше среднего (6,30) продемонстрировали студенты следующих факультетов: Статистики, Экономики, Математики,</w:t>
      </w:r>
      <w:r>
        <w:rPr>
          <w:color w:val="000000"/>
        </w:rPr>
        <w:t xml:space="preserve"> </w:t>
      </w:r>
      <w:r w:rsidRPr="003D706E">
        <w:rPr>
          <w:color w:val="000000"/>
        </w:rPr>
        <w:t>Программной инженерии,</w:t>
      </w:r>
      <w:r>
        <w:rPr>
          <w:color w:val="000000"/>
        </w:rPr>
        <w:t xml:space="preserve"> Бизнес-информатики, </w:t>
      </w:r>
      <w:proofErr w:type="gramStart"/>
      <w:r>
        <w:rPr>
          <w:color w:val="000000"/>
        </w:rPr>
        <w:t>Совместного</w:t>
      </w:r>
      <w:proofErr w:type="gramEnd"/>
      <w:r>
        <w:rPr>
          <w:color w:val="000000"/>
        </w:rPr>
        <w:t xml:space="preserve"> </w:t>
      </w:r>
      <w:proofErr w:type="spellStart"/>
      <w:r>
        <w:rPr>
          <w:color w:val="000000"/>
        </w:rPr>
        <w:t>бакалавриата</w:t>
      </w:r>
      <w:proofErr w:type="spellEnd"/>
      <w:r>
        <w:rPr>
          <w:color w:val="000000"/>
        </w:rPr>
        <w:t xml:space="preserve"> ВШЭ</w:t>
      </w:r>
      <w:r w:rsidRPr="00BF7914">
        <w:rPr>
          <w:color w:val="000000"/>
        </w:rPr>
        <w:t xml:space="preserve"> </w:t>
      </w:r>
      <w:r>
        <w:rPr>
          <w:color w:val="000000"/>
        </w:rPr>
        <w:t>и РЭШ.</w:t>
      </w:r>
      <w:r w:rsidRPr="003D706E">
        <w:rPr>
          <w:color w:val="000000"/>
        </w:rPr>
        <w:t xml:space="preserve"> </w:t>
      </w:r>
    </w:p>
    <w:p w:rsidR="00C15B0D" w:rsidRPr="005F1FA5" w:rsidRDefault="00C15B0D" w:rsidP="00C15B0D">
      <w:pPr>
        <w:spacing w:after="200" w:line="276" w:lineRule="auto"/>
        <w:jc w:val="both"/>
        <w:rPr>
          <w:color w:val="000000"/>
        </w:rPr>
      </w:pPr>
      <w:r w:rsidRPr="005F1FA5">
        <w:rPr>
          <w:color w:val="000000"/>
        </w:rPr>
        <w:lastRenderedPageBreak/>
        <w:t xml:space="preserve">Лепестковая диаграмма </w:t>
      </w:r>
      <w:r w:rsidR="00BF7914">
        <w:rPr>
          <w:color w:val="000000"/>
        </w:rPr>
        <w:t>5.</w:t>
      </w:r>
      <w:r w:rsidR="00D07E59">
        <w:rPr>
          <w:color w:val="000000"/>
        </w:rPr>
        <w:t>8</w:t>
      </w:r>
      <w:r w:rsidR="00BF7914">
        <w:rPr>
          <w:color w:val="000000"/>
        </w:rPr>
        <w:t>.</w:t>
      </w:r>
      <w:r w:rsidR="00D07E59">
        <w:rPr>
          <w:color w:val="000000"/>
        </w:rPr>
        <w:t>1.</w:t>
      </w:r>
      <w:r w:rsidR="00BF7914">
        <w:rPr>
          <w:color w:val="000000"/>
        </w:rPr>
        <w:t>9</w:t>
      </w:r>
      <w:r w:rsidRPr="005F1FA5">
        <w:rPr>
          <w:color w:val="000000"/>
        </w:rPr>
        <w:t xml:space="preserve"> демонстрирует соотнесение результатов по отдельным видам испытаний (по каждому факультету) со средним значений оценки IELTS (жирный контур). </w:t>
      </w:r>
    </w:p>
    <w:p w:rsidR="00C15B0D" w:rsidRPr="00BF7914" w:rsidRDefault="00C15B0D" w:rsidP="00BF7914">
      <w:pPr>
        <w:spacing w:after="200" w:line="276" w:lineRule="auto"/>
        <w:jc w:val="both"/>
        <w:rPr>
          <w:color w:val="000000"/>
        </w:rPr>
      </w:pPr>
      <w:r w:rsidRPr="00287350">
        <w:rPr>
          <w:color w:val="000000"/>
        </w:rPr>
        <w:t xml:space="preserve">Как и в прошлом году, контур результатов по испытанию «Письмо» почти полностью лежит внутри контура средней оценки, это означает, что худшие результаты студенты всех факультетов демонстрируют по письму. Средние оценки по другим видам испытаний на разных </w:t>
      </w:r>
      <w:proofErr w:type="gramStart"/>
      <w:r w:rsidRPr="00287350">
        <w:rPr>
          <w:color w:val="000000"/>
        </w:rPr>
        <w:t>факультетах</w:t>
      </w:r>
      <w:proofErr w:type="gramEnd"/>
      <w:r w:rsidRPr="00287350">
        <w:rPr>
          <w:color w:val="000000"/>
        </w:rPr>
        <w:t xml:space="preserve"> отличаются: хуже всех читают студенты факультета </w:t>
      </w:r>
      <w:proofErr w:type="spellStart"/>
      <w:r w:rsidRPr="00287350">
        <w:rPr>
          <w:color w:val="000000"/>
        </w:rPr>
        <w:t>медиакоммуникаций</w:t>
      </w:r>
      <w:proofErr w:type="spellEnd"/>
      <w:r w:rsidRPr="00287350">
        <w:rPr>
          <w:color w:val="000000"/>
        </w:rPr>
        <w:t xml:space="preserve"> и факультета философии. </w:t>
      </w:r>
      <w:r w:rsidRPr="00BF7914">
        <w:rPr>
          <w:color w:val="000000"/>
        </w:rPr>
        <w:t xml:space="preserve">Лучшие результаты в чтении продемонстрировали студенты факультета ГМУ и отделения статистики. Самые высокие результаты по </w:t>
      </w:r>
      <w:proofErr w:type="spellStart"/>
      <w:r w:rsidRPr="00BF7914">
        <w:rPr>
          <w:color w:val="000000"/>
        </w:rPr>
        <w:t>аудированию</w:t>
      </w:r>
      <w:proofErr w:type="spellEnd"/>
      <w:r w:rsidRPr="00BF7914">
        <w:rPr>
          <w:color w:val="000000"/>
        </w:rPr>
        <w:t xml:space="preserve"> имеют студенты факультета экономики. Лучший уровень знаний при проведении интервью продемонстрировали студенты отделения «Совместный </w:t>
      </w:r>
      <w:proofErr w:type="spellStart"/>
      <w:r w:rsidRPr="00BF7914">
        <w:rPr>
          <w:color w:val="000000"/>
        </w:rPr>
        <w:t>бакалавриат</w:t>
      </w:r>
      <w:proofErr w:type="spellEnd"/>
      <w:r w:rsidRPr="00BF7914">
        <w:rPr>
          <w:color w:val="000000"/>
        </w:rPr>
        <w:t xml:space="preserve"> ВШЭ и РЭШ».</w:t>
      </w:r>
    </w:p>
    <w:p w:rsidR="00C15B0D" w:rsidRPr="007769FA" w:rsidRDefault="00C15B0D" w:rsidP="00C15B0D">
      <w:pPr>
        <w:pStyle w:val="af"/>
        <w:keepNext/>
        <w:spacing w:line="360" w:lineRule="auto"/>
        <w:rPr>
          <w:rFonts w:ascii="Times New Roman" w:hAnsi="Times New Roman"/>
          <w:sz w:val="24"/>
          <w:szCs w:val="24"/>
          <w:highlight w:val="lightGray"/>
        </w:rPr>
      </w:pPr>
      <w:r w:rsidRPr="00BF7914">
        <w:rPr>
          <w:rFonts w:ascii="Times New Roman" w:hAnsi="Times New Roman"/>
          <w:color w:val="auto"/>
          <w:sz w:val="24"/>
          <w:szCs w:val="24"/>
        </w:rPr>
        <w:t xml:space="preserve">Диаграмма </w:t>
      </w:r>
      <w:r w:rsidR="00BF7914" w:rsidRPr="00BF7914">
        <w:rPr>
          <w:rFonts w:ascii="Times New Roman" w:hAnsi="Times New Roman"/>
          <w:color w:val="auto"/>
          <w:sz w:val="24"/>
          <w:szCs w:val="24"/>
        </w:rPr>
        <w:t>5.</w:t>
      </w:r>
      <w:r w:rsidR="00D07E59">
        <w:rPr>
          <w:rFonts w:ascii="Times New Roman" w:hAnsi="Times New Roman"/>
          <w:color w:val="auto"/>
          <w:sz w:val="24"/>
          <w:szCs w:val="24"/>
        </w:rPr>
        <w:t>8</w:t>
      </w:r>
      <w:r w:rsidR="00BF7914" w:rsidRPr="00BF7914">
        <w:rPr>
          <w:rFonts w:ascii="Times New Roman" w:hAnsi="Times New Roman"/>
          <w:color w:val="auto"/>
          <w:sz w:val="24"/>
          <w:szCs w:val="24"/>
        </w:rPr>
        <w:t>.</w:t>
      </w:r>
      <w:r w:rsidR="00D07E59">
        <w:rPr>
          <w:rFonts w:ascii="Times New Roman" w:hAnsi="Times New Roman"/>
          <w:color w:val="auto"/>
          <w:sz w:val="24"/>
          <w:szCs w:val="24"/>
        </w:rPr>
        <w:t>1.</w:t>
      </w:r>
      <w:r w:rsidRPr="00BF7914">
        <w:rPr>
          <w:rFonts w:ascii="Times New Roman" w:hAnsi="Times New Roman"/>
          <w:color w:val="auto"/>
          <w:sz w:val="24"/>
          <w:szCs w:val="24"/>
        </w:rPr>
        <w:t>9</w:t>
      </w:r>
      <w:r w:rsidRPr="0027331C">
        <w:rPr>
          <w:rFonts w:ascii="Times New Roman" w:hAnsi="Times New Roman"/>
          <w:noProof/>
          <w:sz w:val="24"/>
          <w:szCs w:val="24"/>
          <w:lang w:eastAsia="ru-RU"/>
        </w:rPr>
        <w:drawing>
          <wp:inline distT="0" distB="0" distL="0" distR="0">
            <wp:extent cx="5600180" cy="4904798"/>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C15B0D" w:rsidRDefault="00C15B0D" w:rsidP="00C15B0D">
      <w:pPr>
        <w:pStyle w:val="32"/>
        <w:snapToGrid w:val="0"/>
        <w:spacing w:after="0"/>
        <w:jc w:val="both"/>
        <w:rPr>
          <w:color w:val="000000"/>
          <w:sz w:val="24"/>
          <w:szCs w:val="24"/>
          <w:lang w:eastAsia="ru-RU"/>
        </w:rPr>
      </w:pPr>
      <w:r w:rsidRPr="007A4418">
        <w:rPr>
          <w:color w:val="000000"/>
          <w:sz w:val="24"/>
          <w:szCs w:val="24"/>
          <w:lang w:eastAsia="ru-RU"/>
        </w:rPr>
        <w:t xml:space="preserve">Шкала перевода девятибалльных оценок по правилам IELTS в 2013 году предусматривала проходной порог </w:t>
      </w:r>
      <w:proofErr w:type="spellStart"/>
      <w:r w:rsidRPr="007A4418">
        <w:rPr>
          <w:color w:val="000000"/>
          <w:sz w:val="24"/>
          <w:szCs w:val="24"/>
          <w:lang w:eastAsia="ru-RU"/>
        </w:rPr>
        <w:t>несдачи</w:t>
      </w:r>
      <w:proofErr w:type="spellEnd"/>
      <w:r w:rsidRPr="007A4418">
        <w:rPr>
          <w:color w:val="000000"/>
          <w:sz w:val="24"/>
          <w:szCs w:val="24"/>
          <w:lang w:eastAsia="ru-RU"/>
        </w:rPr>
        <w:t xml:space="preserve"> – 4,7 баллов. На диаграмме </w:t>
      </w:r>
      <w:r w:rsidR="00BF7914">
        <w:rPr>
          <w:color w:val="000000"/>
          <w:sz w:val="24"/>
          <w:szCs w:val="24"/>
          <w:lang w:eastAsia="ru-RU"/>
        </w:rPr>
        <w:t>5.9.</w:t>
      </w:r>
      <w:r w:rsidRPr="007A4418">
        <w:rPr>
          <w:color w:val="000000"/>
          <w:sz w:val="24"/>
          <w:szCs w:val="24"/>
          <w:lang w:eastAsia="ru-RU"/>
        </w:rPr>
        <w:t>1</w:t>
      </w:r>
      <w:r>
        <w:rPr>
          <w:color w:val="000000"/>
          <w:sz w:val="24"/>
          <w:szCs w:val="24"/>
          <w:lang w:eastAsia="ru-RU"/>
        </w:rPr>
        <w:t>0</w:t>
      </w:r>
      <w:r w:rsidRPr="007A4418">
        <w:rPr>
          <w:color w:val="000000"/>
          <w:sz w:val="24"/>
          <w:szCs w:val="24"/>
          <w:lang w:eastAsia="ru-RU"/>
        </w:rPr>
        <w:t xml:space="preserve"> приведено распределение количества студентов, не преодолевших порог при сдаче разных видов испытаний (без учета неявок на эти испытания).</w:t>
      </w:r>
    </w:p>
    <w:p w:rsidR="00BF7914" w:rsidRDefault="00BF7914" w:rsidP="00C15B0D">
      <w:pPr>
        <w:pStyle w:val="32"/>
        <w:snapToGrid w:val="0"/>
        <w:spacing w:after="0" w:line="360" w:lineRule="auto"/>
        <w:jc w:val="both"/>
        <w:rPr>
          <w:color w:val="000000"/>
          <w:sz w:val="24"/>
          <w:szCs w:val="24"/>
          <w:lang w:eastAsia="ru-RU"/>
        </w:rPr>
      </w:pPr>
    </w:p>
    <w:p w:rsidR="00C15B0D" w:rsidRPr="00BF7914" w:rsidRDefault="00C15B0D" w:rsidP="00C15B0D">
      <w:pPr>
        <w:pStyle w:val="32"/>
        <w:snapToGrid w:val="0"/>
        <w:spacing w:after="0" w:line="360" w:lineRule="auto"/>
        <w:jc w:val="both"/>
        <w:rPr>
          <w:b/>
          <w:color w:val="000000"/>
          <w:sz w:val="24"/>
          <w:szCs w:val="24"/>
          <w:lang w:eastAsia="ru-RU"/>
        </w:rPr>
      </w:pPr>
      <w:r w:rsidRPr="00BF7914">
        <w:rPr>
          <w:b/>
          <w:color w:val="000000"/>
          <w:sz w:val="24"/>
          <w:szCs w:val="24"/>
          <w:lang w:eastAsia="ru-RU"/>
        </w:rPr>
        <w:lastRenderedPageBreak/>
        <w:t xml:space="preserve">Диаграмма </w:t>
      </w:r>
      <w:r w:rsidR="00BF7914" w:rsidRPr="00BF7914">
        <w:rPr>
          <w:b/>
          <w:color w:val="000000"/>
          <w:sz w:val="24"/>
          <w:szCs w:val="24"/>
          <w:lang w:eastAsia="ru-RU"/>
        </w:rPr>
        <w:t>5.</w:t>
      </w:r>
      <w:r w:rsidR="00D07E59">
        <w:rPr>
          <w:b/>
          <w:color w:val="000000"/>
          <w:sz w:val="24"/>
          <w:szCs w:val="24"/>
          <w:lang w:eastAsia="ru-RU"/>
        </w:rPr>
        <w:t>8</w:t>
      </w:r>
      <w:r w:rsidR="00BF7914" w:rsidRPr="00BF7914">
        <w:rPr>
          <w:b/>
          <w:color w:val="000000"/>
          <w:sz w:val="24"/>
          <w:szCs w:val="24"/>
          <w:lang w:eastAsia="ru-RU"/>
        </w:rPr>
        <w:t>.</w:t>
      </w:r>
      <w:r w:rsidR="00D07E59">
        <w:rPr>
          <w:b/>
          <w:color w:val="000000"/>
          <w:sz w:val="24"/>
          <w:szCs w:val="24"/>
          <w:lang w:eastAsia="ru-RU"/>
        </w:rPr>
        <w:t>1.</w:t>
      </w:r>
      <w:r w:rsidRPr="00BF7914">
        <w:rPr>
          <w:b/>
          <w:color w:val="000000"/>
          <w:sz w:val="24"/>
          <w:szCs w:val="24"/>
          <w:lang w:eastAsia="ru-RU"/>
        </w:rPr>
        <w:t>10</w:t>
      </w:r>
    </w:p>
    <w:p w:rsidR="00C15B0D" w:rsidRPr="007A4418" w:rsidRDefault="00C15B0D" w:rsidP="00C15B0D">
      <w:pPr>
        <w:pStyle w:val="32"/>
        <w:snapToGrid w:val="0"/>
        <w:spacing w:after="0" w:line="360" w:lineRule="auto"/>
        <w:ind w:left="-1418" w:right="-285"/>
        <w:jc w:val="both"/>
        <w:rPr>
          <w:color w:val="000000"/>
          <w:sz w:val="24"/>
          <w:szCs w:val="24"/>
          <w:lang w:eastAsia="ru-RU"/>
        </w:rPr>
      </w:pPr>
      <w:r w:rsidRPr="00C52F9F">
        <w:rPr>
          <w:noProof/>
          <w:color w:val="000000"/>
          <w:sz w:val="24"/>
          <w:szCs w:val="24"/>
          <w:lang w:eastAsia="ru-RU"/>
        </w:rPr>
        <w:drawing>
          <wp:inline distT="0" distB="0" distL="0" distR="0">
            <wp:extent cx="7126951" cy="7037763"/>
            <wp:effectExtent l="0" t="0" r="10795" b="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C15B0D" w:rsidRPr="00555A69" w:rsidRDefault="00C15B0D" w:rsidP="00555A69">
      <w:pPr>
        <w:pStyle w:val="32"/>
        <w:snapToGrid w:val="0"/>
        <w:spacing w:after="0"/>
        <w:jc w:val="both"/>
        <w:rPr>
          <w:color w:val="000000"/>
          <w:sz w:val="24"/>
          <w:szCs w:val="24"/>
          <w:lang w:eastAsia="ru-RU"/>
        </w:rPr>
      </w:pPr>
      <w:r w:rsidRPr="00555A69">
        <w:rPr>
          <w:color w:val="000000"/>
          <w:sz w:val="24"/>
          <w:szCs w:val="24"/>
          <w:lang w:eastAsia="ru-RU"/>
        </w:rPr>
        <w:t xml:space="preserve">Распределение количества студентов, по баллам за разные виды испытаний по шкале IELTS, приведено на следующей диаграмме </w:t>
      </w:r>
      <w:r w:rsidR="00BF7914" w:rsidRPr="00555A69">
        <w:rPr>
          <w:color w:val="000000"/>
          <w:sz w:val="24"/>
          <w:szCs w:val="24"/>
          <w:lang w:eastAsia="ru-RU"/>
        </w:rPr>
        <w:t>5.</w:t>
      </w:r>
      <w:r w:rsidR="00D07E59">
        <w:rPr>
          <w:color w:val="000000"/>
          <w:sz w:val="24"/>
          <w:szCs w:val="24"/>
          <w:lang w:eastAsia="ru-RU"/>
        </w:rPr>
        <w:t>8</w:t>
      </w:r>
      <w:r w:rsidR="00BF7914" w:rsidRPr="00555A69">
        <w:rPr>
          <w:color w:val="000000"/>
          <w:sz w:val="24"/>
          <w:szCs w:val="24"/>
          <w:lang w:eastAsia="ru-RU"/>
        </w:rPr>
        <w:t>.</w:t>
      </w:r>
      <w:r w:rsidRPr="00555A69">
        <w:rPr>
          <w:color w:val="000000"/>
          <w:sz w:val="24"/>
          <w:szCs w:val="24"/>
          <w:lang w:eastAsia="ru-RU"/>
        </w:rPr>
        <w:t>1</w:t>
      </w:r>
      <w:r w:rsidR="00D07E59">
        <w:rPr>
          <w:color w:val="000000"/>
          <w:sz w:val="24"/>
          <w:szCs w:val="24"/>
          <w:lang w:eastAsia="ru-RU"/>
        </w:rPr>
        <w:t>.11</w:t>
      </w:r>
    </w:p>
    <w:p w:rsidR="00555A69" w:rsidRDefault="00555A69" w:rsidP="00C15B0D">
      <w:pPr>
        <w:rPr>
          <w:b/>
        </w:rPr>
      </w:pPr>
    </w:p>
    <w:p w:rsidR="000320AD" w:rsidRDefault="000320AD" w:rsidP="00C15B0D">
      <w:pPr>
        <w:rPr>
          <w:b/>
        </w:rPr>
      </w:pPr>
    </w:p>
    <w:p w:rsidR="000320AD" w:rsidRDefault="000320AD" w:rsidP="00C15B0D">
      <w:pPr>
        <w:rPr>
          <w:b/>
        </w:rPr>
      </w:pPr>
    </w:p>
    <w:p w:rsidR="00C15B0D" w:rsidRPr="00BF7914" w:rsidRDefault="00C15B0D" w:rsidP="00C15B0D">
      <w:pPr>
        <w:rPr>
          <w:b/>
        </w:rPr>
      </w:pPr>
      <w:r w:rsidRPr="00BF7914">
        <w:rPr>
          <w:b/>
        </w:rPr>
        <w:t xml:space="preserve">Диаграмма </w:t>
      </w:r>
      <w:r w:rsidR="00BF7914" w:rsidRPr="00BF7914">
        <w:rPr>
          <w:b/>
        </w:rPr>
        <w:t>5.</w:t>
      </w:r>
      <w:r w:rsidR="00D07E59">
        <w:rPr>
          <w:b/>
        </w:rPr>
        <w:t>8</w:t>
      </w:r>
      <w:r w:rsidR="00BF7914" w:rsidRPr="00BF7914">
        <w:rPr>
          <w:b/>
        </w:rPr>
        <w:t>.</w:t>
      </w:r>
      <w:r w:rsidR="00D07E59">
        <w:rPr>
          <w:b/>
        </w:rPr>
        <w:t>1.</w:t>
      </w:r>
      <w:r w:rsidRPr="00BF7914">
        <w:rPr>
          <w:b/>
        </w:rPr>
        <w:t>11</w:t>
      </w:r>
    </w:p>
    <w:p w:rsidR="00C15B0D" w:rsidRPr="00555A69" w:rsidRDefault="00C15B0D" w:rsidP="00555A69">
      <w:pPr>
        <w:pStyle w:val="32"/>
        <w:snapToGrid w:val="0"/>
        <w:spacing w:after="0" w:line="360" w:lineRule="auto"/>
        <w:jc w:val="center"/>
        <w:rPr>
          <w:rFonts w:ascii="Times New Roman" w:hAnsi="Times New Roman"/>
          <w:sz w:val="24"/>
          <w:szCs w:val="24"/>
          <w:highlight w:val="lightGray"/>
        </w:rPr>
      </w:pPr>
      <w:r w:rsidRPr="0053540D">
        <w:rPr>
          <w:rFonts w:ascii="Times New Roman" w:hAnsi="Times New Roman"/>
          <w:noProof/>
          <w:sz w:val="24"/>
          <w:szCs w:val="24"/>
          <w:lang w:eastAsia="ru-RU"/>
        </w:rPr>
        <w:lastRenderedPageBreak/>
        <w:drawing>
          <wp:inline distT="0" distB="0" distL="0" distR="0">
            <wp:extent cx="6152515" cy="4834890"/>
            <wp:effectExtent l="0" t="0" r="19685" b="1651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Pr="0053540D">
        <w:rPr>
          <w:rFonts w:ascii="Times New Roman" w:hAnsi="Times New Roman"/>
          <w:noProof/>
          <w:sz w:val="24"/>
          <w:szCs w:val="24"/>
          <w:highlight w:val="lightGray"/>
          <w:lang w:eastAsia="ru-RU"/>
        </w:rPr>
        <w:t xml:space="preserve"> </w:t>
      </w:r>
    </w:p>
    <w:p w:rsidR="00C15B0D" w:rsidRPr="0053540D" w:rsidRDefault="00C15B0D" w:rsidP="00C15B0D">
      <w:pPr>
        <w:pStyle w:val="32"/>
        <w:snapToGrid w:val="0"/>
        <w:spacing w:after="0"/>
        <w:jc w:val="both"/>
        <w:rPr>
          <w:color w:val="000000"/>
          <w:sz w:val="24"/>
          <w:szCs w:val="24"/>
          <w:lang w:eastAsia="ru-RU"/>
        </w:rPr>
      </w:pPr>
      <w:r w:rsidRPr="0053540D">
        <w:rPr>
          <w:color w:val="000000"/>
          <w:sz w:val="24"/>
          <w:szCs w:val="24"/>
          <w:lang w:eastAsia="ru-RU"/>
        </w:rPr>
        <w:t>Распределение оценок по конкретным испытаниям можно сформулировать следующим образом:</w:t>
      </w:r>
    </w:p>
    <w:p w:rsidR="00C15B0D" w:rsidRPr="0053540D" w:rsidRDefault="00C15B0D" w:rsidP="00C15B0D">
      <w:pPr>
        <w:pStyle w:val="32"/>
        <w:snapToGrid w:val="0"/>
        <w:spacing w:after="0"/>
        <w:jc w:val="both"/>
        <w:rPr>
          <w:color w:val="000000"/>
          <w:sz w:val="24"/>
          <w:szCs w:val="24"/>
          <w:lang w:eastAsia="ru-RU"/>
        </w:rPr>
      </w:pPr>
      <w:r w:rsidRPr="0053540D">
        <w:rPr>
          <w:color w:val="000000"/>
          <w:sz w:val="24"/>
          <w:szCs w:val="24"/>
          <w:lang w:eastAsia="ru-RU"/>
        </w:rPr>
        <w:t>П</w:t>
      </w:r>
      <w:r>
        <w:rPr>
          <w:color w:val="000000"/>
          <w:sz w:val="24"/>
          <w:szCs w:val="24"/>
          <w:lang w:eastAsia="ru-RU"/>
        </w:rPr>
        <w:t>ишут студенты в большинстве на 6</w:t>
      </w:r>
      <w:r w:rsidRPr="0053540D">
        <w:rPr>
          <w:color w:val="000000"/>
          <w:sz w:val="24"/>
          <w:szCs w:val="24"/>
          <w:lang w:eastAsia="ru-RU"/>
        </w:rPr>
        <w:t xml:space="preserve"> баллов из девяти. </w:t>
      </w:r>
    </w:p>
    <w:p w:rsidR="00C15B0D" w:rsidRPr="0053540D" w:rsidRDefault="00C15B0D" w:rsidP="00C15B0D">
      <w:pPr>
        <w:pStyle w:val="32"/>
        <w:snapToGrid w:val="0"/>
        <w:spacing w:after="0"/>
        <w:jc w:val="both"/>
        <w:rPr>
          <w:color w:val="000000"/>
          <w:sz w:val="24"/>
          <w:szCs w:val="24"/>
          <w:lang w:eastAsia="ru-RU"/>
        </w:rPr>
      </w:pPr>
      <w:r w:rsidRPr="0053540D">
        <w:rPr>
          <w:color w:val="000000"/>
          <w:sz w:val="24"/>
          <w:szCs w:val="24"/>
          <w:lang w:eastAsia="ru-RU"/>
        </w:rPr>
        <w:t xml:space="preserve">Владеют навыками устной речи на 6 баллов из девяти. </w:t>
      </w:r>
    </w:p>
    <w:p w:rsidR="00C15B0D" w:rsidRPr="0053540D" w:rsidRDefault="00C15B0D" w:rsidP="00C15B0D">
      <w:pPr>
        <w:pStyle w:val="32"/>
        <w:snapToGrid w:val="0"/>
        <w:spacing w:after="0"/>
        <w:jc w:val="both"/>
        <w:rPr>
          <w:color w:val="000000"/>
          <w:sz w:val="24"/>
          <w:szCs w:val="24"/>
          <w:lang w:eastAsia="ru-RU"/>
        </w:rPr>
      </w:pPr>
      <w:r w:rsidRPr="0053540D">
        <w:rPr>
          <w:color w:val="000000"/>
          <w:sz w:val="24"/>
          <w:szCs w:val="24"/>
          <w:lang w:eastAsia="ru-RU"/>
        </w:rPr>
        <w:t>Кривая чтения имеет несколько пиков - 5, 6, 7 и 8 баллов из девяти.</w:t>
      </w:r>
    </w:p>
    <w:p w:rsidR="00C15B0D" w:rsidRPr="00555A69" w:rsidRDefault="00C15B0D" w:rsidP="00C15B0D">
      <w:pPr>
        <w:pStyle w:val="32"/>
        <w:snapToGrid w:val="0"/>
        <w:spacing w:after="0"/>
        <w:jc w:val="both"/>
        <w:rPr>
          <w:color w:val="000000"/>
          <w:sz w:val="24"/>
          <w:szCs w:val="24"/>
          <w:lang w:eastAsia="ru-RU"/>
        </w:rPr>
      </w:pPr>
      <w:r w:rsidRPr="0053540D">
        <w:rPr>
          <w:color w:val="000000"/>
          <w:sz w:val="24"/>
          <w:szCs w:val="24"/>
          <w:lang w:eastAsia="ru-RU"/>
        </w:rPr>
        <w:t xml:space="preserve">Кривая </w:t>
      </w:r>
      <w:proofErr w:type="spellStart"/>
      <w:r w:rsidRPr="0053540D">
        <w:rPr>
          <w:color w:val="000000"/>
          <w:sz w:val="24"/>
          <w:szCs w:val="24"/>
          <w:lang w:eastAsia="ru-RU"/>
        </w:rPr>
        <w:t>аудирования</w:t>
      </w:r>
      <w:proofErr w:type="spellEnd"/>
      <w:r w:rsidRPr="0053540D">
        <w:rPr>
          <w:color w:val="000000"/>
          <w:sz w:val="24"/>
          <w:szCs w:val="24"/>
          <w:lang w:eastAsia="ru-RU"/>
        </w:rPr>
        <w:t xml:space="preserve"> – 5, 6 и 7 из 9.</w:t>
      </w:r>
    </w:p>
    <w:p w:rsidR="00C15B0D" w:rsidRPr="00555A69" w:rsidRDefault="00C15B0D" w:rsidP="00C15B0D">
      <w:pPr>
        <w:pStyle w:val="32"/>
        <w:snapToGrid w:val="0"/>
        <w:spacing w:after="0"/>
        <w:jc w:val="both"/>
        <w:rPr>
          <w:color w:val="000000"/>
          <w:sz w:val="24"/>
          <w:szCs w:val="24"/>
          <w:lang w:eastAsia="ru-RU"/>
        </w:rPr>
      </w:pPr>
    </w:p>
    <w:p w:rsidR="00C15B0D" w:rsidRPr="0051662B" w:rsidRDefault="00C15B0D" w:rsidP="00C15B0D">
      <w:pPr>
        <w:pStyle w:val="32"/>
        <w:snapToGrid w:val="0"/>
        <w:spacing w:after="0"/>
        <w:jc w:val="both"/>
        <w:rPr>
          <w:color w:val="000000"/>
          <w:sz w:val="24"/>
          <w:szCs w:val="24"/>
          <w:lang w:eastAsia="ru-RU"/>
        </w:rPr>
      </w:pPr>
      <w:r w:rsidRPr="0051662B">
        <w:rPr>
          <w:color w:val="000000"/>
          <w:sz w:val="24"/>
          <w:szCs w:val="24"/>
          <w:lang w:eastAsia="ru-RU"/>
        </w:rPr>
        <w:t xml:space="preserve">Так же, как и в прошлом году, было проведено сравнение результатов экзамена с накопленной оценкой студентов. Ниже приведен график (диаграмма </w:t>
      </w:r>
      <w:r w:rsidR="00555A69">
        <w:rPr>
          <w:color w:val="000000"/>
          <w:sz w:val="24"/>
          <w:szCs w:val="24"/>
          <w:lang w:eastAsia="ru-RU"/>
        </w:rPr>
        <w:t>5.9.</w:t>
      </w:r>
      <w:r>
        <w:rPr>
          <w:color w:val="000000"/>
          <w:sz w:val="24"/>
          <w:szCs w:val="24"/>
          <w:lang w:eastAsia="ru-RU"/>
        </w:rPr>
        <w:t>12</w:t>
      </w:r>
      <w:r w:rsidRPr="0051662B">
        <w:rPr>
          <w:color w:val="000000"/>
          <w:sz w:val="24"/>
          <w:szCs w:val="24"/>
          <w:lang w:eastAsia="ru-RU"/>
        </w:rPr>
        <w:t>), который демонстрирует распределение отклонений оценки за экзамен от накопленной оценки студентов.   В среднем по университету в этом году оценка преподавателей английского языка была на 0,5 балла выше, чем оценка, полученная студентами на независимом экзамене</w:t>
      </w:r>
      <w:r>
        <w:rPr>
          <w:color w:val="000000"/>
          <w:sz w:val="24"/>
          <w:szCs w:val="24"/>
          <w:lang w:eastAsia="ru-RU"/>
        </w:rPr>
        <w:t xml:space="preserve"> (в</w:t>
      </w:r>
      <w:r w:rsidRPr="00F61028">
        <w:rPr>
          <w:color w:val="000000"/>
          <w:sz w:val="24"/>
          <w:szCs w:val="24"/>
          <w:lang w:eastAsia="ru-RU"/>
        </w:rPr>
        <w:t xml:space="preserve"> отличие от прошлого года, когда преподаватели оценивали студентов в среднем на 0,5 баллов строже, чем внешние экзаменаторы)</w:t>
      </w:r>
      <w:r w:rsidRPr="0051662B">
        <w:rPr>
          <w:color w:val="000000"/>
          <w:sz w:val="24"/>
          <w:szCs w:val="24"/>
          <w:lang w:eastAsia="ru-RU"/>
        </w:rPr>
        <w:t>.</w:t>
      </w:r>
    </w:p>
    <w:p w:rsidR="00C15B0D" w:rsidRPr="00555A69" w:rsidRDefault="00C15B0D" w:rsidP="00C15B0D">
      <w:pPr>
        <w:pStyle w:val="af"/>
        <w:keepNext/>
        <w:spacing w:line="360" w:lineRule="auto"/>
        <w:rPr>
          <w:rFonts w:ascii="Times New Roman" w:hAnsi="Times New Roman"/>
          <w:color w:val="auto"/>
          <w:sz w:val="24"/>
          <w:szCs w:val="24"/>
        </w:rPr>
      </w:pPr>
      <w:r w:rsidRPr="00555A69">
        <w:rPr>
          <w:rFonts w:ascii="Times New Roman" w:hAnsi="Times New Roman"/>
          <w:color w:val="auto"/>
          <w:sz w:val="24"/>
          <w:szCs w:val="24"/>
        </w:rPr>
        <w:lastRenderedPageBreak/>
        <w:t xml:space="preserve">Диаграмма </w:t>
      </w:r>
      <w:r w:rsidR="00555A69" w:rsidRPr="00555A69">
        <w:rPr>
          <w:rFonts w:ascii="Times New Roman" w:hAnsi="Times New Roman"/>
          <w:color w:val="auto"/>
          <w:sz w:val="24"/>
          <w:szCs w:val="24"/>
        </w:rPr>
        <w:t>5.</w:t>
      </w:r>
      <w:r w:rsidR="00D07E59">
        <w:rPr>
          <w:rFonts w:ascii="Times New Roman" w:hAnsi="Times New Roman"/>
          <w:color w:val="auto"/>
          <w:sz w:val="24"/>
          <w:szCs w:val="24"/>
        </w:rPr>
        <w:t>8</w:t>
      </w:r>
      <w:r w:rsidR="00555A69" w:rsidRPr="00555A69">
        <w:rPr>
          <w:rFonts w:ascii="Times New Roman" w:hAnsi="Times New Roman"/>
          <w:color w:val="auto"/>
          <w:sz w:val="24"/>
          <w:szCs w:val="24"/>
        </w:rPr>
        <w:t>.</w:t>
      </w:r>
      <w:r w:rsidR="00D07E59">
        <w:rPr>
          <w:rFonts w:ascii="Times New Roman" w:hAnsi="Times New Roman"/>
          <w:color w:val="auto"/>
          <w:sz w:val="24"/>
          <w:szCs w:val="24"/>
        </w:rPr>
        <w:t>1.</w:t>
      </w:r>
      <w:r w:rsidRPr="00555A69">
        <w:rPr>
          <w:rFonts w:ascii="Times New Roman" w:hAnsi="Times New Roman"/>
          <w:color w:val="auto"/>
          <w:sz w:val="24"/>
          <w:szCs w:val="24"/>
        </w:rPr>
        <w:t>12</w:t>
      </w:r>
    </w:p>
    <w:p w:rsidR="00C15B0D" w:rsidRPr="00555A69" w:rsidRDefault="00C15B0D" w:rsidP="00555A69">
      <w:pPr>
        <w:spacing w:line="360" w:lineRule="auto"/>
        <w:jc w:val="center"/>
        <w:rPr>
          <w:b/>
          <w:bCs/>
          <w:highlight w:val="lightGray"/>
        </w:rPr>
      </w:pPr>
      <w:r w:rsidRPr="00F61028">
        <w:rPr>
          <w:b/>
          <w:noProof/>
        </w:rPr>
        <w:drawing>
          <wp:inline distT="0" distB="0" distL="0" distR="0">
            <wp:extent cx="5652135" cy="3564890"/>
            <wp:effectExtent l="0" t="0" r="37465" b="16510"/>
            <wp:docPr id="2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5005BC" w:rsidRPr="00436C74" w:rsidRDefault="00C15B0D" w:rsidP="00436C74">
      <w:pPr>
        <w:pStyle w:val="32"/>
        <w:snapToGrid w:val="0"/>
        <w:spacing w:after="0"/>
        <w:jc w:val="both"/>
        <w:rPr>
          <w:color w:val="000000"/>
          <w:sz w:val="24"/>
          <w:szCs w:val="24"/>
          <w:lang w:eastAsia="ru-RU"/>
        </w:rPr>
      </w:pPr>
      <w:proofErr w:type="gramStart"/>
      <w:r>
        <w:rPr>
          <w:color w:val="000000"/>
          <w:sz w:val="24"/>
          <w:szCs w:val="24"/>
          <w:lang w:eastAsia="ru-RU"/>
        </w:rPr>
        <w:t xml:space="preserve">В целом по результатам факультетов, принимавших участие в экзамене по английскому языку по правилам </w:t>
      </w:r>
      <w:r w:rsidRPr="00555A69">
        <w:rPr>
          <w:color w:val="000000"/>
          <w:sz w:val="24"/>
          <w:szCs w:val="24"/>
          <w:lang w:eastAsia="ru-RU"/>
        </w:rPr>
        <w:t>IELTS</w:t>
      </w:r>
      <w:r>
        <w:rPr>
          <w:color w:val="000000"/>
          <w:sz w:val="24"/>
          <w:szCs w:val="24"/>
          <w:lang w:eastAsia="ru-RU"/>
        </w:rPr>
        <w:t xml:space="preserve">, средняя оценка по шкале </w:t>
      </w:r>
      <w:r w:rsidRPr="00555A69">
        <w:rPr>
          <w:color w:val="000000"/>
          <w:sz w:val="24"/>
          <w:szCs w:val="24"/>
          <w:lang w:eastAsia="ru-RU"/>
        </w:rPr>
        <w:t>I</w:t>
      </w:r>
      <w:r>
        <w:rPr>
          <w:color w:val="000000"/>
          <w:sz w:val="24"/>
          <w:szCs w:val="24"/>
          <w:lang w:eastAsia="ru-RU"/>
        </w:rPr>
        <w:t xml:space="preserve">ELTS </w:t>
      </w:r>
      <w:r w:rsidRPr="0053540D">
        <w:rPr>
          <w:color w:val="000000"/>
          <w:sz w:val="24"/>
          <w:szCs w:val="24"/>
          <w:lang w:eastAsia="ru-RU"/>
        </w:rPr>
        <w:t>практически имеет нормальное распределение с пиком в области 6,6 баллов</w:t>
      </w:r>
      <w:r w:rsidR="007D5A71">
        <w:rPr>
          <w:color w:val="000000"/>
          <w:sz w:val="24"/>
          <w:szCs w:val="24"/>
          <w:lang w:eastAsia="ru-RU"/>
        </w:rPr>
        <w:t xml:space="preserve"> (диаграмма 5.9.11)</w:t>
      </w:r>
      <w:r w:rsidRPr="0053540D">
        <w:rPr>
          <w:color w:val="000000"/>
          <w:sz w:val="24"/>
          <w:szCs w:val="24"/>
          <w:lang w:eastAsia="ru-RU"/>
        </w:rPr>
        <w:t>, что полностью соответствует ожиданиям преподавателей и авторов новой концепции преподавания английского языка, планировавших, что при изменившихся инструментах обучения, наши студенты смогут достичь уровня «6» международного экзамена.</w:t>
      </w:r>
      <w:proofErr w:type="gramEnd"/>
    </w:p>
    <w:p w:rsidR="00436C74" w:rsidRDefault="005005BC" w:rsidP="004B4631">
      <w:pPr>
        <w:pStyle w:val="2"/>
        <w:numPr>
          <w:ilvl w:val="2"/>
          <w:numId w:val="1"/>
        </w:numPr>
      </w:pPr>
      <w:bookmarkStart w:id="44" w:name="_Toc374030062"/>
      <w:r>
        <w:t>О зачете результатов международных экзаменов по английскому языку   в качестве оценки по дисциплине “Иностранный язык”</w:t>
      </w:r>
      <w:bookmarkEnd w:id="44"/>
      <w:r>
        <w:t xml:space="preserve"> </w:t>
      </w:r>
    </w:p>
    <w:p w:rsidR="00436C74" w:rsidRPr="00A10A3A" w:rsidRDefault="00436C74" w:rsidP="00A10A3A">
      <w:pPr>
        <w:pStyle w:val="32"/>
        <w:snapToGrid w:val="0"/>
        <w:spacing w:after="0"/>
        <w:jc w:val="both"/>
        <w:rPr>
          <w:color w:val="000000"/>
          <w:sz w:val="24"/>
          <w:szCs w:val="24"/>
          <w:lang w:eastAsia="ru-RU"/>
        </w:rPr>
      </w:pPr>
      <w:r w:rsidRPr="00A10A3A">
        <w:rPr>
          <w:color w:val="000000"/>
          <w:sz w:val="24"/>
          <w:szCs w:val="24"/>
          <w:lang w:eastAsia="ru-RU"/>
        </w:rPr>
        <w:t>В январе 2013 года в НИУ ВШЭ было принято решение</w:t>
      </w:r>
      <w:r w:rsidRPr="00A10A3A">
        <w:rPr>
          <w:color w:val="000000"/>
          <w:sz w:val="24"/>
          <w:szCs w:val="24"/>
          <w:lang w:eastAsia="ru-RU"/>
        </w:rPr>
        <w:footnoteReference w:id="12"/>
      </w:r>
      <w:r w:rsidRPr="00A10A3A">
        <w:rPr>
          <w:color w:val="000000"/>
          <w:sz w:val="24"/>
          <w:szCs w:val="24"/>
          <w:lang w:eastAsia="ru-RU"/>
        </w:rPr>
        <w:t xml:space="preserve"> о зачете результатов международных экзаменов по английскому языку в качестве оценки по дисциплине «Иностранный язык (английский)» студентам вторых курсов и оценки за языковую часть государственного экзамена по английскому языку студентам четвертых/третьих курсов</w:t>
      </w:r>
      <w:r w:rsidRPr="00A10A3A">
        <w:rPr>
          <w:color w:val="000000"/>
          <w:sz w:val="24"/>
          <w:szCs w:val="24"/>
          <w:lang w:eastAsia="ru-RU"/>
        </w:rPr>
        <w:footnoteReference w:id="13"/>
      </w:r>
      <w:r w:rsidRPr="00A10A3A">
        <w:rPr>
          <w:color w:val="000000"/>
          <w:sz w:val="24"/>
          <w:szCs w:val="24"/>
          <w:lang w:eastAsia="ru-RU"/>
        </w:rPr>
        <w:t xml:space="preserve">. </w:t>
      </w:r>
    </w:p>
    <w:p w:rsidR="00436C74" w:rsidRPr="00A10A3A" w:rsidRDefault="00436C74" w:rsidP="00A10A3A">
      <w:pPr>
        <w:pStyle w:val="32"/>
        <w:snapToGrid w:val="0"/>
        <w:spacing w:after="0"/>
        <w:jc w:val="both"/>
        <w:rPr>
          <w:color w:val="000000"/>
          <w:sz w:val="24"/>
          <w:szCs w:val="24"/>
          <w:lang w:eastAsia="ru-RU"/>
        </w:rPr>
      </w:pPr>
      <w:r w:rsidRPr="00A10A3A">
        <w:rPr>
          <w:color w:val="000000"/>
          <w:sz w:val="24"/>
          <w:szCs w:val="24"/>
          <w:lang w:eastAsia="ru-RU"/>
        </w:rPr>
        <w:t xml:space="preserve">К </w:t>
      </w:r>
      <w:proofErr w:type="spellStart"/>
      <w:r w:rsidRPr="00A10A3A">
        <w:rPr>
          <w:color w:val="000000"/>
          <w:sz w:val="24"/>
          <w:szCs w:val="24"/>
          <w:lang w:eastAsia="ru-RU"/>
        </w:rPr>
        <w:t>перезачету</w:t>
      </w:r>
      <w:proofErr w:type="spellEnd"/>
      <w:r w:rsidRPr="00A10A3A">
        <w:rPr>
          <w:color w:val="000000"/>
          <w:sz w:val="24"/>
          <w:szCs w:val="24"/>
          <w:lang w:eastAsia="ru-RU"/>
        </w:rPr>
        <w:t xml:space="preserve"> принимались пять видов международных сертификатов</w:t>
      </w:r>
      <w:r w:rsidRPr="00A10A3A">
        <w:rPr>
          <w:color w:val="000000"/>
          <w:sz w:val="24"/>
          <w:szCs w:val="24"/>
          <w:lang w:eastAsia="ru-RU"/>
        </w:rPr>
        <w:footnoteReference w:id="14"/>
      </w:r>
      <w:r w:rsidRPr="00A10A3A">
        <w:rPr>
          <w:color w:val="000000"/>
          <w:sz w:val="24"/>
          <w:szCs w:val="24"/>
          <w:lang w:eastAsia="ru-RU"/>
        </w:rPr>
        <w:t>, соответствующих уровню «</w:t>
      </w:r>
      <w:proofErr w:type="spellStart"/>
      <w:r w:rsidRPr="00A10A3A">
        <w:rPr>
          <w:color w:val="000000"/>
          <w:sz w:val="24"/>
          <w:szCs w:val="24"/>
          <w:lang w:eastAsia="ru-RU"/>
        </w:rPr>
        <w:t>Advanced</w:t>
      </w:r>
      <w:proofErr w:type="spellEnd"/>
      <w:r w:rsidRPr="00A10A3A">
        <w:rPr>
          <w:color w:val="000000"/>
          <w:sz w:val="24"/>
          <w:szCs w:val="24"/>
          <w:lang w:eastAsia="ru-RU"/>
        </w:rPr>
        <w:t>» и выше (Уровни С-1, С-2 по общеевропейской шкале) с общей оценкой, соответствующей оценке не ниже «хорошо» по 10-ти балльной шкале ВШЭ.</w:t>
      </w:r>
    </w:p>
    <w:p w:rsidR="00436C74" w:rsidRPr="00A10A3A" w:rsidRDefault="00436C74" w:rsidP="00A10A3A">
      <w:pPr>
        <w:pStyle w:val="32"/>
        <w:snapToGrid w:val="0"/>
        <w:spacing w:after="0"/>
        <w:jc w:val="both"/>
        <w:rPr>
          <w:color w:val="000000"/>
          <w:sz w:val="24"/>
          <w:szCs w:val="24"/>
          <w:lang w:eastAsia="ru-RU"/>
        </w:rPr>
      </w:pPr>
      <w:r w:rsidRPr="00A10A3A">
        <w:rPr>
          <w:color w:val="000000"/>
          <w:sz w:val="24"/>
          <w:szCs w:val="24"/>
          <w:lang w:eastAsia="ru-RU"/>
        </w:rPr>
        <w:t>Наибольшее количество из представленных сертификатов - о сдаче международного экзамена IELTS</w:t>
      </w:r>
      <w:r w:rsidRPr="00A10A3A">
        <w:rPr>
          <w:color w:val="000000"/>
          <w:sz w:val="24"/>
          <w:szCs w:val="24"/>
          <w:lang w:eastAsia="ru-RU"/>
        </w:rPr>
        <w:footnoteReference w:id="15"/>
      </w:r>
      <w:r w:rsidRPr="00A10A3A">
        <w:rPr>
          <w:color w:val="000000"/>
          <w:sz w:val="24"/>
          <w:szCs w:val="24"/>
          <w:lang w:eastAsia="ru-RU"/>
        </w:rPr>
        <w:t xml:space="preserve"> (167 сертификатов), затем, в порядке уменьшения следуют экзамены TOEFL</w:t>
      </w:r>
      <w:r w:rsidRPr="00A10A3A">
        <w:rPr>
          <w:color w:val="000000"/>
          <w:sz w:val="24"/>
          <w:szCs w:val="24"/>
          <w:lang w:eastAsia="ru-RU"/>
        </w:rPr>
        <w:footnoteReference w:id="16"/>
      </w:r>
      <w:r w:rsidRPr="00A10A3A">
        <w:rPr>
          <w:color w:val="000000"/>
          <w:sz w:val="24"/>
          <w:szCs w:val="24"/>
          <w:lang w:eastAsia="ru-RU"/>
        </w:rPr>
        <w:t xml:space="preserve"> (39), BEC</w:t>
      </w:r>
      <w:r w:rsidRPr="00A10A3A">
        <w:rPr>
          <w:color w:val="000000"/>
          <w:sz w:val="24"/>
          <w:szCs w:val="24"/>
          <w:lang w:eastAsia="ru-RU"/>
        </w:rPr>
        <w:footnoteReference w:id="17"/>
      </w:r>
      <w:r w:rsidRPr="00A10A3A">
        <w:rPr>
          <w:color w:val="000000"/>
          <w:sz w:val="24"/>
          <w:szCs w:val="24"/>
          <w:lang w:eastAsia="ru-RU"/>
        </w:rPr>
        <w:t xml:space="preserve"> (22), САЕ</w:t>
      </w:r>
      <w:r w:rsidRPr="00A10A3A">
        <w:rPr>
          <w:color w:val="000000"/>
          <w:sz w:val="24"/>
          <w:szCs w:val="24"/>
          <w:lang w:eastAsia="ru-RU"/>
        </w:rPr>
        <w:footnoteReference w:id="18"/>
      </w:r>
      <w:r w:rsidRPr="00A10A3A">
        <w:rPr>
          <w:color w:val="000000"/>
          <w:sz w:val="24"/>
          <w:szCs w:val="24"/>
          <w:lang w:eastAsia="ru-RU"/>
        </w:rPr>
        <w:t xml:space="preserve"> (10) и СРЕ</w:t>
      </w:r>
      <w:r w:rsidRPr="00A10A3A">
        <w:rPr>
          <w:color w:val="000000"/>
          <w:sz w:val="24"/>
          <w:szCs w:val="24"/>
          <w:lang w:eastAsia="ru-RU"/>
        </w:rPr>
        <w:footnoteReference w:id="19"/>
      </w:r>
      <w:r w:rsidRPr="00A10A3A">
        <w:rPr>
          <w:color w:val="000000"/>
          <w:sz w:val="24"/>
          <w:szCs w:val="24"/>
          <w:lang w:eastAsia="ru-RU"/>
        </w:rPr>
        <w:t xml:space="preserve"> (2). </w:t>
      </w:r>
    </w:p>
    <w:p w:rsidR="00436C74" w:rsidRPr="00CF32CA" w:rsidRDefault="00436C74" w:rsidP="00436C74">
      <w:pPr>
        <w:jc w:val="both"/>
        <w:rPr>
          <w:sz w:val="26"/>
          <w:szCs w:val="26"/>
        </w:rPr>
      </w:pPr>
      <w:r w:rsidRPr="00CF32CA">
        <w:rPr>
          <w:noProof/>
          <w:sz w:val="26"/>
          <w:szCs w:val="26"/>
        </w:rPr>
        <w:lastRenderedPageBreak/>
        <w:drawing>
          <wp:inline distT="0" distB="0" distL="0" distR="0">
            <wp:extent cx="4572000" cy="1977390"/>
            <wp:effectExtent l="0" t="0" r="0" b="3810"/>
            <wp:docPr id="1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436C74" w:rsidRPr="00CF32CA" w:rsidRDefault="00436C74" w:rsidP="00436C74">
      <w:pPr>
        <w:jc w:val="both"/>
        <w:rPr>
          <w:sz w:val="26"/>
          <w:szCs w:val="26"/>
        </w:rPr>
      </w:pPr>
    </w:p>
    <w:p w:rsidR="00436C74" w:rsidRPr="00A10A3A" w:rsidRDefault="00436C74" w:rsidP="00A10A3A">
      <w:pPr>
        <w:pStyle w:val="32"/>
        <w:snapToGrid w:val="0"/>
        <w:spacing w:after="0"/>
        <w:jc w:val="both"/>
        <w:rPr>
          <w:color w:val="000000"/>
          <w:sz w:val="24"/>
          <w:szCs w:val="24"/>
          <w:lang w:eastAsia="ru-RU"/>
        </w:rPr>
      </w:pPr>
      <w:r w:rsidRPr="00A10A3A">
        <w:rPr>
          <w:color w:val="000000"/>
          <w:sz w:val="24"/>
          <w:szCs w:val="24"/>
          <w:lang w:eastAsia="ru-RU"/>
        </w:rPr>
        <w:t xml:space="preserve">За отчетный период результаты международных экзаменов были </w:t>
      </w:r>
      <w:proofErr w:type="spellStart"/>
      <w:r w:rsidRPr="00A10A3A">
        <w:rPr>
          <w:color w:val="000000"/>
          <w:sz w:val="24"/>
          <w:szCs w:val="24"/>
          <w:lang w:eastAsia="ru-RU"/>
        </w:rPr>
        <w:t>перезачтены</w:t>
      </w:r>
      <w:proofErr w:type="spellEnd"/>
      <w:r w:rsidRPr="00A10A3A">
        <w:rPr>
          <w:color w:val="000000"/>
          <w:sz w:val="24"/>
          <w:szCs w:val="24"/>
          <w:lang w:eastAsia="ru-RU"/>
        </w:rPr>
        <w:t xml:space="preserve"> 240 студентам ВШЭ, из них  169 студентов представили сертификаты для </w:t>
      </w:r>
      <w:proofErr w:type="spellStart"/>
      <w:r w:rsidRPr="00A10A3A">
        <w:rPr>
          <w:color w:val="000000"/>
          <w:sz w:val="24"/>
          <w:szCs w:val="24"/>
          <w:lang w:eastAsia="ru-RU"/>
        </w:rPr>
        <w:t>перезачета</w:t>
      </w:r>
      <w:proofErr w:type="spellEnd"/>
      <w:r w:rsidRPr="00A10A3A">
        <w:rPr>
          <w:color w:val="000000"/>
          <w:sz w:val="24"/>
          <w:szCs w:val="24"/>
          <w:lang w:eastAsia="ru-RU"/>
        </w:rPr>
        <w:t xml:space="preserve"> языковой части государственного экзамена по английскому языку. Распределение студентов, представивших международные сертификаты для </w:t>
      </w:r>
      <w:proofErr w:type="spellStart"/>
      <w:r w:rsidRPr="00A10A3A">
        <w:rPr>
          <w:color w:val="000000"/>
          <w:sz w:val="24"/>
          <w:szCs w:val="24"/>
          <w:lang w:eastAsia="ru-RU"/>
        </w:rPr>
        <w:t>перезачета</w:t>
      </w:r>
      <w:proofErr w:type="spellEnd"/>
      <w:r w:rsidRPr="00A10A3A">
        <w:rPr>
          <w:color w:val="000000"/>
          <w:sz w:val="24"/>
          <w:szCs w:val="24"/>
          <w:lang w:eastAsia="ru-RU"/>
        </w:rPr>
        <w:t>, по курсам обучения выглядит следующим образом:</w:t>
      </w:r>
    </w:p>
    <w:p w:rsidR="00436C74" w:rsidRPr="00CF32CA" w:rsidRDefault="00436C74" w:rsidP="00436C74">
      <w:pPr>
        <w:jc w:val="both"/>
        <w:rPr>
          <w:sz w:val="26"/>
          <w:szCs w:val="26"/>
        </w:rPr>
      </w:pPr>
      <w:r w:rsidRPr="00CF32CA">
        <w:rPr>
          <w:noProof/>
          <w:sz w:val="26"/>
          <w:szCs w:val="26"/>
        </w:rPr>
        <w:drawing>
          <wp:inline distT="0" distB="0" distL="0" distR="0">
            <wp:extent cx="4572000" cy="1707226"/>
            <wp:effectExtent l="0" t="0" r="0" b="0"/>
            <wp:docPr id="1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436C74" w:rsidRPr="00A10A3A" w:rsidRDefault="00436C74" w:rsidP="00A10A3A">
      <w:pPr>
        <w:pStyle w:val="32"/>
        <w:snapToGrid w:val="0"/>
        <w:spacing w:after="0"/>
        <w:jc w:val="both"/>
        <w:rPr>
          <w:color w:val="000000"/>
          <w:sz w:val="24"/>
          <w:szCs w:val="24"/>
          <w:lang w:eastAsia="ru-RU"/>
        </w:rPr>
      </w:pPr>
      <w:r w:rsidRPr="00A10A3A">
        <w:rPr>
          <w:color w:val="000000"/>
          <w:sz w:val="24"/>
          <w:szCs w:val="24"/>
          <w:lang w:eastAsia="ru-RU"/>
        </w:rPr>
        <w:t xml:space="preserve">79 % представленных студентами сертификатов содержали результаты, соответствующие оценке «отлично» по шкале ВШЭ. </w:t>
      </w:r>
    </w:p>
    <w:p w:rsidR="00436C74" w:rsidRPr="00A10A3A" w:rsidRDefault="00436C74" w:rsidP="00A10A3A">
      <w:pPr>
        <w:pStyle w:val="32"/>
        <w:snapToGrid w:val="0"/>
        <w:spacing w:after="0"/>
        <w:jc w:val="both"/>
        <w:rPr>
          <w:color w:val="000000"/>
          <w:sz w:val="24"/>
          <w:szCs w:val="24"/>
          <w:lang w:eastAsia="ru-RU"/>
        </w:rPr>
      </w:pPr>
      <w:r w:rsidRPr="00A10A3A">
        <w:rPr>
          <w:color w:val="000000"/>
          <w:sz w:val="24"/>
          <w:szCs w:val="24"/>
          <w:lang w:eastAsia="ru-RU"/>
        </w:rPr>
        <w:t>Распределение оценок представлено в следующей диаграмме:</w:t>
      </w:r>
    </w:p>
    <w:p w:rsidR="00436C74" w:rsidRDefault="00436C74" w:rsidP="00436C74">
      <w:pPr>
        <w:jc w:val="both"/>
        <w:rPr>
          <w:sz w:val="26"/>
          <w:szCs w:val="26"/>
        </w:rPr>
      </w:pPr>
      <w:r w:rsidRPr="00CF32CA">
        <w:rPr>
          <w:noProof/>
          <w:sz w:val="26"/>
          <w:szCs w:val="26"/>
        </w:rPr>
        <w:drawing>
          <wp:inline distT="0" distB="0" distL="0" distR="0">
            <wp:extent cx="4572000" cy="1271039"/>
            <wp:effectExtent l="0" t="0" r="0" b="0"/>
            <wp:docPr id="1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436C74" w:rsidRPr="00A10A3A" w:rsidRDefault="00436C74" w:rsidP="00A10A3A">
      <w:pPr>
        <w:pStyle w:val="32"/>
        <w:snapToGrid w:val="0"/>
        <w:spacing w:after="0"/>
        <w:jc w:val="both"/>
        <w:rPr>
          <w:color w:val="000000"/>
          <w:sz w:val="24"/>
          <w:szCs w:val="24"/>
          <w:lang w:eastAsia="ru-RU"/>
        </w:rPr>
      </w:pPr>
      <w:r w:rsidRPr="00A10A3A">
        <w:rPr>
          <w:color w:val="000000"/>
          <w:sz w:val="24"/>
          <w:szCs w:val="24"/>
          <w:lang w:eastAsia="ru-RU"/>
        </w:rPr>
        <w:t>Наибольшую активность, как всегда, проявили студенты Московского кампуса:</w:t>
      </w:r>
    </w:p>
    <w:p w:rsidR="00436C74" w:rsidRDefault="00436C74" w:rsidP="00436C74">
      <w:pPr>
        <w:jc w:val="both"/>
        <w:rPr>
          <w:sz w:val="26"/>
          <w:szCs w:val="26"/>
        </w:rPr>
      </w:pPr>
      <w:r w:rsidRPr="009D326A">
        <w:rPr>
          <w:noProof/>
          <w:sz w:val="26"/>
          <w:szCs w:val="26"/>
        </w:rPr>
        <w:lastRenderedPageBreak/>
        <w:drawing>
          <wp:inline distT="0" distB="0" distL="0" distR="0">
            <wp:extent cx="4572000" cy="2299508"/>
            <wp:effectExtent l="0" t="0" r="0" b="12065"/>
            <wp:docPr id="1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436C74" w:rsidRPr="00A10A3A" w:rsidRDefault="00436C74" w:rsidP="00A10A3A">
      <w:pPr>
        <w:pStyle w:val="32"/>
        <w:snapToGrid w:val="0"/>
        <w:spacing w:after="0"/>
        <w:jc w:val="both"/>
        <w:rPr>
          <w:color w:val="000000"/>
          <w:sz w:val="24"/>
          <w:szCs w:val="24"/>
          <w:lang w:eastAsia="ru-RU"/>
        </w:rPr>
      </w:pPr>
      <w:r w:rsidRPr="00A10A3A">
        <w:rPr>
          <w:color w:val="000000"/>
          <w:sz w:val="24"/>
          <w:szCs w:val="24"/>
          <w:lang w:eastAsia="ru-RU"/>
        </w:rPr>
        <w:t xml:space="preserve">Если рассматривать активность московских студентов по факультетам, </w:t>
      </w:r>
    </w:p>
    <w:p w:rsidR="00436C74" w:rsidRPr="00A10A3A" w:rsidRDefault="00436C74" w:rsidP="00A10A3A">
      <w:pPr>
        <w:pStyle w:val="32"/>
        <w:snapToGrid w:val="0"/>
        <w:spacing w:after="0"/>
        <w:jc w:val="both"/>
        <w:rPr>
          <w:color w:val="000000"/>
          <w:sz w:val="24"/>
          <w:szCs w:val="24"/>
          <w:lang w:eastAsia="ru-RU"/>
        </w:rPr>
      </w:pPr>
      <w:r w:rsidRPr="00A10A3A">
        <w:rPr>
          <w:color w:val="000000"/>
          <w:sz w:val="24"/>
          <w:szCs w:val="24"/>
          <w:lang w:eastAsia="ru-RU"/>
        </w:rPr>
        <w:t>то наиболее активными оказались студенты факультетов экономики,  менеджмента, социологии и бизнес - информатики.</w:t>
      </w:r>
    </w:p>
    <w:p w:rsidR="00436C74" w:rsidRDefault="00436C74" w:rsidP="00436C74">
      <w:pPr>
        <w:jc w:val="both"/>
        <w:rPr>
          <w:sz w:val="26"/>
          <w:szCs w:val="26"/>
        </w:rPr>
      </w:pPr>
      <w:r w:rsidRPr="00CF32CA">
        <w:rPr>
          <w:noProof/>
          <w:sz w:val="26"/>
          <w:szCs w:val="26"/>
        </w:rPr>
        <w:drawing>
          <wp:inline distT="0" distB="0" distL="0" distR="0">
            <wp:extent cx="4810124" cy="5619750"/>
            <wp:effectExtent l="0" t="0" r="10160" b="19050"/>
            <wp:docPr id="11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436C74" w:rsidRPr="00164582" w:rsidRDefault="00436C74" w:rsidP="00164582">
      <w:pPr>
        <w:spacing w:after="200" w:line="276" w:lineRule="auto"/>
        <w:jc w:val="both"/>
      </w:pPr>
      <w:r w:rsidRPr="00164582">
        <w:t xml:space="preserve">В Пермском и Нижегородском кампусах результаты международных экзаменов были </w:t>
      </w:r>
      <w:proofErr w:type="spellStart"/>
      <w:r w:rsidRPr="00164582">
        <w:t>перезачтены</w:t>
      </w:r>
      <w:proofErr w:type="spellEnd"/>
      <w:r w:rsidRPr="00164582">
        <w:t xml:space="preserve"> студентам факультетов экономики (23 - Пермь, 5 - Нижний Новгород). В </w:t>
      </w:r>
      <w:r w:rsidRPr="00164582">
        <w:lastRenderedPageBreak/>
        <w:t>Санкт-Петербурге – студентам факультетов менеджмента (4 студента), социологии (1 студент), экономики (1 студент) и юридического факультета (3 студента).</w:t>
      </w:r>
    </w:p>
    <w:p w:rsidR="005005BC" w:rsidRDefault="00436C74" w:rsidP="00A878A8">
      <w:pPr>
        <w:spacing w:after="200" w:line="276" w:lineRule="auto"/>
        <w:jc w:val="both"/>
      </w:pPr>
      <w:r w:rsidRPr="00164582">
        <w:t xml:space="preserve">Для упрощения проверки корректности представленных сертификатов  IELTS было оформлено соглашение НИУ ВШЭ с Администрацией Университета Кембридж по проведению экзаменов ESOL о предоставлении доступа к службе </w:t>
      </w:r>
      <w:proofErr w:type="spellStart"/>
      <w:r w:rsidRPr="00164582">
        <w:t>on-line</w:t>
      </w:r>
      <w:proofErr w:type="spellEnd"/>
      <w:r w:rsidRPr="00164582">
        <w:t xml:space="preserve"> - проверки сертификатов IELTS.</w:t>
      </w:r>
    </w:p>
    <w:p w:rsidR="00D07E59" w:rsidRPr="00FF2967" w:rsidRDefault="00D07E59" w:rsidP="00A878A8">
      <w:pPr>
        <w:spacing w:after="200" w:line="276" w:lineRule="auto"/>
        <w:jc w:val="both"/>
      </w:pPr>
      <w:r>
        <w:t xml:space="preserve">Подробная таблица о </w:t>
      </w:r>
      <w:proofErr w:type="spellStart"/>
      <w:r>
        <w:t>перезачете</w:t>
      </w:r>
      <w:proofErr w:type="spellEnd"/>
      <w:r>
        <w:t xml:space="preserve"> результатов международных сертифицированных экзаменов </w:t>
      </w:r>
      <w:r w:rsidR="00FF2967">
        <w:t xml:space="preserve">по английскому языку </w:t>
      </w:r>
      <w:r>
        <w:t>(по кампусам</w:t>
      </w:r>
      <w:r w:rsidR="00FF2967">
        <w:t xml:space="preserve"> НИУ ВШЭ</w:t>
      </w:r>
      <w:r>
        <w:t xml:space="preserve">) приведена </w:t>
      </w:r>
      <w:r w:rsidRPr="004D16D1">
        <w:t xml:space="preserve">в </w:t>
      </w:r>
      <w:r w:rsidR="00BC4092" w:rsidRPr="004D16D1">
        <w:t>Приложении к отчету № 10.</w:t>
      </w:r>
    </w:p>
    <w:p w:rsidR="00565DA7" w:rsidRDefault="005005BC" w:rsidP="005005BC">
      <w:pPr>
        <w:pStyle w:val="2"/>
        <w:numPr>
          <w:ilvl w:val="1"/>
          <w:numId w:val="1"/>
        </w:numPr>
      </w:pPr>
      <w:bookmarkStart w:id="45" w:name="_Toc374030063"/>
      <w:r>
        <w:t>Результаты итоговой государственной аттестации</w:t>
      </w:r>
      <w:bookmarkEnd w:id="45"/>
    </w:p>
    <w:p w:rsidR="00A878A8" w:rsidRPr="00A11718" w:rsidRDefault="00A878A8" w:rsidP="00A878A8">
      <w:pPr>
        <w:spacing w:after="200" w:line="276" w:lineRule="auto"/>
        <w:jc w:val="both"/>
        <w:rPr>
          <w:szCs w:val="26"/>
        </w:rPr>
      </w:pPr>
      <w:r w:rsidRPr="00A11718">
        <w:rPr>
          <w:szCs w:val="26"/>
        </w:rPr>
        <w:t xml:space="preserve">В разделе представлены сводные данные, характеризующие количественные и качественные показатели участия </w:t>
      </w:r>
      <w:r w:rsidRPr="00A11718">
        <w:t>студентов</w:t>
      </w:r>
      <w:r w:rsidRPr="00A11718">
        <w:rPr>
          <w:szCs w:val="26"/>
        </w:rPr>
        <w:t xml:space="preserve"> очной формы обучения НИУ ВШЭ в итоговых государственных испытаниях. </w:t>
      </w:r>
    </w:p>
    <w:p w:rsidR="00A878A8" w:rsidRPr="00A878A8" w:rsidRDefault="00A878A8" w:rsidP="00A878A8">
      <w:pPr>
        <w:spacing w:after="200" w:line="276" w:lineRule="auto"/>
        <w:jc w:val="both"/>
        <w:rPr>
          <w:szCs w:val="26"/>
        </w:rPr>
      </w:pPr>
      <w:r w:rsidRPr="00A11718">
        <w:rPr>
          <w:szCs w:val="26"/>
        </w:rPr>
        <w:t xml:space="preserve">Выпуск </w:t>
      </w:r>
      <w:r w:rsidRPr="00A11718">
        <w:t>студентов</w:t>
      </w:r>
      <w:r w:rsidRPr="00A11718">
        <w:rPr>
          <w:szCs w:val="26"/>
        </w:rPr>
        <w:t xml:space="preserve"> очной формы обучения НИУ ВШЭ (с МИЭМ НИУ ВШЭ и филиалами) в 2013 году составил 4896 человек, из них: 2323 бакалавра (всего 47,4% от общего количества выпуска), 1031 специалист (21,1% от общего количества выпуска) и 1542 магистра (31,5% от общего количества выпуска)</w:t>
      </w:r>
      <w:proofErr w:type="gramStart"/>
      <w:r>
        <w:rPr>
          <w:szCs w:val="26"/>
        </w:rPr>
        <w:t xml:space="preserve"> </w:t>
      </w:r>
      <w:r w:rsidRPr="00A11718">
        <w:rPr>
          <w:szCs w:val="26"/>
        </w:rPr>
        <w:t>.</w:t>
      </w:r>
      <w:proofErr w:type="gramEnd"/>
      <w:r w:rsidRPr="00A11718">
        <w:rPr>
          <w:szCs w:val="26"/>
        </w:rPr>
        <w:t xml:space="preserve"> </w:t>
      </w:r>
    </w:p>
    <w:p w:rsidR="00A878A8" w:rsidRPr="00A11718" w:rsidRDefault="00A878A8" w:rsidP="00A878A8">
      <w:pPr>
        <w:spacing w:line="360" w:lineRule="auto"/>
        <w:jc w:val="both"/>
        <w:rPr>
          <w:b/>
          <w:sz w:val="26"/>
          <w:szCs w:val="26"/>
        </w:rPr>
      </w:pPr>
      <w:r w:rsidRPr="00A11718">
        <w:rPr>
          <w:noProof/>
        </w:rPr>
        <w:drawing>
          <wp:inline distT="0" distB="0" distL="0" distR="0">
            <wp:extent cx="4535424" cy="4041648"/>
            <wp:effectExtent l="0" t="0" r="17780" b="16510"/>
            <wp:docPr id="686" name="Диаграмма 6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A878A8" w:rsidRPr="00A11718" w:rsidRDefault="00A878A8" w:rsidP="00A878A8">
      <w:pPr>
        <w:spacing w:after="200" w:line="276" w:lineRule="auto"/>
        <w:jc w:val="both"/>
        <w:rPr>
          <w:szCs w:val="26"/>
        </w:rPr>
      </w:pPr>
      <w:proofErr w:type="gramStart"/>
      <w:r w:rsidRPr="00A11718">
        <w:rPr>
          <w:szCs w:val="26"/>
        </w:rPr>
        <w:t xml:space="preserve">Среди студентов, успешно завершивших теоретический курс обучения и допущенных к итоговой государственной аттестации (далее ИГА), 86 человек не сдали итоговый государственный экзамен (из них – 58 бакалавров, 24 специалиста и 4 магистра). 171 </w:t>
      </w:r>
      <w:r w:rsidRPr="00A11718">
        <w:rPr>
          <w:szCs w:val="26"/>
        </w:rPr>
        <w:lastRenderedPageBreak/>
        <w:t>студент</w:t>
      </w:r>
      <w:r w:rsidRPr="00A11718">
        <w:rPr>
          <w:rStyle w:val="ac"/>
          <w:szCs w:val="26"/>
        </w:rPr>
        <w:footnoteReference w:id="20"/>
      </w:r>
      <w:r w:rsidRPr="00A11718">
        <w:rPr>
          <w:szCs w:val="26"/>
        </w:rPr>
        <w:t xml:space="preserve"> (88 бакалавров, 43 специалиста и 40 магистров) не был допущен к защите выпускных квалификационных работ. 73 студента, из допущенных к защите, получили оценку «неудовлетворительно» (из них – 30</w:t>
      </w:r>
      <w:proofErr w:type="gramEnd"/>
      <w:r w:rsidRPr="00A11718">
        <w:rPr>
          <w:szCs w:val="26"/>
        </w:rPr>
        <w:t xml:space="preserve"> бакалавров, 15 специалистов, 28 магистров) – на 52% больше, чем в 2012 году. </w:t>
      </w:r>
    </w:p>
    <w:p w:rsidR="00A878A8" w:rsidRPr="00A11718" w:rsidRDefault="00A878A8" w:rsidP="00A878A8">
      <w:pPr>
        <w:spacing w:after="200" w:line="276" w:lineRule="auto"/>
        <w:jc w:val="both"/>
        <w:rPr>
          <w:szCs w:val="26"/>
        </w:rPr>
      </w:pPr>
      <w:proofErr w:type="gramStart"/>
      <w:r w:rsidRPr="00A11718">
        <w:rPr>
          <w:szCs w:val="26"/>
        </w:rPr>
        <w:t>Ниже в этом разделе приведены диаграммы, демонстрирующие сводные показатели студентов (отдельно бакалавров/специалистов и магистров), завершивших теоретический курс обучения и допущенных к ИГА, а также краткий анализ результатов по всем видам государственных итоговых испытаний: итоговый государственный экзамен (ИГЭ), защита выпускной квалификационной работы (ВКР), государственный экзамен по английскому языку.</w:t>
      </w:r>
      <w:proofErr w:type="gramEnd"/>
    </w:p>
    <w:p w:rsidR="00A878A8" w:rsidRPr="00A878A8" w:rsidRDefault="00A878A8" w:rsidP="00A878A8">
      <w:pPr>
        <w:spacing w:after="200" w:line="276" w:lineRule="auto"/>
        <w:jc w:val="both"/>
        <w:rPr>
          <w:szCs w:val="26"/>
        </w:rPr>
      </w:pPr>
      <w:r w:rsidRPr="00A11718">
        <w:rPr>
          <w:szCs w:val="26"/>
        </w:rPr>
        <w:t xml:space="preserve">Приведем сводные данные по студентам, не преодолевшим разные типы испытаний, но полностью завершившим теоретическое обучение и допущенным </w:t>
      </w:r>
      <w:proofErr w:type="gramStart"/>
      <w:r w:rsidRPr="00A11718">
        <w:rPr>
          <w:szCs w:val="26"/>
        </w:rPr>
        <w:t>к</w:t>
      </w:r>
      <w:proofErr w:type="gramEnd"/>
      <w:r w:rsidRPr="00A11718">
        <w:rPr>
          <w:szCs w:val="26"/>
        </w:rPr>
        <w:t xml:space="preserve"> ИГА.  Показатели приведены в динамике за</w:t>
      </w:r>
      <w:r>
        <w:rPr>
          <w:szCs w:val="26"/>
        </w:rPr>
        <w:t xml:space="preserve"> три последних года</w:t>
      </w:r>
      <w:proofErr w:type="gramStart"/>
      <w:r>
        <w:rPr>
          <w:szCs w:val="26"/>
        </w:rPr>
        <w:t xml:space="preserve"> .</w:t>
      </w:r>
      <w:proofErr w:type="gramEnd"/>
    </w:p>
    <w:p w:rsidR="00A878A8" w:rsidRPr="00A11718" w:rsidRDefault="00A878A8" w:rsidP="00A878A8">
      <w:pPr>
        <w:spacing w:line="360" w:lineRule="auto"/>
        <w:jc w:val="both"/>
        <w:rPr>
          <w:b/>
          <w:sz w:val="26"/>
          <w:szCs w:val="26"/>
        </w:rPr>
      </w:pPr>
      <w:r w:rsidRPr="00A11718">
        <w:rPr>
          <w:noProof/>
        </w:rPr>
        <w:drawing>
          <wp:inline distT="0" distB="0" distL="0" distR="0">
            <wp:extent cx="5940425" cy="4190654"/>
            <wp:effectExtent l="0" t="0" r="22225" b="19685"/>
            <wp:docPr id="687" name="Диаграмма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A878A8" w:rsidRPr="00A878A8" w:rsidRDefault="00A878A8" w:rsidP="00A878A8">
      <w:pPr>
        <w:spacing w:after="200" w:line="276" w:lineRule="auto"/>
        <w:jc w:val="both"/>
        <w:rPr>
          <w:szCs w:val="26"/>
        </w:rPr>
      </w:pPr>
      <w:r w:rsidRPr="00A11718">
        <w:rPr>
          <w:szCs w:val="26"/>
        </w:rPr>
        <w:t>В целом по университету в 2013 году доля бакалавров, завершивших теоретический курс обучения, но не прошедших ИГА, составила 4% (аналогичный показатель 2012 г. – 3,2%); доля специалистов – 4% (2012 г. - 3,9%).</w:t>
      </w:r>
    </w:p>
    <w:p w:rsidR="00A878A8" w:rsidRPr="00A11718" w:rsidRDefault="00A878A8" w:rsidP="00A878A8">
      <w:pPr>
        <w:spacing w:line="360" w:lineRule="auto"/>
        <w:jc w:val="both"/>
        <w:rPr>
          <w:b/>
          <w:szCs w:val="26"/>
        </w:rPr>
      </w:pPr>
      <w:r w:rsidRPr="00A11718">
        <w:rPr>
          <w:noProof/>
        </w:rPr>
        <w:lastRenderedPageBreak/>
        <w:drawing>
          <wp:inline distT="0" distB="0" distL="0" distR="0">
            <wp:extent cx="5940425" cy="3340225"/>
            <wp:effectExtent l="0" t="0" r="3175" b="0"/>
            <wp:docPr id="688" name="Диаграмма 6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A878A8" w:rsidRPr="00A11718" w:rsidRDefault="00A878A8" w:rsidP="00A878A8">
      <w:pPr>
        <w:jc w:val="both"/>
        <w:rPr>
          <w:szCs w:val="26"/>
        </w:rPr>
      </w:pPr>
      <w:r w:rsidRPr="00A11718">
        <w:rPr>
          <w:szCs w:val="26"/>
        </w:rPr>
        <w:t>Доля магистров, завершивших теоретических курс обучения, но не прошедших ИГА, в 2013 году составила 7% (в 2012 г. - 3,8%).</w:t>
      </w:r>
    </w:p>
    <w:p w:rsidR="00A878A8" w:rsidRPr="00A878A8" w:rsidRDefault="00A878A8" w:rsidP="00A878A8">
      <w:pPr>
        <w:jc w:val="both"/>
        <w:rPr>
          <w:szCs w:val="26"/>
        </w:rPr>
      </w:pPr>
      <w:r w:rsidRPr="00A11718">
        <w:rPr>
          <w:szCs w:val="26"/>
        </w:rPr>
        <w:t xml:space="preserve">Следующая диаграмма демонстрирует распределение выпускников по типам полученных дипломов (с отличием и обычных) за последние три года в целом по университету (включая МИЭМ НИУ ВШЭ и филиалы). </w:t>
      </w:r>
      <w:proofErr w:type="gramStart"/>
      <w:r w:rsidRPr="00A11718">
        <w:rPr>
          <w:szCs w:val="26"/>
        </w:rPr>
        <w:t>В среднем, доля «красных» дипломов по отношению к обычным возросла: дипломы с отличием получили 12,6%  выпускников НИУ ВШЭ, в 2012 году их доля составляла 11,6%.</w:t>
      </w:r>
      <w:proofErr w:type="gramEnd"/>
    </w:p>
    <w:p w:rsidR="00A878A8" w:rsidRPr="00A11718" w:rsidRDefault="00A878A8" w:rsidP="00A878A8">
      <w:pPr>
        <w:spacing w:line="360" w:lineRule="auto"/>
        <w:jc w:val="center"/>
        <w:rPr>
          <w:rFonts w:ascii="Times New Roman" w:hAnsi="Times New Roman"/>
        </w:rPr>
      </w:pPr>
      <w:r w:rsidRPr="00A11718">
        <w:rPr>
          <w:noProof/>
        </w:rPr>
        <w:drawing>
          <wp:inline distT="0" distB="0" distL="0" distR="0">
            <wp:extent cx="5940425" cy="3258681"/>
            <wp:effectExtent l="19050" t="0" r="22225" b="0"/>
            <wp:docPr id="689" name="Диаграмма 6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A878A8" w:rsidRPr="00A11718" w:rsidRDefault="00A878A8" w:rsidP="00A878A8">
      <w:pPr>
        <w:spacing w:line="276" w:lineRule="auto"/>
        <w:jc w:val="both"/>
        <w:rPr>
          <w:szCs w:val="26"/>
        </w:rPr>
      </w:pPr>
      <w:r w:rsidRPr="00A11718">
        <w:rPr>
          <w:szCs w:val="26"/>
        </w:rPr>
        <w:t>Более детально показатели по Москве, включая МИЭМ НИУ ВШЭ, и каждому из филиалов представлены ниже.</w:t>
      </w:r>
    </w:p>
    <w:p w:rsidR="00A878A8" w:rsidRPr="00A11718" w:rsidRDefault="00A878A8" w:rsidP="00A878A8">
      <w:pPr>
        <w:spacing w:line="276" w:lineRule="auto"/>
        <w:jc w:val="both"/>
        <w:rPr>
          <w:szCs w:val="26"/>
        </w:rPr>
      </w:pPr>
      <w:r w:rsidRPr="00A11718">
        <w:rPr>
          <w:szCs w:val="26"/>
        </w:rPr>
        <w:lastRenderedPageBreak/>
        <w:t>В 2013 году к итоговым государственным экзаменам в НИУ ВШЭ (г. Москва) было допущено 2515 студентов</w:t>
      </w:r>
      <w:r w:rsidRPr="00A11718">
        <w:rPr>
          <w:rStyle w:val="ac"/>
          <w:szCs w:val="26"/>
        </w:rPr>
        <w:footnoteReference w:id="21"/>
      </w:r>
      <w:r w:rsidRPr="00A11718">
        <w:rPr>
          <w:szCs w:val="26"/>
        </w:rPr>
        <w:t xml:space="preserve"> (что на 248 человек меньше прошлогоднего результата). Во многом, результат связан с отсутствием итогового государственного экзамена в составе итоговых аттестационных испытаний большей части магистров-выпускников. Не допущен к сдаче экзамена по различным причинам 51 студент, что полностью соответствует показателю прошлого учебного года.</w:t>
      </w:r>
    </w:p>
    <w:p w:rsidR="00A878A8" w:rsidRPr="00A11718" w:rsidRDefault="00A878A8" w:rsidP="00A878A8">
      <w:pPr>
        <w:spacing w:line="276" w:lineRule="auto"/>
        <w:jc w:val="both"/>
        <w:rPr>
          <w:szCs w:val="26"/>
        </w:rPr>
      </w:pPr>
      <w:r w:rsidRPr="00A11718">
        <w:rPr>
          <w:szCs w:val="26"/>
        </w:rPr>
        <w:t xml:space="preserve">К защите выпускных квалификационных работ было допущено 3495 студентов (на 638 человек больше, чем в прошлом году), не допущено  по различным причинам 143 студента (на 22 человека меньше, чем в 2011/2012 учебном году). </w:t>
      </w:r>
      <w:proofErr w:type="gramStart"/>
      <w:r w:rsidRPr="00A11718">
        <w:rPr>
          <w:szCs w:val="26"/>
        </w:rPr>
        <w:t xml:space="preserve">Сводные данные по выпуску студентов НИУ ВШЭ (включая МИЭМ НИУ ВШЭ и филиалы) в 2012/2013 учебном году в представлены в </w:t>
      </w:r>
      <w:r w:rsidR="00A729B2" w:rsidRPr="004D16D1">
        <w:rPr>
          <w:szCs w:val="26"/>
        </w:rPr>
        <w:t>Приложении к отчету № 11.</w:t>
      </w:r>
      <w:proofErr w:type="gramEnd"/>
    </w:p>
    <w:p w:rsidR="00A878A8" w:rsidRPr="00A11718" w:rsidRDefault="00A878A8" w:rsidP="00A878A8">
      <w:pPr>
        <w:spacing w:after="120" w:line="264" w:lineRule="auto"/>
        <w:jc w:val="both"/>
        <w:rPr>
          <w:szCs w:val="26"/>
        </w:rPr>
      </w:pPr>
      <w:proofErr w:type="gramStart"/>
      <w:r w:rsidRPr="00A11718">
        <w:rPr>
          <w:szCs w:val="26"/>
        </w:rPr>
        <w:t>Выпуск студентов НИУ ВШЭ (г. Москва)</w:t>
      </w:r>
      <w:r w:rsidRPr="00A11718">
        <w:rPr>
          <w:rStyle w:val="ac"/>
          <w:szCs w:val="26"/>
        </w:rPr>
        <w:footnoteReference w:id="22"/>
      </w:r>
      <w:r w:rsidRPr="00A11718">
        <w:rPr>
          <w:szCs w:val="26"/>
        </w:rPr>
        <w:t xml:space="preserve"> в 2013 году составил 3339 человек, из них: 1591 бакалавр (48% от общего количества выпуска и на 30% больше, чем в прошлом году), 552 специалиста (17% от общего количества выпуска и на 4% меньше, чем в прошлом году), 1196 магистров (36% от общего количества выпуска, что на 8% больше прошлогоднего показателя).</w:t>
      </w:r>
      <w:proofErr w:type="gramEnd"/>
      <w:r w:rsidRPr="00A11718">
        <w:rPr>
          <w:szCs w:val="26"/>
        </w:rPr>
        <w:t xml:space="preserve"> В целом в 2012/2013 учебном году количество выпускников выросло на 16,5%, причем наблюдается увеличение доли выпускников по всем уровням </w:t>
      </w:r>
      <w:proofErr w:type="spellStart"/>
      <w:r w:rsidRPr="00A11718">
        <w:rPr>
          <w:szCs w:val="26"/>
        </w:rPr>
        <w:t>бакалавриата</w:t>
      </w:r>
      <w:proofErr w:type="spellEnd"/>
      <w:r w:rsidRPr="00A11718">
        <w:rPr>
          <w:szCs w:val="26"/>
        </w:rPr>
        <w:t xml:space="preserve"> и магистратуры и ожидаемое снижение численности выпускников-специалистов. </w:t>
      </w:r>
    </w:p>
    <w:p w:rsidR="00A878A8" w:rsidRPr="00A11718" w:rsidRDefault="00A878A8" w:rsidP="00A878A8">
      <w:pPr>
        <w:spacing w:after="120" w:line="264" w:lineRule="auto"/>
        <w:jc w:val="both"/>
        <w:rPr>
          <w:szCs w:val="26"/>
        </w:rPr>
      </w:pPr>
      <w:r w:rsidRPr="00A11718">
        <w:rPr>
          <w:szCs w:val="26"/>
        </w:rPr>
        <w:t xml:space="preserve">Дипломы с отличием в НИУ ВШЭ (Москва) получили 419 человек, на 32% больше, чем в прошлом году. Это составляет около 12,5% от общего выпуска московского кампуса. Процентный показатель прошлого года 10% от выпуска. </w:t>
      </w:r>
    </w:p>
    <w:p w:rsidR="00A878A8" w:rsidRPr="00A11718" w:rsidRDefault="00A878A8" w:rsidP="00A878A8">
      <w:pPr>
        <w:spacing w:after="120" w:line="264" w:lineRule="auto"/>
        <w:jc w:val="both"/>
        <w:rPr>
          <w:szCs w:val="26"/>
        </w:rPr>
      </w:pPr>
      <w:r w:rsidRPr="00A11718">
        <w:rPr>
          <w:szCs w:val="26"/>
        </w:rPr>
        <w:t xml:space="preserve">Выпуск студентов МИЭМ НИУ ВШЭ составил 369 человек, из них: 12 бакалавров (3% от общего количества выпуска), 320 специалистов (87% от общего количества выпуска) и 37 магистров (10% от общего количества выпуска). Дипломы с отличием получили  45 человек, что составляет 12% от общего выпуска МИЭМ НИУ ВШЭ. </w:t>
      </w:r>
    </w:p>
    <w:p w:rsidR="00A878A8" w:rsidRPr="00A11718" w:rsidRDefault="00A878A8" w:rsidP="00A878A8">
      <w:pPr>
        <w:spacing w:after="120" w:line="264" w:lineRule="auto"/>
        <w:jc w:val="both"/>
        <w:rPr>
          <w:szCs w:val="26"/>
        </w:rPr>
      </w:pPr>
      <w:proofErr w:type="gramStart"/>
      <w:r w:rsidRPr="00A11718">
        <w:rPr>
          <w:szCs w:val="26"/>
        </w:rPr>
        <w:t xml:space="preserve">Выпуск студентов НИУ ВШЭ в Нижегородском филиале составил 590 человек, из них 344 бакалавра (58% от общего количества выпуска и на 44% больше, чем в прошлом году), 93 специалиста (16% от общего выпуска и на 43% меньше, чем в прошлом году) и 153 магистра (26% от общего выпуска и на 28% больше, чем в прошлом году). </w:t>
      </w:r>
      <w:proofErr w:type="gramEnd"/>
    </w:p>
    <w:p w:rsidR="00A878A8" w:rsidRPr="00A11718" w:rsidRDefault="00A878A8" w:rsidP="00A878A8">
      <w:pPr>
        <w:spacing w:after="120" w:line="264" w:lineRule="auto"/>
        <w:jc w:val="both"/>
        <w:rPr>
          <w:szCs w:val="26"/>
        </w:rPr>
      </w:pPr>
      <w:r w:rsidRPr="00A11718">
        <w:rPr>
          <w:szCs w:val="26"/>
        </w:rPr>
        <w:t>Дипломы с отличием получили 95 человек, что составляет 16% от общего выпуска филиала (на35% больше, чем в 2011/2012 году). В процентном отношении количество обладателей «красных» дипломов по отношению к общей численности выпускников в Нижегородском филиале самое большое по сравнению с остальными кампусами.</w:t>
      </w:r>
    </w:p>
    <w:p w:rsidR="00A878A8" w:rsidRPr="00A11718" w:rsidRDefault="00A878A8" w:rsidP="00A878A8">
      <w:pPr>
        <w:spacing w:after="120" w:line="264" w:lineRule="auto"/>
        <w:jc w:val="both"/>
        <w:rPr>
          <w:szCs w:val="26"/>
        </w:rPr>
      </w:pPr>
      <w:proofErr w:type="gramStart"/>
      <w:r w:rsidRPr="00A11718">
        <w:rPr>
          <w:szCs w:val="26"/>
        </w:rPr>
        <w:t>Выпуск студентов в Санкт-Петербургском филиале НИУ ВШЭ составил 330 человек, из них: 187 бакалавров (57% от общего выпуска, на 24% больше, чем в прошлом году), 66 специалистов (20% от общего выпуска, на 44% меньше, чем в прошлом году) и 77 магистров (23% от общего выпуска, почти полностью соответствует показателю прошлого года).</w:t>
      </w:r>
      <w:proofErr w:type="gramEnd"/>
      <w:r w:rsidRPr="00A11718">
        <w:rPr>
          <w:szCs w:val="26"/>
        </w:rPr>
        <w:t xml:space="preserve"> В структуре распределения выпускников филиала по уровню образования прослеживается уменьшение доли специалистов. </w:t>
      </w:r>
    </w:p>
    <w:p w:rsidR="00A878A8" w:rsidRPr="00A11718" w:rsidRDefault="00A878A8" w:rsidP="00A878A8">
      <w:pPr>
        <w:spacing w:after="120" w:line="264" w:lineRule="auto"/>
        <w:jc w:val="both"/>
        <w:rPr>
          <w:szCs w:val="26"/>
        </w:rPr>
      </w:pPr>
      <w:r w:rsidRPr="00A11718">
        <w:rPr>
          <w:szCs w:val="26"/>
        </w:rPr>
        <w:lastRenderedPageBreak/>
        <w:t xml:space="preserve">Дипломы с отличием получили 28 человек, что </w:t>
      </w:r>
      <w:proofErr w:type="gramStart"/>
      <w:r w:rsidRPr="00A11718">
        <w:rPr>
          <w:szCs w:val="26"/>
        </w:rPr>
        <w:t>составляет 8,5% от общего выпуска студентов филиала и соответствует</w:t>
      </w:r>
      <w:proofErr w:type="gramEnd"/>
      <w:r w:rsidRPr="00A11718">
        <w:rPr>
          <w:szCs w:val="26"/>
        </w:rPr>
        <w:t xml:space="preserve"> процентному показателю прошлого года (8% от выпуска).</w:t>
      </w:r>
    </w:p>
    <w:p w:rsidR="00A878A8" w:rsidRPr="00A11718" w:rsidRDefault="00A878A8" w:rsidP="00A878A8">
      <w:pPr>
        <w:spacing w:after="120" w:line="264" w:lineRule="auto"/>
        <w:jc w:val="both"/>
        <w:rPr>
          <w:szCs w:val="26"/>
        </w:rPr>
      </w:pPr>
      <w:r w:rsidRPr="00A11718">
        <w:rPr>
          <w:szCs w:val="26"/>
        </w:rPr>
        <w:t xml:space="preserve">В 2012/2013 году в Пермском филиале НИУ ВШЭ завершили обучение 268 студентов очной формы обучения. Из общего выпуска студентов: 189 бакалавров (71% от общего выпуска, на 5% больше, чем в прошлом году) и 79 магистров (29% от общего выпуска). Выпуск магистров в филиале больше прошлогоднего на 5%. Выпуск специалистов очной формы обучения не осуществляется. </w:t>
      </w:r>
    </w:p>
    <w:p w:rsidR="00A878A8" w:rsidRPr="00A11718" w:rsidRDefault="00A878A8" w:rsidP="00A878A8">
      <w:pPr>
        <w:spacing w:after="120" w:line="264" w:lineRule="auto"/>
        <w:jc w:val="both"/>
        <w:rPr>
          <w:szCs w:val="26"/>
        </w:rPr>
      </w:pPr>
      <w:r w:rsidRPr="00A11718">
        <w:rPr>
          <w:szCs w:val="26"/>
        </w:rPr>
        <w:t>Дипломы с отличием получили 30 человек, что составляет 11% от общего выпуска, и на 10% больше, чем в прошлом году.</w:t>
      </w:r>
    </w:p>
    <w:p w:rsidR="00A878A8" w:rsidRPr="00A11718" w:rsidRDefault="00A878A8" w:rsidP="00A878A8">
      <w:pPr>
        <w:jc w:val="both"/>
        <w:rPr>
          <w:szCs w:val="26"/>
        </w:rPr>
      </w:pPr>
      <w:r w:rsidRPr="00A11718">
        <w:rPr>
          <w:szCs w:val="26"/>
        </w:rPr>
        <w:t xml:space="preserve">Сводные данные по результатам сдачи итоговых государственных экзаменов (итоговые экзамены по отдельной дисциплине и итоговые междисциплинарные экзамены) в НИУ ВШЭ </w:t>
      </w:r>
      <w:r w:rsidR="00BC1462">
        <w:rPr>
          <w:szCs w:val="26"/>
        </w:rPr>
        <w:t>на диаграмме ниже</w:t>
      </w:r>
      <w:r w:rsidRPr="00A11718">
        <w:rPr>
          <w:szCs w:val="26"/>
        </w:rPr>
        <w:t xml:space="preserve"> свидетельствуют о том, что среднее соотношение оценок по сравнению с прошлым учебным годом остается практически неизменным для московского кампуса, Нижегородского и </w:t>
      </w:r>
      <w:proofErr w:type="gramStart"/>
      <w:r w:rsidRPr="00A11718">
        <w:rPr>
          <w:szCs w:val="26"/>
        </w:rPr>
        <w:t>С-Петербургского</w:t>
      </w:r>
      <w:proofErr w:type="gramEnd"/>
      <w:r w:rsidRPr="00A11718">
        <w:rPr>
          <w:szCs w:val="26"/>
        </w:rPr>
        <w:t xml:space="preserve"> филиалов. В Пермском филиале данное соотношение поменялось в сторону уменьшения отличных и хороших оценок за счет увеличения удовлетворительных.</w:t>
      </w:r>
    </w:p>
    <w:p w:rsidR="00A878A8" w:rsidRPr="00A11718" w:rsidRDefault="00A878A8" w:rsidP="00A878A8">
      <w:pPr>
        <w:jc w:val="both"/>
        <w:rPr>
          <w:szCs w:val="26"/>
        </w:rPr>
      </w:pPr>
    </w:p>
    <w:p w:rsidR="00A878A8" w:rsidRPr="00A11718" w:rsidRDefault="00A878A8" w:rsidP="00A878A8">
      <w:pPr>
        <w:jc w:val="both"/>
        <w:rPr>
          <w:szCs w:val="26"/>
        </w:rPr>
      </w:pPr>
      <w:r w:rsidRPr="00A11718">
        <w:rPr>
          <w:noProof/>
          <w:szCs w:val="26"/>
        </w:rPr>
        <w:drawing>
          <wp:inline distT="0" distB="0" distL="0" distR="0">
            <wp:extent cx="5940425" cy="4427882"/>
            <wp:effectExtent l="19050" t="0" r="22225" b="0"/>
            <wp:docPr id="69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A878A8" w:rsidRPr="00A11718" w:rsidRDefault="00A878A8" w:rsidP="00A878A8">
      <w:pPr>
        <w:spacing w:after="200" w:line="276" w:lineRule="auto"/>
        <w:jc w:val="both"/>
        <w:rPr>
          <w:szCs w:val="26"/>
        </w:rPr>
      </w:pPr>
      <w:r w:rsidRPr="00A11718">
        <w:rPr>
          <w:szCs w:val="26"/>
        </w:rPr>
        <w:t>Сравнительные данные по результатам защиты выпускных квалификационных работ бакалавров, специалистов и магистров демонстрируют, в целом, стабильность количества отличных и хороших оценок. Доля студентов, получивших удовлетворительную оценку и не защитивших свои выпускные квалификационные работы, возросла в Москве и Ниже</w:t>
      </w:r>
      <w:r w:rsidR="005F2A51">
        <w:rPr>
          <w:szCs w:val="26"/>
        </w:rPr>
        <w:t>городском филиале</w:t>
      </w:r>
      <w:proofErr w:type="gramStart"/>
      <w:r w:rsidR="005F2A51">
        <w:rPr>
          <w:szCs w:val="26"/>
        </w:rPr>
        <w:t xml:space="preserve"> .</w:t>
      </w:r>
      <w:proofErr w:type="gramEnd"/>
    </w:p>
    <w:p w:rsidR="00A878A8" w:rsidRPr="00A11718" w:rsidRDefault="00A878A8" w:rsidP="00A878A8">
      <w:pPr>
        <w:spacing w:before="240" w:line="360" w:lineRule="auto"/>
        <w:jc w:val="both"/>
        <w:rPr>
          <w:b/>
          <w:sz w:val="26"/>
          <w:szCs w:val="26"/>
        </w:rPr>
      </w:pPr>
      <w:r w:rsidRPr="00A11718">
        <w:rPr>
          <w:b/>
          <w:noProof/>
          <w:sz w:val="26"/>
          <w:szCs w:val="26"/>
        </w:rPr>
        <w:lastRenderedPageBreak/>
        <w:drawing>
          <wp:inline distT="0" distB="0" distL="0" distR="0">
            <wp:extent cx="5940425" cy="5354435"/>
            <wp:effectExtent l="0" t="0" r="3175" b="5080"/>
            <wp:docPr id="69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A878A8" w:rsidRPr="00BC1462" w:rsidRDefault="00A878A8" w:rsidP="00A878A8">
      <w:pPr>
        <w:spacing w:line="276" w:lineRule="auto"/>
        <w:jc w:val="both"/>
        <w:rPr>
          <w:szCs w:val="26"/>
        </w:rPr>
      </w:pPr>
      <w:r w:rsidRPr="00A11718">
        <w:rPr>
          <w:szCs w:val="26"/>
        </w:rPr>
        <w:t xml:space="preserve">Сводные данные по результатам сдачи итогового государственного экзамена и защит выпускных квалификационных работ в НИУ ВШЭ (включая МИЭМ НИУ ВШЭ и филиалы) в 2012/2013 учебном году содержатся в </w:t>
      </w:r>
      <w:r w:rsidR="00A16A2C" w:rsidRPr="004D16D1">
        <w:rPr>
          <w:szCs w:val="26"/>
        </w:rPr>
        <w:t xml:space="preserve">Приложении к отчету № 12 </w:t>
      </w:r>
      <w:r w:rsidR="00B02D5D" w:rsidRPr="004D16D1">
        <w:rPr>
          <w:szCs w:val="26"/>
        </w:rPr>
        <w:t xml:space="preserve"> </w:t>
      </w:r>
      <w:r w:rsidRPr="004D16D1">
        <w:rPr>
          <w:szCs w:val="26"/>
        </w:rPr>
        <w:t xml:space="preserve">и  </w:t>
      </w:r>
      <w:r w:rsidR="00A16A2C" w:rsidRPr="004D16D1">
        <w:rPr>
          <w:szCs w:val="26"/>
        </w:rPr>
        <w:t>Приложении к отчету № 13.</w:t>
      </w:r>
    </w:p>
    <w:p w:rsidR="00A878A8" w:rsidRPr="00A11718" w:rsidRDefault="00A878A8" w:rsidP="00A878A8">
      <w:pPr>
        <w:spacing w:before="240"/>
        <w:jc w:val="both"/>
        <w:rPr>
          <w:szCs w:val="26"/>
        </w:rPr>
      </w:pPr>
      <w:r w:rsidRPr="00A11718">
        <w:rPr>
          <w:szCs w:val="26"/>
        </w:rPr>
        <w:t>По имеющимся данным в 2013 году государственный экзамен по английскому языку сдавали 1509 бакалавров и специалистов на центральной площадке и 588</w:t>
      </w:r>
      <w:r w:rsidRPr="00A11718">
        <w:rPr>
          <w:rStyle w:val="ac"/>
          <w:szCs w:val="26"/>
        </w:rPr>
        <w:footnoteReference w:id="23"/>
      </w:r>
      <w:r w:rsidRPr="00A11718">
        <w:rPr>
          <w:szCs w:val="26"/>
        </w:rPr>
        <w:t xml:space="preserve"> бакалавров и специалистов в филиалах НИУ ВШЭ. В Москве экзамен сдали 1490 человек, в филиалах – 587. Ниже приведены данные по результатам государственного экзамена частично выпускников (бакалавров и специалистов) 2013 года, а частично результаты студентов – специалистов выпуска 2014 года, которые по большей части сдают экзамен на 4 </w:t>
      </w:r>
      <w:proofErr w:type="gramStart"/>
      <w:r w:rsidRPr="00A11718">
        <w:rPr>
          <w:szCs w:val="26"/>
        </w:rPr>
        <w:t>курсе</w:t>
      </w:r>
      <w:proofErr w:type="gramEnd"/>
      <w:r w:rsidRPr="00A11718">
        <w:rPr>
          <w:szCs w:val="26"/>
        </w:rPr>
        <w:t xml:space="preserve"> (на 3, 4 курсах в филиалах). Количество неудовлетворительных оценок невелико – всего 1%.</w:t>
      </w:r>
    </w:p>
    <w:p w:rsidR="00A878A8" w:rsidRPr="00A11718" w:rsidRDefault="00A878A8" w:rsidP="000266E5">
      <w:pPr>
        <w:tabs>
          <w:tab w:val="left" w:pos="6096"/>
        </w:tabs>
        <w:spacing w:before="240"/>
        <w:jc w:val="both"/>
        <w:rPr>
          <w:szCs w:val="26"/>
        </w:rPr>
      </w:pPr>
      <w:r w:rsidRPr="00A11718">
        <w:rPr>
          <w:szCs w:val="26"/>
        </w:rPr>
        <w:t>Сводные данные о результатах государственного экзамена по английскому языку в пери</w:t>
      </w:r>
      <w:r w:rsidR="00BC1462">
        <w:rPr>
          <w:szCs w:val="26"/>
        </w:rPr>
        <w:t xml:space="preserve">од ИГА 2013 года представлены на следующей </w:t>
      </w:r>
      <w:r w:rsidRPr="00A11718">
        <w:rPr>
          <w:szCs w:val="26"/>
        </w:rPr>
        <w:t xml:space="preserve">Диаграмме </w:t>
      </w:r>
    </w:p>
    <w:p w:rsidR="00A878A8" w:rsidRPr="00A11718" w:rsidRDefault="00A878A8" w:rsidP="00A878A8">
      <w:pPr>
        <w:spacing w:before="240"/>
        <w:jc w:val="both"/>
        <w:rPr>
          <w:szCs w:val="26"/>
        </w:rPr>
      </w:pPr>
      <w:r w:rsidRPr="00A11718">
        <w:rPr>
          <w:noProof/>
          <w:szCs w:val="26"/>
        </w:rPr>
        <w:lastRenderedPageBreak/>
        <w:drawing>
          <wp:inline distT="0" distB="0" distL="0" distR="0">
            <wp:extent cx="5954232" cy="2828260"/>
            <wp:effectExtent l="0" t="0" r="8890" b="0"/>
            <wp:docPr id="69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A878A8" w:rsidRPr="00A11718" w:rsidRDefault="00A878A8" w:rsidP="00A878A8">
      <w:pPr>
        <w:spacing w:before="240"/>
        <w:jc w:val="both"/>
        <w:rPr>
          <w:szCs w:val="26"/>
        </w:rPr>
      </w:pPr>
      <w:r w:rsidRPr="00A11718">
        <w:rPr>
          <w:szCs w:val="26"/>
        </w:rPr>
        <w:t>В соответствии с требованиями нормативных актов, регламентирующих организацию и проведение ИГА в НИУ ВШЭ, выпускные квалификационные работы в обязательном порядке проверялись в системе «</w:t>
      </w:r>
      <w:proofErr w:type="spellStart"/>
      <w:r w:rsidRPr="00A11718">
        <w:rPr>
          <w:szCs w:val="26"/>
        </w:rPr>
        <w:t>Антиплагиат</w:t>
      </w:r>
      <w:proofErr w:type="spellEnd"/>
      <w:r w:rsidRPr="00A11718">
        <w:rPr>
          <w:szCs w:val="26"/>
        </w:rPr>
        <w:t xml:space="preserve">». В период подготовки и проведения итоговой государственной аттестации 2013 г. были выявлено довольно внушительное число фактов плагиата в выпускных квалификационных работах. Были отмечены и случаи списывания при проведении письменных государственных экзаменов. Сам по себе данный факт свидетельствует о повышении внимания преподавателей и администрации факультетов к самостоятельности выполнения выпускных квалификационных работ. </w:t>
      </w:r>
    </w:p>
    <w:tbl>
      <w:tblPr>
        <w:tblW w:w="5000" w:type="pct"/>
        <w:tblLook w:val="04A0" w:firstRow="1" w:lastRow="0" w:firstColumn="1" w:lastColumn="0" w:noHBand="0" w:noVBand="1"/>
      </w:tblPr>
      <w:tblGrid>
        <w:gridCol w:w="1269"/>
        <w:gridCol w:w="1529"/>
        <w:gridCol w:w="1297"/>
        <w:gridCol w:w="870"/>
        <w:gridCol w:w="1393"/>
        <w:gridCol w:w="870"/>
        <w:gridCol w:w="1465"/>
        <w:gridCol w:w="872"/>
      </w:tblGrid>
      <w:tr w:rsidR="00A878A8" w:rsidRPr="005F2A51" w:rsidTr="007C4A34">
        <w:trPr>
          <w:trHeight w:val="1889"/>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78A8" w:rsidRPr="007C4A34" w:rsidRDefault="00A878A8" w:rsidP="005F2A51">
            <w:pPr>
              <w:jc w:val="center"/>
              <w:rPr>
                <w:rFonts w:asciiTheme="majorHAnsi" w:hAnsiTheme="majorHAnsi"/>
                <w:b/>
                <w:bCs/>
                <w:color w:val="000000"/>
                <w:sz w:val="18"/>
              </w:rPr>
            </w:pPr>
            <w:r w:rsidRPr="007C4A34">
              <w:rPr>
                <w:rFonts w:asciiTheme="majorHAnsi" w:hAnsiTheme="majorHAnsi"/>
                <w:b/>
                <w:bCs/>
                <w:color w:val="000000"/>
                <w:sz w:val="18"/>
              </w:rPr>
              <w:t xml:space="preserve">Филиал </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A878A8" w:rsidRPr="007C4A34" w:rsidRDefault="00A878A8" w:rsidP="005F2A51">
            <w:pPr>
              <w:jc w:val="center"/>
              <w:rPr>
                <w:rFonts w:asciiTheme="majorHAnsi" w:hAnsiTheme="majorHAnsi"/>
                <w:b/>
                <w:bCs/>
                <w:color w:val="000000"/>
                <w:sz w:val="18"/>
              </w:rPr>
            </w:pPr>
            <w:r w:rsidRPr="007C4A34">
              <w:rPr>
                <w:rFonts w:asciiTheme="majorHAnsi" w:hAnsiTheme="majorHAnsi"/>
                <w:b/>
                <w:bCs/>
                <w:color w:val="000000"/>
                <w:sz w:val="18"/>
              </w:rPr>
              <w:t xml:space="preserve">Превышен технический предел плагиата при проверке в системе </w:t>
            </w:r>
            <w:proofErr w:type="spellStart"/>
            <w:r w:rsidRPr="007C4A34">
              <w:rPr>
                <w:rFonts w:asciiTheme="majorHAnsi" w:hAnsiTheme="majorHAnsi"/>
                <w:b/>
                <w:bCs/>
                <w:color w:val="000000"/>
                <w:sz w:val="18"/>
              </w:rPr>
              <w:t>Антиплагиат</w:t>
            </w:r>
            <w:proofErr w:type="spellEnd"/>
            <w:r w:rsidRPr="007C4A34">
              <w:rPr>
                <w:rFonts w:asciiTheme="majorHAnsi" w:hAnsiTheme="majorHAnsi"/>
                <w:b/>
                <w:bCs/>
                <w:color w:val="000000"/>
                <w:sz w:val="18"/>
              </w:rPr>
              <w:t xml:space="preserve"> (кол-во)</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A878A8" w:rsidRPr="007C4A34" w:rsidRDefault="00A878A8" w:rsidP="005F2A51">
            <w:pPr>
              <w:jc w:val="center"/>
              <w:rPr>
                <w:rFonts w:asciiTheme="majorHAnsi" w:hAnsiTheme="majorHAnsi"/>
                <w:b/>
                <w:bCs/>
                <w:color w:val="000000"/>
                <w:sz w:val="18"/>
              </w:rPr>
            </w:pPr>
            <w:r w:rsidRPr="007C4A34">
              <w:rPr>
                <w:rFonts w:asciiTheme="majorHAnsi" w:hAnsiTheme="majorHAnsi"/>
                <w:b/>
                <w:bCs/>
                <w:color w:val="000000"/>
                <w:sz w:val="18"/>
              </w:rPr>
              <w:t xml:space="preserve">Из них не </w:t>
            </w:r>
            <w:proofErr w:type="gramStart"/>
            <w:r w:rsidRPr="007C4A34">
              <w:rPr>
                <w:rFonts w:asciiTheme="majorHAnsi" w:hAnsiTheme="majorHAnsi"/>
                <w:b/>
                <w:bCs/>
                <w:color w:val="000000"/>
                <w:sz w:val="18"/>
              </w:rPr>
              <w:t>допущено к защите и отчислено</w:t>
            </w:r>
            <w:proofErr w:type="gramEnd"/>
          </w:p>
          <w:p w:rsidR="00A878A8" w:rsidRPr="007C4A34" w:rsidRDefault="00A878A8" w:rsidP="005F2A51">
            <w:pPr>
              <w:jc w:val="center"/>
              <w:rPr>
                <w:rFonts w:asciiTheme="majorHAnsi" w:hAnsiTheme="majorHAnsi"/>
                <w:b/>
                <w:bCs/>
                <w:color w:val="000000"/>
                <w:sz w:val="18"/>
              </w:rPr>
            </w:pPr>
            <w:r w:rsidRPr="007C4A34">
              <w:rPr>
                <w:rFonts w:asciiTheme="majorHAnsi" w:hAnsiTheme="majorHAnsi"/>
                <w:b/>
                <w:bCs/>
                <w:color w:val="000000"/>
                <w:sz w:val="18"/>
              </w:rPr>
              <w:t>(кол-во)</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A878A8" w:rsidRPr="007C4A34" w:rsidRDefault="00A878A8" w:rsidP="005F2A51">
            <w:pPr>
              <w:jc w:val="center"/>
              <w:rPr>
                <w:rFonts w:asciiTheme="majorHAnsi" w:hAnsiTheme="majorHAnsi"/>
                <w:b/>
                <w:bCs/>
                <w:color w:val="000000"/>
                <w:sz w:val="18"/>
              </w:rPr>
            </w:pPr>
            <w:r w:rsidRPr="007C4A34">
              <w:rPr>
                <w:rFonts w:asciiTheme="majorHAnsi" w:hAnsiTheme="majorHAnsi"/>
                <w:b/>
                <w:bCs/>
                <w:color w:val="000000"/>
                <w:sz w:val="18"/>
              </w:rPr>
              <w:t>в %</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A878A8" w:rsidRPr="007C4A34" w:rsidRDefault="00A878A8" w:rsidP="005F2A51">
            <w:pPr>
              <w:jc w:val="center"/>
              <w:rPr>
                <w:rFonts w:asciiTheme="majorHAnsi" w:hAnsiTheme="majorHAnsi"/>
                <w:b/>
                <w:bCs/>
                <w:color w:val="000000"/>
                <w:sz w:val="18"/>
              </w:rPr>
            </w:pPr>
            <w:proofErr w:type="gramStart"/>
            <w:r w:rsidRPr="007C4A34">
              <w:rPr>
                <w:rFonts w:asciiTheme="majorHAnsi" w:hAnsiTheme="majorHAnsi"/>
                <w:b/>
                <w:bCs/>
                <w:color w:val="000000"/>
                <w:sz w:val="18"/>
              </w:rPr>
              <w:t>Допущены</w:t>
            </w:r>
            <w:proofErr w:type="gramEnd"/>
            <w:r w:rsidRPr="007C4A34">
              <w:rPr>
                <w:rFonts w:asciiTheme="majorHAnsi" w:hAnsiTheme="majorHAnsi"/>
                <w:b/>
                <w:bCs/>
                <w:color w:val="000000"/>
                <w:sz w:val="18"/>
              </w:rPr>
              <w:t xml:space="preserve"> к защите и получили неуд из тех, у кого был обнаружен плагиат (кол-во)</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A878A8" w:rsidRPr="007C4A34" w:rsidRDefault="00A878A8" w:rsidP="005F2A51">
            <w:pPr>
              <w:jc w:val="center"/>
              <w:rPr>
                <w:rFonts w:asciiTheme="majorHAnsi" w:hAnsiTheme="majorHAnsi"/>
                <w:b/>
                <w:bCs/>
                <w:color w:val="000000"/>
                <w:sz w:val="18"/>
              </w:rPr>
            </w:pPr>
            <w:r w:rsidRPr="007C4A34">
              <w:rPr>
                <w:rFonts w:asciiTheme="majorHAnsi" w:hAnsiTheme="majorHAnsi"/>
                <w:b/>
                <w:bCs/>
                <w:color w:val="000000"/>
                <w:sz w:val="18"/>
              </w:rPr>
              <w:t>в %</w:t>
            </w:r>
          </w:p>
        </w:tc>
        <w:tc>
          <w:tcPr>
            <w:tcW w:w="766" w:type="pct"/>
            <w:tcBorders>
              <w:top w:val="single" w:sz="4" w:space="0" w:color="auto"/>
              <w:left w:val="nil"/>
              <w:bottom w:val="single" w:sz="4" w:space="0" w:color="auto"/>
              <w:right w:val="single" w:sz="4" w:space="0" w:color="auto"/>
            </w:tcBorders>
            <w:shd w:val="clear" w:color="auto" w:fill="auto"/>
            <w:vAlign w:val="center"/>
            <w:hideMark/>
          </w:tcPr>
          <w:p w:rsidR="00A878A8" w:rsidRPr="007C4A34" w:rsidRDefault="00A878A8" w:rsidP="005F2A51">
            <w:pPr>
              <w:jc w:val="center"/>
              <w:rPr>
                <w:rFonts w:asciiTheme="majorHAnsi" w:hAnsiTheme="majorHAnsi"/>
                <w:b/>
                <w:bCs/>
                <w:color w:val="000000"/>
                <w:sz w:val="18"/>
              </w:rPr>
            </w:pPr>
            <w:r w:rsidRPr="007C4A34">
              <w:rPr>
                <w:rFonts w:asciiTheme="majorHAnsi" w:hAnsiTheme="majorHAnsi"/>
                <w:b/>
                <w:bCs/>
                <w:color w:val="000000"/>
                <w:sz w:val="18"/>
              </w:rPr>
              <w:t xml:space="preserve">Допущены к защите и защитились из </w:t>
            </w:r>
            <w:proofErr w:type="gramStart"/>
            <w:r w:rsidRPr="007C4A34">
              <w:rPr>
                <w:rFonts w:asciiTheme="majorHAnsi" w:hAnsiTheme="majorHAnsi"/>
                <w:b/>
                <w:bCs/>
                <w:color w:val="000000"/>
                <w:sz w:val="18"/>
              </w:rPr>
              <w:t>тех</w:t>
            </w:r>
            <w:proofErr w:type="gramEnd"/>
            <w:r w:rsidRPr="007C4A34">
              <w:rPr>
                <w:rFonts w:asciiTheme="majorHAnsi" w:hAnsiTheme="majorHAnsi"/>
                <w:b/>
                <w:bCs/>
                <w:color w:val="000000"/>
                <w:sz w:val="18"/>
              </w:rPr>
              <w:t xml:space="preserve"> у кого был обнаружен плагиат</w:t>
            </w:r>
          </w:p>
          <w:p w:rsidR="00A878A8" w:rsidRPr="007C4A34" w:rsidRDefault="00A878A8" w:rsidP="005F2A51">
            <w:pPr>
              <w:jc w:val="center"/>
              <w:rPr>
                <w:rFonts w:asciiTheme="majorHAnsi" w:hAnsiTheme="majorHAnsi"/>
                <w:b/>
                <w:bCs/>
                <w:color w:val="000000"/>
                <w:sz w:val="18"/>
              </w:rPr>
            </w:pPr>
            <w:r w:rsidRPr="007C4A34">
              <w:rPr>
                <w:rFonts w:asciiTheme="majorHAnsi" w:hAnsiTheme="majorHAnsi"/>
                <w:b/>
                <w:bCs/>
                <w:color w:val="000000"/>
                <w:sz w:val="18"/>
              </w:rPr>
              <w:t>(кол-во)</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A878A8" w:rsidRPr="007C4A34" w:rsidRDefault="00A878A8" w:rsidP="005F2A51">
            <w:pPr>
              <w:jc w:val="center"/>
              <w:rPr>
                <w:rFonts w:asciiTheme="majorHAnsi" w:hAnsiTheme="majorHAnsi"/>
                <w:b/>
                <w:bCs/>
                <w:color w:val="000000"/>
                <w:sz w:val="18"/>
              </w:rPr>
            </w:pPr>
            <w:r w:rsidRPr="007C4A34">
              <w:rPr>
                <w:rFonts w:asciiTheme="majorHAnsi" w:hAnsiTheme="majorHAnsi"/>
                <w:b/>
                <w:bCs/>
                <w:color w:val="000000"/>
                <w:sz w:val="18"/>
              </w:rPr>
              <w:t>в %</w:t>
            </w:r>
          </w:p>
        </w:tc>
      </w:tr>
      <w:tr w:rsidR="00A878A8" w:rsidRPr="005F2A51" w:rsidTr="00A878A8">
        <w:trPr>
          <w:trHeight w:val="30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rsidR="00A878A8" w:rsidRPr="007C4A34" w:rsidRDefault="00A878A8" w:rsidP="005F2A51">
            <w:pPr>
              <w:rPr>
                <w:rFonts w:asciiTheme="majorHAnsi" w:hAnsiTheme="majorHAnsi"/>
                <w:color w:val="000000"/>
                <w:sz w:val="20"/>
              </w:rPr>
            </w:pPr>
            <w:r w:rsidRPr="007C4A34">
              <w:rPr>
                <w:rFonts w:asciiTheme="majorHAnsi" w:hAnsiTheme="majorHAnsi"/>
                <w:color w:val="000000"/>
                <w:sz w:val="20"/>
              </w:rPr>
              <w:t>Москва</w:t>
            </w:r>
          </w:p>
        </w:tc>
        <w:tc>
          <w:tcPr>
            <w:tcW w:w="799"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56</w:t>
            </w:r>
          </w:p>
        </w:tc>
        <w:tc>
          <w:tcPr>
            <w:tcW w:w="678"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11</w:t>
            </w:r>
          </w:p>
        </w:tc>
        <w:tc>
          <w:tcPr>
            <w:tcW w:w="455"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20%</w:t>
            </w:r>
          </w:p>
        </w:tc>
        <w:tc>
          <w:tcPr>
            <w:tcW w:w="728"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14</w:t>
            </w:r>
          </w:p>
        </w:tc>
        <w:tc>
          <w:tcPr>
            <w:tcW w:w="455"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25%</w:t>
            </w:r>
          </w:p>
        </w:tc>
        <w:tc>
          <w:tcPr>
            <w:tcW w:w="766"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31</w:t>
            </w:r>
          </w:p>
        </w:tc>
        <w:tc>
          <w:tcPr>
            <w:tcW w:w="456"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55%</w:t>
            </w:r>
          </w:p>
        </w:tc>
      </w:tr>
      <w:tr w:rsidR="00A878A8" w:rsidRPr="005F2A51" w:rsidTr="00A878A8">
        <w:trPr>
          <w:trHeight w:val="300"/>
        </w:trPr>
        <w:tc>
          <w:tcPr>
            <w:tcW w:w="663" w:type="pct"/>
            <w:tcBorders>
              <w:top w:val="nil"/>
              <w:left w:val="single" w:sz="4" w:space="0" w:color="auto"/>
              <w:bottom w:val="single" w:sz="4" w:space="0" w:color="auto"/>
              <w:right w:val="single" w:sz="4" w:space="0" w:color="auto"/>
            </w:tcBorders>
            <w:shd w:val="clear" w:color="auto" w:fill="auto"/>
            <w:vAlign w:val="center"/>
            <w:hideMark/>
          </w:tcPr>
          <w:p w:rsidR="00A878A8" w:rsidRPr="007C4A34" w:rsidRDefault="00A878A8" w:rsidP="005F2A51">
            <w:pPr>
              <w:rPr>
                <w:rFonts w:asciiTheme="majorHAnsi" w:hAnsiTheme="majorHAnsi"/>
                <w:color w:val="000000"/>
                <w:sz w:val="20"/>
              </w:rPr>
            </w:pPr>
            <w:r w:rsidRPr="007C4A34">
              <w:rPr>
                <w:rFonts w:asciiTheme="majorHAnsi" w:hAnsiTheme="majorHAnsi"/>
                <w:color w:val="000000"/>
                <w:sz w:val="20"/>
              </w:rPr>
              <w:t>МИЭМ</w:t>
            </w:r>
          </w:p>
        </w:tc>
        <w:tc>
          <w:tcPr>
            <w:tcW w:w="799"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47</w:t>
            </w:r>
          </w:p>
        </w:tc>
        <w:tc>
          <w:tcPr>
            <w:tcW w:w="678"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3</w:t>
            </w:r>
          </w:p>
        </w:tc>
        <w:tc>
          <w:tcPr>
            <w:tcW w:w="455"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6%</w:t>
            </w:r>
          </w:p>
        </w:tc>
        <w:tc>
          <w:tcPr>
            <w:tcW w:w="728"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0</w:t>
            </w:r>
          </w:p>
        </w:tc>
        <w:tc>
          <w:tcPr>
            <w:tcW w:w="455"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0%</w:t>
            </w:r>
          </w:p>
        </w:tc>
        <w:tc>
          <w:tcPr>
            <w:tcW w:w="766"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44</w:t>
            </w:r>
          </w:p>
        </w:tc>
        <w:tc>
          <w:tcPr>
            <w:tcW w:w="456"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94%</w:t>
            </w:r>
          </w:p>
        </w:tc>
      </w:tr>
      <w:tr w:rsidR="00A878A8" w:rsidRPr="005F2A51" w:rsidTr="00A878A8">
        <w:trPr>
          <w:trHeight w:val="480"/>
        </w:trPr>
        <w:tc>
          <w:tcPr>
            <w:tcW w:w="663" w:type="pct"/>
            <w:tcBorders>
              <w:top w:val="nil"/>
              <w:left w:val="single" w:sz="4" w:space="0" w:color="auto"/>
              <w:bottom w:val="single" w:sz="4" w:space="0" w:color="auto"/>
              <w:right w:val="single" w:sz="4" w:space="0" w:color="auto"/>
            </w:tcBorders>
            <w:shd w:val="clear" w:color="auto" w:fill="auto"/>
            <w:vAlign w:val="center"/>
            <w:hideMark/>
          </w:tcPr>
          <w:p w:rsidR="00A878A8" w:rsidRPr="007C4A34" w:rsidRDefault="00A878A8" w:rsidP="005F2A51">
            <w:pPr>
              <w:rPr>
                <w:rFonts w:asciiTheme="majorHAnsi" w:hAnsiTheme="majorHAnsi"/>
                <w:color w:val="000000"/>
                <w:sz w:val="20"/>
              </w:rPr>
            </w:pPr>
            <w:r w:rsidRPr="007C4A34">
              <w:rPr>
                <w:rFonts w:asciiTheme="majorHAnsi" w:hAnsiTheme="majorHAnsi"/>
                <w:color w:val="000000"/>
                <w:sz w:val="20"/>
              </w:rPr>
              <w:t>Санкт-Петербург</w:t>
            </w:r>
          </w:p>
        </w:tc>
        <w:tc>
          <w:tcPr>
            <w:tcW w:w="799"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23</w:t>
            </w:r>
          </w:p>
        </w:tc>
        <w:tc>
          <w:tcPr>
            <w:tcW w:w="678"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0</w:t>
            </w:r>
          </w:p>
        </w:tc>
        <w:tc>
          <w:tcPr>
            <w:tcW w:w="455"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0%</w:t>
            </w:r>
          </w:p>
        </w:tc>
        <w:tc>
          <w:tcPr>
            <w:tcW w:w="728"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1</w:t>
            </w:r>
          </w:p>
        </w:tc>
        <w:tc>
          <w:tcPr>
            <w:tcW w:w="455"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4%</w:t>
            </w:r>
          </w:p>
        </w:tc>
        <w:tc>
          <w:tcPr>
            <w:tcW w:w="766"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22</w:t>
            </w:r>
          </w:p>
        </w:tc>
        <w:tc>
          <w:tcPr>
            <w:tcW w:w="456"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96%</w:t>
            </w:r>
          </w:p>
        </w:tc>
      </w:tr>
      <w:tr w:rsidR="00A878A8" w:rsidRPr="005F2A51" w:rsidTr="00A878A8">
        <w:trPr>
          <w:trHeight w:val="30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rsidR="00A878A8" w:rsidRPr="007C4A34" w:rsidRDefault="00A878A8" w:rsidP="005F2A51">
            <w:pPr>
              <w:rPr>
                <w:rFonts w:asciiTheme="majorHAnsi" w:hAnsiTheme="majorHAnsi"/>
                <w:color w:val="000000"/>
                <w:sz w:val="20"/>
              </w:rPr>
            </w:pPr>
            <w:r w:rsidRPr="007C4A34">
              <w:rPr>
                <w:rFonts w:asciiTheme="majorHAnsi" w:hAnsiTheme="majorHAnsi"/>
                <w:color w:val="000000"/>
                <w:sz w:val="20"/>
              </w:rPr>
              <w:t>Пермь</w:t>
            </w:r>
          </w:p>
        </w:tc>
        <w:tc>
          <w:tcPr>
            <w:tcW w:w="799"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4</w:t>
            </w:r>
          </w:p>
        </w:tc>
        <w:tc>
          <w:tcPr>
            <w:tcW w:w="678"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0</w:t>
            </w:r>
          </w:p>
        </w:tc>
        <w:tc>
          <w:tcPr>
            <w:tcW w:w="455"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0%</w:t>
            </w:r>
          </w:p>
        </w:tc>
        <w:tc>
          <w:tcPr>
            <w:tcW w:w="728"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0</w:t>
            </w:r>
          </w:p>
        </w:tc>
        <w:tc>
          <w:tcPr>
            <w:tcW w:w="455"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0%</w:t>
            </w:r>
          </w:p>
        </w:tc>
        <w:tc>
          <w:tcPr>
            <w:tcW w:w="766"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4</w:t>
            </w:r>
          </w:p>
        </w:tc>
        <w:tc>
          <w:tcPr>
            <w:tcW w:w="456"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100%</w:t>
            </w:r>
          </w:p>
        </w:tc>
      </w:tr>
      <w:tr w:rsidR="00A878A8" w:rsidRPr="005F2A51" w:rsidTr="00A878A8">
        <w:trPr>
          <w:trHeight w:val="480"/>
        </w:trPr>
        <w:tc>
          <w:tcPr>
            <w:tcW w:w="663" w:type="pct"/>
            <w:tcBorders>
              <w:top w:val="nil"/>
              <w:left w:val="single" w:sz="4" w:space="0" w:color="auto"/>
              <w:bottom w:val="single" w:sz="4" w:space="0" w:color="auto"/>
              <w:right w:val="single" w:sz="4" w:space="0" w:color="auto"/>
            </w:tcBorders>
            <w:shd w:val="clear" w:color="auto" w:fill="auto"/>
            <w:vAlign w:val="center"/>
            <w:hideMark/>
          </w:tcPr>
          <w:p w:rsidR="00A878A8" w:rsidRPr="007C4A34" w:rsidRDefault="00A878A8" w:rsidP="005F2A51">
            <w:pPr>
              <w:rPr>
                <w:rFonts w:asciiTheme="majorHAnsi" w:hAnsiTheme="majorHAnsi"/>
                <w:color w:val="000000"/>
                <w:sz w:val="20"/>
              </w:rPr>
            </w:pPr>
            <w:r w:rsidRPr="007C4A34">
              <w:rPr>
                <w:rFonts w:asciiTheme="majorHAnsi" w:hAnsiTheme="majorHAnsi"/>
                <w:color w:val="000000"/>
                <w:sz w:val="20"/>
              </w:rPr>
              <w:t>Нижний Новгород</w:t>
            </w:r>
          </w:p>
        </w:tc>
        <w:tc>
          <w:tcPr>
            <w:tcW w:w="799"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21</w:t>
            </w:r>
          </w:p>
        </w:tc>
        <w:tc>
          <w:tcPr>
            <w:tcW w:w="678"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0</w:t>
            </w:r>
          </w:p>
        </w:tc>
        <w:tc>
          <w:tcPr>
            <w:tcW w:w="455"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0%</w:t>
            </w:r>
          </w:p>
        </w:tc>
        <w:tc>
          <w:tcPr>
            <w:tcW w:w="728"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0</w:t>
            </w:r>
          </w:p>
        </w:tc>
        <w:tc>
          <w:tcPr>
            <w:tcW w:w="455"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0%</w:t>
            </w:r>
          </w:p>
        </w:tc>
        <w:tc>
          <w:tcPr>
            <w:tcW w:w="766"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21</w:t>
            </w:r>
          </w:p>
        </w:tc>
        <w:tc>
          <w:tcPr>
            <w:tcW w:w="456" w:type="pct"/>
            <w:tcBorders>
              <w:top w:val="nil"/>
              <w:left w:val="nil"/>
              <w:bottom w:val="single" w:sz="4" w:space="0" w:color="auto"/>
              <w:right w:val="single" w:sz="4" w:space="0" w:color="auto"/>
            </w:tcBorders>
            <w:shd w:val="clear" w:color="auto" w:fill="auto"/>
            <w:noWrap/>
            <w:hideMark/>
          </w:tcPr>
          <w:p w:rsidR="00A878A8" w:rsidRPr="005F2A51" w:rsidRDefault="00A878A8" w:rsidP="005F2A51">
            <w:pPr>
              <w:jc w:val="center"/>
              <w:rPr>
                <w:rFonts w:asciiTheme="majorHAnsi" w:hAnsiTheme="majorHAnsi"/>
                <w:color w:val="000000"/>
              </w:rPr>
            </w:pPr>
            <w:r w:rsidRPr="005F2A51">
              <w:rPr>
                <w:rFonts w:asciiTheme="majorHAnsi" w:hAnsiTheme="majorHAnsi"/>
                <w:color w:val="000000"/>
              </w:rPr>
              <w:t>100%</w:t>
            </w:r>
          </w:p>
        </w:tc>
      </w:tr>
    </w:tbl>
    <w:p w:rsidR="00A878A8" w:rsidRPr="00A11718" w:rsidRDefault="00A878A8" w:rsidP="00A878A8">
      <w:pPr>
        <w:spacing w:after="120" w:line="264" w:lineRule="auto"/>
        <w:jc w:val="both"/>
        <w:rPr>
          <w:szCs w:val="26"/>
        </w:rPr>
      </w:pPr>
      <w:r w:rsidRPr="00A11718">
        <w:rPr>
          <w:szCs w:val="26"/>
        </w:rPr>
        <w:t>В проверке на наличие заимствований, согласно Регламенту использования системы «</w:t>
      </w:r>
      <w:proofErr w:type="spellStart"/>
      <w:r w:rsidRPr="00A11718">
        <w:rPr>
          <w:szCs w:val="26"/>
        </w:rPr>
        <w:t>Антиплагиат</w:t>
      </w:r>
      <w:proofErr w:type="spellEnd"/>
      <w:r w:rsidRPr="00A11718">
        <w:rPr>
          <w:szCs w:val="26"/>
        </w:rPr>
        <w:t xml:space="preserve">» для сбора и проверки письменных учебных </w:t>
      </w:r>
      <w:proofErr w:type="spellStart"/>
      <w:r w:rsidRPr="00A11718">
        <w:rPr>
          <w:szCs w:val="26"/>
        </w:rPr>
        <w:t>рабо</w:t>
      </w:r>
      <w:proofErr w:type="spellEnd"/>
      <w:r w:rsidRPr="00A11718">
        <w:rPr>
          <w:szCs w:val="26"/>
        </w:rPr>
        <w:t>, впервые участвовали выпускники МИЭМ НИУ ВШЭ.  Показатель использования плагиата в ВКР, отмеченный при проверке работ студентов МИЭМ – один из самых высоких в университете:  каждый 11-ый студент превысил технический предел плагиата при проверке  в системе «</w:t>
      </w:r>
      <w:proofErr w:type="spellStart"/>
      <w:r w:rsidRPr="00A11718">
        <w:rPr>
          <w:szCs w:val="26"/>
        </w:rPr>
        <w:t>Антиплагиат</w:t>
      </w:r>
      <w:proofErr w:type="spellEnd"/>
      <w:r w:rsidRPr="00A11718">
        <w:rPr>
          <w:szCs w:val="26"/>
        </w:rPr>
        <w:t xml:space="preserve">». </w:t>
      </w:r>
    </w:p>
    <w:p w:rsidR="00A878A8" w:rsidRPr="00A11718" w:rsidRDefault="00A878A8" w:rsidP="00A878A8">
      <w:pPr>
        <w:spacing w:after="120" w:line="264" w:lineRule="auto"/>
        <w:jc w:val="both"/>
        <w:rPr>
          <w:szCs w:val="26"/>
        </w:rPr>
      </w:pPr>
      <w:r w:rsidRPr="00A11718">
        <w:rPr>
          <w:szCs w:val="26"/>
        </w:rPr>
        <w:t xml:space="preserve">В МИЭМ подавляющее большинство студентов (93,62%), в работах которых был отмечен высокий процент заимствований, ставящих под сомнение самостоятельность выполненных работ, были, тем не менее, </w:t>
      </w:r>
      <w:proofErr w:type="gramStart"/>
      <w:r w:rsidRPr="00A11718">
        <w:rPr>
          <w:szCs w:val="26"/>
        </w:rPr>
        <w:t>допущены к защите и защитились</w:t>
      </w:r>
      <w:proofErr w:type="gramEnd"/>
      <w:r w:rsidRPr="00A11718">
        <w:rPr>
          <w:szCs w:val="26"/>
        </w:rPr>
        <w:t xml:space="preserve"> с положительным результатом. Процент студентов  в МИЭМ, отчисленных за плагиат в ВКР при проведении ИГА, минимален  – 6%.</w:t>
      </w:r>
    </w:p>
    <w:p w:rsidR="00A878A8" w:rsidRPr="00A11718" w:rsidRDefault="00A878A8" w:rsidP="00A878A8">
      <w:pPr>
        <w:spacing w:after="120" w:line="264" w:lineRule="auto"/>
        <w:jc w:val="both"/>
        <w:rPr>
          <w:szCs w:val="26"/>
        </w:rPr>
      </w:pPr>
      <w:r w:rsidRPr="00A11718">
        <w:rPr>
          <w:szCs w:val="26"/>
        </w:rPr>
        <w:lastRenderedPageBreak/>
        <w:t>В то же время, в московском кампусе  за нарушение устава и правил внутреннего распорядка отчислено около 20% студентов, в работах которых  обнаружен плагиат. Это самый высокий показатель по отчислениям за плагиат из всех кампусов. Остальные были допущены к защите, однако 25% от общего количества студентов с наличием плагиата по решениям государственных экзаменационных комиссий получили неудовлетворительные оценки за ВКР, остальные смогли доказать свое право на положительную оценку. При детальном рассмотрении работ нашлись основания считать плагиат содержательно неподтвержденным. В частности, в случаях, когда студенты продолжали работать над ВКР в рамках расширенной проблематики курсовой работы, неправильно оформляли ссылки и т.д.</w:t>
      </w:r>
    </w:p>
    <w:p w:rsidR="005F2A51" w:rsidRPr="00CE7DE8" w:rsidRDefault="00A878A8" w:rsidP="00CE7DE8">
      <w:pPr>
        <w:spacing w:after="120" w:line="264" w:lineRule="auto"/>
        <w:jc w:val="both"/>
        <w:rPr>
          <w:szCs w:val="26"/>
        </w:rPr>
      </w:pPr>
      <w:r w:rsidRPr="00A11718">
        <w:rPr>
          <w:szCs w:val="26"/>
        </w:rPr>
        <w:t xml:space="preserve">В филиалах почти все студенты, уличенные в плагиате, были допущены к защите, которую по большей части успешно прошли (НИУ ВШЭ-Санкт-Петербург – 95,65%, НИУ ВШЭ-Пермь – 100%, НИУ ВШЭ-Нижний Новгород – 100%). Только в Санкт-Петербурге около 4% студентов не смогли пройти защиту ВКР с наличием заимствований. </w:t>
      </w:r>
    </w:p>
    <w:p w:rsidR="00565DA7" w:rsidRPr="00F65BEC" w:rsidRDefault="00565DA7" w:rsidP="00565DA7">
      <w:pPr>
        <w:spacing w:after="200" w:line="276" w:lineRule="auto"/>
        <w:jc w:val="both"/>
      </w:pPr>
      <w:r w:rsidRPr="00F65BEC">
        <w:t>Результаты итоговой госуд</w:t>
      </w:r>
      <w:r>
        <w:t xml:space="preserve">арственной аттестации студентов, получающих высшее образование в </w:t>
      </w:r>
      <w:proofErr w:type="gramStart"/>
      <w:r w:rsidRPr="00F65BEC">
        <w:t>подр</w:t>
      </w:r>
      <w:r>
        <w:t xml:space="preserve">азделениях, координируемых дирекцией </w:t>
      </w:r>
      <w:r w:rsidRPr="00F65BEC">
        <w:t>ДПО Москвы и филиалов представлены</w:t>
      </w:r>
      <w:proofErr w:type="gramEnd"/>
      <w:r w:rsidRPr="00F65BEC">
        <w:t xml:space="preserve"> на </w:t>
      </w:r>
      <w:r>
        <w:t xml:space="preserve">двух </w:t>
      </w:r>
      <w:r w:rsidRPr="00F65BEC">
        <w:t xml:space="preserve">диаграммах </w:t>
      </w:r>
      <w:r>
        <w:t>ниже</w:t>
      </w:r>
    </w:p>
    <w:p w:rsidR="00565DA7" w:rsidRPr="00932EEC" w:rsidRDefault="00565DA7" w:rsidP="00565DA7">
      <w:pPr>
        <w:jc w:val="center"/>
      </w:pPr>
      <w:r>
        <w:rPr>
          <w:noProof/>
        </w:rPr>
        <w:drawing>
          <wp:inline distT="0" distB="0" distL="0" distR="0">
            <wp:extent cx="4995980" cy="2262752"/>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09388" cy="2268824"/>
                    </a:xfrm>
                    <a:prstGeom prst="rect">
                      <a:avLst/>
                    </a:prstGeom>
                    <a:noFill/>
                    <a:ln>
                      <a:noFill/>
                    </a:ln>
                  </pic:spPr>
                </pic:pic>
              </a:graphicData>
            </a:graphic>
          </wp:inline>
        </w:drawing>
      </w:r>
    </w:p>
    <w:p w:rsidR="00565DA7" w:rsidRPr="000A7CBA" w:rsidRDefault="00565DA7" w:rsidP="00B02A0A">
      <w:pPr>
        <w:jc w:val="center"/>
      </w:pPr>
      <w:r w:rsidRPr="00565DA7">
        <w:rPr>
          <w:b/>
        </w:rPr>
        <w:t>Резул</w:t>
      </w:r>
      <w:r w:rsidR="00B02A0A">
        <w:rPr>
          <w:b/>
        </w:rPr>
        <w:t xml:space="preserve">ьтаты сдачи итогового экзамена </w:t>
      </w:r>
      <w:r>
        <w:rPr>
          <w:noProof/>
        </w:rPr>
        <w:drawing>
          <wp:inline distT="0" distB="0" distL="0" distR="0" wp14:anchorId="521BAC4A" wp14:editId="0AAD866D">
            <wp:extent cx="4881966" cy="256587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83208" cy="2566523"/>
                    </a:xfrm>
                    <a:prstGeom prst="rect">
                      <a:avLst/>
                    </a:prstGeom>
                    <a:noFill/>
                    <a:ln>
                      <a:noFill/>
                    </a:ln>
                  </pic:spPr>
                </pic:pic>
              </a:graphicData>
            </a:graphic>
          </wp:inline>
        </w:drawing>
      </w:r>
    </w:p>
    <w:p w:rsidR="00F358E4" w:rsidRPr="007C4A34" w:rsidRDefault="00565DA7" w:rsidP="007C4A34">
      <w:pPr>
        <w:jc w:val="center"/>
        <w:rPr>
          <w:b/>
        </w:rPr>
      </w:pPr>
      <w:r w:rsidRPr="00565DA7">
        <w:rPr>
          <w:b/>
        </w:rPr>
        <w:t>Результаты защиты выпускной квалификационной работы</w:t>
      </w:r>
      <w:r w:rsidR="00F358E4">
        <w:br w:type="page"/>
      </w:r>
    </w:p>
    <w:p w:rsidR="005005BC" w:rsidRPr="005005BC" w:rsidRDefault="005005BC" w:rsidP="005005BC">
      <w:pPr>
        <w:pStyle w:val="1"/>
        <w:keepLines w:val="0"/>
        <w:spacing w:before="240" w:after="60" w:line="276" w:lineRule="auto"/>
      </w:pPr>
      <w:bookmarkStart w:id="46" w:name="_Toc374030064"/>
      <w:r>
        <w:lastRenderedPageBreak/>
        <w:t>Академическая мобильность студентов НИУ ВШЭ</w:t>
      </w:r>
      <w:bookmarkEnd w:id="46"/>
    </w:p>
    <w:p w:rsidR="005005BC" w:rsidRDefault="005005BC" w:rsidP="005005BC">
      <w:pPr>
        <w:pStyle w:val="2"/>
        <w:numPr>
          <w:ilvl w:val="1"/>
          <w:numId w:val="1"/>
        </w:numPr>
      </w:pPr>
      <w:bookmarkStart w:id="47" w:name="_Toc374030065"/>
      <w:r>
        <w:t>Новые возможности академической мобильности студентов НИУ ВШЭ</w:t>
      </w:r>
      <w:bookmarkEnd w:id="47"/>
      <w:r>
        <w:t xml:space="preserve"> </w:t>
      </w:r>
    </w:p>
    <w:p w:rsidR="0062362F" w:rsidRPr="0062362F" w:rsidRDefault="0062362F" w:rsidP="0062362F">
      <w:pPr>
        <w:spacing w:after="200" w:line="276" w:lineRule="auto"/>
        <w:jc w:val="both"/>
      </w:pPr>
      <w:r w:rsidRPr="0062362F">
        <w:t xml:space="preserve">В конце 2012-2013 учебного года в НИУ ВШЭ было введено в действие Положение об академической мобильности студентов </w:t>
      </w:r>
      <w:hyperlink r:id="rId118" w:history="1">
        <w:r w:rsidRPr="0062362F">
          <w:t>http://www.hse.ru/docs/89067457.html</w:t>
        </w:r>
      </w:hyperlink>
      <w:r w:rsidRPr="0062362F">
        <w:t xml:space="preserve">, значительно расширившее возможности студентов в построении индивидуальной образовательной траектории. Новые возможности для развития мобильности согласуются с законом от 29.12.12 № 273-ФЗ «Об образовании в Российской Федерации», утвердившем  направление студентов для обучения и проведения научных исследований, в том числе в рамках академического обмена, в другие образовательные организации и научные организации, включая организации иностранных государств. </w:t>
      </w:r>
    </w:p>
    <w:p w:rsidR="0062362F" w:rsidRPr="0062362F" w:rsidRDefault="0062362F" w:rsidP="0062362F">
      <w:pPr>
        <w:spacing w:after="200" w:line="276" w:lineRule="auto"/>
        <w:jc w:val="both"/>
      </w:pPr>
      <w:r w:rsidRPr="0062362F">
        <w:t xml:space="preserve">Ранее под «академической мобильностью», в первую очередь, понимался отъезд студентов за пределы Российской Федерации для изучения курсов разной степени продолжительности. Помимо международной академической мобильности, различные формы которой активно </w:t>
      </w:r>
      <w:proofErr w:type="gramStart"/>
      <w:r w:rsidRPr="0062362F">
        <w:t>развивались и развиваются</w:t>
      </w:r>
      <w:proofErr w:type="gramEnd"/>
      <w:r w:rsidRPr="0062362F">
        <w:t xml:space="preserve"> в НИУ ВШЭ, с 2013-2014 учебного года студенты НИУ ВШЭ имеют возможность получать образовательные услуги вне своего кампуса внутри страны: в другом кампусе НИУ ВШЭ; в другом российском вузе; дистанционно на сайтах </w:t>
      </w:r>
      <w:proofErr w:type="spellStart"/>
      <w:r w:rsidRPr="0062362F">
        <w:t>on-line</w:t>
      </w:r>
      <w:proofErr w:type="spellEnd"/>
      <w:r w:rsidRPr="0062362F">
        <w:t xml:space="preserve"> образования.</w:t>
      </w:r>
    </w:p>
    <w:p w:rsidR="0062362F" w:rsidRDefault="0062362F" w:rsidP="0062362F">
      <w:pPr>
        <w:spacing w:after="200" w:line="276" w:lineRule="auto"/>
        <w:jc w:val="both"/>
        <w:rPr>
          <w:bCs/>
          <w:color w:val="000000"/>
        </w:rPr>
      </w:pPr>
      <w:r w:rsidRPr="0062362F">
        <w:t xml:space="preserve">В 1-2 модуле 2013-2014 учебного года о желании принять участие во внутриуниверситетской мобильности заявили 40 студентов филиалов. В начале первого модуля 3 человека по различным причинам отсеялись. Остальные 37 человек распределились по принадлежности к филиалам НИУ ВШЭ следующим образом </w:t>
      </w:r>
    </w:p>
    <w:p w:rsidR="0062362F" w:rsidRPr="002C12DC" w:rsidRDefault="0062362F" w:rsidP="0062362F">
      <w:pPr>
        <w:spacing w:after="200" w:line="276" w:lineRule="auto"/>
        <w:jc w:val="both"/>
        <w:rPr>
          <w:bCs/>
          <w:color w:val="000000"/>
        </w:rPr>
      </w:pPr>
      <w:r w:rsidRPr="009A7C18">
        <w:rPr>
          <w:bCs/>
          <w:noProof/>
          <w:color w:val="000000"/>
        </w:rPr>
        <w:drawing>
          <wp:inline distT="0" distB="0" distL="0" distR="0">
            <wp:extent cx="5485765" cy="2943745"/>
            <wp:effectExtent l="0" t="0" r="635" b="317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62362F" w:rsidRPr="0062362F" w:rsidRDefault="0062362F" w:rsidP="0062362F">
      <w:pPr>
        <w:spacing w:after="200" w:line="276" w:lineRule="auto"/>
        <w:jc w:val="both"/>
      </w:pPr>
      <w:r w:rsidRPr="0062362F">
        <w:t xml:space="preserve">Из них 35 чел. (94,6%) обучаются по программам </w:t>
      </w:r>
      <w:proofErr w:type="spellStart"/>
      <w:r w:rsidRPr="0062362F">
        <w:t>бакалавриата</w:t>
      </w:r>
      <w:proofErr w:type="spellEnd"/>
      <w:r w:rsidRPr="0062362F">
        <w:t>, 2 чел. (5,4%) по программе магистратуры.</w:t>
      </w:r>
    </w:p>
    <w:p w:rsidR="0062362F" w:rsidRPr="0062362F" w:rsidRDefault="0062362F" w:rsidP="0062362F">
      <w:pPr>
        <w:spacing w:after="200" w:line="276" w:lineRule="auto"/>
        <w:jc w:val="both"/>
      </w:pPr>
      <w:r w:rsidRPr="0062362F">
        <w:t>Более подробно распределение студентов по направлениям подготовки курсам представлено в таблице ниже:</w:t>
      </w:r>
    </w:p>
    <w:tbl>
      <w:tblPr>
        <w:tblStyle w:val="aff9"/>
        <w:tblW w:w="5000" w:type="pct"/>
        <w:tblLook w:val="04A0" w:firstRow="1" w:lastRow="0" w:firstColumn="1" w:lastColumn="0" w:noHBand="0" w:noVBand="1"/>
      </w:tblPr>
      <w:tblGrid>
        <w:gridCol w:w="1972"/>
        <w:gridCol w:w="1932"/>
        <w:gridCol w:w="1888"/>
        <w:gridCol w:w="1699"/>
        <w:gridCol w:w="1043"/>
        <w:gridCol w:w="1031"/>
      </w:tblGrid>
      <w:tr w:rsidR="0062362F" w:rsidRPr="0062362F" w:rsidTr="005648B9">
        <w:tc>
          <w:tcPr>
            <w:tcW w:w="1031" w:type="pct"/>
            <w:vAlign w:val="center"/>
          </w:tcPr>
          <w:p w:rsidR="0062362F" w:rsidRPr="0062362F" w:rsidRDefault="0062362F" w:rsidP="0062362F">
            <w:pPr>
              <w:spacing w:after="200"/>
              <w:jc w:val="center"/>
              <w:rPr>
                <w:rFonts w:asciiTheme="majorHAnsi" w:hAnsiTheme="majorHAnsi"/>
                <w:b/>
                <w:bCs/>
                <w:color w:val="000000"/>
                <w:sz w:val="20"/>
                <w:szCs w:val="20"/>
              </w:rPr>
            </w:pPr>
            <w:r w:rsidRPr="0062362F">
              <w:rPr>
                <w:rFonts w:asciiTheme="majorHAnsi" w:hAnsiTheme="majorHAnsi"/>
                <w:b/>
                <w:bCs/>
                <w:color w:val="000000"/>
                <w:sz w:val="20"/>
                <w:szCs w:val="20"/>
              </w:rPr>
              <w:lastRenderedPageBreak/>
              <w:t>Филиал</w:t>
            </w:r>
          </w:p>
        </w:tc>
        <w:tc>
          <w:tcPr>
            <w:tcW w:w="1010" w:type="pct"/>
            <w:vAlign w:val="center"/>
          </w:tcPr>
          <w:p w:rsidR="0062362F" w:rsidRPr="0062362F" w:rsidRDefault="0062362F" w:rsidP="0062362F">
            <w:pPr>
              <w:spacing w:after="200"/>
              <w:jc w:val="center"/>
              <w:rPr>
                <w:rFonts w:asciiTheme="majorHAnsi" w:hAnsiTheme="majorHAnsi"/>
                <w:b/>
                <w:bCs/>
                <w:color w:val="000000"/>
                <w:sz w:val="20"/>
                <w:szCs w:val="20"/>
              </w:rPr>
            </w:pPr>
            <w:r w:rsidRPr="0062362F">
              <w:rPr>
                <w:rFonts w:asciiTheme="majorHAnsi" w:hAnsiTheme="majorHAnsi"/>
                <w:b/>
                <w:bCs/>
                <w:color w:val="000000"/>
                <w:sz w:val="20"/>
                <w:szCs w:val="20"/>
              </w:rPr>
              <w:t>Направляющий факультет</w:t>
            </w:r>
          </w:p>
        </w:tc>
        <w:tc>
          <w:tcPr>
            <w:tcW w:w="987" w:type="pct"/>
            <w:vAlign w:val="center"/>
          </w:tcPr>
          <w:p w:rsidR="0062362F" w:rsidRPr="0062362F" w:rsidRDefault="0062362F" w:rsidP="0062362F">
            <w:pPr>
              <w:spacing w:after="200"/>
              <w:jc w:val="center"/>
              <w:rPr>
                <w:rFonts w:asciiTheme="majorHAnsi" w:hAnsiTheme="majorHAnsi"/>
                <w:b/>
                <w:bCs/>
                <w:color w:val="000000"/>
                <w:sz w:val="20"/>
                <w:szCs w:val="20"/>
              </w:rPr>
            </w:pPr>
            <w:r w:rsidRPr="0062362F">
              <w:rPr>
                <w:rFonts w:asciiTheme="majorHAnsi" w:hAnsiTheme="majorHAnsi"/>
                <w:b/>
                <w:bCs/>
                <w:color w:val="000000"/>
                <w:sz w:val="20"/>
                <w:szCs w:val="20"/>
              </w:rPr>
              <w:t>Принимающий факультет</w:t>
            </w:r>
          </w:p>
        </w:tc>
        <w:tc>
          <w:tcPr>
            <w:tcW w:w="888" w:type="pct"/>
            <w:vAlign w:val="center"/>
          </w:tcPr>
          <w:p w:rsidR="0062362F" w:rsidRPr="0062362F" w:rsidRDefault="0062362F" w:rsidP="0062362F">
            <w:pPr>
              <w:spacing w:after="200"/>
              <w:jc w:val="center"/>
              <w:rPr>
                <w:rFonts w:asciiTheme="majorHAnsi" w:hAnsiTheme="majorHAnsi"/>
                <w:b/>
                <w:bCs/>
                <w:color w:val="000000"/>
                <w:sz w:val="20"/>
                <w:szCs w:val="20"/>
              </w:rPr>
            </w:pPr>
            <w:r w:rsidRPr="0062362F">
              <w:rPr>
                <w:rFonts w:asciiTheme="majorHAnsi" w:hAnsiTheme="majorHAnsi"/>
                <w:b/>
                <w:bCs/>
                <w:color w:val="000000"/>
                <w:sz w:val="20"/>
                <w:szCs w:val="20"/>
              </w:rPr>
              <w:t>Направление подготовки</w:t>
            </w:r>
          </w:p>
        </w:tc>
        <w:tc>
          <w:tcPr>
            <w:tcW w:w="545" w:type="pct"/>
            <w:vAlign w:val="center"/>
          </w:tcPr>
          <w:p w:rsidR="0062362F" w:rsidRPr="0062362F" w:rsidRDefault="0062362F" w:rsidP="0062362F">
            <w:pPr>
              <w:spacing w:after="200"/>
              <w:jc w:val="center"/>
              <w:rPr>
                <w:rFonts w:asciiTheme="majorHAnsi" w:hAnsiTheme="majorHAnsi"/>
                <w:b/>
                <w:bCs/>
                <w:color w:val="000000"/>
                <w:sz w:val="20"/>
                <w:szCs w:val="20"/>
              </w:rPr>
            </w:pPr>
            <w:r w:rsidRPr="0062362F">
              <w:rPr>
                <w:rFonts w:asciiTheme="majorHAnsi" w:hAnsiTheme="majorHAnsi"/>
                <w:b/>
                <w:bCs/>
                <w:color w:val="000000"/>
                <w:sz w:val="20"/>
                <w:szCs w:val="20"/>
              </w:rPr>
              <w:t>Курс</w:t>
            </w:r>
          </w:p>
        </w:tc>
        <w:tc>
          <w:tcPr>
            <w:tcW w:w="539" w:type="pct"/>
            <w:vAlign w:val="center"/>
          </w:tcPr>
          <w:p w:rsidR="0062362F" w:rsidRPr="0062362F" w:rsidRDefault="0062362F" w:rsidP="0062362F">
            <w:pPr>
              <w:spacing w:after="200"/>
              <w:jc w:val="center"/>
              <w:rPr>
                <w:rFonts w:asciiTheme="majorHAnsi" w:hAnsiTheme="majorHAnsi"/>
                <w:b/>
                <w:bCs/>
                <w:color w:val="000000"/>
                <w:sz w:val="20"/>
                <w:szCs w:val="20"/>
              </w:rPr>
            </w:pPr>
            <w:r w:rsidRPr="0062362F">
              <w:rPr>
                <w:rFonts w:asciiTheme="majorHAnsi" w:hAnsiTheme="majorHAnsi"/>
                <w:b/>
                <w:bCs/>
                <w:color w:val="000000"/>
                <w:sz w:val="20"/>
                <w:szCs w:val="20"/>
              </w:rPr>
              <w:t>Кол-во</w:t>
            </w:r>
          </w:p>
        </w:tc>
      </w:tr>
      <w:tr w:rsidR="0062362F" w:rsidRPr="0062362F" w:rsidTr="005648B9">
        <w:tc>
          <w:tcPr>
            <w:tcW w:w="1031" w:type="pct"/>
            <w:vMerge w:val="restart"/>
            <w:vAlign w:val="center"/>
          </w:tcPr>
          <w:p w:rsidR="0062362F" w:rsidRPr="0062362F" w:rsidRDefault="0062362F" w:rsidP="0062362F">
            <w:pPr>
              <w:spacing w:after="200"/>
              <w:jc w:val="center"/>
              <w:rPr>
                <w:rFonts w:asciiTheme="majorHAnsi" w:hAnsiTheme="majorHAnsi"/>
                <w:b/>
                <w:bCs/>
                <w:color w:val="000000"/>
                <w:sz w:val="20"/>
                <w:szCs w:val="20"/>
              </w:rPr>
            </w:pPr>
            <w:r w:rsidRPr="0062362F">
              <w:rPr>
                <w:rFonts w:asciiTheme="majorHAnsi" w:hAnsiTheme="majorHAnsi"/>
                <w:b/>
                <w:bCs/>
                <w:color w:val="000000"/>
                <w:sz w:val="20"/>
                <w:szCs w:val="20"/>
              </w:rPr>
              <w:t>Пермский филиал</w:t>
            </w:r>
          </w:p>
        </w:tc>
        <w:tc>
          <w:tcPr>
            <w:tcW w:w="1010"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менеджмента</w:t>
            </w:r>
          </w:p>
        </w:tc>
        <w:tc>
          <w:tcPr>
            <w:tcW w:w="987"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менеджмента</w:t>
            </w:r>
          </w:p>
        </w:tc>
        <w:tc>
          <w:tcPr>
            <w:tcW w:w="888"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Менеджмент</w:t>
            </w:r>
          </w:p>
        </w:tc>
        <w:tc>
          <w:tcPr>
            <w:tcW w:w="545"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 xml:space="preserve">3 </w:t>
            </w:r>
            <w:proofErr w:type="gramStart"/>
            <w:r w:rsidRPr="0062362F">
              <w:rPr>
                <w:rFonts w:asciiTheme="majorHAnsi" w:hAnsiTheme="majorHAnsi"/>
                <w:bCs/>
                <w:color w:val="000000"/>
                <w:sz w:val="20"/>
                <w:szCs w:val="20"/>
              </w:rPr>
              <w:t>к</w:t>
            </w:r>
            <w:proofErr w:type="gramEnd"/>
            <w:r w:rsidRPr="0062362F">
              <w:rPr>
                <w:rFonts w:asciiTheme="majorHAnsi" w:hAnsiTheme="majorHAnsi"/>
                <w:bCs/>
                <w:color w:val="000000"/>
                <w:sz w:val="20"/>
                <w:szCs w:val="20"/>
              </w:rPr>
              <w:t xml:space="preserve"> бак</w:t>
            </w:r>
          </w:p>
        </w:tc>
        <w:tc>
          <w:tcPr>
            <w:tcW w:w="539"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8</w:t>
            </w:r>
          </w:p>
        </w:tc>
      </w:tr>
      <w:tr w:rsidR="0062362F" w:rsidRPr="0062362F" w:rsidTr="005648B9">
        <w:trPr>
          <w:trHeight w:val="667"/>
        </w:trPr>
        <w:tc>
          <w:tcPr>
            <w:tcW w:w="1031" w:type="pct"/>
            <w:vMerge/>
            <w:vAlign w:val="center"/>
          </w:tcPr>
          <w:p w:rsidR="0062362F" w:rsidRPr="0062362F" w:rsidRDefault="0062362F" w:rsidP="0062362F">
            <w:pPr>
              <w:spacing w:after="200"/>
              <w:jc w:val="center"/>
              <w:rPr>
                <w:rFonts w:asciiTheme="majorHAnsi" w:hAnsiTheme="majorHAnsi"/>
                <w:bCs/>
                <w:color w:val="000000"/>
                <w:sz w:val="20"/>
                <w:szCs w:val="20"/>
              </w:rPr>
            </w:pPr>
          </w:p>
        </w:tc>
        <w:tc>
          <w:tcPr>
            <w:tcW w:w="1010"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социально-гуманитарный</w:t>
            </w:r>
          </w:p>
        </w:tc>
        <w:tc>
          <w:tcPr>
            <w:tcW w:w="987"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истории</w:t>
            </w:r>
          </w:p>
        </w:tc>
        <w:tc>
          <w:tcPr>
            <w:tcW w:w="888"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История</w:t>
            </w:r>
          </w:p>
        </w:tc>
        <w:tc>
          <w:tcPr>
            <w:tcW w:w="545"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 xml:space="preserve">3 </w:t>
            </w:r>
            <w:proofErr w:type="gramStart"/>
            <w:r w:rsidRPr="0062362F">
              <w:rPr>
                <w:rFonts w:asciiTheme="majorHAnsi" w:hAnsiTheme="majorHAnsi"/>
                <w:bCs/>
                <w:color w:val="000000"/>
                <w:sz w:val="20"/>
                <w:szCs w:val="20"/>
              </w:rPr>
              <w:t>к</w:t>
            </w:r>
            <w:proofErr w:type="gramEnd"/>
            <w:r w:rsidRPr="0062362F">
              <w:rPr>
                <w:rFonts w:asciiTheme="majorHAnsi" w:hAnsiTheme="majorHAnsi"/>
                <w:bCs/>
                <w:color w:val="000000"/>
                <w:sz w:val="20"/>
                <w:szCs w:val="20"/>
              </w:rPr>
              <w:t xml:space="preserve"> бак</w:t>
            </w:r>
          </w:p>
        </w:tc>
        <w:tc>
          <w:tcPr>
            <w:tcW w:w="539"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3</w:t>
            </w:r>
          </w:p>
        </w:tc>
      </w:tr>
      <w:tr w:rsidR="0062362F" w:rsidRPr="0062362F" w:rsidTr="005648B9">
        <w:tc>
          <w:tcPr>
            <w:tcW w:w="1031" w:type="pct"/>
            <w:vMerge/>
            <w:vAlign w:val="center"/>
          </w:tcPr>
          <w:p w:rsidR="0062362F" w:rsidRPr="0062362F" w:rsidRDefault="0062362F" w:rsidP="0062362F">
            <w:pPr>
              <w:spacing w:after="200"/>
              <w:jc w:val="center"/>
              <w:rPr>
                <w:rFonts w:asciiTheme="majorHAnsi" w:hAnsiTheme="majorHAnsi"/>
                <w:bCs/>
                <w:color w:val="000000"/>
                <w:sz w:val="20"/>
                <w:szCs w:val="20"/>
              </w:rPr>
            </w:pPr>
          </w:p>
        </w:tc>
        <w:tc>
          <w:tcPr>
            <w:tcW w:w="1010"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социально-гуманитарный</w:t>
            </w:r>
          </w:p>
        </w:tc>
        <w:tc>
          <w:tcPr>
            <w:tcW w:w="987"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прикладной политологии</w:t>
            </w:r>
          </w:p>
        </w:tc>
        <w:tc>
          <w:tcPr>
            <w:tcW w:w="888"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Политология</w:t>
            </w:r>
          </w:p>
          <w:p w:rsidR="0062362F" w:rsidRPr="0062362F" w:rsidRDefault="0062362F" w:rsidP="0062362F">
            <w:pPr>
              <w:spacing w:after="200"/>
              <w:jc w:val="center"/>
              <w:rPr>
                <w:rFonts w:asciiTheme="majorHAnsi" w:hAnsiTheme="majorHAnsi"/>
                <w:bCs/>
                <w:color w:val="000000"/>
                <w:sz w:val="20"/>
                <w:szCs w:val="20"/>
              </w:rPr>
            </w:pPr>
          </w:p>
        </w:tc>
        <w:tc>
          <w:tcPr>
            <w:tcW w:w="545"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 xml:space="preserve">2 </w:t>
            </w:r>
            <w:proofErr w:type="gramStart"/>
            <w:r w:rsidRPr="0062362F">
              <w:rPr>
                <w:rFonts w:asciiTheme="majorHAnsi" w:hAnsiTheme="majorHAnsi"/>
                <w:bCs/>
                <w:color w:val="000000"/>
                <w:sz w:val="20"/>
                <w:szCs w:val="20"/>
              </w:rPr>
              <w:t>к</w:t>
            </w:r>
            <w:proofErr w:type="gramEnd"/>
            <w:r w:rsidRPr="0062362F">
              <w:rPr>
                <w:rFonts w:asciiTheme="majorHAnsi" w:hAnsiTheme="majorHAnsi"/>
                <w:bCs/>
                <w:color w:val="000000"/>
                <w:sz w:val="20"/>
                <w:szCs w:val="20"/>
              </w:rPr>
              <w:t xml:space="preserve"> бак</w:t>
            </w:r>
          </w:p>
        </w:tc>
        <w:tc>
          <w:tcPr>
            <w:tcW w:w="539"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2</w:t>
            </w:r>
          </w:p>
        </w:tc>
      </w:tr>
      <w:tr w:rsidR="0062362F" w:rsidRPr="0062362F" w:rsidTr="005648B9">
        <w:tc>
          <w:tcPr>
            <w:tcW w:w="1031" w:type="pct"/>
            <w:vMerge/>
            <w:vAlign w:val="center"/>
          </w:tcPr>
          <w:p w:rsidR="0062362F" w:rsidRPr="0062362F" w:rsidRDefault="0062362F" w:rsidP="0062362F">
            <w:pPr>
              <w:spacing w:after="200"/>
              <w:jc w:val="center"/>
              <w:rPr>
                <w:rFonts w:asciiTheme="majorHAnsi" w:hAnsiTheme="majorHAnsi"/>
                <w:bCs/>
                <w:color w:val="000000"/>
                <w:sz w:val="20"/>
                <w:szCs w:val="20"/>
              </w:rPr>
            </w:pPr>
          </w:p>
        </w:tc>
        <w:tc>
          <w:tcPr>
            <w:tcW w:w="1010" w:type="pct"/>
            <w:vMerge w:val="restar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экономики</w:t>
            </w:r>
          </w:p>
        </w:tc>
        <w:tc>
          <w:tcPr>
            <w:tcW w:w="987" w:type="pct"/>
            <w:vMerge w:val="restar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экономики</w:t>
            </w:r>
          </w:p>
        </w:tc>
        <w:tc>
          <w:tcPr>
            <w:tcW w:w="888" w:type="pct"/>
            <w:vMerge w:val="restar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Экономика</w:t>
            </w:r>
          </w:p>
        </w:tc>
        <w:tc>
          <w:tcPr>
            <w:tcW w:w="545"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 xml:space="preserve">2 </w:t>
            </w:r>
            <w:proofErr w:type="gramStart"/>
            <w:r w:rsidRPr="0062362F">
              <w:rPr>
                <w:rFonts w:asciiTheme="majorHAnsi" w:hAnsiTheme="majorHAnsi"/>
                <w:bCs/>
                <w:color w:val="000000"/>
                <w:sz w:val="20"/>
                <w:szCs w:val="20"/>
              </w:rPr>
              <w:t>к</w:t>
            </w:r>
            <w:proofErr w:type="gramEnd"/>
            <w:r w:rsidRPr="0062362F">
              <w:rPr>
                <w:rFonts w:asciiTheme="majorHAnsi" w:hAnsiTheme="majorHAnsi"/>
                <w:bCs/>
                <w:color w:val="000000"/>
                <w:sz w:val="20"/>
                <w:szCs w:val="20"/>
              </w:rPr>
              <w:t xml:space="preserve"> бак</w:t>
            </w:r>
          </w:p>
        </w:tc>
        <w:tc>
          <w:tcPr>
            <w:tcW w:w="539"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2</w:t>
            </w:r>
          </w:p>
        </w:tc>
      </w:tr>
      <w:tr w:rsidR="0062362F" w:rsidRPr="0062362F" w:rsidTr="005648B9">
        <w:tc>
          <w:tcPr>
            <w:tcW w:w="1031" w:type="pct"/>
            <w:vMerge/>
            <w:vAlign w:val="center"/>
          </w:tcPr>
          <w:p w:rsidR="0062362F" w:rsidRPr="0062362F" w:rsidRDefault="0062362F" w:rsidP="0062362F">
            <w:pPr>
              <w:spacing w:after="200"/>
              <w:jc w:val="center"/>
              <w:rPr>
                <w:rFonts w:asciiTheme="majorHAnsi" w:hAnsiTheme="majorHAnsi"/>
                <w:bCs/>
                <w:color w:val="000000"/>
                <w:sz w:val="20"/>
                <w:szCs w:val="20"/>
              </w:rPr>
            </w:pPr>
          </w:p>
        </w:tc>
        <w:tc>
          <w:tcPr>
            <w:tcW w:w="1010" w:type="pct"/>
            <w:vMerge/>
            <w:vAlign w:val="center"/>
          </w:tcPr>
          <w:p w:rsidR="0062362F" w:rsidRPr="0062362F" w:rsidRDefault="0062362F" w:rsidP="0062362F">
            <w:pPr>
              <w:spacing w:after="200"/>
              <w:jc w:val="center"/>
              <w:rPr>
                <w:rFonts w:asciiTheme="majorHAnsi" w:hAnsiTheme="majorHAnsi"/>
                <w:bCs/>
                <w:color w:val="000000"/>
                <w:sz w:val="20"/>
                <w:szCs w:val="20"/>
              </w:rPr>
            </w:pPr>
          </w:p>
        </w:tc>
        <w:tc>
          <w:tcPr>
            <w:tcW w:w="987" w:type="pct"/>
            <w:vMerge/>
            <w:vAlign w:val="center"/>
          </w:tcPr>
          <w:p w:rsidR="0062362F" w:rsidRPr="0062362F" w:rsidRDefault="0062362F" w:rsidP="0062362F">
            <w:pPr>
              <w:spacing w:after="200"/>
              <w:jc w:val="center"/>
              <w:rPr>
                <w:rFonts w:asciiTheme="majorHAnsi" w:hAnsiTheme="majorHAnsi"/>
                <w:bCs/>
                <w:color w:val="000000"/>
                <w:sz w:val="20"/>
                <w:szCs w:val="20"/>
              </w:rPr>
            </w:pPr>
          </w:p>
        </w:tc>
        <w:tc>
          <w:tcPr>
            <w:tcW w:w="888" w:type="pct"/>
            <w:vMerge/>
            <w:vAlign w:val="center"/>
          </w:tcPr>
          <w:p w:rsidR="0062362F" w:rsidRPr="0062362F" w:rsidRDefault="0062362F" w:rsidP="0062362F">
            <w:pPr>
              <w:spacing w:after="200"/>
              <w:jc w:val="center"/>
              <w:rPr>
                <w:rFonts w:asciiTheme="majorHAnsi" w:hAnsiTheme="majorHAnsi"/>
                <w:bCs/>
                <w:color w:val="000000"/>
                <w:sz w:val="20"/>
                <w:szCs w:val="20"/>
              </w:rPr>
            </w:pPr>
          </w:p>
        </w:tc>
        <w:tc>
          <w:tcPr>
            <w:tcW w:w="545"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 xml:space="preserve">3 </w:t>
            </w:r>
            <w:proofErr w:type="gramStart"/>
            <w:r w:rsidRPr="0062362F">
              <w:rPr>
                <w:rFonts w:asciiTheme="majorHAnsi" w:hAnsiTheme="majorHAnsi"/>
                <w:bCs/>
                <w:color w:val="000000"/>
                <w:sz w:val="20"/>
                <w:szCs w:val="20"/>
              </w:rPr>
              <w:t>к</w:t>
            </w:r>
            <w:proofErr w:type="gramEnd"/>
            <w:r w:rsidRPr="0062362F">
              <w:rPr>
                <w:rFonts w:asciiTheme="majorHAnsi" w:hAnsiTheme="majorHAnsi"/>
                <w:bCs/>
                <w:color w:val="000000"/>
                <w:sz w:val="20"/>
                <w:szCs w:val="20"/>
              </w:rPr>
              <w:t xml:space="preserve"> бак</w:t>
            </w:r>
          </w:p>
        </w:tc>
        <w:tc>
          <w:tcPr>
            <w:tcW w:w="539"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1</w:t>
            </w:r>
          </w:p>
        </w:tc>
      </w:tr>
      <w:tr w:rsidR="0062362F" w:rsidRPr="0062362F" w:rsidTr="005648B9">
        <w:tc>
          <w:tcPr>
            <w:tcW w:w="1031" w:type="pct"/>
            <w:vMerge/>
            <w:vAlign w:val="center"/>
          </w:tcPr>
          <w:p w:rsidR="0062362F" w:rsidRPr="0062362F" w:rsidRDefault="0062362F" w:rsidP="0062362F">
            <w:pPr>
              <w:spacing w:after="200"/>
              <w:jc w:val="center"/>
              <w:rPr>
                <w:rFonts w:asciiTheme="majorHAnsi" w:hAnsiTheme="majorHAnsi"/>
                <w:bCs/>
                <w:color w:val="000000"/>
                <w:sz w:val="20"/>
                <w:szCs w:val="20"/>
              </w:rPr>
            </w:pPr>
          </w:p>
        </w:tc>
        <w:tc>
          <w:tcPr>
            <w:tcW w:w="1010" w:type="pct"/>
            <w:vMerge/>
            <w:vAlign w:val="center"/>
          </w:tcPr>
          <w:p w:rsidR="0062362F" w:rsidRPr="0062362F" w:rsidRDefault="0062362F" w:rsidP="0062362F">
            <w:pPr>
              <w:spacing w:after="200"/>
              <w:jc w:val="center"/>
              <w:rPr>
                <w:rFonts w:asciiTheme="majorHAnsi" w:hAnsiTheme="majorHAnsi"/>
                <w:bCs/>
                <w:color w:val="000000"/>
                <w:sz w:val="20"/>
                <w:szCs w:val="20"/>
              </w:rPr>
            </w:pPr>
          </w:p>
        </w:tc>
        <w:tc>
          <w:tcPr>
            <w:tcW w:w="987" w:type="pct"/>
            <w:vMerge/>
            <w:vAlign w:val="center"/>
          </w:tcPr>
          <w:p w:rsidR="0062362F" w:rsidRPr="0062362F" w:rsidRDefault="0062362F" w:rsidP="0062362F">
            <w:pPr>
              <w:spacing w:after="200"/>
              <w:jc w:val="center"/>
              <w:rPr>
                <w:rFonts w:asciiTheme="majorHAnsi" w:hAnsiTheme="majorHAnsi"/>
                <w:bCs/>
                <w:color w:val="000000"/>
                <w:sz w:val="20"/>
                <w:szCs w:val="20"/>
              </w:rPr>
            </w:pPr>
          </w:p>
        </w:tc>
        <w:tc>
          <w:tcPr>
            <w:tcW w:w="888" w:type="pct"/>
            <w:vMerge/>
            <w:vAlign w:val="center"/>
          </w:tcPr>
          <w:p w:rsidR="0062362F" w:rsidRPr="0062362F" w:rsidRDefault="0062362F" w:rsidP="0062362F">
            <w:pPr>
              <w:spacing w:after="200"/>
              <w:jc w:val="center"/>
              <w:rPr>
                <w:rFonts w:asciiTheme="majorHAnsi" w:hAnsiTheme="majorHAnsi"/>
                <w:bCs/>
                <w:color w:val="000000"/>
                <w:sz w:val="20"/>
                <w:szCs w:val="20"/>
              </w:rPr>
            </w:pPr>
          </w:p>
        </w:tc>
        <w:tc>
          <w:tcPr>
            <w:tcW w:w="545"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 xml:space="preserve">4 </w:t>
            </w:r>
            <w:proofErr w:type="gramStart"/>
            <w:r w:rsidRPr="0062362F">
              <w:rPr>
                <w:rFonts w:asciiTheme="majorHAnsi" w:hAnsiTheme="majorHAnsi"/>
                <w:bCs/>
                <w:color w:val="000000"/>
                <w:sz w:val="20"/>
                <w:szCs w:val="20"/>
              </w:rPr>
              <w:t>к</w:t>
            </w:r>
            <w:proofErr w:type="gramEnd"/>
            <w:r w:rsidRPr="0062362F">
              <w:rPr>
                <w:rFonts w:asciiTheme="majorHAnsi" w:hAnsiTheme="majorHAnsi"/>
                <w:bCs/>
                <w:color w:val="000000"/>
                <w:sz w:val="20"/>
                <w:szCs w:val="20"/>
              </w:rPr>
              <w:t xml:space="preserve"> бак</w:t>
            </w:r>
          </w:p>
        </w:tc>
        <w:tc>
          <w:tcPr>
            <w:tcW w:w="539"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12</w:t>
            </w:r>
          </w:p>
        </w:tc>
      </w:tr>
      <w:tr w:rsidR="0062362F" w:rsidRPr="0062362F" w:rsidTr="005648B9">
        <w:tc>
          <w:tcPr>
            <w:tcW w:w="1031" w:type="pct"/>
            <w:vMerge w:val="restart"/>
            <w:vAlign w:val="center"/>
          </w:tcPr>
          <w:p w:rsidR="0062362F" w:rsidRPr="0062362F" w:rsidRDefault="0062362F" w:rsidP="0062362F">
            <w:pPr>
              <w:spacing w:after="200"/>
              <w:jc w:val="center"/>
              <w:rPr>
                <w:rFonts w:asciiTheme="majorHAnsi" w:hAnsiTheme="majorHAnsi"/>
                <w:b/>
                <w:bCs/>
                <w:color w:val="000000"/>
                <w:sz w:val="20"/>
                <w:szCs w:val="20"/>
              </w:rPr>
            </w:pPr>
            <w:r w:rsidRPr="0062362F">
              <w:rPr>
                <w:rFonts w:asciiTheme="majorHAnsi" w:hAnsiTheme="majorHAnsi"/>
                <w:b/>
                <w:bCs/>
                <w:color w:val="000000"/>
                <w:sz w:val="20"/>
                <w:szCs w:val="20"/>
              </w:rPr>
              <w:t>Санкт-Петербургский</w:t>
            </w:r>
          </w:p>
        </w:tc>
        <w:tc>
          <w:tcPr>
            <w:tcW w:w="1010"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социологии</w:t>
            </w:r>
          </w:p>
        </w:tc>
        <w:tc>
          <w:tcPr>
            <w:tcW w:w="987"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социологии</w:t>
            </w:r>
          </w:p>
        </w:tc>
        <w:tc>
          <w:tcPr>
            <w:tcW w:w="888"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Социология</w:t>
            </w:r>
          </w:p>
        </w:tc>
        <w:tc>
          <w:tcPr>
            <w:tcW w:w="545"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 xml:space="preserve">3 </w:t>
            </w:r>
            <w:proofErr w:type="gramStart"/>
            <w:r w:rsidRPr="0062362F">
              <w:rPr>
                <w:rFonts w:asciiTheme="majorHAnsi" w:hAnsiTheme="majorHAnsi"/>
                <w:bCs/>
                <w:color w:val="000000"/>
                <w:sz w:val="20"/>
                <w:szCs w:val="20"/>
              </w:rPr>
              <w:t>к</w:t>
            </w:r>
            <w:proofErr w:type="gramEnd"/>
            <w:r w:rsidRPr="0062362F">
              <w:rPr>
                <w:rFonts w:asciiTheme="majorHAnsi" w:hAnsiTheme="majorHAnsi"/>
                <w:bCs/>
                <w:color w:val="000000"/>
                <w:sz w:val="20"/>
                <w:szCs w:val="20"/>
              </w:rPr>
              <w:t xml:space="preserve"> бак</w:t>
            </w:r>
          </w:p>
        </w:tc>
        <w:tc>
          <w:tcPr>
            <w:tcW w:w="539"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3</w:t>
            </w:r>
          </w:p>
        </w:tc>
      </w:tr>
      <w:tr w:rsidR="0062362F" w:rsidRPr="0062362F" w:rsidTr="005648B9">
        <w:tc>
          <w:tcPr>
            <w:tcW w:w="1031" w:type="pct"/>
            <w:vMerge/>
            <w:vAlign w:val="center"/>
          </w:tcPr>
          <w:p w:rsidR="0062362F" w:rsidRPr="0062362F" w:rsidRDefault="0062362F" w:rsidP="0062362F">
            <w:pPr>
              <w:spacing w:after="200"/>
              <w:jc w:val="center"/>
              <w:rPr>
                <w:rFonts w:asciiTheme="majorHAnsi" w:hAnsiTheme="majorHAnsi"/>
                <w:b/>
                <w:bCs/>
                <w:color w:val="000000"/>
                <w:sz w:val="20"/>
                <w:szCs w:val="20"/>
              </w:rPr>
            </w:pPr>
          </w:p>
        </w:tc>
        <w:tc>
          <w:tcPr>
            <w:tcW w:w="1010"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экономики</w:t>
            </w:r>
          </w:p>
        </w:tc>
        <w:tc>
          <w:tcPr>
            <w:tcW w:w="987"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экономики</w:t>
            </w:r>
          </w:p>
        </w:tc>
        <w:tc>
          <w:tcPr>
            <w:tcW w:w="888"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Экономика</w:t>
            </w:r>
          </w:p>
        </w:tc>
        <w:tc>
          <w:tcPr>
            <w:tcW w:w="545"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 xml:space="preserve">3 </w:t>
            </w:r>
            <w:proofErr w:type="gramStart"/>
            <w:r w:rsidRPr="0062362F">
              <w:rPr>
                <w:rFonts w:asciiTheme="majorHAnsi" w:hAnsiTheme="majorHAnsi"/>
                <w:bCs/>
                <w:color w:val="000000"/>
                <w:sz w:val="20"/>
                <w:szCs w:val="20"/>
              </w:rPr>
              <w:t>к</w:t>
            </w:r>
            <w:proofErr w:type="gramEnd"/>
            <w:r w:rsidRPr="0062362F">
              <w:rPr>
                <w:rFonts w:asciiTheme="majorHAnsi" w:hAnsiTheme="majorHAnsi"/>
                <w:bCs/>
                <w:color w:val="000000"/>
                <w:sz w:val="20"/>
                <w:szCs w:val="20"/>
              </w:rPr>
              <w:t xml:space="preserve"> бак</w:t>
            </w:r>
          </w:p>
        </w:tc>
        <w:tc>
          <w:tcPr>
            <w:tcW w:w="539"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4</w:t>
            </w:r>
          </w:p>
        </w:tc>
      </w:tr>
      <w:tr w:rsidR="0062362F" w:rsidRPr="0062362F" w:rsidTr="005648B9">
        <w:tc>
          <w:tcPr>
            <w:tcW w:w="1031" w:type="pct"/>
            <w:vAlign w:val="center"/>
          </w:tcPr>
          <w:p w:rsidR="0062362F" w:rsidRPr="0062362F" w:rsidRDefault="0062362F" w:rsidP="0062362F">
            <w:pPr>
              <w:spacing w:after="200"/>
              <w:jc w:val="center"/>
              <w:rPr>
                <w:rFonts w:asciiTheme="majorHAnsi" w:hAnsiTheme="majorHAnsi"/>
                <w:b/>
                <w:bCs/>
                <w:color w:val="000000"/>
                <w:sz w:val="20"/>
                <w:szCs w:val="20"/>
              </w:rPr>
            </w:pPr>
            <w:r w:rsidRPr="0062362F">
              <w:rPr>
                <w:rFonts w:asciiTheme="majorHAnsi" w:hAnsiTheme="majorHAnsi"/>
                <w:b/>
                <w:bCs/>
                <w:color w:val="000000"/>
                <w:sz w:val="20"/>
                <w:szCs w:val="20"/>
              </w:rPr>
              <w:t>Нижегородский</w:t>
            </w:r>
          </w:p>
        </w:tc>
        <w:tc>
          <w:tcPr>
            <w:tcW w:w="1010"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менеджмента</w:t>
            </w:r>
          </w:p>
        </w:tc>
        <w:tc>
          <w:tcPr>
            <w:tcW w:w="987"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менеджмента</w:t>
            </w:r>
          </w:p>
        </w:tc>
        <w:tc>
          <w:tcPr>
            <w:tcW w:w="888"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Менеджмент</w:t>
            </w:r>
          </w:p>
        </w:tc>
        <w:tc>
          <w:tcPr>
            <w:tcW w:w="545"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 xml:space="preserve">1 </w:t>
            </w:r>
            <w:proofErr w:type="gramStart"/>
            <w:r w:rsidRPr="0062362F">
              <w:rPr>
                <w:rFonts w:asciiTheme="majorHAnsi" w:hAnsiTheme="majorHAnsi"/>
                <w:bCs/>
                <w:color w:val="000000"/>
                <w:sz w:val="20"/>
                <w:szCs w:val="20"/>
              </w:rPr>
              <w:t>к</w:t>
            </w:r>
            <w:proofErr w:type="gramEnd"/>
            <w:r w:rsidRPr="0062362F">
              <w:rPr>
                <w:rFonts w:asciiTheme="majorHAnsi" w:hAnsiTheme="majorHAnsi"/>
                <w:bCs/>
                <w:color w:val="000000"/>
                <w:sz w:val="20"/>
                <w:szCs w:val="20"/>
              </w:rPr>
              <w:t xml:space="preserve"> маг</w:t>
            </w:r>
          </w:p>
        </w:tc>
        <w:tc>
          <w:tcPr>
            <w:tcW w:w="539" w:type="pct"/>
            <w:vAlign w:val="center"/>
          </w:tcPr>
          <w:p w:rsidR="0062362F" w:rsidRPr="0062362F" w:rsidRDefault="0062362F" w:rsidP="0062362F">
            <w:pPr>
              <w:spacing w:after="200"/>
              <w:jc w:val="center"/>
              <w:rPr>
                <w:rFonts w:asciiTheme="majorHAnsi" w:hAnsiTheme="majorHAnsi"/>
                <w:bCs/>
                <w:color w:val="000000"/>
                <w:sz w:val="20"/>
                <w:szCs w:val="20"/>
              </w:rPr>
            </w:pPr>
            <w:r w:rsidRPr="0062362F">
              <w:rPr>
                <w:rFonts w:asciiTheme="majorHAnsi" w:hAnsiTheme="majorHAnsi"/>
                <w:bCs/>
                <w:color w:val="000000"/>
                <w:sz w:val="20"/>
                <w:szCs w:val="20"/>
              </w:rPr>
              <w:t>2</w:t>
            </w:r>
          </w:p>
        </w:tc>
      </w:tr>
      <w:tr w:rsidR="0062362F" w:rsidRPr="0062362F" w:rsidTr="005648B9">
        <w:tc>
          <w:tcPr>
            <w:tcW w:w="4461" w:type="pct"/>
            <w:gridSpan w:val="5"/>
            <w:vAlign w:val="center"/>
          </w:tcPr>
          <w:p w:rsidR="0062362F" w:rsidRPr="0062362F" w:rsidRDefault="0062362F" w:rsidP="0062362F">
            <w:pPr>
              <w:spacing w:after="200"/>
              <w:jc w:val="center"/>
              <w:rPr>
                <w:rFonts w:asciiTheme="majorHAnsi" w:hAnsiTheme="majorHAnsi"/>
                <w:b/>
                <w:bCs/>
                <w:color w:val="000000"/>
                <w:sz w:val="20"/>
                <w:szCs w:val="20"/>
              </w:rPr>
            </w:pPr>
            <w:r w:rsidRPr="0062362F">
              <w:rPr>
                <w:rFonts w:asciiTheme="majorHAnsi" w:hAnsiTheme="majorHAnsi"/>
                <w:b/>
                <w:bCs/>
                <w:color w:val="000000"/>
                <w:sz w:val="20"/>
                <w:szCs w:val="20"/>
              </w:rPr>
              <w:t>ИТОГО</w:t>
            </w:r>
          </w:p>
        </w:tc>
        <w:tc>
          <w:tcPr>
            <w:tcW w:w="539" w:type="pct"/>
            <w:vAlign w:val="center"/>
          </w:tcPr>
          <w:p w:rsidR="0062362F" w:rsidRPr="0062362F" w:rsidRDefault="0062362F" w:rsidP="0062362F">
            <w:pPr>
              <w:spacing w:after="200"/>
              <w:jc w:val="center"/>
              <w:rPr>
                <w:rFonts w:asciiTheme="majorHAnsi" w:hAnsiTheme="majorHAnsi"/>
                <w:b/>
                <w:bCs/>
                <w:color w:val="000000"/>
                <w:sz w:val="20"/>
                <w:szCs w:val="20"/>
              </w:rPr>
            </w:pPr>
            <w:r w:rsidRPr="0062362F">
              <w:rPr>
                <w:rFonts w:asciiTheme="majorHAnsi" w:hAnsiTheme="majorHAnsi"/>
                <w:b/>
                <w:bCs/>
                <w:color w:val="000000"/>
                <w:sz w:val="20"/>
                <w:szCs w:val="20"/>
              </w:rPr>
              <w:t>37</w:t>
            </w:r>
          </w:p>
        </w:tc>
      </w:tr>
    </w:tbl>
    <w:p w:rsidR="0062362F" w:rsidRPr="0062362F" w:rsidRDefault="0062362F" w:rsidP="0062362F">
      <w:pPr>
        <w:spacing w:after="200" w:line="276" w:lineRule="auto"/>
        <w:jc w:val="both"/>
      </w:pPr>
      <w:r w:rsidRPr="0062362F">
        <w:t xml:space="preserve">Положением об академической мобильности был утвержден порядок участия студентов во внутрироссийской и дистанционной мобильности. Реализация данных видов мобильности стала возможной для студентов после утверждения учеными советами факультетов списка дисциплин, рекомендованных к изучению в российских вузах и  на </w:t>
      </w:r>
      <w:proofErr w:type="spellStart"/>
      <w:r w:rsidRPr="0062362F">
        <w:t>on-line</w:t>
      </w:r>
      <w:proofErr w:type="spellEnd"/>
      <w:r w:rsidRPr="0062362F">
        <w:t xml:space="preserve"> платформах. </w:t>
      </w:r>
    </w:p>
    <w:p w:rsidR="0062362F" w:rsidRPr="0062362F" w:rsidRDefault="0062362F" w:rsidP="0062362F">
      <w:pPr>
        <w:spacing w:after="200" w:line="276" w:lineRule="auto"/>
        <w:jc w:val="both"/>
      </w:pPr>
      <w:r w:rsidRPr="0062362F">
        <w:t>В первом модуле 2013-2014 учебного года  3 факультета НИУ ВШЭ (математики, филологии и логистики) опубликовали на своих страницах списки дисциплин, реализуемых другими российскими вузами и соответствующих образовательным программам факультетов. Предлагается к изучению 62 курса на базе 6 вузов и научных институтов:</w:t>
      </w:r>
    </w:p>
    <w:p w:rsidR="0062362F" w:rsidRPr="00EE1B80" w:rsidRDefault="0062362F" w:rsidP="0062362F">
      <w:pPr>
        <w:spacing w:after="200" w:line="276" w:lineRule="auto"/>
        <w:jc w:val="both"/>
        <w:rPr>
          <w:bCs/>
          <w:color w:val="000000"/>
        </w:rPr>
      </w:pPr>
      <w:r w:rsidRPr="00A57C86">
        <w:rPr>
          <w:b/>
          <w:bCs/>
          <w:noProof/>
          <w:color w:val="000000"/>
        </w:rPr>
        <w:drawing>
          <wp:inline distT="0" distB="0" distL="0" distR="0">
            <wp:extent cx="6115050" cy="2981325"/>
            <wp:effectExtent l="19050" t="0" r="19050" b="0"/>
            <wp:docPr id="9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62362F" w:rsidRPr="0062362F" w:rsidRDefault="0062362F" w:rsidP="0062362F"/>
    <w:p w:rsidR="00164582" w:rsidRDefault="00F121B2" w:rsidP="00F358E4">
      <w:pPr>
        <w:pStyle w:val="2"/>
        <w:numPr>
          <w:ilvl w:val="1"/>
          <w:numId w:val="1"/>
        </w:numPr>
      </w:pPr>
      <w:bookmarkStart w:id="48" w:name="_Toc374030066"/>
      <w:r>
        <w:t>Смена направлений подготовки студентами при поступлении в магистратуру</w:t>
      </w:r>
      <w:bookmarkEnd w:id="48"/>
    </w:p>
    <w:p w:rsidR="00164582" w:rsidRDefault="00164582" w:rsidP="00164582">
      <w:pPr>
        <w:spacing w:after="200" w:line="276" w:lineRule="auto"/>
        <w:jc w:val="both"/>
      </w:pPr>
      <w:r>
        <w:t xml:space="preserve">Одной из граней академической мобильности можно считать факт смены направления подготовки студентом, который после завершения образования в </w:t>
      </w:r>
      <w:proofErr w:type="spellStart"/>
      <w:r>
        <w:t>бакалавриате</w:t>
      </w:r>
      <w:proofErr w:type="spellEnd"/>
      <w:r>
        <w:t xml:space="preserve"> или в </w:t>
      </w:r>
      <w:proofErr w:type="spellStart"/>
      <w:r>
        <w:t>специалитете</w:t>
      </w:r>
      <w:proofErr w:type="spellEnd"/>
      <w:r>
        <w:t>, выбирает для магистерской подготовки другое направление.</w:t>
      </w:r>
    </w:p>
    <w:p w:rsidR="00F121B2" w:rsidRPr="00164582" w:rsidRDefault="00F121B2" w:rsidP="00164582">
      <w:pPr>
        <w:spacing w:after="200" w:line="276" w:lineRule="auto"/>
        <w:jc w:val="both"/>
      </w:pPr>
      <w:r w:rsidRPr="00164582">
        <w:t>Среди всех наших абитуриентов доля пожелавших сохранить направление обучения была почти 42,9</w:t>
      </w:r>
      <w:r w:rsidR="00164582">
        <w:t>%. (Диаграмма 6.2</w:t>
      </w:r>
      <w:r w:rsidRPr="00164582">
        <w:t xml:space="preserve">.1) </w:t>
      </w:r>
    </w:p>
    <w:p w:rsidR="00F121B2" w:rsidRPr="00664C0A" w:rsidRDefault="00164582" w:rsidP="00664C0A">
      <w:pPr>
        <w:pStyle w:val="afe"/>
        <w:spacing w:before="240" w:line="360" w:lineRule="auto"/>
        <w:rPr>
          <w:rFonts w:asciiTheme="majorHAnsi" w:hAnsiTheme="majorHAnsi"/>
        </w:rPr>
      </w:pPr>
      <w:r w:rsidRPr="00664C0A">
        <w:rPr>
          <w:rFonts w:asciiTheme="majorHAnsi" w:hAnsiTheme="majorHAnsi"/>
        </w:rPr>
        <w:t>Диаграмма 6.2</w:t>
      </w:r>
      <w:r w:rsidR="00F121B2" w:rsidRPr="00664C0A">
        <w:rPr>
          <w:rFonts w:asciiTheme="majorHAnsi" w:hAnsiTheme="majorHAnsi"/>
        </w:rPr>
        <w:t xml:space="preserve">.1. </w:t>
      </w:r>
    </w:p>
    <w:p w:rsidR="00F121B2" w:rsidRPr="0070029A" w:rsidRDefault="00F121B2" w:rsidP="00F121B2">
      <w:pPr>
        <w:spacing w:before="240" w:line="360" w:lineRule="auto"/>
        <w:jc w:val="center"/>
        <w:rPr>
          <w:rFonts w:ascii="Times New Roman" w:hAnsi="Times New Roman"/>
        </w:rPr>
      </w:pPr>
      <w:r>
        <w:rPr>
          <w:noProof/>
        </w:rPr>
        <w:drawing>
          <wp:inline distT="0" distB="0" distL="0" distR="0">
            <wp:extent cx="4770120" cy="2301240"/>
            <wp:effectExtent l="0" t="0" r="5080" b="10160"/>
            <wp:docPr id="47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164582" w:rsidRPr="00CE7DE8" w:rsidRDefault="00F121B2" w:rsidP="00CE7DE8">
      <w:pPr>
        <w:spacing w:after="200" w:line="276" w:lineRule="auto"/>
        <w:jc w:val="both"/>
        <w:rPr>
          <w:rFonts w:ascii="Times New Roman" w:hAnsi="Times New Roman"/>
        </w:rPr>
      </w:pPr>
      <w:r w:rsidRPr="00AF3A56">
        <w:rPr>
          <w:rFonts w:ascii="Times New Roman" w:hAnsi="Times New Roman"/>
        </w:rPr>
        <w:t xml:space="preserve">Среди </w:t>
      </w:r>
      <w:r w:rsidRPr="00AF3A56">
        <w:rPr>
          <w:rFonts w:ascii="Times New Roman" w:hAnsi="Times New Roman"/>
          <w:b/>
        </w:rPr>
        <w:t>поступивших</w:t>
      </w:r>
      <w:r w:rsidRPr="00AF3A56">
        <w:rPr>
          <w:rFonts w:ascii="Times New Roman" w:hAnsi="Times New Roman"/>
        </w:rPr>
        <w:t xml:space="preserve"> доля студентов, решивших сменить направление подготовки, составляет 57,05%. Эта доля оказалась выше среди тех, кто не поступил – 77,3%, т.е. среди аутсайдеров было больше тех, кто решил поменять направление подготовки в </w:t>
      </w:r>
      <w:r w:rsidRPr="00164582">
        <w:t>магистратуре</w:t>
      </w:r>
      <w:r w:rsidRPr="00AF3A56">
        <w:rPr>
          <w:rFonts w:ascii="Times New Roman" w:hAnsi="Times New Roman"/>
        </w:rPr>
        <w:t>, но при этом не смог справиться с предложенными вступительными испытаниями.</w:t>
      </w:r>
    </w:p>
    <w:p w:rsidR="00F121B2" w:rsidRPr="00664C0A" w:rsidRDefault="00164582" w:rsidP="00F121B2">
      <w:pPr>
        <w:pStyle w:val="afe"/>
        <w:spacing w:before="240" w:line="360" w:lineRule="auto"/>
        <w:rPr>
          <w:rFonts w:asciiTheme="majorHAnsi" w:hAnsiTheme="majorHAnsi"/>
        </w:rPr>
      </w:pPr>
      <w:r w:rsidRPr="00664C0A">
        <w:rPr>
          <w:rFonts w:asciiTheme="majorHAnsi" w:hAnsiTheme="majorHAnsi"/>
        </w:rPr>
        <w:t>Диаграмма 6.2</w:t>
      </w:r>
      <w:r w:rsidR="00F121B2" w:rsidRPr="00664C0A">
        <w:rPr>
          <w:rFonts w:asciiTheme="majorHAnsi" w:hAnsiTheme="majorHAnsi"/>
        </w:rPr>
        <w:t>.2</w:t>
      </w:r>
    </w:p>
    <w:p w:rsidR="00F121B2" w:rsidRPr="0070029A" w:rsidRDefault="00F121B2" w:rsidP="00F121B2">
      <w:pPr>
        <w:spacing w:line="360" w:lineRule="auto"/>
        <w:jc w:val="center"/>
        <w:rPr>
          <w:rFonts w:ascii="Times New Roman" w:hAnsi="Times New Roman"/>
        </w:rPr>
      </w:pPr>
      <w:r>
        <w:rPr>
          <w:noProof/>
        </w:rPr>
        <w:drawing>
          <wp:inline distT="0" distB="0" distL="0" distR="0">
            <wp:extent cx="4262755" cy="2623243"/>
            <wp:effectExtent l="0" t="0" r="4445" b="0"/>
            <wp:docPr id="47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F121B2" w:rsidRPr="00164582" w:rsidRDefault="00F121B2" w:rsidP="00164582">
      <w:pPr>
        <w:spacing w:after="200" w:line="276" w:lineRule="auto"/>
        <w:jc w:val="both"/>
      </w:pPr>
      <w:r w:rsidRPr="00164582">
        <w:lastRenderedPageBreak/>
        <w:t xml:space="preserve">Набор в магистратуру продемонстрировал, что доля сменивших направление  подготовки студентов магистратуры 1 курса в значительной степени зависит от вуза, где получено первоначальное образование. В «родной» магистратуре остаются студенты,  которые определили свой выбор будущего профиля с момента первого поступления в вуз. </w:t>
      </w:r>
    </w:p>
    <w:p w:rsidR="00F121B2" w:rsidRPr="0070029A" w:rsidRDefault="00F121B2" w:rsidP="00164582">
      <w:pPr>
        <w:spacing w:after="200" w:line="276" w:lineRule="auto"/>
        <w:jc w:val="both"/>
        <w:rPr>
          <w:rFonts w:ascii="Times New Roman" w:hAnsi="Times New Roman"/>
        </w:rPr>
      </w:pPr>
      <w:r w:rsidRPr="00164582">
        <w:t>Выпускники других вузов при поступлении в магистратуру НИУ ВШЭ меняют направление подготовки</w:t>
      </w:r>
      <w:r w:rsidRPr="00D72D9F">
        <w:rPr>
          <w:rFonts w:ascii="Times New Roman" w:hAnsi="Times New Roman"/>
        </w:rPr>
        <w:t xml:space="preserve"> активнее наших собственных выпускник</w:t>
      </w:r>
      <w:r w:rsidR="00164582">
        <w:rPr>
          <w:rFonts w:ascii="Times New Roman" w:hAnsi="Times New Roman"/>
        </w:rPr>
        <w:t>ов. (Диаграмма 6.2.3</w:t>
      </w:r>
      <w:r w:rsidRPr="00D72D9F">
        <w:rPr>
          <w:rFonts w:ascii="Times New Roman" w:hAnsi="Times New Roman"/>
        </w:rPr>
        <w:t>).</w:t>
      </w:r>
    </w:p>
    <w:p w:rsidR="00F121B2" w:rsidRPr="00664C0A" w:rsidRDefault="00164582" w:rsidP="00F121B2">
      <w:pPr>
        <w:pStyle w:val="afe"/>
        <w:spacing w:before="240" w:line="360" w:lineRule="auto"/>
        <w:rPr>
          <w:rFonts w:asciiTheme="majorHAnsi" w:hAnsiTheme="majorHAnsi"/>
        </w:rPr>
      </w:pPr>
      <w:r w:rsidRPr="00664C0A">
        <w:rPr>
          <w:rFonts w:asciiTheme="majorHAnsi" w:hAnsiTheme="majorHAnsi"/>
        </w:rPr>
        <w:t>Диаграмма 6.2.3</w:t>
      </w:r>
    </w:p>
    <w:p w:rsidR="00F121B2" w:rsidRPr="0070029A" w:rsidRDefault="00F121B2" w:rsidP="00F121B2">
      <w:pPr>
        <w:spacing w:line="360" w:lineRule="auto"/>
        <w:jc w:val="center"/>
        <w:rPr>
          <w:rFonts w:ascii="Times New Roman" w:hAnsi="Times New Roman"/>
        </w:rPr>
      </w:pPr>
      <w:r>
        <w:rPr>
          <w:noProof/>
        </w:rPr>
        <w:drawing>
          <wp:inline distT="0" distB="0" distL="0" distR="0">
            <wp:extent cx="5136515" cy="1908695"/>
            <wp:effectExtent l="0" t="0" r="26035" b="15875"/>
            <wp:docPr id="47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F121B2" w:rsidRPr="00164582" w:rsidRDefault="00F121B2" w:rsidP="00164582">
      <w:pPr>
        <w:spacing w:after="200" w:line="276" w:lineRule="auto"/>
        <w:jc w:val="both"/>
      </w:pPr>
      <w:r w:rsidRPr="00164582">
        <w:t xml:space="preserve">Среди абитуриентов выпускники </w:t>
      </w:r>
      <w:proofErr w:type="spellStart"/>
      <w:r w:rsidRPr="00164582">
        <w:t>бакалавриата</w:t>
      </w:r>
      <w:proofErr w:type="spellEnd"/>
      <w:r w:rsidRPr="00164582">
        <w:t xml:space="preserve"> в меньшей степени решают сменить направление подготовки, чем абитуриенты, получившие диплом «специалиста» </w:t>
      </w:r>
      <w:r w:rsidR="00164582">
        <w:t>(Диаграмма 6.2.4</w:t>
      </w:r>
      <w:r w:rsidRPr="00164582">
        <w:t>). Смена направления подготовки в магистратуре по отношению к предыдущему уровню образования во многом определена условиями российской действительности, где требуются специалисты широкого профиля, а навыков базовой специализации бывает недостаточно. Соответственно приобретение дополнительных квалификаций становится возможным в процессе получения магистерского образования, которое возможно получить за счет средств федерального бюджета (на бюджетной основе), в отличие от второго высшего образования или программ профессиональной переподготовки.</w:t>
      </w:r>
    </w:p>
    <w:p w:rsidR="00F121B2" w:rsidRPr="00664C0A" w:rsidRDefault="00164582" w:rsidP="00F121B2">
      <w:pPr>
        <w:pStyle w:val="afe"/>
        <w:spacing w:before="240" w:line="360" w:lineRule="auto"/>
        <w:rPr>
          <w:rFonts w:asciiTheme="majorHAnsi" w:hAnsiTheme="majorHAnsi"/>
        </w:rPr>
      </w:pPr>
      <w:r w:rsidRPr="00664C0A">
        <w:rPr>
          <w:rFonts w:asciiTheme="majorHAnsi" w:hAnsiTheme="majorHAnsi"/>
        </w:rPr>
        <w:t>Диаграмма 6.2</w:t>
      </w:r>
      <w:r w:rsidR="00F121B2" w:rsidRPr="00664C0A">
        <w:rPr>
          <w:rFonts w:asciiTheme="majorHAnsi" w:hAnsiTheme="majorHAnsi"/>
        </w:rPr>
        <w:t>.</w:t>
      </w:r>
      <w:r w:rsidRPr="00664C0A">
        <w:rPr>
          <w:rFonts w:asciiTheme="majorHAnsi" w:hAnsiTheme="majorHAnsi"/>
        </w:rPr>
        <w:t>4</w:t>
      </w:r>
    </w:p>
    <w:p w:rsidR="00F121B2" w:rsidRDefault="00F121B2" w:rsidP="00F121B2">
      <w:pPr>
        <w:spacing w:line="360" w:lineRule="auto"/>
        <w:jc w:val="center"/>
        <w:rPr>
          <w:noProof/>
        </w:rPr>
      </w:pPr>
      <w:r>
        <w:rPr>
          <w:noProof/>
        </w:rPr>
        <w:drawing>
          <wp:inline distT="0" distB="0" distL="0" distR="0">
            <wp:extent cx="5279390" cy="2247554"/>
            <wp:effectExtent l="0" t="0" r="16510" b="19685"/>
            <wp:docPr id="47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F121B2" w:rsidRPr="00164582" w:rsidRDefault="00F121B2" w:rsidP="00164582">
      <w:pPr>
        <w:spacing w:after="200" w:line="276" w:lineRule="auto"/>
        <w:jc w:val="both"/>
      </w:pPr>
      <w:r w:rsidRPr="00164582">
        <w:lastRenderedPageBreak/>
        <w:t xml:space="preserve">Решение о смене специальности зависит также от возраста абитуриента (год окончания «первого» вуза): чем старше абитуриент, тем больше решивших сменить специальность. </w:t>
      </w:r>
      <w:r w:rsidR="00164582">
        <w:t>(Диаграмма 6.2.5</w:t>
      </w:r>
      <w:r w:rsidRPr="00164582">
        <w:t xml:space="preserve">). </w:t>
      </w:r>
      <w:proofErr w:type="gramStart"/>
      <w:r w:rsidRPr="00164582">
        <w:t>Абитуриенты</w:t>
      </w:r>
      <w:proofErr w:type="gramEnd"/>
      <w:r w:rsidRPr="00164582">
        <w:t xml:space="preserve"> окончившие первоначальное обучение после 2009 года склонны продолжать обучение по ранее полученной специальности, что может быть объяснено недавним окончанием </w:t>
      </w:r>
      <w:proofErr w:type="spellStart"/>
      <w:r w:rsidRPr="00164582">
        <w:t>бакалавриата</w:t>
      </w:r>
      <w:proofErr w:type="spellEnd"/>
      <w:r w:rsidRPr="00164582">
        <w:t xml:space="preserve"> или </w:t>
      </w:r>
      <w:proofErr w:type="spellStart"/>
      <w:r w:rsidRPr="00164582">
        <w:t>специалитета</w:t>
      </w:r>
      <w:proofErr w:type="spellEnd"/>
      <w:r w:rsidRPr="00164582">
        <w:t xml:space="preserve">. Абитуриенты с опытом работы в большей степени склонны менять направление подготовки в магистратуре, поскольку </w:t>
      </w:r>
    </w:p>
    <w:p w:rsidR="00F121B2" w:rsidRPr="00164582" w:rsidRDefault="00F121B2" w:rsidP="00164582">
      <w:pPr>
        <w:spacing w:after="200" w:line="276" w:lineRule="auto"/>
        <w:jc w:val="both"/>
      </w:pPr>
      <w:r w:rsidRPr="00164582">
        <w:t xml:space="preserve">Имеют опыт работы по данному направлению (отличному от </w:t>
      </w:r>
      <w:proofErr w:type="gramStart"/>
      <w:r w:rsidRPr="00164582">
        <w:t>первоначального</w:t>
      </w:r>
      <w:proofErr w:type="gramEnd"/>
      <w:r w:rsidRPr="00164582">
        <w:t>) и нуждаются в более глубоких знаниях.</w:t>
      </w:r>
    </w:p>
    <w:p w:rsidR="00F121B2" w:rsidRPr="00164582" w:rsidRDefault="00F121B2" w:rsidP="00164582">
      <w:pPr>
        <w:spacing w:after="200" w:line="276" w:lineRule="auto"/>
        <w:jc w:val="both"/>
      </w:pPr>
      <w:r w:rsidRPr="00164582">
        <w:t xml:space="preserve"> Смена направления в смежной с первоначальным обучением области, например: менеджмент – экономика, филология – прикладная лингвистика и т.п.</w:t>
      </w:r>
    </w:p>
    <w:p w:rsidR="00F121B2" w:rsidRPr="00164582" w:rsidRDefault="00F121B2" w:rsidP="00164582">
      <w:pPr>
        <w:spacing w:after="200" w:line="276" w:lineRule="auto"/>
        <w:jc w:val="both"/>
      </w:pPr>
      <w:r w:rsidRPr="00164582">
        <w:t>Кардинальная смена направления – новое направление более перспективно для трудоустройства (по мнению абитуриентов).</w:t>
      </w:r>
    </w:p>
    <w:p w:rsidR="00F121B2" w:rsidRPr="00A73063" w:rsidRDefault="00F121B2" w:rsidP="00164582">
      <w:pPr>
        <w:spacing w:after="200" w:line="276" w:lineRule="auto"/>
        <w:jc w:val="both"/>
        <w:rPr>
          <w:rFonts w:ascii="Times New Roman" w:hAnsi="Times New Roman"/>
        </w:rPr>
      </w:pPr>
      <w:r w:rsidRPr="00164582">
        <w:t xml:space="preserve">Для некоторых программ наблюдается частичная смена специальности, которая обосновывается желанием расширить область профессиональных знаний. Во многом сами программы определяют специфику смены направлений. </w:t>
      </w:r>
      <w:proofErr w:type="gramStart"/>
      <w:r w:rsidRPr="00164582">
        <w:t xml:space="preserve">Это можно наблюдать на таких программах как «Управление и экономика здравоохранения» (51,5% поступивших, выпускники медицинских вузов), «Управление в высшем образовании», «Управление образованием» и «Политические вызовы современности» рады видеть выпускников педагогических вузов, «Компьютерная лингвистика» (филологи, технари, программисты), программы факультета </w:t>
      </w:r>
      <w:proofErr w:type="spellStart"/>
      <w:r w:rsidRPr="00164582">
        <w:t>медиакоммуникаций</w:t>
      </w:r>
      <w:proofErr w:type="spellEnd"/>
      <w:r>
        <w:rPr>
          <w:rFonts w:ascii="Times New Roman" w:hAnsi="Times New Roman"/>
        </w:rPr>
        <w:t xml:space="preserve"> (лингвисты, филологи, экономисты, политологи, культурологи, менеджеры).</w:t>
      </w:r>
      <w:proofErr w:type="gramEnd"/>
    </w:p>
    <w:p w:rsidR="00F121B2" w:rsidRPr="00664C0A" w:rsidRDefault="00F121B2" w:rsidP="00F121B2">
      <w:pPr>
        <w:pStyle w:val="afe"/>
        <w:spacing w:before="240" w:line="360" w:lineRule="auto"/>
        <w:rPr>
          <w:rFonts w:asciiTheme="majorHAnsi" w:hAnsiTheme="majorHAnsi"/>
        </w:rPr>
      </w:pPr>
      <w:r w:rsidRPr="00664C0A">
        <w:rPr>
          <w:rFonts w:asciiTheme="majorHAnsi" w:hAnsiTheme="majorHAnsi"/>
        </w:rPr>
        <w:t>Диаграм</w:t>
      </w:r>
      <w:r w:rsidR="00164582" w:rsidRPr="00664C0A">
        <w:rPr>
          <w:rFonts w:asciiTheme="majorHAnsi" w:hAnsiTheme="majorHAnsi"/>
        </w:rPr>
        <w:t>ма 6.2.5</w:t>
      </w:r>
    </w:p>
    <w:p w:rsidR="00F121B2" w:rsidRDefault="00F121B2" w:rsidP="00F121B2">
      <w:pPr>
        <w:pStyle w:val="24"/>
        <w:spacing w:before="240" w:after="0" w:line="360" w:lineRule="auto"/>
        <w:ind w:left="0" w:firstLine="708"/>
        <w:jc w:val="both"/>
        <w:rPr>
          <w:rFonts w:ascii="Times New Roman" w:hAnsi="Times New Roman"/>
          <w:sz w:val="24"/>
          <w:szCs w:val="24"/>
        </w:rPr>
      </w:pPr>
      <w:r>
        <w:rPr>
          <w:noProof/>
          <w:lang w:eastAsia="ru-RU"/>
        </w:rPr>
        <w:drawing>
          <wp:inline distT="0" distB="0" distL="0" distR="0">
            <wp:extent cx="4804410" cy="2580063"/>
            <wp:effectExtent l="0" t="0" r="15240" b="10795"/>
            <wp:docPr id="47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F121B2" w:rsidRPr="00164582" w:rsidRDefault="00F121B2" w:rsidP="00164582">
      <w:pPr>
        <w:spacing w:after="200" w:line="276" w:lineRule="auto"/>
        <w:jc w:val="both"/>
      </w:pPr>
      <w:r w:rsidRPr="00164582">
        <w:t xml:space="preserve">Среди </w:t>
      </w:r>
      <w:proofErr w:type="gramStart"/>
      <w:r w:rsidRPr="00164582">
        <w:t>поступивших</w:t>
      </w:r>
      <w:proofErr w:type="gramEnd"/>
      <w:r w:rsidRPr="00164582">
        <w:t xml:space="preserve"> на бюджетные места процент сохранивших направление подготовки выше, чем среди поступивших на места с оплатой стоимости обучения. (Диаграмма 5.4.5). Поступить на коммерческие места легче, чем на бюджетные, т.к. на платных программах </w:t>
      </w:r>
      <w:r w:rsidRPr="00164582">
        <w:lastRenderedPageBreak/>
        <w:t>проще вступительные испытания и ниже конкурс, и для менее подготовленных абитуриентов вероятность поступить на платное место повышается.</w:t>
      </w:r>
    </w:p>
    <w:p w:rsidR="00F121B2" w:rsidRPr="00664C0A" w:rsidRDefault="00164582" w:rsidP="00F121B2">
      <w:pPr>
        <w:pStyle w:val="afe"/>
        <w:spacing w:before="240" w:line="360" w:lineRule="auto"/>
        <w:rPr>
          <w:rFonts w:asciiTheme="majorHAnsi" w:hAnsiTheme="majorHAnsi"/>
        </w:rPr>
      </w:pPr>
      <w:r w:rsidRPr="00664C0A">
        <w:rPr>
          <w:rFonts w:asciiTheme="majorHAnsi" w:hAnsiTheme="majorHAnsi"/>
        </w:rPr>
        <w:t>Диаграмма 6.2</w:t>
      </w:r>
      <w:r w:rsidR="00F121B2" w:rsidRPr="00664C0A">
        <w:rPr>
          <w:rFonts w:asciiTheme="majorHAnsi" w:hAnsiTheme="majorHAnsi"/>
        </w:rPr>
        <w:t>.</w:t>
      </w:r>
      <w:r w:rsidRPr="00664C0A">
        <w:rPr>
          <w:rFonts w:asciiTheme="majorHAnsi" w:hAnsiTheme="majorHAnsi"/>
        </w:rPr>
        <w:t>6</w:t>
      </w:r>
    </w:p>
    <w:p w:rsidR="00F121B2" w:rsidRPr="0070029A" w:rsidRDefault="00F121B2" w:rsidP="00F121B2">
      <w:pPr>
        <w:spacing w:line="360" w:lineRule="auto"/>
        <w:jc w:val="center"/>
        <w:rPr>
          <w:rFonts w:ascii="Times New Roman" w:hAnsi="Times New Roman"/>
          <w:noProof/>
        </w:rPr>
      </w:pPr>
      <w:r>
        <w:rPr>
          <w:noProof/>
        </w:rPr>
        <w:drawing>
          <wp:inline distT="0" distB="0" distL="0" distR="0">
            <wp:extent cx="4437380" cy="3037263"/>
            <wp:effectExtent l="0" t="0" r="20320" b="10795"/>
            <wp:docPr id="47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F121B2" w:rsidRPr="00F121B2" w:rsidRDefault="00F121B2" w:rsidP="00F121B2"/>
    <w:p w:rsidR="00FA6B6F" w:rsidRDefault="005005BC" w:rsidP="00FA6B6F">
      <w:pPr>
        <w:pStyle w:val="2"/>
        <w:numPr>
          <w:ilvl w:val="1"/>
          <w:numId w:val="1"/>
        </w:numPr>
      </w:pPr>
      <w:bookmarkStart w:id="49" w:name="_Toc374030067"/>
      <w:r>
        <w:t>Международная  академическая мобильность студентов НИУ ВШЭ</w:t>
      </w:r>
      <w:bookmarkEnd w:id="49"/>
      <w:r>
        <w:t xml:space="preserve"> </w:t>
      </w:r>
    </w:p>
    <w:p w:rsidR="00FA6B6F" w:rsidRPr="00FA6B6F" w:rsidRDefault="00FA6B6F" w:rsidP="00FA6B6F">
      <w:pPr>
        <w:spacing w:after="200" w:line="276" w:lineRule="auto"/>
        <w:jc w:val="both"/>
      </w:pPr>
      <w:r w:rsidRPr="00FA6B6F">
        <w:t>Общее количество студентов, принявших участие в программах международной академической мобильности НИУ ВШЭ в 2012-2013 учебном году, составило 620 человек.</w:t>
      </w:r>
    </w:p>
    <w:p w:rsidR="00FA6B6F" w:rsidRPr="00FA6B6F" w:rsidRDefault="00FA6B6F" w:rsidP="00FA6B6F">
      <w:pPr>
        <w:spacing w:after="200" w:line="276" w:lineRule="auto"/>
        <w:jc w:val="both"/>
      </w:pPr>
      <w:r w:rsidRPr="00FA6B6F">
        <w:t>В рамках программ долгосрочной академической мобильности на обучение в зарубежные университеты выехал 231  человек, в том числе:</w:t>
      </w:r>
    </w:p>
    <w:p w:rsidR="00FA6B6F" w:rsidRPr="00FA6B6F" w:rsidRDefault="00FA6B6F" w:rsidP="002B51DC">
      <w:pPr>
        <w:pStyle w:val="a5"/>
        <w:numPr>
          <w:ilvl w:val="0"/>
          <w:numId w:val="24"/>
        </w:numPr>
        <w:jc w:val="both"/>
        <w:rPr>
          <w:sz w:val="24"/>
        </w:rPr>
      </w:pPr>
      <w:r w:rsidRPr="00FA6B6F">
        <w:rPr>
          <w:sz w:val="24"/>
        </w:rPr>
        <w:t>166 человек на программы включенного обучения – 101 бакалавр, 5 специалистов, 60 магистров;</w:t>
      </w:r>
    </w:p>
    <w:p w:rsidR="00FA6B6F" w:rsidRPr="00FA6B6F" w:rsidRDefault="00FA6B6F" w:rsidP="002B51DC">
      <w:pPr>
        <w:pStyle w:val="a5"/>
        <w:numPr>
          <w:ilvl w:val="0"/>
          <w:numId w:val="24"/>
        </w:numPr>
        <w:jc w:val="both"/>
        <w:rPr>
          <w:sz w:val="24"/>
        </w:rPr>
      </w:pPr>
      <w:r w:rsidRPr="00FA6B6F">
        <w:rPr>
          <w:sz w:val="24"/>
        </w:rPr>
        <w:t>65 человек на программы двойных дипломов.</w:t>
      </w:r>
    </w:p>
    <w:p w:rsidR="00FA6B6F" w:rsidRPr="00FA6B6F" w:rsidRDefault="00FA6B6F" w:rsidP="00FA6B6F">
      <w:pPr>
        <w:spacing w:after="200" w:line="276" w:lineRule="auto"/>
        <w:jc w:val="both"/>
      </w:pPr>
      <w:r w:rsidRPr="00FA6B6F">
        <w:t>В краткосрочных зарубежных образовательных программах приняли участие 389 человек, в том числе:</w:t>
      </w:r>
    </w:p>
    <w:p w:rsidR="00FA6B6F" w:rsidRPr="00FA6B6F" w:rsidRDefault="00FA6B6F" w:rsidP="002B51DC">
      <w:pPr>
        <w:pStyle w:val="a5"/>
        <w:numPr>
          <w:ilvl w:val="0"/>
          <w:numId w:val="25"/>
        </w:numPr>
        <w:jc w:val="both"/>
        <w:rPr>
          <w:sz w:val="24"/>
        </w:rPr>
      </w:pPr>
      <w:r w:rsidRPr="00FA6B6F">
        <w:rPr>
          <w:sz w:val="24"/>
        </w:rPr>
        <w:t>367  человек в летних и зимних школах;</w:t>
      </w:r>
    </w:p>
    <w:p w:rsidR="00FA6B6F" w:rsidRPr="00156299" w:rsidRDefault="00FA6B6F" w:rsidP="002B51DC">
      <w:pPr>
        <w:pStyle w:val="a5"/>
        <w:numPr>
          <w:ilvl w:val="0"/>
          <w:numId w:val="25"/>
        </w:numPr>
        <w:jc w:val="both"/>
        <w:rPr>
          <w:sz w:val="24"/>
        </w:rPr>
      </w:pPr>
      <w:r w:rsidRPr="00FA6B6F">
        <w:rPr>
          <w:sz w:val="24"/>
        </w:rPr>
        <w:t>22 человека в научно-образовательных семинарах, исследовательских стажировках, преддипломной практике.</w:t>
      </w:r>
    </w:p>
    <w:p w:rsidR="00C04D4C" w:rsidRDefault="00C04D4C" w:rsidP="00FA6B6F">
      <w:pPr>
        <w:spacing w:after="200" w:line="276" w:lineRule="auto"/>
        <w:jc w:val="both"/>
        <w:rPr>
          <w:b/>
        </w:rPr>
      </w:pPr>
    </w:p>
    <w:p w:rsidR="00C04D4C" w:rsidRDefault="00C04D4C" w:rsidP="00FA6B6F">
      <w:pPr>
        <w:spacing w:after="200" w:line="276" w:lineRule="auto"/>
        <w:jc w:val="both"/>
        <w:rPr>
          <w:b/>
        </w:rPr>
      </w:pPr>
    </w:p>
    <w:p w:rsidR="00C04D4C" w:rsidRDefault="00C04D4C" w:rsidP="00FA6B6F">
      <w:pPr>
        <w:spacing w:after="200" w:line="276" w:lineRule="auto"/>
        <w:jc w:val="both"/>
        <w:rPr>
          <w:b/>
        </w:rPr>
      </w:pPr>
    </w:p>
    <w:p w:rsidR="00FA6B6F" w:rsidRPr="00FA6B6F" w:rsidRDefault="00FA6B6F" w:rsidP="00FA6B6F">
      <w:pPr>
        <w:spacing w:after="200" w:line="276" w:lineRule="auto"/>
        <w:jc w:val="both"/>
        <w:rPr>
          <w:b/>
        </w:rPr>
      </w:pPr>
      <w:r w:rsidRPr="00FA6B6F">
        <w:rPr>
          <w:b/>
        </w:rPr>
        <w:lastRenderedPageBreak/>
        <w:t>Динамика участия студентов НИУ ВШЭ в программах международной академической мобильности (по годам и видам мобильности)</w:t>
      </w:r>
    </w:p>
    <w:p w:rsidR="00FA6B6F" w:rsidRPr="00916645" w:rsidRDefault="00FA6B6F" w:rsidP="00FA6B6F">
      <w:pPr>
        <w:jc w:val="both"/>
        <w:rPr>
          <w:rFonts w:ascii="Palatino Linotype" w:hAnsi="Palatino Linotype"/>
        </w:rPr>
      </w:pPr>
      <w:r w:rsidRPr="00916645">
        <w:rPr>
          <w:rFonts w:ascii="Palatino Linotype" w:hAnsi="Palatino Linotype"/>
          <w:noProof/>
        </w:rPr>
        <w:drawing>
          <wp:inline distT="0" distB="0" distL="0" distR="0">
            <wp:extent cx="5120640" cy="3511296"/>
            <wp:effectExtent l="0" t="0" r="3810" b="0"/>
            <wp:docPr id="465" name="Диаграмма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FA6B6F" w:rsidRPr="00FA6B6F" w:rsidRDefault="00FA6B6F" w:rsidP="00FA6B6F">
      <w:pPr>
        <w:spacing w:after="200" w:line="276" w:lineRule="auto"/>
        <w:jc w:val="both"/>
      </w:pPr>
      <w:r w:rsidRPr="00FA6B6F">
        <w:t>Рост числа студентов НИУ ВШЭ, принимающих участие в программах международной академической мобильности обусловлен следующими факторами:</w:t>
      </w:r>
    </w:p>
    <w:p w:rsidR="00FA6B6F" w:rsidRPr="00FA6B6F" w:rsidRDefault="00FA6B6F" w:rsidP="002B51DC">
      <w:pPr>
        <w:pStyle w:val="a5"/>
        <w:numPr>
          <w:ilvl w:val="0"/>
          <w:numId w:val="25"/>
        </w:numPr>
        <w:jc w:val="both"/>
        <w:rPr>
          <w:sz w:val="24"/>
        </w:rPr>
      </w:pPr>
      <w:r w:rsidRPr="00FA6B6F">
        <w:rPr>
          <w:sz w:val="24"/>
        </w:rPr>
        <w:t>последовательное продвижение академической мобильности в НИУ ВШЭ (информационные кампании, интернационализация учебных программ, пр.);</w:t>
      </w:r>
    </w:p>
    <w:p w:rsidR="00FA6B6F" w:rsidRPr="00FA6B6F" w:rsidRDefault="00FA6B6F" w:rsidP="002B51DC">
      <w:pPr>
        <w:pStyle w:val="a5"/>
        <w:numPr>
          <w:ilvl w:val="0"/>
          <w:numId w:val="25"/>
        </w:numPr>
        <w:jc w:val="both"/>
        <w:rPr>
          <w:sz w:val="24"/>
        </w:rPr>
      </w:pPr>
      <w:r w:rsidRPr="00FA6B6F">
        <w:rPr>
          <w:sz w:val="24"/>
        </w:rPr>
        <w:t>расширение числа программ студенческих обменов с зарубежными вузами-партнерами и выход в новые регионы (Юго-Восточная Азия)</w:t>
      </w:r>
    </w:p>
    <w:p w:rsidR="00FA6B6F" w:rsidRPr="00FA6B6F" w:rsidRDefault="00FA6B6F" w:rsidP="002B51DC">
      <w:pPr>
        <w:pStyle w:val="a5"/>
        <w:numPr>
          <w:ilvl w:val="0"/>
          <w:numId w:val="25"/>
        </w:numPr>
        <w:jc w:val="both"/>
        <w:rPr>
          <w:sz w:val="24"/>
        </w:rPr>
      </w:pPr>
      <w:r w:rsidRPr="00FA6B6F">
        <w:rPr>
          <w:sz w:val="24"/>
        </w:rPr>
        <w:t>создание условий для развития международной академиче</w:t>
      </w:r>
      <w:r w:rsidR="002E0A20">
        <w:rPr>
          <w:sz w:val="24"/>
        </w:rPr>
        <w:t>ской мобильности в НИУ ВШЭ, в том числе</w:t>
      </w:r>
      <w:r w:rsidRPr="00FA6B6F">
        <w:rPr>
          <w:sz w:val="24"/>
        </w:rPr>
        <w:t xml:space="preserve"> предоставление финансовой поддержки для участия в программах мобильности.</w:t>
      </w:r>
    </w:p>
    <w:p w:rsidR="00FA6B6F" w:rsidRPr="00FA6B6F" w:rsidRDefault="00FA6B6F" w:rsidP="00FA6B6F">
      <w:pPr>
        <w:spacing w:after="200" w:line="276" w:lineRule="auto"/>
        <w:jc w:val="both"/>
      </w:pPr>
      <w:r w:rsidRPr="00FA6B6F">
        <w:t xml:space="preserve">В 2012-2013 учебном году произошел существенный рост студентов </w:t>
      </w:r>
      <w:proofErr w:type="spellStart"/>
      <w:r w:rsidRPr="00FA6B6F">
        <w:t>бакалавриата</w:t>
      </w:r>
      <w:proofErr w:type="spellEnd"/>
      <w:r w:rsidRPr="00FA6B6F">
        <w:t xml:space="preserve"> на программах включенного обучения в вузах-партнерах НИУ ВШЭ. Общее количество студентов, участвующих в программах включенного обучения вырос в отчетном году в два раза по сравнению с 2011-2012 учебным годом. </w:t>
      </w:r>
    </w:p>
    <w:p w:rsidR="0020692D" w:rsidRDefault="005005BC" w:rsidP="00156299">
      <w:pPr>
        <w:pStyle w:val="3"/>
        <w:numPr>
          <w:ilvl w:val="2"/>
          <w:numId w:val="1"/>
        </w:numPr>
        <w:ind w:hanging="11"/>
      </w:pPr>
      <w:r>
        <w:t>Долгосрочные программы, в том числе включенное обучение, программы двойных дипломов, междунар</w:t>
      </w:r>
      <w:r w:rsidR="00FA6B6F">
        <w:t>одные образовательные программы</w:t>
      </w:r>
    </w:p>
    <w:p w:rsidR="0020692D" w:rsidRPr="0020692D" w:rsidRDefault="0020692D" w:rsidP="0020692D">
      <w:pPr>
        <w:spacing w:after="200" w:line="276" w:lineRule="auto"/>
        <w:jc w:val="both"/>
      </w:pPr>
      <w:r w:rsidRPr="0020692D">
        <w:t>Всего в 2012-2013 учебном году 231 студент (бакалавры, специалисты и магистры) обучался на различных долгосрочных программах международной мобильности в 18 странах мира (в 2011-2012 учебном году студенты выезжали в 16 стран). Наибольшее количество студентов участвовали в программах включенного обучения в университетах Германии (58 человек) и Франции (49 человек). Отмечается устойчивый рост интереса студентов НИУ ВШЭ к обучению в США, Великобритании, Нидерландах и Австрии.</w:t>
      </w:r>
    </w:p>
    <w:p w:rsidR="0020692D" w:rsidRPr="00156299" w:rsidRDefault="0020692D" w:rsidP="00156299">
      <w:pPr>
        <w:spacing w:after="200" w:line="276" w:lineRule="auto"/>
        <w:jc w:val="both"/>
        <w:rPr>
          <w:b/>
        </w:rPr>
      </w:pPr>
      <w:r w:rsidRPr="00156299">
        <w:rPr>
          <w:b/>
        </w:rPr>
        <w:lastRenderedPageBreak/>
        <w:t xml:space="preserve">Сравнительный график распределения студентов на </w:t>
      </w:r>
      <w:proofErr w:type="gramStart"/>
      <w:r w:rsidRPr="00156299">
        <w:rPr>
          <w:b/>
        </w:rPr>
        <w:t>программах</w:t>
      </w:r>
      <w:proofErr w:type="gramEnd"/>
      <w:r w:rsidRPr="00156299">
        <w:rPr>
          <w:b/>
        </w:rPr>
        <w:t xml:space="preserve"> включенного обучения (по странам и по годам, на всех уровнях ВПО)</w:t>
      </w:r>
    </w:p>
    <w:p w:rsidR="0020692D" w:rsidRPr="00916645" w:rsidRDefault="0020692D" w:rsidP="0020692D">
      <w:pPr>
        <w:jc w:val="both"/>
        <w:rPr>
          <w:rFonts w:ascii="Palatino Linotype" w:hAnsi="Palatino Linotype"/>
        </w:rPr>
      </w:pPr>
      <w:r w:rsidRPr="00916645">
        <w:rPr>
          <w:rFonts w:ascii="Palatino Linotype" w:hAnsi="Palatino Linotype"/>
          <w:noProof/>
        </w:rPr>
        <w:drawing>
          <wp:inline distT="0" distB="0" distL="0" distR="0">
            <wp:extent cx="6216650" cy="4914900"/>
            <wp:effectExtent l="0" t="0" r="0" b="0"/>
            <wp:docPr id="46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20692D" w:rsidRPr="00156299" w:rsidRDefault="0020692D" w:rsidP="00156299">
      <w:pPr>
        <w:spacing w:after="200" w:line="276" w:lineRule="auto"/>
        <w:jc w:val="both"/>
      </w:pPr>
      <w:r w:rsidRPr="00156299">
        <w:t xml:space="preserve">В отчетном году 101 студент-бакалавр принял участие в программах международной академической мобильности в рамках студенческих обменов с вузами-партнерами НИУ ВШЭ. В течение трех последних лет в НИУ ВШЭ наблюдается ежегодное удвоение количества студентов-бакалавров, принимающих участие в программах </w:t>
      </w:r>
      <w:r w:rsidR="001F7FD6">
        <w:t>студенческих обменов</w:t>
      </w:r>
      <w:r w:rsidRPr="00156299">
        <w:t>.</w:t>
      </w:r>
    </w:p>
    <w:p w:rsidR="0020692D" w:rsidRPr="001F7FD6" w:rsidRDefault="0020692D" w:rsidP="00F358E4">
      <w:pPr>
        <w:rPr>
          <w:rFonts w:asciiTheme="majorHAnsi" w:hAnsiTheme="majorHAnsi"/>
        </w:rPr>
      </w:pPr>
      <w:r w:rsidRPr="001F7FD6">
        <w:rPr>
          <w:rFonts w:asciiTheme="majorHAnsi" w:hAnsiTheme="majorHAnsi"/>
          <w:i/>
          <w:noProof/>
        </w:rPr>
        <w:drawing>
          <wp:anchor distT="0" distB="0" distL="114300" distR="114300" simplePos="0" relativeHeight="251670528" behindDoc="0" locked="0" layoutInCell="1" allowOverlap="1" wp14:anchorId="01BF44F2" wp14:editId="21C4B9DA">
            <wp:simplePos x="0" y="0"/>
            <wp:positionH relativeFrom="column">
              <wp:posOffset>18415</wp:posOffset>
            </wp:positionH>
            <wp:positionV relativeFrom="paragraph">
              <wp:posOffset>191770</wp:posOffset>
            </wp:positionV>
            <wp:extent cx="3841750" cy="2101850"/>
            <wp:effectExtent l="0" t="57150" r="0" b="50800"/>
            <wp:wrapSquare wrapText="bothSides"/>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anchor>
        </w:drawing>
      </w:r>
      <w:r w:rsidRPr="001F7FD6">
        <w:rPr>
          <w:rFonts w:asciiTheme="majorHAnsi" w:hAnsiTheme="majorHAnsi"/>
          <w:i/>
        </w:rPr>
        <w:t xml:space="preserve">По количеству обучающихся на </w:t>
      </w:r>
      <w:proofErr w:type="gramStart"/>
      <w:r w:rsidRPr="001F7FD6">
        <w:rPr>
          <w:rFonts w:asciiTheme="majorHAnsi" w:hAnsiTheme="majorHAnsi"/>
          <w:i/>
        </w:rPr>
        <w:t>программах</w:t>
      </w:r>
      <w:proofErr w:type="gramEnd"/>
      <w:r w:rsidRPr="001F7FD6">
        <w:rPr>
          <w:rFonts w:asciiTheme="majorHAnsi" w:hAnsiTheme="majorHAnsi"/>
          <w:i/>
        </w:rPr>
        <w:t xml:space="preserve"> мобильности студентов-бакалавров</w:t>
      </w:r>
      <w:r w:rsidRPr="001F7FD6">
        <w:rPr>
          <w:rFonts w:asciiTheme="majorHAnsi" w:hAnsiTheme="majorHAnsi"/>
        </w:rPr>
        <w:t xml:space="preserve">: </w:t>
      </w:r>
    </w:p>
    <w:p w:rsidR="0020692D" w:rsidRPr="00F358E4" w:rsidRDefault="0020692D" w:rsidP="00F358E4">
      <w:pPr>
        <w:rPr>
          <w:rFonts w:asciiTheme="majorHAnsi" w:hAnsiTheme="majorHAnsi"/>
        </w:rPr>
      </w:pPr>
      <w:r w:rsidRPr="001F7FD6">
        <w:rPr>
          <w:rFonts w:asciiTheme="majorHAnsi" w:hAnsiTheme="majorHAnsi"/>
        </w:rPr>
        <w:t xml:space="preserve">лидером является </w:t>
      </w:r>
      <w:r w:rsidRPr="001F7FD6">
        <w:rPr>
          <w:rFonts w:asciiTheme="majorHAnsi" w:hAnsiTheme="majorHAnsi"/>
          <w:noProof/>
        </w:rPr>
        <w:t>ф</w:t>
      </w:r>
      <w:r w:rsidRPr="001F7FD6">
        <w:rPr>
          <w:rFonts w:asciiTheme="majorHAnsi" w:hAnsiTheme="majorHAnsi"/>
        </w:rPr>
        <w:t>акультет менеджмента – 34 студента</w:t>
      </w:r>
      <w:r w:rsidRPr="00F358E4">
        <w:rPr>
          <w:rFonts w:asciiTheme="majorHAnsi" w:hAnsiTheme="majorHAnsi"/>
        </w:rPr>
        <w:t xml:space="preserve">. У факультета мировой экономики и мировой политики 2-е место – 14 студентов. На третьем месте факультет экономики– 12 студентов. </w:t>
      </w:r>
    </w:p>
    <w:p w:rsidR="0020692D" w:rsidRPr="00916645" w:rsidRDefault="0020692D" w:rsidP="0020692D">
      <w:pPr>
        <w:rPr>
          <w:rFonts w:ascii="Palatino Linotype" w:hAnsi="Palatino Linotype"/>
        </w:rPr>
      </w:pPr>
    </w:p>
    <w:p w:rsidR="004119D7" w:rsidRDefault="004119D7" w:rsidP="00156299">
      <w:pPr>
        <w:spacing w:after="200" w:line="276" w:lineRule="auto"/>
        <w:jc w:val="both"/>
        <w:rPr>
          <w:b/>
        </w:rPr>
      </w:pPr>
    </w:p>
    <w:p w:rsidR="0020692D" w:rsidRPr="00156299" w:rsidRDefault="004119D7" w:rsidP="00156299">
      <w:pPr>
        <w:spacing w:after="200" w:line="276" w:lineRule="auto"/>
        <w:jc w:val="both"/>
        <w:rPr>
          <w:b/>
        </w:rPr>
      </w:pPr>
      <w:r>
        <w:rPr>
          <w:b/>
        </w:rPr>
        <w:t>Динамика</w:t>
      </w:r>
      <w:r w:rsidR="0020692D" w:rsidRPr="00156299">
        <w:rPr>
          <w:b/>
        </w:rPr>
        <w:t xml:space="preserve"> мобильности студентов </w:t>
      </w:r>
      <w:proofErr w:type="spellStart"/>
      <w:r w:rsidR="0020692D" w:rsidRPr="00156299">
        <w:rPr>
          <w:b/>
        </w:rPr>
        <w:t>бакалавриата</w:t>
      </w:r>
      <w:proofErr w:type="spellEnd"/>
      <w:r w:rsidR="0020692D" w:rsidRPr="00156299">
        <w:rPr>
          <w:b/>
        </w:rPr>
        <w:t xml:space="preserve"> (по направлениям подготовки и по годам)</w:t>
      </w:r>
    </w:p>
    <w:p w:rsidR="0020692D" w:rsidRPr="00916645" w:rsidRDefault="0020692D" w:rsidP="0020692D">
      <w:pPr>
        <w:rPr>
          <w:rFonts w:ascii="Palatino Linotype" w:hAnsi="Palatino Linotype"/>
        </w:rPr>
      </w:pPr>
      <w:r w:rsidRPr="00916645">
        <w:rPr>
          <w:rFonts w:ascii="Palatino Linotype" w:hAnsi="Palatino Linotype"/>
          <w:noProof/>
        </w:rPr>
        <w:drawing>
          <wp:inline distT="0" distB="0" distL="0" distR="0">
            <wp:extent cx="5943600" cy="2687782"/>
            <wp:effectExtent l="0" t="0" r="0" b="0"/>
            <wp:docPr id="467" name="Диаграмма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0692D" w:rsidRPr="00156299" w:rsidRDefault="0020692D" w:rsidP="00156299">
      <w:pPr>
        <w:spacing w:after="200" w:line="276" w:lineRule="auto"/>
        <w:jc w:val="both"/>
      </w:pPr>
      <w:r w:rsidRPr="00156299">
        <w:t xml:space="preserve">В 2012-2013 учебном году 125 студентов магистратуры приняли участие в программах долгосрочной международной академической мобильности в рамках студенческих обменов с вузами-партнерами НИУ ВШЭ и программ двойных дипломов. Существенный рост количества студентов магистратуры отмечается на </w:t>
      </w:r>
      <w:proofErr w:type="gramStart"/>
      <w:r w:rsidRPr="00156299">
        <w:t>программах</w:t>
      </w:r>
      <w:proofErr w:type="gramEnd"/>
      <w:r w:rsidRPr="00156299">
        <w:t xml:space="preserve"> включенного обучения – 60 студентов обучились по этим программам в 2012-2013 учебном году по сравнению с 24 студентами в 2011-2012 учебном году. Также по программам обмена выехало на обучение 5 студентов </w:t>
      </w:r>
      <w:proofErr w:type="spellStart"/>
      <w:r w:rsidRPr="00156299">
        <w:t>специалитета</w:t>
      </w:r>
      <w:proofErr w:type="spellEnd"/>
      <w:r w:rsidRPr="00156299">
        <w:t>.</w:t>
      </w:r>
    </w:p>
    <w:p w:rsidR="0020692D" w:rsidRPr="00CE7DE8" w:rsidRDefault="0020692D" w:rsidP="00CE7DE8">
      <w:pPr>
        <w:spacing w:after="200" w:line="276" w:lineRule="auto"/>
        <w:jc w:val="both"/>
        <w:rPr>
          <w:b/>
        </w:rPr>
      </w:pPr>
      <w:r w:rsidRPr="00156299">
        <w:rPr>
          <w:b/>
        </w:rPr>
        <w:t>Распределение студентов магистратуры по направлениям подготовки (по всем программам мобильности)</w:t>
      </w:r>
    </w:p>
    <w:p w:rsidR="0020692D" w:rsidRDefault="0020692D" w:rsidP="00CE7DE8">
      <w:pPr>
        <w:rPr>
          <w:rFonts w:ascii="Palatino Linotype" w:hAnsi="Palatino Linotype"/>
        </w:rPr>
      </w:pPr>
      <w:r w:rsidRPr="00916645">
        <w:rPr>
          <w:rFonts w:ascii="Palatino Linotype" w:hAnsi="Palatino Linotype"/>
          <w:noProof/>
        </w:rPr>
        <w:drawing>
          <wp:inline distT="0" distB="0" distL="0" distR="0">
            <wp:extent cx="5249364" cy="3200491"/>
            <wp:effectExtent l="0" t="0" r="0" b="0"/>
            <wp:docPr id="468" name="Диаграмма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20692D" w:rsidRPr="00CE7DE8" w:rsidRDefault="0020692D" w:rsidP="00CE7DE8">
      <w:pPr>
        <w:spacing w:after="200" w:line="276" w:lineRule="auto"/>
        <w:jc w:val="both"/>
      </w:pPr>
      <w:r w:rsidRPr="00156299">
        <w:lastRenderedPageBreak/>
        <w:t xml:space="preserve">Студенты менее половины направлений подготовки магистров НИУ ВШЭ участвуют в программах долгосрочной международной мобильности. Наименее активно в программах международной академической мобильности участвуют студенты гуманитарного, математического и инженерного направлений, за исключением студентов факультета </w:t>
      </w:r>
      <w:proofErr w:type="gramStart"/>
      <w:r w:rsidRPr="00156299">
        <w:t>бизнес-информатики</w:t>
      </w:r>
      <w:proofErr w:type="gramEnd"/>
      <w:r w:rsidRPr="00156299">
        <w:t xml:space="preserve">. Данная ситуация остается неизменной на </w:t>
      </w:r>
      <w:proofErr w:type="gramStart"/>
      <w:r w:rsidRPr="00156299">
        <w:t>протяжении</w:t>
      </w:r>
      <w:proofErr w:type="gramEnd"/>
      <w:r w:rsidRPr="00156299">
        <w:t xml:space="preserve"> последних лет. </w:t>
      </w:r>
    </w:p>
    <w:p w:rsidR="0020692D" w:rsidRPr="002E0A20" w:rsidRDefault="0020692D" w:rsidP="002E0A20">
      <w:pPr>
        <w:spacing w:after="200" w:line="276" w:lineRule="auto"/>
        <w:jc w:val="both"/>
        <w:rPr>
          <w:b/>
        </w:rPr>
      </w:pPr>
      <w:r w:rsidRPr="00156299">
        <w:rPr>
          <w:b/>
        </w:rPr>
        <w:t>Сравнительный график динамики мобильности студентов магистратуры (по направлениям подготовки и по годам)</w:t>
      </w:r>
    </w:p>
    <w:p w:rsidR="0020692D" w:rsidRPr="00916645" w:rsidRDefault="0020692D" w:rsidP="0020692D">
      <w:pPr>
        <w:rPr>
          <w:rFonts w:ascii="Palatino Linotype" w:hAnsi="Palatino Linotype"/>
        </w:rPr>
      </w:pPr>
      <w:r w:rsidRPr="00916645">
        <w:rPr>
          <w:rFonts w:ascii="Palatino Linotype" w:hAnsi="Palatino Linotype"/>
          <w:noProof/>
        </w:rPr>
        <w:drawing>
          <wp:inline distT="0" distB="0" distL="0" distR="0">
            <wp:extent cx="6082145" cy="2770909"/>
            <wp:effectExtent l="0" t="0" r="0" b="0"/>
            <wp:docPr id="469" name="Диаграмма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20692D" w:rsidRPr="00916645" w:rsidRDefault="0020692D" w:rsidP="0020692D">
      <w:pPr>
        <w:jc w:val="both"/>
        <w:rPr>
          <w:rFonts w:ascii="Palatino Linotype" w:hAnsi="Palatino Linotype"/>
          <w:noProof/>
        </w:rPr>
      </w:pPr>
    </w:p>
    <w:p w:rsidR="0020692D" w:rsidRPr="00156299" w:rsidRDefault="0020692D" w:rsidP="00156299">
      <w:pPr>
        <w:spacing w:after="200" w:line="276" w:lineRule="auto"/>
        <w:jc w:val="both"/>
      </w:pPr>
      <w:r w:rsidRPr="00156299">
        <w:t>В 2012-2013 учебном году студенты магистратуры могли выехать на обучение по  28 программам двойных дипломов в 21 университет-партнер НИУ ВШЭ.</w:t>
      </w:r>
    </w:p>
    <w:p w:rsidR="0020692D" w:rsidRPr="00157421" w:rsidRDefault="00EB3073" w:rsidP="00157421">
      <w:pPr>
        <w:spacing w:after="200" w:line="276" w:lineRule="auto"/>
        <w:jc w:val="both"/>
      </w:pPr>
      <w:r>
        <w:t xml:space="preserve">65 </w:t>
      </w:r>
      <w:proofErr w:type="spellStart"/>
      <w:proofErr w:type="gramStart"/>
      <w:r w:rsidR="00157421" w:rsidRPr="00157421">
        <w:t>c</w:t>
      </w:r>
      <w:proofErr w:type="gramEnd"/>
      <w:r w:rsidR="0020692D" w:rsidRPr="00156299">
        <w:t>тудентов</w:t>
      </w:r>
      <w:proofErr w:type="spellEnd"/>
      <w:r w:rsidR="0020692D" w:rsidRPr="00156299">
        <w:t xml:space="preserve"> магистров НИУ ВШЭ участвовали в программах двойных дипломов в отчетном периоде по направлениям подготовки:</w:t>
      </w:r>
      <w:r w:rsidR="007A6D69" w:rsidRPr="007A6D69">
        <w:t xml:space="preserve"> </w:t>
      </w:r>
      <w:r w:rsidR="00156299" w:rsidRPr="007A6D69">
        <w:t>менеджмент</w:t>
      </w:r>
      <w:r w:rsidR="00157421" w:rsidRPr="00157421">
        <w:t xml:space="preserve">, </w:t>
      </w:r>
      <w:r w:rsidR="00157421">
        <w:t xml:space="preserve">экономика, </w:t>
      </w:r>
      <w:r w:rsidR="00157421" w:rsidRPr="00157421">
        <w:t>ф</w:t>
      </w:r>
      <w:r w:rsidR="00156299" w:rsidRPr="00157421">
        <w:t>инансы</w:t>
      </w:r>
      <w:r w:rsidR="00157421" w:rsidRPr="00157421">
        <w:t xml:space="preserve">, </w:t>
      </w:r>
      <w:r w:rsidR="00156299" w:rsidRPr="00157421">
        <w:t>бизнес-информатика</w:t>
      </w:r>
      <w:r w:rsidR="00157421" w:rsidRPr="00157421">
        <w:t xml:space="preserve">, </w:t>
      </w:r>
      <w:r w:rsidR="00156299" w:rsidRPr="00157421">
        <w:t>государственное и муниципальное управление</w:t>
      </w:r>
      <w:r w:rsidR="00157421" w:rsidRPr="00157421">
        <w:t xml:space="preserve">, </w:t>
      </w:r>
      <w:r w:rsidR="00156299" w:rsidRPr="00157421">
        <w:t>программная инженерия</w:t>
      </w:r>
    </w:p>
    <w:p w:rsidR="0020692D" w:rsidRPr="002E0A20" w:rsidRDefault="0020692D" w:rsidP="002E0A20">
      <w:pPr>
        <w:spacing w:after="200" w:line="276" w:lineRule="auto"/>
        <w:jc w:val="both"/>
        <w:rPr>
          <w:b/>
        </w:rPr>
      </w:pPr>
      <w:r w:rsidRPr="00A31F23">
        <w:rPr>
          <w:b/>
        </w:rPr>
        <w:t>Сравнительный график участия студентов магистратуры в программах двойных дипломов (по направлениям и по годам)</w:t>
      </w:r>
    </w:p>
    <w:p w:rsidR="0020692D" w:rsidRPr="00916645" w:rsidRDefault="0020692D" w:rsidP="0020692D">
      <w:pPr>
        <w:jc w:val="center"/>
        <w:rPr>
          <w:rFonts w:ascii="Palatino Linotype" w:hAnsi="Palatino Linotype"/>
          <w:b/>
          <w:noProof/>
        </w:rPr>
      </w:pPr>
      <w:r w:rsidRPr="006A57E7">
        <w:rPr>
          <w:rFonts w:ascii="Palatino Linotype" w:hAnsi="Palatino Linotype"/>
          <w:b/>
          <w:noProof/>
        </w:rPr>
        <w:drawing>
          <wp:inline distT="0" distB="0" distL="0" distR="0">
            <wp:extent cx="4661210" cy="2051824"/>
            <wp:effectExtent l="0" t="19050" r="25400" b="24765"/>
            <wp:docPr id="47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20692D" w:rsidRPr="00916645" w:rsidRDefault="0020692D" w:rsidP="0020692D">
      <w:pPr>
        <w:jc w:val="both"/>
        <w:rPr>
          <w:rFonts w:ascii="Palatino Linotype" w:hAnsi="Palatino Linotype"/>
          <w:noProof/>
        </w:rPr>
      </w:pPr>
    </w:p>
    <w:p w:rsidR="00CE7DE8" w:rsidRPr="00AB306D" w:rsidRDefault="0020692D" w:rsidP="002E0A20">
      <w:pPr>
        <w:spacing w:after="200" w:line="276" w:lineRule="auto"/>
        <w:jc w:val="both"/>
      </w:pPr>
      <w:r w:rsidRPr="002E0A20">
        <w:t xml:space="preserve">В 2012-2013 учебном году наибольшее количество студентов магистратуры выехало на обучение в Европейскую Школу Менеджмента, Франция и Университет им. </w:t>
      </w:r>
      <w:r w:rsidR="00AB306D">
        <w:t>Гумбольдта в Берлине, Германия.</w:t>
      </w:r>
    </w:p>
    <w:p w:rsidR="0020692D" w:rsidRPr="002E0A20" w:rsidRDefault="0020692D" w:rsidP="002E0A20">
      <w:pPr>
        <w:spacing w:after="200" w:line="276" w:lineRule="auto"/>
        <w:jc w:val="both"/>
        <w:rPr>
          <w:b/>
        </w:rPr>
      </w:pPr>
      <w:r w:rsidRPr="002E0A20">
        <w:rPr>
          <w:b/>
        </w:rPr>
        <w:t>Участие студентов магистратуры в программах двойных дипломов (2012-2013 уч. г., по университетам)</w:t>
      </w:r>
    </w:p>
    <w:p w:rsidR="0020692D" w:rsidRDefault="0020692D" w:rsidP="0020692D">
      <w:pPr>
        <w:jc w:val="both"/>
        <w:outlineLvl w:val="0"/>
        <w:rPr>
          <w:rFonts w:ascii="Palatino Linotype" w:hAnsi="Palatino Linotype"/>
        </w:rPr>
      </w:pPr>
      <w:r w:rsidRPr="006A57E7">
        <w:rPr>
          <w:rFonts w:ascii="Palatino Linotype" w:hAnsi="Palatino Linotype"/>
          <w:noProof/>
        </w:rPr>
        <w:drawing>
          <wp:inline distT="0" distB="0" distL="0" distR="0">
            <wp:extent cx="6127750" cy="2652799"/>
            <wp:effectExtent l="0" t="0" r="0"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20692D" w:rsidRPr="0020692D" w:rsidRDefault="0020692D" w:rsidP="002E0A20">
      <w:pPr>
        <w:spacing w:after="200" w:line="276" w:lineRule="auto"/>
        <w:jc w:val="both"/>
      </w:pPr>
      <w:r w:rsidRPr="002E0A20">
        <w:t>Анализ участия студентов НИУ ВШЭ в программах двойных дипломов, предусматривающих обучение за рубежом, показывает, что менее половины программ двойных дипломов востребованы студентами НИУ ВШЭ (12 из 28 программ уровня магистратуры). Этот фактор следует учитывать при планировании новых программ двойных дипломов, отдавая предпочтение только тем программам, на которые прогнозируется большой спрос со стороны студентов НИУ ВШЭ, а также программам, которые предусматривают двусторонний поток студентов.</w:t>
      </w:r>
    </w:p>
    <w:p w:rsidR="005005BC" w:rsidRDefault="002E0A20" w:rsidP="005005BC">
      <w:pPr>
        <w:pStyle w:val="3"/>
        <w:numPr>
          <w:ilvl w:val="2"/>
          <w:numId w:val="1"/>
        </w:numPr>
        <w:ind w:hanging="11"/>
      </w:pPr>
      <w:r>
        <w:t>Краткосрочные программы</w:t>
      </w:r>
    </w:p>
    <w:p w:rsidR="00A84CF7" w:rsidRPr="00A84CF7" w:rsidRDefault="00A84CF7" w:rsidP="00A84CF7">
      <w:pPr>
        <w:spacing w:after="200" w:line="276" w:lineRule="auto"/>
        <w:jc w:val="both"/>
      </w:pPr>
      <w:r w:rsidRPr="00A84CF7">
        <w:t xml:space="preserve">Всего в 2012-2013 учебном году в программах краткосрочной мобильности (летние и зимние школы, исследовательские стажировки и преддипломная практика) участвовали 389 студентов НИУ ВШЭ. Это соизмеримо с числом участников летних школ 2011-2012 учебного года (402 человека) и значительно превышает количество участников краткосрочной мобильности в 2010-2011 учебном году (155 человек). </w:t>
      </w:r>
    </w:p>
    <w:p w:rsidR="00A84CF7" w:rsidRPr="00A84CF7" w:rsidRDefault="00A84CF7" w:rsidP="00A84CF7">
      <w:pPr>
        <w:spacing w:after="200" w:line="276" w:lineRule="auto"/>
        <w:jc w:val="both"/>
        <w:rPr>
          <w:b/>
        </w:rPr>
      </w:pPr>
      <w:r w:rsidRPr="00A84CF7">
        <w:rPr>
          <w:b/>
        </w:rPr>
        <w:t>Количество студентов в программах краткосрочной мобильности</w:t>
      </w:r>
    </w:p>
    <w:p w:rsidR="00A84CF7" w:rsidRPr="00916645" w:rsidRDefault="00A84CF7" w:rsidP="00A84CF7">
      <w:pPr>
        <w:spacing w:line="276" w:lineRule="auto"/>
        <w:ind w:firstLine="720"/>
        <w:jc w:val="both"/>
        <w:rPr>
          <w:rFonts w:ascii="Palatino Linotype" w:hAnsi="Palatino Linotype"/>
        </w:rPr>
      </w:pPr>
      <w:r w:rsidRPr="00916645">
        <w:rPr>
          <w:rFonts w:ascii="Palatino Linotype" w:hAnsi="Palatino Linotype"/>
          <w:noProof/>
        </w:rPr>
        <w:lastRenderedPageBreak/>
        <w:drawing>
          <wp:inline distT="0" distB="0" distL="0" distR="0">
            <wp:extent cx="4682836" cy="1898073"/>
            <wp:effectExtent l="0" t="0" r="3810" b="6985"/>
            <wp:docPr id="472"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A84CF7" w:rsidRDefault="00A84CF7" w:rsidP="00A84CF7">
      <w:pPr>
        <w:ind w:firstLine="720"/>
        <w:jc w:val="both"/>
        <w:rPr>
          <w:rFonts w:ascii="Palatino Linotype" w:hAnsi="Palatino Linotype"/>
        </w:rPr>
      </w:pPr>
    </w:p>
    <w:p w:rsidR="002E0A20" w:rsidRPr="002E0A20" w:rsidRDefault="00A84CF7" w:rsidP="00A84CF7">
      <w:pPr>
        <w:spacing w:after="200" w:line="276" w:lineRule="auto"/>
        <w:jc w:val="both"/>
      </w:pPr>
      <w:r w:rsidRPr="00A84CF7">
        <w:t xml:space="preserve">Наиболее активно вовлекали студентов в участие в международных летних школах факультет математики, факультеты социологии и  государственного и муниципального управления. Отделение востоковедения обеспечило возможность участия студентов в летних языковых стажировках в </w:t>
      </w:r>
      <w:proofErr w:type="spellStart"/>
      <w:r w:rsidRPr="00A84CF7">
        <w:t>Сеульском</w:t>
      </w:r>
      <w:proofErr w:type="spellEnd"/>
      <w:r w:rsidRPr="00A84CF7">
        <w:t xml:space="preserve"> национальном университете и Университете </w:t>
      </w:r>
      <w:proofErr w:type="spellStart"/>
      <w:r w:rsidRPr="00A84CF7">
        <w:t>Чуннам</w:t>
      </w:r>
      <w:proofErr w:type="spellEnd"/>
      <w:r w:rsidRPr="00A84CF7">
        <w:t xml:space="preserve"> (Южная Корея), в Иорданском университете (Иордания), а также  в Шанхайском университете (Китай).</w:t>
      </w:r>
    </w:p>
    <w:p w:rsidR="005005BC" w:rsidRDefault="005005BC" w:rsidP="005005BC">
      <w:pPr>
        <w:pStyle w:val="3"/>
        <w:numPr>
          <w:ilvl w:val="2"/>
          <w:numId w:val="1"/>
        </w:numPr>
        <w:ind w:hanging="11"/>
      </w:pPr>
      <w:r>
        <w:t>Финансовая поддержка мобильности студентов НИУ ВШЭ</w:t>
      </w:r>
    </w:p>
    <w:p w:rsidR="00A84CF7" w:rsidRPr="00A84CF7" w:rsidRDefault="00A84CF7" w:rsidP="00A84CF7">
      <w:pPr>
        <w:spacing w:after="200" w:line="276" w:lineRule="auto"/>
        <w:jc w:val="both"/>
      </w:pPr>
      <w:r w:rsidRPr="00A84CF7">
        <w:t xml:space="preserve">Стимулирование международной академической мобильности является одним из приоритетных направлений развития НИУ ВШЭ. В 2012-2013 учебном году в университете были выделены средства на финансовую поддержку участия студентов в различных программах международной академической мобильности. </w:t>
      </w:r>
      <w:proofErr w:type="gramStart"/>
      <w:r w:rsidRPr="00A84CF7">
        <w:t>Возможность получения финансовой поддержки, информационные кампании, а также увеличение количества обменных программ с зарубежными вузами-партнерами сделало международную мобильность более доступной для студентов НИУ ВШЭ, что повлияло на рост числа студентов, выезжающих на долгосрочные программы обучения в другие страны.</w:t>
      </w:r>
      <w:proofErr w:type="gramEnd"/>
    </w:p>
    <w:p w:rsidR="00A84CF7" w:rsidRPr="00A84CF7" w:rsidRDefault="00A84CF7" w:rsidP="00A84CF7">
      <w:pPr>
        <w:spacing w:after="200" w:line="276" w:lineRule="auto"/>
        <w:jc w:val="both"/>
      </w:pPr>
      <w:r w:rsidRPr="00A84CF7">
        <w:t xml:space="preserve">Конкурс на поддержку международной студенческой мобильности проводится на протяжении двух последних лет. Количество поданных на конкурс заявок в 2012-2013 учебном году выросло на 44% по сравнению с предшествующим годом. В таблице ниже приведена информация по результатам конкурсного отбора заявок студентов на предоставление финансовой поддержки. Всего в 2012-2013 учебном году была предоставлена финансовая поддержка 254 студентам. </w:t>
      </w:r>
    </w:p>
    <w:p w:rsidR="00A84CF7" w:rsidRPr="00A84CF7" w:rsidRDefault="00A84CF7" w:rsidP="00A84CF7">
      <w:pPr>
        <w:spacing w:after="200" w:line="276" w:lineRule="auto"/>
        <w:jc w:val="both"/>
        <w:rPr>
          <w:b/>
        </w:rPr>
      </w:pPr>
      <w:r w:rsidRPr="00A84CF7">
        <w:rPr>
          <w:b/>
        </w:rPr>
        <w:t>Долгосрочная мобильность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843"/>
        <w:gridCol w:w="1559"/>
        <w:gridCol w:w="1772"/>
        <w:gridCol w:w="1772"/>
      </w:tblGrid>
      <w:tr w:rsidR="00A84CF7" w:rsidRPr="00A84CF7" w:rsidTr="00E9221E">
        <w:trPr>
          <w:trHeight w:val="475"/>
        </w:trPr>
        <w:tc>
          <w:tcPr>
            <w:tcW w:w="2518" w:type="dxa"/>
            <w:vMerge w:val="restart"/>
            <w:tcBorders>
              <w:top w:val="single" w:sz="4" w:space="0" w:color="auto"/>
              <w:left w:val="single" w:sz="4" w:space="0" w:color="auto"/>
              <w:right w:val="single" w:sz="4" w:space="0" w:color="auto"/>
            </w:tcBorders>
            <w:vAlign w:val="center"/>
            <w:hideMark/>
          </w:tcPr>
          <w:p w:rsidR="00A84CF7" w:rsidRPr="00A84CF7" w:rsidRDefault="00A84CF7" w:rsidP="00E9221E">
            <w:pPr>
              <w:pStyle w:val="ad"/>
              <w:rPr>
                <w:rFonts w:asciiTheme="majorHAnsi" w:hAnsiTheme="majorHAnsi"/>
                <w:szCs w:val="20"/>
              </w:rPr>
            </w:pP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A84CF7" w:rsidRPr="00A84CF7" w:rsidRDefault="00A84CF7" w:rsidP="00E9221E">
            <w:pPr>
              <w:pStyle w:val="ad"/>
              <w:jc w:val="center"/>
              <w:rPr>
                <w:rFonts w:asciiTheme="majorHAnsi" w:hAnsiTheme="majorHAnsi"/>
                <w:szCs w:val="20"/>
              </w:rPr>
            </w:pPr>
            <w:r w:rsidRPr="00A84CF7">
              <w:rPr>
                <w:rFonts w:asciiTheme="majorHAnsi" w:hAnsiTheme="majorHAnsi"/>
                <w:szCs w:val="20"/>
              </w:rPr>
              <w:t>Представлено,  количество заявок</w:t>
            </w:r>
          </w:p>
        </w:tc>
        <w:tc>
          <w:tcPr>
            <w:tcW w:w="3544" w:type="dxa"/>
            <w:gridSpan w:val="2"/>
            <w:tcBorders>
              <w:top w:val="single" w:sz="4" w:space="0" w:color="auto"/>
              <w:left w:val="single" w:sz="4" w:space="0" w:color="auto"/>
              <w:right w:val="single" w:sz="4" w:space="0" w:color="auto"/>
            </w:tcBorders>
            <w:vAlign w:val="center"/>
            <w:hideMark/>
          </w:tcPr>
          <w:p w:rsidR="00A84CF7" w:rsidRPr="00A84CF7" w:rsidRDefault="00A84CF7" w:rsidP="00E9221E">
            <w:pPr>
              <w:pStyle w:val="ad"/>
              <w:jc w:val="center"/>
              <w:rPr>
                <w:rFonts w:asciiTheme="majorHAnsi" w:hAnsiTheme="majorHAnsi"/>
                <w:szCs w:val="20"/>
              </w:rPr>
            </w:pPr>
            <w:r w:rsidRPr="00A84CF7">
              <w:rPr>
                <w:rFonts w:asciiTheme="majorHAnsi" w:hAnsiTheme="majorHAnsi"/>
                <w:szCs w:val="20"/>
              </w:rPr>
              <w:t>Поддержано, количество заявок</w:t>
            </w:r>
          </w:p>
        </w:tc>
      </w:tr>
      <w:tr w:rsidR="00A84CF7" w:rsidRPr="00A84CF7" w:rsidTr="00E9221E">
        <w:trPr>
          <w:trHeight w:val="475"/>
        </w:trPr>
        <w:tc>
          <w:tcPr>
            <w:tcW w:w="2518" w:type="dxa"/>
            <w:vMerge/>
            <w:tcBorders>
              <w:left w:val="single" w:sz="4" w:space="0" w:color="auto"/>
              <w:right w:val="single" w:sz="4" w:space="0" w:color="auto"/>
            </w:tcBorders>
            <w:vAlign w:val="center"/>
            <w:hideMark/>
          </w:tcPr>
          <w:p w:rsidR="00A84CF7" w:rsidRPr="00A84CF7" w:rsidRDefault="00A84CF7" w:rsidP="00E9221E">
            <w:pPr>
              <w:pStyle w:val="ad"/>
              <w:rPr>
                <w:rFonts w:asciiTheme="majorHAnsi" w:hAnsiTheme="majorHAnsi"/>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A84CF7" w:rsidRPr="00A84CF7" w:rsidRDefault="00A84CF7" w:rsidP="00E9221E">
            <w:pPr>
              <w:pStyle w:val="ad"/>
              <w:jc w:val="right"/>
              <w:rPr>
                <w:rFonts w:asciiTheme="majorHAnsi" w:hAnsiTheme="majorHAnsi"/>
                <w:szCs w:val="20"/>
              </w:rPr>
            </w:pPr>
            <w:r w:rsidRPr="00A84CF7">
              <w:rPr>
                <w:rFonts w:asciiTheme="majorHAnsi" w:hAnsiTheme="majorHAnsi"/>
                <w:szCs w:val="20"/>
              </w:rPr>
              <w:t xml:space="preserve">2011-12 </w:t>
            </w:r>
            <w:proofErr w:type="spellStart"/>
            <w:r w:rsidRPr="00A84CF7">
              <w:rPr>
                <w:rFonts w:asciiTheme="majorHAnsi" w:hAnsiTheme="majorHAnsi"/>
                <w:szCs w:val="20"/>
              </w:rPr>
              <w:t>уч.г</w:t>
            </w:r>
            <w:proofErr w:type="spellEnd"/>
            <w:r w:rsidRPr="00A84CF7">
              <w:rPr>
                <w:rFonts w:asciiTheme="majorHAnsi" w:hAnsiTheme="majorHAnsi"/>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A84CF7" w:rsidRPr="00A84CF7" w:rsidRDefault="00A84CF7" w:rsidP="00E9221E">
            <w:pPr>
              <w:pStyle w:val="ad"/>
              <w:jc w:val="both"/>
              <w:rPr>
                <w:rFonts w:asciiTheme="majorHAnsi" w:hAnsiTheme="majorHAnsi"/>
                <w:szCs w:val="20"/>
              </w:rPr>
            </w:pPr>
            <w:r w:rsidRPr="00A84CF7">
              <w:rPr>
                <w:rFonts w:asciiTheme="majorHAnsi" w:hAnsiTheme="majorHAnsi"/>
                <w:szCs w:val="20"/>
              </w:rPr>
              <w:t xml:space="preserve">2012-13 </w:t>
            </w:r>
            <w:proofErr w:type="spellStart"/>
            <w:r w:rsidRPr="00A84CF7">
              <w:rPr>
                <w:rFonts w:asciiTheme="majorHAnsi" w:hAnsiTheme="majorHAnsi"/>
                <w:szCs w:val="20"/>
              </w:rPr>
              <w:t>уч.г</w:t>
            </w:r>
            <w:proofErr w:type="spellEnd"/>
            <w:r w:rsidRPr="00A84CF7">
              <w:rPr>
                <w:rFonts w:asciiTheme="majorHAnsi" w:hAnsiTheme="majorHAnsi"/>
                <w:szCs w:val="20"/>
              </w:rPr>
              <w:t>.</w:t>
            </w:r>
          </w:p>
        </w:tc>
        <w:tc>
          <w:tcPr>
            <w:tcW w:w="1772" w:type="dxa"/>
            <w:tcBorders>
              <w:left w:val="single" w:sz="4" w:space="0" w:color="auto"/>
              <w:bottom w:val="single" w:sz="4" w:space="0" w:color="auto"/>
              <w:right w:val="single" w:sz="4" w:space="0" w:color="auto"/>
            </w:tcBorders>
            <w:vAlign w:val="center"/>
            <w:hideMark/>
          </w:tcPr>
          <w:p w:rsidR="00A84CF7" w:rsidRPr="00A84CF7" w:rsidRDefault="00A84CF7" w:rsidP="00E9221E">
            <w:pPr>
              <w:pStyle w:val="ad"/>
              <w:jc w:val="right"/>
              <w:rPr>
                <w:rFonts w:asciiTheme="majorHAnsi" w:hAnsiTheme="majorHAnsi"/>
                <w:szCs w:val="20"/>
              </w:rPr>
            </w:pPr>
            <w:r w:rsidRPr="00A84CF7">
              <w:rPr>
                <w:rFonts w:asciiTheme="majorHAnsi" w:hAnsiTheme="majorHAnsi"/>
                <w:szCs w:val="20"/>
              </w:rPr>
              <w:t xml:space="preserve">2011-12 </w:t>
            </w:r>
            <w:proofErr w:type="spellStart"/>
            <w:r w:rsidRPr="00A84CF7">
              <w:rPr>
                <w:rFonts w:asciiTheme="majorHAnsi" w:hAnsiTheme="majorHAnsi"/>
                <w:szCs w:val="20"/>
              </w:rPr>
              <w:t>уч.г</w:t>
            </w:r>
            <w:proofErr w:type="spellEnd"/>
            <w:r w:rsidRPr="00A84CF7">
              <w:rPr>
                <w:rFonts w:asciiTheme="majorHAnsi" w:hAnsiTheme="majorHAnsi"/>
                <w:szCs w:val="20"/>
              </w:rPr>
              <w:t>.</w:t>
            </w:r>
          </w:p>
        </w:tc>
        <w:tc>
          <w:tcPr>
            <w:tcW w:w="1772" w:type="dxa"/>
            <w:tcBorders>
              <w:left w:val="single" w:sz="4" w:space="0" w:color="auto"/>
              <w:bottom w:val="single" w:sz="4" w:space="0" w:color="auto"/>
              <w:right w:val="single" w:sz="4" w:space="0" w:color="auto"/>
            </w:tcBorders>
            <w:vAlign w:val="center"/>
          </w:tcPr>
          <w:p w:rsidR="00A84CF7" w:rsidRPr="00A84CF7" w:rsidRDefault="00A84CF7" w:rsidP="00E9221E">
            <w:pPr>
              <w:pStyle w:val="ad"/>
              <w:jc w:val="both"/>
              <w:rPr>
                <w:rFonts w:asciiTheme="majorHAnsi" w:hAnsiTheme="majorHAnsi"/>
                <w:szCs w:val="20"/>
              </w:rPr>
            </w:pPr>
            <w:r w:rsidRPr="00A84CF7">
              <w:rPr>
                <w:rFonts w:asciiTheme="majorHAnsi" w:hAnsiTheme="majorHAnsi"/>
                <w:szCs w:val="20"/>
              </w:rPr>
              <w:t xml:space="preserve">2012-13 </w:t>
            </w:r>
            <w:proofErr w:type="spellStart"/>
            <w:r w:rsidRPr="00A84CF7">
              <w:rPr>
                <w:rFonts w:asciiTheme="majorHAnsi" w:hAnsiTheme="majorHAnsi"/>
                <w:szCs w:val="20"/>
              </w:rPr>
              <w:t>уч.г</w:t>
            </w:r>
            <w:proofErr w:type="spellEnd"/>
            <w:r w:rsidRPr="00A84CF7">
              <w:rPr>
                <w:rFonts w:asciiTheme="majorHAnsi" w:hAnsiTheme="majorHAnsi"/>
                <w:szCs w:val="20"/>
              </w:rPr>
              <w:t>.</w:t>
            </w:r>
          </w:p>
        </w:tc>
      </w:tr>
      <w:tr w:rsidR="00A84CF7" w:rsidRPr="00A84CF7" w:rsidTr="00E9221E">
        <w:trPr>
          <w:trHeight w:val="50"/>
        </w:trPr>
        <w:tc>
          <w:tcPr>
            <w:tcW w:w="2518" w:type="dxa"/>
            <w:vMerge/>
            <w:tcBorders>
              <w:left w:val="single" w:sz="4" w:space="0" w:color="auto"/>
              <w:bottom w:val="single" w:sz="4" w:space="0" w:color="auto"/>
              <w:right w:val="single" w:sz="4" w:space="0" w:color="auto"/>
            </w:tcBorders>
            <w:vAlign w:val="center"/>
            <w:hideMark/>
          </w:tcPr>
          <w:p w:rsidR="00A84CF7" w:rsidRPr="00A84CF7" w:rsidRDefault="00A84CF7" w:rsidP="00E9221E">
            <w:pPr>
              <w:rPr>
                <w:rFonts w:asciiTheme="majorHAnsi" w:hAnsiTheme="majorHAnsi"/>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A84CF7" w:rsidRPr="00A84CF7" w:rsidRDefault="00A84CF7" w:rsidP="00E9221E">
            <w:pPr>
              <w:pStyle w:val="ad"/>
              <w:jc w:val="center"/>
              <w:rPr>
                <w:rFonts w:asciiTheme="majorHAnsi" w:hAnsiTheme="majorHAnsi"/>
                <w:b/>
                <w:szCs w:val="20"/>
                <w:lang w:val="en-US"/>
              </w:rPr>
            </w:pPr>
            <w:r w:rsidRPr="00A84CF7">
              <w:rPr>
                <w:rFonts w:asciiTheme="majorHAnsi" w:hAnsiTheme="majorHAnsi"/>
                <w:b/>
                <w:szCs w:val="20"/>
              </w:rPr>
              <w:t>122</w:t>
            </w:r>
          </w:p>
        </w:tc>
        <w:tc>
          <w:tcPr>
            <w:tcW w:w="1559" w:type="dxa"/>
            <w:tcBorders>
              <w:top w:val="single" w:sz="4" w:space="0" w:color="auto"/>
              <w:left w:val="single" w:sz="4" w:space="0" w:color="auto"/>
              <w:bottom w:val="single" w:sz="4" w:space="0" w:color="auto"/>
              <w:right w:val="single" w:sz="4" w:space="0" w:color="auto"/>
            </w:tcBorders>
            <w:vAlign w:val="center"/>
          </w:tcPr>
          <w:p w:rsidR="00A84CF7" w:rsidRPr="00A84CF7" w:rsidRDefault="00A84CF7" w:rsidP="00E9221E">
            <w:pPr>
              <w:pStyle w:val="ad"/>
              <w:jc w:val="center"/>
              <w:rPr>
                <w:rFonts w:asciiTheme="majorHAnsi" w:hAnsiTheme="majorHAnsi"/>
                <w:b/>
                <w:szCs w:val="20"/>
                <w:lang w:val="en-US"/>
              </w:rPr>
            </w:pPr>
            <w:r w:rsidRPr="00A84CF7">
              <w:rPr>
                <w:rFonts w:asciiTheme="majorHAnsi" w:hAnsiTheme="majorHAnsi"/>
                <w:b/>
                <w:szCs w:val="20"/>
              </w:rPr>
              <w:t>17</w:t>
            </w:r>
            <w:r w:rsidRPr="00A84CF7">
              <w:rPr>
                <w:rFonts w:asciiTheme="majorHAnsi" w:hAnsiTheme="majorHAnsi"/>
                <w:b/>
                <w:szCs w:val="20"/>
                <w:lang w:val="en-US"/>
              </w:rPr>
              <w:t>5</w:t>
            </w:r>
          </w:p>
        </w:tc>
        <w:tc>
          <w:tcPr>
            <w:tcW w:w="1772" w:type="dxa"/>
            <w:tcBorders>
              <w:top w:val="single" w:sz="4" w:space="0" w:color="auto"/>
              <w:left w:val="single" w:sz="4" w:space="0" w:color="auto"/>
              <w:bottom w:val="single" w:sz="4" w:space="0" w:color="auto"/>
              <w:right w:val="single" w:sz="4" w:space="0" w:color="auto"/>
            </w:tcBorders>
            <w:vAlign w:val="center"/>
            <w:hideMark/>
          </w:tcPr>
          <w:p w:rsidR="00A84CF7" w:rsidRPr="00A84CF7" w:rsidRDefault="00A84CF7" w:rsidP="00E9221E">
            <w:pPr>
              <w:pStyle w:val="ad"/>
              <w:jc w:val="center"/>
              <w:rPr>
                <w:rFonts w:asciiTheme="majorHAnsi" w:hAnsiTheme="majorHAnsi"/>
                <w:b/>
                <w:szCs w:val="20"/>
                <w:lang w:val="en-US"/>
              </w:rPr>
            </w:pPr>
            <w:r w:rsidRPr="00A84CF7">
              <w:rPr>
                <w:rFonts w:asciiTheme="majorHAnsi" w:hAnsiTheme="majorHAnsi"/>
                <w:b/>
                <w:szCs w:val="20"/>
              </w:rPr>
              <w:t>94</w:t>
            </w:r>
          </w:p>
        </w:tc>
        <w:tc>
          <w:tcPr>
            <w:tcW w:w="1772" w:type="dxa"/>
            <w:tcBorders>
              <w:top w:val="single" w:sz="4" w:space="0" w:color="auto"/>
              <w:left w:val="single" w:sz="4" w:space="0" w:color="auto"/>
              <w:bottom w:val="single" w:sz="4" w:space="0" w:color="auto"/>
              <w:right w:val="single" w:sz="4" w:space="0" w:color="auto"/>
            </w:tcBorders>
            <w:vAlign w:val="center"/>
          </w:tcPr>
          <w:p w:rsidR="00A84CF7" w:rsidRPr="00A84CF7" w:rsidRDefault="00A84CF7" w:rsidP="00E9221E">
            <w:pPr>
              <w:pStyle w:val="ad"/>
              <w:jc w:val="center"/>
              <w:rPr>
                <w:rFonts w:asciiTheme="majorHAnsi" w:hAnsiTheme="majorHAnsi"/>
                <w:b/>
                <w:szCs w:val="20"/>
                <w:lang w:val="en-US"/>
              </w:rPr>
            </w:pPr>
            <w:r w:rsidRPr="00A84CF7">
              <w:rPr>
                <w:rFonts w:asciiTheme="majorHAnsi" w:hAnsiTheme="majorHAnsi"/>
                <w:b/>
                <w:szCs w:val="20"/>
                <w:lang w:val="en-US"/>
              </w:rPr>
              <w:t>128</w:t>
            </w:r>
          </w:p>
        </w:tc>
      </w:tr>
      <w:tr w:rsidR="00A84CF7" w:rsidRPr="00A84CF7" w:rsidTr="00E9221E">
        <w:tc>
          <w:tcPr>
            <w:tcW w:w="2518" w:type="dxa"/>
            <w:tcBorders>
              <w:top w:val="single" w:sz="4" w:space="0" w:color="auto"/>
              <w:left w:val="single" w:sz="4" w:space="0" w:color="auto"/>
              <w:bottom w:val="single" w:sz="4" w:space="0" w:color="auto"/>
              <w:right w:val="single" w:sz="4" w:space="0" w:color="auto"/>
            </w:tcBorders>
            <w:hideMark/>
          </w:tcPr>
          <w:p w:rsidR="00A84CF7" w:rsidRPr="00A84CF7" w:rsidRDefault="00A84CF7" w:rsidP="00E9221E">
            <w:pPr>
              <w:pStyle w:val="ad"/>
              <w:rPr>
                <w:rFonts w:asciiTheme="majorHAnsi" w:hAnsiTheme="majorHAnsi"/>
                <w:i/>
                <w:szCs w:val="20"/>
              </w:rPr>
            </w:pPr>
            <w:r w:rsidRPr="00A84CF7">
              <w:rPr>
                <w:rFonts w:asciiTheme="majorHAnsi" w:hAnsiTheme="majorHAnsi"/>
                <w:i/>
                <w:szCs w:val="20"/>
              </w:rPr>
              <w:t>Программы двойных дипломов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84CF7" w:rsidRPr="00A84CF7" w:rsidRDefault="00A84CF7" w:rsidP="00E9221E">
            <w:pPr>
              <w:pStyle w:val="ad"/>
              <w:jc w:val="center"/>
              <w:rPr>
                <w:rFonts w:asciiTheme="majorHAnsi" w:hAnsiTheme="majorHAnsi"/>
                <w:szCs w:val="20"/>
                <w:lang w:val="en-US"/>
              </w:rPr>
            </w:pPr>
            <w:r w:rsidRPr="00A84CF7">
              <w:rPr>
                <w:rFonts w:asciiTheme="majorHAnsi" w:hAnsiTheme="majorHAnsi"/>
                <w:szCs w:val="20"/>
              </w:rPr>
              <w:t>77</w:t>
            </w:r>
          </w:p>
        </w:tc>
        <w:tc>
          <w:tcPr>
            <w:tcW w:w="1559" w:type="dxa"/>
            <w:tcBorders>
              <w:top w:val="single" w:sz="4" w:space="0" w:color="auto"/>
              <w:left w:val="single" w:sz="4" w:space="0" w:color="auto"/>
              <w:bottom w:val="single" w:sz="4" w:space="0" w:color="auto"/>
              <w:right w:val="single" w:sz="4" w:space="0" w:color="auto"/>
            </w:tcBorders>
            <w:vAlign w:val="center"/>
          </w:tcPr>
          <w:p w:rsidR="00A84CF7" w:rsidRPr="00A84CF7" w:rsidRDefault="00A84CF7" w:rsidP="00E9221E">
            <w:pPr>
              <w:pStyle w:val="ad"/>
              <w:jc w:val="center"/>
              <w:rPr>
                <w:rFonts w:asciiTheme="majorHAnsi" w:hAnsiTheme="majorHAnsi"/>
                <w:szCs w:val="20"/>
                <w:lang w:val="en-US"/>
              </w:rPr>
            </w:pPr>
            <w:r w:rsidRPr="00A84CF7">
              <w:rPr>
                <w:rFonts w:asciiTheme="majorHAnsi" w:hAnsiTheme="majorHAnsi"/>
                <w:szCs w:val="20"/>
                <w:lang w:val="en-US"/>
              </w:rPr>
              <w:t>58</w:t>
            </w:r>
          </w:p>
        </w:tc>
        <w:tc>
          <w:tcPr>
            <w:tcW w:w="1772" w:type="dxa"/>
            <w:tcBorders>
              <w:top w:val="single" w:sz="4" w:space="0" w:color="auto"/>
              <w:left w:val="single" w:sz="4" w:space="0" w:color="auto"/>
              <w:bottom w:val="single" w:sz="4" w:space="0" w:color="auto"/>
              <w:right w:val="single" w:sz="4" w:space="0" w:color="auto"/>
            </w:tcBorders>
            <w:vAlign w:val="center"/>
            <w:hideMark/>
          </w:tcPr>
          <w:p w:rsidR="00A84CF7" w:rsidRPr="00A84CF7" w:rsidRDefault="00A84CF7" w:rsidP="00E9221E">
            <w:pPr>
              <w:pStyle w:val="ad"/>
              <w:jc w:val="center"/>
              <w:rPr>
                <w:rFonts w:asciiTheme="majorHAnsi" w:hAnsiTheme="majorHAnsi"/>
                <w:szCs w:val="20"/>
                <w:lang w:val="en-US"/>
              </w:rPr>
            </w:pPr>
            <w:r w:rsidRPr="00A84CF7">
              <w:rPr>
                <w:rFonts w:asciiTheme="majorHAnsi" w:hAnsiTheme="majorHAnsi"/>
                <w:szCs w:val="20"/>
              </w:rPr>
              <w:t>56</w:t>
            </w:r>
          </w:p>
        </w:tc>
        <w:tc>
          <w:tcPr>
            <w:tcW w:w="1772" w:type="dxa"/>
            <w:tcBorders>
              <w:top w:val="single" w:sz="4" w:space="0" w:color="auto"/>
              <w:left w:val="single" w:sz="4" w:space="0" w:color="auto"/>
              <w:bottom w:val="single" w:sz="4" w:space="0" w:color="auto"/>
              <w:right w:val="single" w:sz="4" w:space="0" w:color="auto"/>
            </w:tcBorders>
            <w:vAlign w:val="center"/>
          </w:tcPr>
          <w:p w:rsidR="00A84CF7" w:rsidRPr="00A84CF7" w:rsidRDefault="00A84CF7" w:rsidP="00E9221E">
            <w:pPr>
              <w:pStyle w:val="ad"/>
              <w:jc w:val="center"/>
              <w:rPr>
                <w:rFonts w:asciiTheme="majorHAnsi" w:hAnsiTheme="majorHAnsi"/>
                <w:szCs w:val="20"/>
                <w:lang w:val="en-US"/>
              </w:rPr>
            </w:pPr>
            <w:r w:rsidRPr="00A84CF7">
              <w:rPr>
                <w:rFonts w:asciiTheme="majorHAnsi" w:hAnsiTheme="majorHAnsi"/>
                <w:szCs w:val="20"/>
              </w:rPr>
              <w:t>3</w:t>
            </w:r>
            <w:r w:rsidRPr="00A84CF7">
              <w:rPr>
                <w:rFonts w:asciiTheme="majorHAnsi" w:hAnsiTheme="majorHAnsi"/>
                <w:szCs w:val="20"/>
                <w:lang w:val="en-US"/>
              </w:rPr>
              <w:t>5</w:t>
            </w:r>
          </w:p>
        </w:tc>
      </w:tr>
      <w:tr w:rsidR="00A84CF7" w:rsidRPr="00A84CF7" w:rsidTr="00E9221E">
        <w:tc>
          <w:tcPr>
            <w:tcW w:w="2518" w:type="dxa"/>
            <w:tcBorders>
              <w:top w:val="single" w:sz="4" w:space="0" w:color="auto"/>
              <w:left w:val="single" w:sz="4" w:space="0" w:color="auto"/>
              <w:bottom w:val="single" w:sz="4" w:space="0" w:color="auto"/>
              <w:right w:val="single" w:sz="4" w:space="0" w:color="auto"/>
            </w:tcBorders>
            <w:hideMark/>
          </w:tcPr>
          <w:p w:rsidR="00A84CF7" w:rsidRPr="00A84CF7" w:rsidRDefault="00A84CF7" w:rsidP="00E9221E">
            <w:pPr>
              <w:pStyle w:val="ad"/>
              <w:rPr>
                <w:rFonts w:asciiTheme="majorHAnsi" w:hAnsiTheme="majorHAnsi"/>
                <w:i/>
                <w:szCs w:val="20"/>
              </w:rPr>
            </w:pPr>
            <w:r w:rsidRPr="00A84CF7">
              <w:rPr>
                <w:rFonts w:asciiTheme="majorHAnsi" w:hAnsiTheme="majorHAnsi"/>
                <w:i/>
                <w:szCs w:val="20"/>
              </w:rPr>
              <w:t>Программы обмена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A84CF7" w:rsidRPr="00A84CF7" w:rsidRDefault="00A84CF7" w:rsidP="00E9221E">
            <w:pPr>
              <w:pStyle w:val="ad"/>
              <w:jc w:val="center"/>
              <w:rPr>
                <w:rFonts w:asciiTheme="majorHAnsi" w:hAnsiTheme="majorHAnsi"/>
                <w:szCs w:val="20"/>
                <w:lang w:val="en-US"/>
              </w:rPr>
            </w:pPr>
            <w:r w:rsidRPr="00A84CF7">
              <w:rPr>
                <w:rFonts w:asciiTheme="majorHAnsi" w:hAnsiTheme="majorHAnsi"/>
                <w:szCs w:val="20"/>
              </w:rPr>
              <w:t>45</w:t>
            </w:r>
          </w:p>
        </w:tc>
        <w:tc>
          <w:tcPr>
            <w:tcW w:w="1559" w:type="dxa"/>
            <w:tcBorders>
              <w:top w:val="single" w:sz="4" w:space="0" w:color="auto"/>
              <w:left w:val="single" w:sz="4" w:space="0" w:color="auto"/>
              <w:bottom w:val="single" w:sz="4" w:space="0" w:color="auto"/>
              <w:right w:val="single" w:sz="4" w:space="0" w:color="auto"/>
            </w:tcBorders>
            <w:vAlign w:val="center"/>
          </w:tcPr>
          <w:p w:rsidR="00A84CF7" w:rsidRPr="00A84CF7" w:rsidRDefault="00A84CF7" w:rsidP="00E9221E">
            <w:pPr>
              <w:pStyle w:val="ad"/>
              <w:jc w:val="center"/>
              <w:rPr>
                <w:rFonts w:asciiTheme="majorHAnsi" w:hAnsiTheme="majorHAnsi"/>
                <w:szCs w:val="20"/>
                <w:lang w:val="en-US"/>
              </w:rPr>
            </w:pPr>
            <w:r w:rsidRPr="00A84CF7">
              <w:rPr>
                <w:rFonts w:asciiTheme="majorHAnsi" w:hAnsiTheme="majorHAnsi"/>
                <w:szCs w:val="20"/>
                <w:lang w:val="en-US"/>
              </w:rPr>
              <w:t>117</w:t>
            </w:r>
          </w:p>
        </w:tc>
        <w:tc>
          <w:tcPr>
            <w:tcW w:w="1772" w:type="dxa"/>
            <w:tcBorders>
              <w:top w:val="single" w:sz="4" w:space="0" w:color="auto"/>
              <w:left w:val="single" w:sz="4" w:space="0" w:color="auto"/>
              <w:bottom w:val="single" w:sz="4" w:space="0" w:color="auto"/>
              <w:right w:val="single" w:sz="4" w:space="0" w:color="auto"/>
            </w:tcBorders>
            <w:vAlign w:val="center"/>
            <w:hideMark/>
          </w:tcPr>
          <w:p w:rsidR="00A84CF7" w:rsidRPr="00A84CF7" w:rsidRDefault="00A84CF7" w:rsidP="00E9221E">
            <w:pPr>
              <w:pStyle w:val="ad"/>
              <w:jc w:val="center"/>
              <w:rPr>
                <w:rFonts w:asciiTheme="majorHAnsi" w:hAnsiTheme="majorHAnsi"/>
                <w:szCs w:val="20"/>
                <w:lang w:val="en-US"/>
              </w:rPr>
            </w:pPr>
            <w:r w:rsidRPr="00A84CF7">
              <w:rPr>
                <w:rFonts w:asciiTheme="majorHAnsi" w:hAnsiTheme="majorHAnsi"/>
                <w:szCs w:val="20"/>
              </w:rPr>
              <w:t>38</w:t>
            </w:r>
          </w:p>
        </w:tc>
        <w:tc>
          <w:tcPr>
            <w:tcW w:w="1772" w:type="dxa"/>
            <w:tcBorders>
              <w:top w:val="single" w:sz="4" w:space="0" w:color="auto"/>
              <w:left w:val="single" w:sz="4" w:space="0" w:color="auto"/>
              <w:bottom w:val="single" w:sz="4" w:space="0" w:color="auto"/>
              <w:right w:val="single" w:sz="4" w:space="0" w:color="auto"/>
            </w:tcBorders>
            <w:vAlign w:val="center"/>
          </w:tcPr>
          <w:p w:rsidR="00A84CF7" w:rsidRPr="00A84CF7" w:rsidRDefault="00A84CF7" w:rsidP="00E9221E">
            <w:pPr>
              <w:pStyle w:val="ad"/>
              <w:jc w:val="center"/>
              <w:rPr>
                <w:rFonts w:asciiTheme="majorHAnsi" w:hAnsiTheme="majorHAnsi"/>
                <w:szCs w:val="20"/>
                <w:lang w:val="en-US"/>
              </w:rPr>
            </w:pPr>
            <w:r w:rsidRPr="00A84CF7">
              <w:rPr>
                <w:rFonts w:asciiTheme="majorHAnsi" w:hAnsiTheme="majorHAnsi"/>
                <w:szCs w:val="20"/>
              </w:rPr>
              <w:t>9</w:t>
            </w:r>
            <w:r w:rsidRPr="00A84CF7">
              <w:rPr>
                <w:rFonts w:asciiTheme="majorHAnsi" w:hAnsiTheme="majorHAnsi"/>
                <w:szCs w:val="20"/>
                <w:lang w:val="en-US"/>
              </w:rPr>
              <w:t>3</w:t>
            </w:r>
          </w:p>
        </w:tc>
      </w:tr>
    </w:tbl>
    <w:p w:rsidR="00A84CF7" w:rsidRDefault="00A84CF7" w:rsidP="00A84CF7"/>
    <w:p w:rsidR="00A84CF7" w:rsidRPr="00A84CF7" w:rsidRDefault="00A84CF7" w:rsidP="00A84CF7">
      <w:pPr>
        <w:spacing w:after="200" w:line="276" w:lineRule="auto"/>
        <w:jc w:val="both"/>
        <w:rPr>
          <w:b/>
        </w:rPr>
      </w:pPr>
      <w:r w:rsidRPr="00A84CF7">
        <w:rPr>
          <w:b/>
        </w:rPr>
        <w:t>Краткосрочная мобильность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843"/>
        <w:gridCol w:w="1559"/>
        <w:gridCol w:w="1772"/>
        <w:gridCol w:w="1772"/>
      </w:tblGrid>
      <w:tr w:rsidR="00A84CF7" w:rsidRPr="00A84CF7" w:rsidTr="00E9221E">
        <w:trPr>
          <w:trHeight w:val="430"/>
        </w:trPr>
        <w:tc>
          <w:tcPr>
            <w:tcW w:w="2518" w:type="dxa"/>
            <w:vMerge w:val="restart"/>
            <w:tcBorders>
              <w:top w:val="single" w:sz="4" w:space="0" w:color="auto"/>
              <w:left w:val="single" w:sz="4" w:space="0" w:color="auto"/>
              <w:right w:val="single" w:sz="4" w:space="0" w:color="auto"/>
            </w:tcBorders>
            <w:vAlign w:val="center"/>
            <w:hideMark/>
          </w:tcPr>
          <w:p w:rsidR="00A84CF7" w:rsidRPr="00A84CF7" w:rsidRDefault="00A84CF7" w:rsidP="00E9221E">
            <w:pPr>
              <w:pStyle w:val="ad"/>
              <w:rPr>
                <w:rFonts w:asciiTheme="majorHAnsi" w:hAnsiTheme="majorHAnsi"/>
                <w:szCs w:val="20"/>
              </w:rPr>
            </w:pPr>
          </w:p>
          <w:p w:rsidR="00A84CF7" w:rsidRPr="00A84CF7" w:rsidRDefault="00A84CF7" w:rsidP="00E9221E">
            <w:pPr>
              <w:pStyle w:val="ad"/>
              <w:rPr>
                <w:rFonts w:asciiTheme="majorHAnsi" w:hAnsiTheme="majorHAnsi"/>
                <w:szCs w:val="20"/>
              </w:rPr>
            </w:pP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A84CF7" w:rsidRPr="00A84CF7" w:rsidRDefault="00A84CF7" w:rsidP="00E9221E">
            <w:pPr>
              <w:pStyle w:val="ad"/>
              <w:jc w:val="center"/>
              <w:rPr>
                <w:rFonts w:asciiTheme="majorHAnsi" w:hAnsiTheme="majorHAnsi"/>
                <w:szCs w:val="20"/>
              </w:rPr>
            </w:pPr>
            <w:r w:rsidRPr="00A84CF7">
              <w:rPr>
                <w:rFonts w:asciiTheme="majorHAnsi" w:hAnsiTheme="majorHAnsi"/>
                <w:szCs w:val="20"/>
              </w:rPr>
              <w:t>Представлено,  количество заявок</w:t>
            </w:r>
          </w:p>
        </w:tc>
        <w:tc>
          <w:tcPr>
            <w:tcW w:w="3544" w:type="dxa"/>
            <w:gridSpan w:val="2"/>
            <w:tcBorders>
              <w:top w:val="single" w:sz="4" w:space="0" w:color="auto"/>
              <w:left w:val="single" w:sz="4" w:space="0" w:color="auto"/>
              <w:right w:val="single" w:sz="4" w:space="0" w:color="auto"/>
            </w:tcBorders>
            <w:vAlign w:val="center"/>
            <w:hideMark/>
          </w:tcPr>
          <w:p w:rsidR="00A84CF7" w:rsidRPr="00A84CF7" w:rsidRDefault="00A84CF7" w:rsidP="00E9221E">
            <w:pPr>
              <w:pStyle w:val="ad"/>
              <w:jc w:val="center"/>
              <w:rPr>
                <w:rFonts w:asciiTheme="majorHAnsi" w:hAnsiTheme="majorHAnsi"/>
                <w:szCs w:val="20"/>
              </w:rPr>
            </w:pPr>
            <w:r w:rsidRPr="00A84CF7">
              <w:rPr>
                <w:rFonts w:asciiTheme="majorHAnsi" w:hAnsiTheme="majorHAnsi"/>
                <w:szCs w:val="20"/>
              </w:rPr>
              <w:t>Поддержано, количество заявок</w:t>
            </w:r>
          </w:p>
        </w:tc>
      </w:tr>
      <w:tr w:rsidR="00A84CF7" w:rsidRPr="00A84CF7" w:rsidTr="00E9221E">
        <w:trPr>
          <w:trHeight w:val="430"/>
        </w:trPr>
        <w:tc>
          <w:tcPr>
            <w:tcW w:w="2518" w:type="dxa"/>
            <w:vMerge/>
            <w:tcBorders>
              <w:left w:val="single" w:sz="4" w:space="0" w:color="auto"/>
              <w:right w:val="single" w:sz="4" w:space="0" w:color="auto"/>
            </w:tcBorders>
            <w:vAlign w:val="center"/>
            <w:hideMark/>
          </w:tcPr>
          <w:p w:rsidR="00A84CF7" w:rsidRPr="00A84CF7" w:rsidRDefault="00A84CF7" w:rsidP="00E9221E">
            <w:pPr>
              <w:pStyle w:val="ad"/>
              <w:rPr>
                <w:rFonts w:asciiTheme="majorHAnsi" w:hAnsiTheme="majorHAnsi"/>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A84CF7" w:rsidRPr="00A84CF7" w:rsidRDefault="00A84CF7" w:rsidP="00E9221E">
            <w:pPr>
              <w:pStyle w:val="ad"/>
              <w:jc w:val="right"/>
              <w:rPr>
                <w:rFonts w:asciiTheme="majorHAnsi" w:hAnsiTheme="majorHAnsi"/>
                <w:szCs w:val="20"/>
              </w:rPr>
            </w:pPr>
            <w:r w:rsidRPr="00A84CF7">
              <w:rPr>
                <w:rFonts w:asciiTheme="majorHAnsi" w:hAnsiTheme="majorHAnsi"/>
                <w:szCs w:val="20"/>
              </w:rPr>
              <w:t xml:space="preserve">2011-12 </w:t>
            </w:r>
            <w:proofErr w:type="spellStart"/>
            <w:r w:rsidRPr="00A84CF7">
              <w:rPr>
                <w:rFonts w:asciiTheme="majorHAnsi" w:hAnsiTheme="majorHAnsi"/>
                <w:szCs w:val="20"/>
              </w:rPr>
              <w:t>уч.г</w:t>
            </w:r>
            <w:proofErr w:type="spellEnd"/>
            <w:r w:rsidRPr="00A84CF7">
              <w:rPr>
                <w:rFonts w:asciiTheme="majorHAnsi" w:hAnsiTheme="majorHAnsi"/>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A84CF7" w:rsidRPr="00A84CF7" w:rsidRDefault="00A84CF7" w:rsidP="00E9221E">
            <w:pPr>
              <w:pStyle w:val="ad"/>
              <w:jc w:val="both"/>
              <w:rPr>
                <w:rFonts w:asciiTheme="majorHAnsi" w:hAnsiTheme="majorHAnsi"/>
                <w:szCs w:val="20"/>
              </w:rPr>
            </w:pPr>
            <w:r w:rsidRPr="00A84CF7">
              <w:rPr>
                <w:rFonts w:asciiTheme="majorHAnsi" w:hAnsiTheme="majorHAnsi"/>
                <w:szCs w:val="20"/>
              </w:rPr>
              <w:t xml:space="preserve">2012-13 </w:t>
            </w:r>
            <w:proofErr w:type="spellStart"/>
            <w:r w:rsidRPr="00A84CF7">
              <w:rPr>
                <w:rFonts w:asciiTheme="majorHAnsi" w:hAnsiTheme="majorHAnsi"/>
                <w:szCs w:val="20"/>
              </w:rPr>
              <w:t>уч.г</w:t>
            </w:r>
            <w:proofErr w:type="spellEnd"/>
            <w:r w:rsidRPr="00A84CF7">
              <w:rPr>
                <w:rFonts w:asciiTheme="majorHAnsi" w:hAnsiTheme="majorHAnsi"/>
                <w:szCs w:val="20"/>
              </w:rPr>
              <w:t>.</w:t>
            </w:r>
          </w:p>
        </w:tc>
        <w:tc>
          <w:tcPr>
            <w:tcW w:w="1772" w:type="dxa"/>
            <w:tcBorders>
              <w:left w:val="single" w:sz="4" w:space="0" w:color="auto"/>
              <w:right w:val="single" w:sz="4" w:space="0" w:color="auto"/>
            </w:tcBorders>
            <w:vAlign w:val="center"/>
            <w:hideMark/>
          </w:tcPr>
          <w:p w:rsidR="00A84CF7" w:rsidRPr="00A84CF7" w:rsidRDefault="00A84CF7" w:rsidP="00E9221E">
            <w:pPr>
              <w:pStyle w:val="ad"/>
              <w:jc w:val="right"/>
              <w:rPr>
                <w:rFonts w:asciiTheme="majorHAnsi" w:hAnsiTheme="majorHAnsi"/>
                <w:szCs w:val="20"/>
              </w:rPr>
            </w:pPr>
            <w:r w:rsidRPr="00A84CF7">
              <w:rPr>
                <w:rFonts w:asciiTheme="majorHAnsi" w:hAnsiTheme="majorHAnsi"/>
                <w:szCs w:val="20"/>
              </w:rPr>
              <w:t xml:space="preserve">2011-12 </w:t>
            </w:r>
            <w:proofErr w:type="spellStart"/>
            <w:r w:rsidRPr="00A84CF7">
              <w:rPr>
                <w:rFonts w:asciiTheme="majorHAnsi" w:hAnsiTheme="majorHAnsi"/>
                <w:szCs w:val="20"/>
              </w:rPr>
              <w:t>уч.г</w:t>
            </w:r>
            <w:proofErr w:type="spellEnd"/>
            <w:r w:rsidRPr="00A84CF7">
              <w:rPr>
                <w:rFonts w:asciiTheme="majorHAnsi" w:hAnsiTheme="majorHAnsi"/>
                <w:szCs w:val="20"/>
              </w:rPr>
              <w:t>.</w:t>
            </w:r>
          </w:p>
        </w:tc>
        <w:tc>
          <w:tcPr>
            <w:tcW w:w="1772" w:type="dxa"/>
            <w:tcBorders>
              <w:left w:val="single" w:sz="4" w:space="0" w:color="auto"/>
              <w:right w:val="single" w:sz="4" w:space="0" w:color="auto"/>
            </w:tcBorders>
            <w:vAlign w:val="center"/>
          </w:tcPr>
          <w:p w:rsidR="00A84CF7" w:rsidRPr="00A84CF7" w:rsidRDefault="00A84CF7" w:rsidP="00E9221E">
            <w:pPr>
              <w:pStyle w:val="ad"/>
              <w:jc w:val="both"/>
              <w:rPr>
                <w:rFonts w:asciiTheme="majorHAnsi" w:hAnsiTheme="majorHAnsi"/>
                <w:szCs w:val="20"/>
              </w:rPr>
            </w:pPr>
            <w:r w:rsidRPr="00A84CF7">
              <w:rPr>
                <w:rFonts w:asciiTheme="majorHAnsi" w:hAnsiTheme="majorHAnsi"/>
                <w:szCs w:val="20"/>
              </w:rPr>
              <w:t xml:space="preserve">2012-13 </w:t>
            </w:r>
            <w:proofErr w:type="spellStart"/>
            <w:r w:rsidRPr="00A84CF7">
              <w:rPr>
                <w:rFonts w:asciiTheme="majorHAnsi" w:hAnsiTheme="majorHAnsi"/>
                <w:szCs w:val="20"/>
              </w:rPr>
              <w:t>уч.г</w:t>
            </w:r>
            <w:proofErr w:type="spellEnd"/>
            <w:r w:rsidRPr="00A84CF7">
              <w:rPr>
                <w:rFonts w:asciiTheme="majorHAnsi" w:hAnsiTheme="majorHAnsi"/>
                <w:szCs w:val="20"/>
              </w:rPr>
              <w:t>.</w:t>
            </w:r>
          </w:p>
        </w:tc>
      </w:tr>
      <w:tr w:rsidR="00A84CF7" w:rsidRPr="00A84CF7" w:rsidTr="00E9221E">
        <w:trPr>
          <w:trHeight w:val="305"/>
        </w:trPr>
        <w:tc>
          <w:tcPr>
            <w:tcW w:w="2518" w:type="dxa"/>
            <w:vMerge/>
            <w:tcBorders>
              <w:left w:val="single" w:sz="4" w:space="0" w:color="auto"/>
              <w:bottom w:val="single" w:sz="4" w:space="0" w:color="auto"/>
              <w:right w:val="single" w:sz="4" w:space="0" w:color="auto"/>
            </w:tcBorders>
            <w:vAlign w:val="center"/>
            <w:hideMark/>
          </w:tcPr>
          <w:p w:rsidR="00A84CF7" w:rsidRPr="00A84CF7" w:rsidRDefault="00A84CF7" w:rsidP="00E9221E">
            <w:pPr>
              <w:pStyle w:val="ad"/>
              <w:rPr>
                <w:rFonts w:asciiTheme="majorHAnsi" w:hAnsiTheme="majorHAnsi"/>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A84CF7" w:rsidRPr="00A84CF7" w:rsidRDefault="00A84CF7" w:rsidP="00E9221E">
            <w:pPr>
              <w:pStyle w:val="ad"/>
              <w:jc w:val="center"/>
              <w:rPr>
                <w:rFonts w:asciiTheme="majorHAnsi" w:hAnsiTheme="majorHAnsi"/>
                <w:szCs w:val="20"/>
              </w:rPr>
            </w:pPr>
            <w:r w:rsidRPr="00A84CF7">
              <w:rPr>
                <w:rFonts w:asciiTheme="majorHAnsi" w:hAnsiTheme="majorHAnsi"/>
                <w:b/>
                <w:szCs w:val="20"/>
              </w:rPr>
              <w:t>152</w:t>
            </w:r>
          </w:p>
        </w:tc>
        <w:tc>
          <w:tcPr>
            <w:tcW w:w="1559" w:type="dxa"/>
            <w:tcBorders>
              <w:top w:val="single" w:sz="4" w:space="0" w:color="auto"/>
              <w:left w:val="single" w:sz="4" w:space="0" w:color="auto"/>
              <w:bottom w:val="single" w:sz="4" w:space="0" w:color="auto"/>
              <w:right w:val="single" w:sz="4" w:space="0" w:color="auto"/>
            </w:tcBorders>
            <w:vAlign w:val="center"/>
          </w:tcPr>
          <w:p w:rsidR="00A84CF7" w:rsidRPr="00A84CF7" w:rsidRDefault="00A84CF7" w:rsidP="00E9221E">
            <w:pPr>
              <w:pStyle w:val="ad"/>
              <w:jc w:val="center"/>
              <w:rPr>
                <w:rFonts w:asciiTheme="majorHAnsi" w:hAnsiTheme="majorHAnsi"/>
                <w:szCs w:val="20"/>
              </w:rPr>
            </w:pPr>
            <w:r w:rsidRPr="00A84CF7">
              <w:rPr>
                <w:rFonts w:asciiTheme="majorHAnsi" w:hAnsiTheme="majorHAnsi"/>
                <w:b/>
                <w:szCs w:val="20"/>
              </w:rPr>
              <w:t>156</w:t>
            </w:r>
          </w:p>
        </w:tc>
        <w:tc>
          <w:tcPr>
            <w:tcW w:w="1772" w:type="dxa"/>
            <w:tcBorders>
              <w:left w:val="single" w:sz="4" w:space="0" w:color="auto"/>
              <w:bottom w:val="single" w:sz="4" w:space="0" w:color="auto"/>
              <w:right w:val="single" w:sz="4" w:space="0" w:color="auto"/>
            </w:tcBorders>
            <w:vAlign w:val="center"/>
            <w:hideMark/>
          </w:tcPr>
          <w:p w:rsidR="00A84CF7" w:rsidRPr="00A84CF7" w:rsidRDefault="00A84CF7" w:rsidP="00E9221E">
            <w:pPr>
              <w:pStyle w:val="ad"/>
              <w:jc w:val="center"/>
              <w:rPr>
                <w:rFonts w:asciiTheme="majorHAnsi" w:hAnsiTheme="majorHAnsi"/>
                <w:szCs w:val="20"/>
              </w:rPr>
            </w:pPr>
            <w:r w:rsidRPr="00A84CF7">
              <w:rPr>
                <w:rFonts w:asciiTheme="majorHAnsi" w:hAnsiTheme="majorHAnsi"/>
                <w:b/>
                <w:szCs w:val="20"/>
              </w:rPr>
              <w:t>86</w:t>
            </w:r>
          </w:p>
        </w:tc>
        <w:tc>
          <w:tcPr>
            <w:tcW w:w="1772" w:type="dxa"/>
            <w:tcBorders>
              <w:left w:val="single" w:sz="4" w:space="0" w:color="auto"/>
              <w:bottom w:val="single" w:sz="4" w:space="0" w:color="auto"/>
              <w:right w:val="single" w:sz="4" w:space="0" w:color="auto"/>
            </w:tcBorders>
            <w:vAlign w:val="center"/>
          </w:tcPr>
          <w:p w:rsidR="00A84CF7" w:rsidRPr="00A84CF7" w:rsidRDefault="00A84CF7" w:rsidP="00E9221E">
            <w:pPr>
              <w:pStyle w:val="ad"/>
              <w:jc w:val="center"/>
              <w:rPr>
                <w:rFonts w:asciiTheme="majorHAnsi" w:hAnsiTheme="majorHAnsi"/>
                <w:szCs w:val="20"/>
              </w:rPr>
            </w:pPr>
            <w:r w:rsidRPr="00A84CF7">
              <w:rPr>
                <w:rFonts w:asciiTheme="majorHAnsi" w:hAnsiTheme="majorHAnsi"/>
                <w:b/>
                <w:szCs w:val="20"/>
              </w:rPr>
              <w:t>108</w:t>
            </w:r>
          </w:p>
        </w:tc>
      </w:tr>
      <w:tr w:rsidR="00A84CF7" w:rsidRPr="00A84CF7" w:rsidTr="00E9221E">
        <w:tc>
          <w:tcPr>
            <w:tcW w:w="2518" w:type="dxa"/>
            <w:tcBorders>
              <w:top w:val="single" w:sz="4" w:space="0" w:color="auto"/>
              <w:left w:val="single" w:sz="4" w:space="0" w:color="auto"/>
              <w:bottom w:val="single" w:sz="4" w:space="0" w:color="auto"/>
              <w:right w:val="single" w:sz="4" w:space="0" w:color="auto"/>
            </w:tcBorders>
            <w:hideMark/>
          </w:tcPr>
          <w:p w:rsidR="00A84CF7" w:rsidRPr="00A84CF7" w:rsidRDefault="00A84CF7" w:rsidP="00E9221E">
            <w:pPr>
              <w:pStyle w:val="ad"/>
              <w:jc w:val="both"/>
              <w:rPr>
                <w:rFonts w:asciiTheme="majorHAnsi" w:hAnsiTheme="majorHAnsi"/>
                <w:i/>
                <w:szCs w:val="20"/>
              </w:rPr>
            </w:pPr>
            <w:r w:rsidRPr="00A84CF7">
              <w:rPr>
                <w:rFonts w:asciiTheme="majorHAnsi" w:hAnsiTheme="majorHAnsi"/>
                <w:i/>
                <w:szCs w:val="20"/>
              </w:rPr>
              <w:t>Летние школы</w:t>
            </w:r>
          </w:p>
        </w:tc>
        <w:tc>
          <w:tcPr>
            <w:tcW w:w="1843" w:type="dxa"/>
            <w:tcBorders>
              <w:top w:val="single" w:sz="4" w:space="0" w:color="auto"/>
              <w:left w:val="single" w:sz="4" w:space="0" w:color="auto"/>
              <w:bottom w:val="single" w:sz="4" w:space="0" w:color="auto"/>
              <w:right w:val="single" w:sz="4" w:space="0" w:color="auto"/>
            </w:tcBorders>
            <w:vAlign w:val="center"/>
            <w:hideMark/>
          </w:tcPr>
          <w:p w:rsidR="00A84CF7" w:rsidRPr="00A84CF7" w:rsidRDefault="00A84CF7" w:rsidP="00E9221E">
            <w:pPr>
              <w:pStyle w:val="ad"/>
              <w:jc w:val="center"/>
              <w:rPr>
                <w:rFonts w:asciiTheme="majorHAnsi" w:hAnsiTheme="majorHAnsi"/>
                <w:szCs w:val="20"/>
                <w:lang w:val="en-US"/>
              </w:rPr>
            </w:pPr>
            <w:r w:rsidRPr="00A84CF7">
              <w:rPr>
                <w:rFonts w:asciiTheme="majorHAnsi" w:hAnsiTheme="majorHAnsi"/>
                <w:szCs w:val="20"/>
              </w:rPr>
              <w:t>13</w:t>
            </w:r>
            <w:r w:rsidRPr="00A84CF7">
              <w:rPr>
                <w:rFonts w:asciiTheme="majorHAnsi" w:hAnsiTheme="majorHAnsi"/>
                <w:szCs w:val="20"/>
                <w:lang w:val="en-US"/>
              </w:rPr>
              <w:t>2</w:t>
            </w:r>
          </w:p>
        </w:tc>
        <w:tc>
          <w:tcPr>
            <w:tcW w:w="1559" w:type="dxa"/>
            <w:tcBorders>
              <w:top w:val="single" w:sz="4" w:space="0" w:color="auto"/>
              <w:left w:val="single" w:sz="4" w:space="0" w:color="auto"/>
              <w:bottom w:val="single" w:sz="4" w:space="0" w:color="auto"/>
              <w:right w:val="single" w:sz="4" w:space="0" w:color="auto"/>
            </w:tcBorders>
            <w:vAlign w:val="center"/>
          </w:tcPr>
          <w:p w:rsidR="00A84CF7" w:rsidRPr="00A84CF7" w:rsidRDefault="00A84CF7" w:rsidP="00E9221E">
            <w:pPr>
              <w:pStyle w:val="ad"/>
              <w:jc w:val="center"/>
              <w:rPr>
                <w:rFonts w:asciiTheme="majorHAnsi" w:hAnsiTheme="majorHAnsi"/>
                <w:szCs w:val="20"/>
                <w:lang w:val="en-US"/>
              </w:rPr>
            </w:pPr>
            <w:r w:rsidRPr="00A84CF7">
              <w:rPr>
                <w:rFonts w:asciiTheme="majorHAnsi" w:hAnsiTheme="majorHAnsi"/>
                <w:szCs w:val="20"/>
                <w:lang w:val="en-US"/>
              </w:rPr>
              <w:t>133</w:t>
            </w:r>
          </w:p>
        </w:tc>
        <w:tc>
          <w:tcPr>
            <w:tcW w:w="1772" w:type="dxa"/>
            <w:tcBorders>
              <w:top w:val="single" w:sz="4" w:space="0" w:color="auto"/>
              <w:left w:val="single" w:sz="4" w:space="0" w:color="auto"/>
              <w:bottom w:val="single" w:sz="4" w:space="0" w:color="auto"/>
              <w:right w:val="single" w:sz="4" w:space="0" w:color="auto"/>
            </w:tcBorders>
            <w:vAlign w:val="center"/>
            <w:hideMark/>
          </w:tcPr>
          <w:p w:rsidR="00A84CF7" w:rsidRPr="00A84CF7" w:rsidRDefault="00A84CF7" w:rsidP="00E9221E">
            <w:pPr>
              <w:pStyle w:val="ad"/>
              <w:jc w:val="center"/>
              <w:rPr>
                <w:rFonts w:asciiTheme="majorHAnsi" w:hAnsiTheme="majorHAnsi"/>
                <w:szCs w:val="20"/>
                <w:lang w:val="en-US"/>
              </w:rPr>
            </w:pPr>
            <w:r w:rsidRPr="00A84CF7">
              <w:rPr>
                <w:rFonts w:asciiTheme="majorHAnsi" w:hAnsiTheme="majorHAnsi"/>
                <w:szCs w:val="20"/>
                <w:lang w:val="en-US"/>
              </w:rPr>
              <w:t>71</w:t>
            </w:r>
            <w:r w:rsidRPr="00A84CF7">
              <w:rPr>
                <w:rFonts w:asciiTheme="majorHAnsi" w:hAnsiTheme="majorHAnsi"/>
                <w:szCs w:val="20"/>
              </w:rPr>
              <w:t xml:space="preserve"> </w:t>
            </w:r>
          </w:p>
        </w:tc>
        <w:tc>
          <w:tcPr>
            <w:tcW w:w="1772" w:type="dxa"/>
            <w:tcBorders>
              <w:top w:val="single" w:sz="4" w:space="0" w:color="auto"/>
              <w:left w:val="single" w:sz="4" w:space="0" w:color="auto"/>
              <w:bottom w:val="single" w:sz="4" w:space="0" w:color="auto"/>
              <w:right w:val="single" w:sz="4" w:space="0" w:color="auto"/>
            </w:tcBorders>
            <w:vAlign w:val="center"/>
          </w:tcPr>
          <w:p w:rsidR="00A84CF7" w:rsidRPr="00A84CF7" w:rsidRDefault="00A84CF7" w:rsidP="00E9221E">
            <w:pPr>
              <w:pStyle w:val="ad"/>
              <w:jc w:val="center"/>
              <w:rPr>
                <w:rFonts w:asciiTheme="majorHAnsi" w:hAnsiTheme="majorHAnsi"/>
                <w:szCs w:val="20"/>
                <w:lang w:val="en-US"/>
              </w:rPr>
            </w:pPr>
            <w:r w:rsidRPr="00A84CF7">
              <w:rPr>
                <w:rFonts w:asciiTheme="majorHAnsi" w:hAnsiTheme="majorHAnsi"/>
                <w:szCs w:val="20"/>
                <w:lang w:val="en-US"/>
              </w:rPr>
              <w:t>95</w:t>
            </w:r>
          </w:p>
        </w:tc>
      </w:tr>
      <w:tr w:rsidR="00A84CF7" w:rsidRPr="00A84CF7" w:rsidTr="00E9221E">
        <w:tc>
          <w:tcPr>
            <w:tcW w:w="2518" w:type="dxa"/>
            <w:tcBorders>
              <w:top w:val="single" w:sz="4" w:space="0" w:color="auto"/>
              <w:left w:val="single" w:sz="4" w:space="0" w:color="auto"/>
              <w:bottom w:val="single" w:sz="4" w:space="0" w:color="auto"/>
              <w:right w:val="single" w:sz="4" w:space="0" w:color="auto"/>
            </w:tcBorders>
            <w:hideMark/>
          </w:tcPr>
          <w:p w:rsidR="00A84CF7" w:rsidRPr="00A84CF7" w:rsidRDefault="00A84CF7" w:rsidP="00E9221E">
            <w:pPr>
              <w:pStyle w:val="ad"/>
              <w:rPr>
                <w:rFonts w:asciiTheme="majorHAnsi" w:hAnsiTheme="majorHAnsi"/>
                <w:i/>
                <w:szCs w:val="20"/>
              </w:rPr>
            </w:pPr>
            <w:r w:rsidRPr="00A84CF7">
              <w:rPr>
                <w:rFonts w:asciiTheme="majorHAnsi" w:hAnsiTheme="majorHAnsi"/>
                <w:i/>
                <w:szCs w:val="20"/>
              </w:rPr>
              <w:t xml:space="preserve">Научно-образовательные семинары и исследовательские стажировки </w:t>
            </w:r>
          </w:p>
        </w:tc>
        <w:tc>
          <w:tcPr>
            <w:tcW w:w="1843" w:type="dxa"/>
            <w:tcBorders>
              <w:top w:val="single" w:sz="4" w:space="0" w:color="auto"/>
              <w:left w:val="single" w:sz="4" w:space="0" w:color="auto"/>
              <w:bottom w:val="single" w:sz="4" w:space="0" w:color="auto"/>
              <w:right w:val="single" w:sz="4" w:space="0" w:color="auto"/>
            </w:tcBorders>
            <w:vAlign w:val="center"/>
            <w:hideMark/>
          </w:tcPr>
          <w:p w:rsidR="00A84CF7" w:rsidRPr="00A84CF7" w:rsidRDefault="00A84CF7" w:rsidP="00E9221E">
            <w:pPr>
              <w:pStyle w:val="ad"/>
              <w:jc w:val="center"/>
              <w:rPr>
                <w:rFonts w:asciiTheme="majorHAnsi" w:hAnsiTheme="majorHAnsi"/>
                <w:szCs w:val="20"/>
                <w:lang w:val="en-US"/>
              </w:rPr>
            </w:pPr>
            <w:r w:rsidRPr="00A84CF7">
              <w:rPr>
                <w:rFonts w:asciiTheme="majorHAnsi" w:hAnsiTheme="majorHAnsi"/>
                <w:szCs w:val="20"/>
                <w:lang w:val="en-US"/>
              </w:rPr>
              <w:t>16</w:t>
            </w:r>
          </w:p>
        </w:tc>
        <w:tc>
          <w:tcPr>
            <w:tcW w:w="1559" w:type="dxa"/>
            <w:tcBorders>
              <w:top w:val="single" w:sz="4" w:space="0" w:color="auto"/>
              <w:left w:val="single" w:sz="4" w:space="0" w:color="auto"/>
              <w:bottom w:val="single" w:sz="4" w:space="0" w:color="auto"/>
              <w:right w:val="single" w:sz="4" w:space="0" w:color="auto"/>
            </w:tcBorders>
            <w:vAlign w:val="center"/>
          </w:tcPr>
          <w:p w:rsidR="00A84CF7" w:rsidRPr="00A84CF7" w:rsidRDefault="00A84CF7" w:rsidP="00E9221E">
            <w:pPr>
              <w:pStyle w:val="ad"/>
              <w:jc w:val="center"/>
              <w:rPr>
                <w:rFonts w:asciiTheme="majorHAnsi" w:hAnsiTheme="majorHAnsi"/>
                <w:szCs w:val="20"/>
                <w:lang w:val="en-US"/>
              </w:rPr>
            </w:pPr>
            <w:r w:rsidRPr="00A84CF7">
              <w:rPr>
                <w:rFonts w:asciiTheme="majorHAnsi" w:hAnsiTheme="majorHAnsi"/>
                <w:szCs w:val="20"/>
                <w:lang w:val="en-US"/>
              </w:rPr>
              <w:t>20</w:t>
            </w:r>
          </w:p>
        </w:tc>
        <w:tc>
          <w:tcPr>
            <w:tcW w:w="1772" w:type="dxa"/>
            <w:tcBorders>
              <w:top w:val="single" w:sz="4" w:space="0" w:color="auto"/>
              <w:left w:val="single" w:sz="4" w:space="0" w:color="auto"/>
              <w:bottom w:val="single" w:sz="4" w:space="0" w:color="auto"/>
              <w:right w:val="single" w:sz="4" w:space="0" w:color="auto"/>
            </w:tcBorders>
            <w:vAlign w:val="center"/>
            <w:hideMark/>
          </w:tcPr>
          <w:p w:rsidR="00A84CF7" w:rsidRPr="00A84CF7" w:rsidRDefault="00A84CF7" w:rsidP="00E9221E">
            <w:pPr>
              <w:pStyle w:val="ad"/>
              <w:jc w:val="center"/>
              <w:rPr>
                <w:rFonts w:asciiTheme="majorHAnsi" w:hAnsiTheme="majorHAnsi"/>
                <w:szCs w:val="20"/>
                <w:lang w:val="en-US"/>
              </w:rPr>
            </w:pPr>
            <w:r w:rsidRPr="00A84CF7">
              <w:rPr>
                <w:rFonts w:asciiTheme="majorHAnsi" w:hAnsiTheme="majorHAnsi"/>
                <w:szCs w:val="20"/>
                <w:lang w:val="en-US"/>
              </w:rPr>
              <w:t>12</w:t>
            </w:r>
          </w:p>
        </w:tc>
        <w:tc>
          <w:tcPr>
            <w:tcW w:w="1772" w:type="dxa"/>
            <w:tcBorders>
              <w:top w:val="single" w:sz="4" w:space="0" w:color="auto"/>
              <w:left w:val="single" w:sz="4" w:space="0" w:color="auto"/>
              <w:bottom w:val="single" w:sz="4" w:space="0" w:color="auto"/>
              <w:right w:val="single" w:sz="4" w:space="0" w:color="auto"/>
            </w:tcBorders>
            <w:vAlign w:val="center"/>
          </w:tcPr>
          <w:p w:rsidR="00A84CF7" w:rsidRPr="00A84CF7" w:rsidRDefault="00A84CF7" w:rsidP="00E9221E">
            <w:pPr>
              <w:pStyle w:val="ad"/>
              <w:jc w:val="center"/>
              <w:rPr>
                <w:rFonts w:asciiTheme="majorHAnsi" w:hAnsiTheme="majorHAnsi"/>
                <w:szCs w:val="20"/>
                <w:lang w:val="en-US"/>
              </w:rPr>
            </w:pPr>
            <w:r w:rsidRPr="00A84CF7">
              <w:rPr>
                <w:rFonts w:asciiTheme="majorHAnsi" w:hAnsiTheme="majorHAnsi"/>
                <w:szCs w:val="20"/>
              </w:rPr>
              <w:t>1</w:t>
            </w:r>
            <w:r w:rsidRPr="00A84CF7">
              <w:rPr>
                <w:rFonts w:asciiTheme="majorHAnsi" w:hAnsiTheme="majorHAnsi"/>
                <w:szCs w:val="20"/>
                <w:lang w:val="en-US"/>
              </w:rPr>
              <w:t>0</w:t>
            </w:r>
          </w:p>
        </w:tc>
      </w:tr>
      <w:tr w:rsidR="00A84CF7" w:rsidRPr="00A84CF7" w:rsidTr="00E9221E">
        <w:tc>
          <w:tcPr>
            <w:tcW w:w="2518" w:type="dxa"/>
            <w:tcBorders>
              <w:top w:val="single" w:sz="4" w:space="0" w:color="auto"/>
              <w:left w:val="single" w:sz="4" w:space="0" w:color="auto"/>
              <w:bottom w:val="single" w:sz="4" w:space="0" w:color="auto"/>
              <w:right w:val="single" w:sz="4" w:space="0" w:color="auto"/>
            </w:tcBorders>
            <w:hideMark/>
          </w:tcPr>
          <w:p w:rsidR="00A84CF7" w:rsidRPr="00A84CF7" w:rsidRDefault="00A84CF7" w:rsidP="00E9221E">
            <w:pPr>
              <w:pStyle w:val="ad"/>
              <w:jc w:val="both"/>
              <w:rPr>
                <w:rFonts w:asciiTheme="majorHAnsi" w:hAnsiTheme="majorHAnsi"/>
                <w:i/>
                <w:szCs w:val="20"/>
              </w:rPr>
            </w:pPr>
            <w:r w:rsidRPr="00A84CF7">
              <w:rPr>
                <w:rFonts w:asciiTheme="majorHAnsi" w:hAnsiTheme="majorHAnsi"/>
                <w:i/>
                <w:szCs w:val="20"/>
              </w:rPr>
              <w:t>Преддипломная практика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A84CF7" w:rsidRPr="00A84CF7" w:rsidRDefault="00A84CF7" w:rsidP="00E9221E">
            <w:pPr>
              <w:pStyle w:val="ad"/>
              <w:jc w:val="center"/>
              <w:rPr>
                <w:rFonts w:asciiTheme="majorHAnsi" w:hAnsiTheme="majorHAnsi"/>
                <w:szCs w:val="20"/>
                <w:lang w:val="en-US"/>
              </w:rPr>
            </w:pPr>
            <w:r w:rsidRPr="00A84CF7">
              <w:rPr>
                <w:rFonts w:asciiTheme="majorHAnsi" w:hAnsiTheme="majorHAnsi"/>
                <w:szCs w:val="20"/>
                <w:lang w:val="en-US"/>
              </w:rPr>
              <w:t>4</w:t>
            </w:r>
          </w:p>
        </w:tc>
        <w:tc>
          <w:tcPr>
            <w:tcW w:w="1559" w:type="dxa"/>
            <w:tcBorders>
              <w:top w:val="single" w:sz="4" w:space="0" w:color="auto"/>
              <w:left w:val="single" w:sz="4" w:space="0" w:color="auto"/>
              <w:bottom w:val="single" w:sz="4" w:space="0" w:color="auto"/>
              <w:right w:val="single" w:sz="4" w:space="0" w:color="auto"/>
            </w:tcBorders>
            <w:vAlign w:val="center"/>
          </w:tcPr>
          <w:p w:rsidR="00A84CF7" w:rsidRPr="00A84CF7" w:rsidRDefault="00A84CF7" w:rsidP="00E9221E">
            <w:pPr>
              <w:pStyle w:val="ad"/>
              <w:jc w:val="center"/>
              <w:rPr>
                <w:rFonts w:asciiTheme="majorHAnsi" w:hAnsiTheme="majorHAnsi"/>
                <w:szCs w:val="20"/>
                <w:lang w:val="en-US"/>
              </w:rPr>
            </w:pPr>
            <w:r w:rsidRPr="00A84CF7">
              <w:rPr>
                <w:rFonts w:asciiTheme="majorHAnsi" w:hAnsiTheme="majorHAnsi"/>
                <w:szCs w:val="20"/>
                <w:lang w:val="en-US"/>
              </w:rPr>
              <w:t>3</w:t>
            </w:r>
          </w:p>
        </w:tc>
        <w:tc>
          <w:tcPr>
            <w:tcW w:w="1772" w:type="dxa"/>
            <w:tcBorders>
              <w:top w:val="single" w:sz="4" w:space="0" w:color="auto"/>
              <w:left w:val="single" w:sz="4" w:space="0" w:color="auto"/>
              <w:bottom w:val="single" w:sz="4" w:space="0" w:color="auto"/>
              <w:right w:val="single" w:sz="4" w:space="0" w:color="auto"/>
            </w:tcBorders>
            <w:vAlign w:val="center"/>
            <w:hideMark/>
          </w:tcPr>
          <w:p w:rsidR="00A84CF7" w:rsidRPr="00A84CF7" w:rsidRDefault="00A84CF7" w:rsidP="00E9221E">
            <w:pPr>
              <w:pStyle w:val="ad"/>
              <w:jc w:val="center"/>
              <w:rPr>
                <w:rFonts w:asciiTheme="majorHAnsi" w:hAnsiTheme="majorHAnsi"/>
                <w:szCs w:val="20"/>
              </w:rPr>
            </w:pPr>
            <w:r w:rsidRPr="00A84CF7">
              <w:rPr>
                <w:rFonts w:asciiTheme="majorHAnsi" w:hAnsiTheme="majorHAnsi"/>
                <w:szCs w:val="20"/>
              </w:rPr>
              <w:t>3</w:t>
            </w:r>
          </w:p>
        </w:tc>
        <w:tc>
          <w:tcPr>
            <w:tcW w:w="1772" w:type="dxa"/>
            <w:tcBorders>
              <w:top w:val="single" w:sz="4" w:space="0" w:color="auto"/>
              <w:left w:val="single" w:sz="4" w:space="0" w:color="auto"/>
              <w:bottom w:val="single" w:sz="4" w:space="0" w:color="auto"/>
              <w:right w:val="single" w:sz="4" w:space="0" w:color="auto"/>
            </w:tcBorders>
            <w:vAlign w:val="center"/>
          </w:tcPr>
          <w:p w:rsidR="00A84CF7" w:rsidRPr="00A84CF7" w:rsidRDefault="00A84CF7" w:rsidP="00E9221E">
            <w:pPr>
              <w:pStyle w:val="ad"/>
              <w:jc w:val="center"/>
              <w:rPr>
                <w:rFonts w:asciiTheme="majorHAnsi" w:hAnsiTheme="majorHAnsi"/>
                <w:szCs w:val="20"/>
              </w:rPr>
            </w:pPr>
            <w:r w:rsidRPr="00A84CF7">
              <w:rPr>
                <w:rFonts w:asciiTheme="majorHAnsi" w:hAnsiTheme="majorHAnsi"/>
                <w:szCs w:val="20"/>
              </w:rPr>
              <w:t>3</w:t>
            </w:r>
          </w:p>
        </w:tc>
      </w:tr>
    </w:tbl>
    <w:p w:rsidR="00A84CF7" w:rsidRPr="00916645" w:rsidRDefault="00A84CF7" w:rsidP="00A84CF7">
      <w:pPr>
        <w:pStyle w:val="ad"/>
        <w:jc w:val="both"/>
        <w:rPr>
          <w:rFonts w:ascii="Palatino Linotype" w:hAnsi="Palatino Linotype"/>
        </w:rPr>
      </w:pPr>
    </w:p>
    <w:p w:rsidR="00A84CF7" w:rsidRPr="00A84CF7" w:rsidRDefault="00A84CF7" w:rsidP="00E9221E">
      <w:pPr>
        <w:spacing w:after="200" w:line="276" w:lineRule="auto"/>
        <w:jc w:val="both"/>
      </w:pPr>
      <w:r w:rsidRPr="00A84CF7">
        <w:t xml:space="preserve">Финансирование (со-финансирование) международной академической мобильности в 2012-2013 учебном году было предоставлено студентам НИУ ВШЭ в рамках программы </w:t>
      </w:r>
      <w:proofErr w:type="spellStart"/>
      <w:r w:rsidRPr="00A84CF7">
        <w:t>Triple</w:t>
      </w:r>
      <w:proofErr w:type="spellEnd"/>
      <w:r w:rsidRPr="00A84CF7">
        <w:t xml:space="preserve"> I (</w:t>
      </w:r>
      <w:proofErr w:type="spellStart"/>
      <w:r w:rsidRPr="00A84CF7">
        <w:t>Erasmus</w:t>
      </w:r>
      <w:proofErr w:type="spellEnd"/>
      <w:r w:rsidRPr="00A84CF7">
        <w:t xml:space="preserve"> </w:t>
      </w:r>
      <w:proofErr w:type="spellStart"/>
      <w:r w:rsidRPr="00A84CF7">
        <w:t>Mundus</w:t>
      </w:r>
      <w:proofErr w:type="spellEnd"/>
      <w:r w:rsidRPr="00A84CF7">
        <w:t xml:space="preserve">), участником которой является НИУ ВШЭ; университетом </w:t>
      </w:r>
      <w:proofErr w:type="spellStart"/>
      <w:r w:rsidRPr="00A84CF7">
        <w:t>Эйндховена</w:t>
      </w:r>
      <w:proofErr w:type="spellEnd"/>
      <w:r w:rsidRPr="00A84CF7">
        <w:t xml:space="preserve"> в рамках программы двойного диплома по программной инженерии; РЭШ в рамках программы совместного </w:t>
      </w:r>
      <w:proofErr w:type="spellStart"/>
      <w:r w:rsidRPr="00A84CF7">
        <w:t>бакалавриата</w:t>
      </w:r>
      <w:proofErr w:type="spellEnd"/>
      <w:r w:rsidRPr="00A84CF7">
        <w:t xml:space="preserve"> и др. Для участия в программах международной мобильности студенты НИУ ВШЭ также смогли получить стипендии правительства Франции, правительства Китая, ДААД, </w:t>
      </w:r>
      <w:proofErr w:type="spellStart"/>
      <w:r w:rsidRPr="00A84CF7">
        <w:t>Нуффик</w:t>
      </w:r>
      <w:proofErr w:type="spellEnd"/>
      <w:r w:rsidRPr="00A84CF7">
        <w:t xml:space="preserve"> и др. </w:t>
      </w:r>
    </w:p>
    <w:p w:rsidR="004D7210" w:rsidRPr="00B1611E" w:rsidRDefault="004D7210" w:rsidP="004D7210">
      <w:pPr>
        <w:pStyle w:val="2"/>
        <w:numPr>
          <w:ilvl w:val="1"/>
          <w:numId w:val="1"/>
        </w:numPr>
        <w:jc w:val="both"/>
        <w:rPr>
          <w:rFonts w:asciiTheme="minorHAnsi" w:hAnsiTheme="minorHAnsi" w:cstheme="minorHAnsi"/>
        </w:rPr>
      </w:pPr>
      <w:bookmarkStart w:id="50" w:name="_Toc374030068"/>
      <w:r>
        <w:t xml:space="preserve">Обучение студентов МИЭФ на международных образовательных </w:t>
      </w:r>
      <w:proofErr w:type="gramStart"/>
      <w:r>
        <w:t>программах</w:t>
      </w:r>
      <w:bookmarkEnd w:id="50"/>
      <w:proofErr w:type="gramEnd"/>
    </w:p>
    <w:p w:rsidR="004D7210" w:rsidRPr="00D42B8B" w:rsidRDefault="004D7210" w:rsidP="004D7210">
      <w:pPr>
        <w:spacing w:after="200" w:line="276" w:lineRule="auto"/>
        <w:jc w:val="both"/>
      </w:pPr>
      <w:r w:rsidRPr="00D42B8B">
        <w:t xml:space="preserve">С 1997 года МИЭФ реализует программу двух дипломов НИУ ВШЭ и Лондонского университета (ЛУ). За это время данную программу закончило 826 студентов МИЭФ, в том числе 100 в 2012 - 2013 учебном году (диплом ЛУ получили в 2013 году 107 студентов МИЭФ). </w:t>
      </w:r>
    </w:p>
    <w:p w:rsidR="004D7210" w:rsidRPr="00D42B8B" w:rsidRDefault="004D7210" w:rsidP="004D7210">
      <w:pPr>
        <w:spacing w:after="200" w:line="276" w:lineRule="auto"/>
        <w:jc w:val="both"/>
      </w:pPr>
      <w:r w:rsidRPr="00D42B8B">
        <w:t>С 2007 года в МИЭФ работает созданная с участием Лондонской школы экономики и политических наук магистерская программа «Финансовая экономика»,  уже более 96 выпускников которой (16 – в 2013 году) получили диплом НИУ ВШЭ и письмо-сертификат, подписанный Ректором НИУ ВШЭ и Директором ЛШЭ.</w:t>
      </w:r>
    </w:p>
    <w:p w:rsidR="004D7210" w:rsidRPr="00607CB7" w:rsidRDefault="004D7210" w:rsidP="004D7210">
      <w:pPr>
        <w:spacing w:after="200" w:line="276" w:lineRule="auto"/>
        <w:jc w:val="both"/>
      </w:pPr>
      <w:r w:rsidRPr="00607CB7">
        <w:t xml:space="preserve">Следующая диаграмма демонстрирует динамику численности и соотношение </w:t>
      </w:r>
      <w:proofErr w:type="gramStart"/>
      <w:r w:rsidRPr="00607CB7">
        <w:t>степеней отличия дипломов выпускников программы двойных дипломов</w:t>
      </w:r>
      <w:proofErr w:type="gramEnd"/>
      <w:r w:rsidRPr="00607CB7">
        <w:t xml:space="preserve"> НИУ ВШЭ (МИЭФ) и Лондонского университета с 2001 по 2013 год: </w:t>
      </w:r>
    </w:p>
    <w:p w:rsidR="004D7210" w:rsidRDefault="004D7210" w:rsidP="004D7210">
      <w:pPr>
        <w:pStyle w:val="ad"/>
        <w:jc w:val="both"/>
        <w:rPr>
          <w:rFonts w:ascii="Times New Roman" w:hAnsi="Times New Roman"/>
        </w:rPr>
      </w:pPr>
      <w:r>
        <w:rPr>
          <w:rFonts w:ascii="Times New Roman" w:hAnsi="Times New Roman"/>
          <w:noProof/>
        </w:rPr>
        <w:lastRenderedPageBreak/>
        <w:drawing>
          <wp:inline distT="0" distB="0" distL="0" distR="0" wp14:anchorId="5DD4D34E" wp14:editId="48BB34C5">
            <wp:extent cx="4125951" cy="2712288"/>
            <wp:effectExtent l="0" t="0" r="8255" b="0"/>
            <wp:docPr id="7" name="Рисунок 1" descr="C:\Documents and Settings\skonyshev\Рабочий стол\11111111ЫВПА6ОШГ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konyshev\Рабочий стол\11111111ЫВПА6ОШГЕ1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43155" cy="2723597"/>
                    </a:xfrm>
                    <a:prstGeom prst="rect">
                      <a:avLst/>
                    </a:prstGeom>
                    <a:noFill/>
                    <a:ln>
                      <a:noFill/>
                    </a:ln>
                  </pic:spPr>
                </pic:pic>
              </a:graphicData>
            </a:graphic>
          </wp:inline>
        </w:drawing>
      </w:r>
    </w:p>
    <w:p w:rsidR="004D7210" w:rsidRPr="00607CB7" w:rsidRDefault="004D7210" w:rsidP="004D7210">
      <w:pPr>
        <w:pStyle w:val="ad"/>
        <w:jc w:val="both"/>
        <w:rPr>
          <w:rFonts w:asciiTheme="minorHAnsi" w:hAnsiTheme="minorHAnsi" w:cstheme="minorHAnsi"/>
          <w:sz w:val="28"/>
          <w:szCs w:val="28"/>
        </w:rPr>
      </w:pPr>
    </w:p>
    <w:p w:rsidR="004D7210" w:rsidRPr="00607CB7" w:rsidRDefault="004D7210" w:rsidP="004D7210">
      <w:pPr>
        <w:pStyle w:val="ad"/>
        <w:jc w:val="both"/>
        <w:rPr>
          <w:rFonts w:asciiTheme="minorHAnsi" w:hAnsiTheme="minorHAnsi" w:cstheme="minorHAnsi"/>
          <w:sz w:val="28"/>
          <w:szCs w:val="28"/>
        </w:rPr>
      </w:pPr>
    </w:p>
    <w:p w:rsidR="004D7210" w:rsidRPr="00D42B8B" w:rsidRDefault="004D7210" w:rsidP="004D7210">
      <w:pPr>
        <w:spacing w:after="200" w:line="276" w:lineRule="auto"/>
        <w:jc w:val="both"/>
      </w:pPr>
      <w:r w:rsidRPr="00D42B8B">
        <w:t xml:space="preserve">В 2013 году 95 выпускников </w:t>
      </w:r>
      <w:proofErr w:type="spellStart"/>
      <w:r w:rsidRPr="00D42B8B">
        <w:t>бакалавриата</w:t>
      </w:r>
      <w:proofErr w:type="spellEnd"/>
      <w:r w:rsidRPr="00D42B8B">
        <w:t xml:space="preserve"> МИЭФ (или 89%, - наивысший показатель за годы работы Института) получили дипломы Лондонского университета</w:t>
      </w:r>
      <w:r w:rsidRPr="00D42B8B">
        <w:rPr>
          <w:vertAlign w:val="superscript"/>
        </w:rPr>
        <w:footnoteReference w:id="24"/>
      </w:r>
      <w:r w:rsidRPr="00D42B8B">
        <w:t xml:space="preserve"> с отличием первой и второй степени. Это является одним из лучших результатов среди всех университетов мира, участвующих в Международной программе ЛУ. Выпускники МИЭФ, составляющие около 3% всех выпускников  бакалаврской программы ЛУ по экономике, финансам, менеджменту и общественным дисциплинам в 2013 году, получили 19% всех дипломов с отличием первой степени. Кроме того, 14 студентов МИЭФ были отмечены специальными призами и 3 - похвальными письмами за наивысшие академические достижения по программе Лондонского университета; 13 студентов получили наивысшие в мире индивидуальные оценки по отдельным предметам.</w:t>
      </w:r>
    </w:p>
    <w:p w:rsidR="004D7210" w:rsidRPr="00D42B8B" w:rsidRDefault="004D7210" w:rsidP="004D7210">
      <w:pPr>
        <w:spacing w:after="200" w:line="276" w:lineRule="auto"/>
        <w:jc w:val="both"/>
      </w:pPr>
      <w:r>
        <w:t>Соотношение между средними оценками студентов МИЭФ и остальных студентов Лондонского университета по результатам экзаменов ЛУ в 2013 году показано на диаграмме. По большинству основных предметов оценки студентов МИЭФ значимо превышают оценки других студентов программы.</w:t>
      </w:r>
    </w:p>
    <w:p w:rsidR="004D7210" w:rsidRPr="00607CB7" w:rsidRDefault="004D7210" w:rsidP="004D7210">
      <w:pPr>
        <w:pStyle w:val="ad"/>
        <w:jc w:val="both"/>
        <w:rPr>
          <w:rFonts w:asciiTheme="minorHAnsi" w:hAnsiTheme="minorHAnsi" w:cstheme="minorHAnsi"/>
          <w:sz w:val="28"/>
          <w:szCs w:val="28"/>
        </w:rPr>
      </w:pPr>
    </w:p>
    <w:p w:rsidR="004D7210" w:rsidRDefault="004D7210" w:rsidP="004D7210">
      <w:pPr>
        <w:pStyle w:val="ad"/>
        <w:jc w:val="both"/>
        <w:rPr>
          <w:sz w:val="28"/>
          <w:szCs w:val="28"/>
        </w:rPr>
      </w:pPr>
      <w:r>
        <w:rPr>
          <w:noProof/>
          <w:sz w:val="28"/>
          <w:szCs w:val="28"/>
        </w:rPr>
        <w:lastRenderedPageBreak/>
        <w:drawing>
          <wp:inline distT="0" distB="0" distL="0" distR="0" wp14:anchorId="50E456D0" wp14:editId="62E33CF5">
            <wp:extent cx="4059044" cy="2782041"/>
            <wp:effectExtent l="0" t="0" r="0" b="0"/>
            <wp:docPr id="8" name="Рисунок 2" descr="C:\Documents and Settings\skonyshev\Рабочий стол\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konyshev\Рабочий стол\1982.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63253" cy="2784926"/>
                    </a:xfrm>
                    <a:prstGeom prst="rect">
                      <a:avLst/>
                    </a:prstGeom>
                    <a:noFill/>
                    <a:ln>
                      <a:noFill/>
                    </a:ln>
                  </pic:spPr>
                </pic:pic>
              </a:graphicData>
            </a:graphic>
          </wp:inline>
        </w:drawing>
      </w:r>
    </w:p>
    <w:p w:rsidR="004D7210" w:rsidRDefault="004D7210" w:rsidP="004D7210">
      <w:pPr>
        <w:pStyle w:val="ad"/>
        <w:jc w:val="both"/>
        <w:rPr>
          <w:sz w:val="28"/>
          <w:szCs w:val="28"/>
        </w:rPr>
      </w:pPr>
    </w:p>
    <w:p w:rsidR="004D7210" w:rsidRDefault="004D7210" w:rsidP="004D7210">
      <w:pPr>
        <w:rPr>
          <w:rFonts w:asciiTheme="majorHAnsi" w:eastAsiaTheme="majorEastAsia" w:hAnsiTheme="majorHAnsi" w:cstheme="majorBidi"/>
          <w:b/>
          <w:bCs/>
          <w:color w:val="345A8A" w:themeColor="accent1" w:themeShade="B5"/>
          <w:sz w:val="32"/>
          <w:szCs w:val="32"/>
        </w:rPr>
      </w:pPr>
    </w:p>
    <w:p w:rsidR="00F358E4" w:rsidRDefault="00F358E4">
      <w:pPr>
        <w:rPr>
          <w:rFonts w:asciiTheme="majorHAnsi" w:eastAsiaTheme="majorEastAsia" w:hAnsiTheme="majorHAnsi" w:cstheme="majorBidi"/>
          <w:b/>
          <w:bCs/>
          <w:color w:val="345A8A" w:themeColor="accent1" w:themeShade="B5"/>
          <w:sz w:val="32"/>
          <w:szCs w:val="32"/>
        </w:rPr>
      </w:pPr>
      <w:r>
        <w:br w:type="page"/>
      </w:r>
    </w:p>
    <w:p w:rsidR="005005BC" w:rsidRPr="005005BC" w:rsidRDefault="005005BC" w:rsidP="00E9221E">
      <w:pPr>
        <w:pStyle w:val="1"/>
        <w:keepLines w:val="0"/>
        <w:spacing w:before="240" w:after="60" w:line="276" w:lineRule="auto"/>
      </w:pPr>
      <w:bookmarkStart w:id="51" w:name="_Toc374030069"/>
      <w:r>
        <w:lastRenderedPageBreak/>
        <w:t>Интернаци</w:t>
      </w:r>
      <w:r w:rsidR="00E9221E">
        <w:t xml:space="preserve">онализация образовательной среды </w:t>
      </w:r>
      <w:r>
        <w:t>НИУ ВШЭ</w:t>
      </w:r>
      <w:bookmarkEnd w:id="51"/>
    </w:p>
    <w:p w:rsidR="005005BC" w:rsidRDefault="005005BC" w:rsidP="005005BC">
      <w:pPr>
        <w:pStyle w:val="2"/>
        <w:numPr>
          <w:ilvl w:val="1"/>
          <w:numId w:val="1"/>
        </w:numPr>
      </w:pPr>
      <w:bookmarkStart w:id="52" w:name="_Toc374030070"/>
      <w:proofErr w:type="gramStart"/>
      <w:r>
        <w:t>Обучение иностранных студентов по программам</w:t>
      </w:r>
      <w:proofErr w:type="gramEnd"/>
      <w:r>
        <w:t xml:space="preserve"> высшего профессионального обучения</w:t>
      </w:r>
      <w:bookmarkEnd w:id="52"/>
    </w:p>
    <w:p w:rsidR="005005BC" w:rsidRDefault="005005BC" w:rsidP="005005BC">
      <w:pPr>
        <w:pStyle w:val="3"/>
        <w:numPr>
          <w:ilvl w:val="2"/>
          <w:numId w:val="1"/>
        </w:numPr>
        <w:ind w:hanging="11"/>
      </w:pPr>
      <w:r>
        <w:t>Из стран дальнег</w:t>
      </w:r>
      <w:r w:rsidR="00E9221E">
        <w:t>о зарубежья</w:t>
      </w:r>
    </w:p>
    <w:p w:rsidR="00E9221E" w:rsidRPr="00E9221E" w:rsidRDefault="00E9221E" w:rsidP="00312B8E">
      <w:pPr>
        <w:spacing w:after="200" w:line="276" w:lineRule="auto"/>
        <w:jc w:val="both"/>
      </w:pPr>
      <w:r w:rsidRPr="00E9221E">
        <w:t xml:space="preserve">На протяжении последних 3 лет в НИУ ВШЭ  наблюдается устойчивый рост количества студентов из дальнего зарубежья, участвующих в различных образовательных программах (год, семестр, краткосрочные программы). </w:t>
      </w:r>
    </w:p>
    <w:p w:rsidR="00E9221E" w:rsidRPr="00312B8E" w:rsidRDefault="00E9221E" w:rsidP="00312B8E">
      <w:pPr>
        <w:spacing w:after="200" w:line="276" w:lineRule="auto"/>
        <w:jc w:val="both"/>
      </w:pPr>
      <w:r w:rsidRPr="00E9221E">
        <w:t>В 2012–2013 учебном году общая численность иностранных студентов в НИУ ВШЭ составила 412 человек.</w:t>
      </w:r>
    </w:p>
    <w:p w:rsidR="00E9221E" w:rsidRPr="00312B8E" w:rsidRDefault="00E9221E" w:rsidP="00312B8E">
      <w:pPr>
        <w:spacing w:after="200" w:line="276" w:lineRule="auto"/>
        <w:jc w:val="both"/>
      </w:pPr>
      <w:proofErr w:type="gramStart"/>
      <w:r w:rsidRPr="00312B8E">
        <w:t>Повышение интереса к образовательным программам НИУ ВШЭ среди иностранных граждан обусловлен расширением предметной области преподавания на английском языке, распространением позитивной информации об обучении в НИУ ВШЭ и расширением международных связей, в том числе появлением новых программ студенческих обменов.</w:t>
      </w:r>
      <w:proofErr w:type="gramEnd"/>
    </w:p>
    <w:p w:rsidR="00E9221E" w:rsidRPr="00312B8E" w:rsidRDefault="00E9221E" w:rsidP="00312B8E">
      <w:pPr>
        <w:spacing w:after="200" w:line="276" w:lineRule="auto"/>
        <w:jc w:val="both"/>
      </w:pPr>
      <w:r w:rsidRPr="00312B8E">
        <w:t xml:space="preserve">Среди </w:t>
      </w:r>
      <w:proofErr w:type="gramStart"/>
      <w:r w:rsidRPr="00312B8E">
        <w:t>причин, влияющих на их выбор в пользу НИУ ВШЭ сами иностранные студенты называют</w:t>
      </w:r>
      <w:proofErr w:type="gramEnd"/>
      <w:r w:rsidRPr="00312B8E">
        <w:t xml:space="preserve"> рекомендации, полученные от профессоров в домашних университетах, информационные/рекламные материалы, представленные международными офисами  и в сети Интернет, участие в образовательных ярмарках и т.п. </w:t>
      </w:r>
    </w:p>
    <w:p w:rsidR="00E9221E" w:rsidRPr="00312B8E" w:rsidRDefault="00E9221E" w:rsidP="00312B8E">
      <w:pPr>
        <w:spacing w:after="200" w:line="276" w:lineRule="auto"/>
        <w:jc w:val="both"/>
        <w:rPr>
          <w:b/>
        </w:rPr>
      </w:pPr>
      <w:r w:rsidRPr="00312B8E">
        <w:rPr>
          <w:b/>
        </w:rPr>
        <w:t>Общее число иностранных студентов из стран дальнего зарубежья за период с 2010 г. по 2013 г.</w:t>
      </w:r>
    </w:p>
    <w:p w:rsidR="00E9221E" w:rsidRDefault="00E9221E" w:rsidP="00E9221E">
      <w:pPr>
        <w:spacing w:line="276" w:lineRule="auto"/>
        <w:jc w:val="both"/>
        <w:rPr>
          <w:rFonts w:ascii="Palatino Linotype" w:eastAsiaTheme="minorHAnsi" w:hAnsi="Palatino Linotype" w:cstheme="minorBidi"/>
        </w:rPr>
      </w:pPr>
      <w:r w:rsidRPr="006C4E49">
        <w:rPr>
          <w:rFonts w:ascii="Palatino Linotype" w:eastAsiaTheme="minorHAnsi" w:hAnsi="Palatino Linotype" w:cstheme="minorBidi"/>
          <w:noProof/>
        </w:rPr>
        <w:drawing>
          <wp:inline distT="0" distB="0" distL="0" distR="0">
            <wp:extent cx="5562600" cy="2743200"/>
            <wp:effectExtent l="0" t="0" r="25400" b="25400"/>
            <wp:docPr id="47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E9221E" w:rsidRDefault="00E9221E" w:rsidP="00E9221E">
      <w:pPr>
        <w:spacing w:line="276" w:lineRule="auto"/>
        <w:jc w:val="both"/>
        <w:rPr>
          <w:rFonts w:ascii="Palatino Linotype" w:eastAsiaTheme="minorHAnsi" w:hAnsi="Palatino Linotype" w:cstheme="minorBidi"/>
        </w:rPr>
      </w:pPr>
    </w:p>
    <w:p w:rsidR="00E9221E" w:rsidRPr="008B19EB" w:rsidRDefault="00E9221E" w:rsidP="008B19EB">
      <w:pPr>
        <w:spacing w:after="200" w:line="276" w:lineRule="auto"/>
        <w:jc w:val="both"/>
      </w:pPr>
      <w:r w:rsidRPr="008B19EB">
        <w:t>В 2012 – 2013 учебном году произошло существенное изменение соотношения между количеством студентов из стран дальнего зарубежья на разных видах образовательных программ в пользу программ включенного обучения.</w:t>
      </w:r>
    </w:p>
    <w:p w:rsidR="00E9221E" w:rsidRPr="00FD6A22" w:rsidRDefault="00E9221E" w:rsidP="00E9221E">
      <w:pPr>
        <w:pStyle w:val="aff0"/>
        <w:jc w:val="both"/>
        <w:rPr>
          <w:rFonts w:ascii="Palatino Linotype" w:hAnsi="Palatino Linotype"/>
          <w:sz w:val="24"/>
          <w:szCs w:val="24"/>
        </w:rPr>
      </w:pPr>
    </w:p>
    <w:p w:rsidR="00E9221E" w:rsidRPr="008B19EB" w:rsidRDefault="00E9221E" w:rsidP="008B19EB">
      <w:pPr>
        <w:spacing w:after="200" w:line="276" w:lineRule="auto"/>
        <w:jc w:val="both"/>
        <w:rPr>
          <w:b/>
        </w:rPr>
      </w:pPr>
      <w:r w:rsidRPr="008B19EB">
        <w:rPr>
          <w:b/>
        </w:rPr>
        <w:lastRenderedPageBreak/>
        <w:t xml:space="preserve">Общее число иностранных студентов из стран дальнего зарубежья  по видам программ обучения </w:t>
      </w:r>
    </w:p>
    <w:p w:rsidR="00E9221E" w:rsidRDefault="00E9221E" w:rsidP="00E9221E">
      <w:pPr>
        <w:autoSpaceDE w:val="0"/>
        <w:autoSpaceDN w:val="0"/>
        <w:adjustRightInd w:val="0"/>
        <w:spacing w:line="276" w:lineRule="auto"/>
        <w:ind w:firstLine="284"/>
        <w:jc w:val="both"/>
        <w:rPr>
          <w:rFonts w:ascii="Palatino Linotype" w:hAnsi="Palatino Linotype"/>
        </w:rPr>
      </w:pPr>
      <w:r w:rsidRPr="006C4E49">
        <w:rPr>
          <w:rFonts w:ascii="Palatino Linotype" w:hAnsi="Palatino Linotype"/>
          <w:noProof/>
        </w:rPr>
        <w:drawing>
          <wp:inline distT="0" distB="0" distL="0" distR="0">
            <wp:extent cx="5600701" cy="2895600"/>
            <wp:effectExtent l="19050" t="0" r="19049" b="0"/>
            <wp:docPr id="3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E9221E" w:rsidRDefault="00E9221E" w:rsidP="008B19EB">
      <w:pPr>
        <w:spacing w:line="276" w:lineRule="auto"/>
        <w:jc w:val="both"/>
        <w:rPr>
          <w:rFonts w:ascii="Palatino Linotype" w:hAnsi="Palatino Linotype"/>
        </w:rPr>
      </w:pPr>
      <w:r w:rsidRPr="008B19EB">
        <w:t>Среди европейских стран наибольший интерес к обучению в НИУ ВШЭ, по-прежнему, проявляют студенты из  США, Германии, Великобритании и Франции. Не снижается количество запросов на поступление в НИУ ВШЭ от абитуриентов из арабских стран, Индии, Пакистана, стран Азии и Африки. Появился интерес к обучению в университете абитуриентов из стран Латинской Америки</w:t>
      </w:r>
      <w:r>
        <w:rPr>
          <w:rFonts w:ascii="Palatino Linotype" w:hAnsi="Palatino Linotype"/>
        </w:rPr>
        <w:t xml:space="preserve">.  </w:t>
      </w:r>
    </w:p>
    <w:p w:rsidR="00E9221E" w:rsidRDefault="00E9221E" w:rsidP="00E9221E">
      <w:pPr>
        <w:spacing w:line="276" w:lineRule="auto"/>
        <w:jc w:val="both"/>
        <w:rPr>
          <w:rStyle w:val="aff2"/>
          <w:rFonts w:ascii="Palatino Linotype" w:hAnsi="Palatino Linotype"/>
        </w:rPr>
      </w:pPr>
    </w:p>
    <w:p w:rsidR="00E9221E" w:rsidRPr="008B19EB" w:rsidRDefault="00E9221E" w:rsidP="008B19EB">
      <w:pPr>
        <w:spacing w:after="200" w:line="276" w:lineRule="auto"/>
        <w:jc w:val="both"/>
        <w:rPr>
          <w:b/>
          <w:bCs/>
        </w:rPr>
      </w:pPr>
      <w:r w:rsidRPr="008B19EB">
        <w:rPr>
          <w:b/>
          <w:bCs/>
        </w:rPr>
        <w:t>Страны, направляющие наибольшее количество студентов в НИУ ВШЭ по всем программам обучения</w:t>
      </w:r>
    </w:p>
    <w:p w:rsidR="00E9221E" w:rsidRDefault="00E9221E" w:rsidP="00E9221E">
      <w:pPr>
        <w:spacing w:line="276" w:lineRule="auto"/>
        <w:rPr>
          <w:rStyle w:val="aff2"/>
          <w:rFonts w:ascii="Palatino Linotype" w:hAnsi="Palatino Linotype"/>
          <w:sz w:val="22"/>
          <w:szCs w:val="22"/>
        </w:rPr>
      </w:pPr>
      <w:r w:rsidRPr="00C6676E">
        <w:rPr>
          <w:rStyle w:val="aff2"/>
          <w:rFonts w:ascii="Palatino Linotype" w:hAnsi="Palatino Linotype"/>
          <w:noProof/>
          <w:sz w:val="22"/>
          <w:szCs w:val="22"/>
        </w:rPr>
        <w:drawing>
          <wp:inline distT="0" distB="0" distL="0" distR="0">
            <wp:extent cx="5784850" cy="2743200"/>
            <wp:effectExtent l="19050" t="0" r="25400" b="0"/>
            <wp:docPr id="3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E9221E" w:rsidRPr="008B19EB" w:rsidRDefault="00E9221E" w:rsidP="008B19EB">
      <w:pPr>
        <w:spacing w:line="276" w:lineRule="auto"/>
        <w:jc w:val="both"/>
      </w:pPr>
      <w:r w:rsidRPr="008B19EB">
        <w:t xml:space="preserve">В последующие годы ожидаются более высокие показатели благодаря открытию Центра по международным связям в филиале НИУ ВШЭ в Санкт-Петербурге. </w:t>
      </w:r>
    </w:p>
    <w:p w:rsidR="00E9221E" w:rsidRPr="008B19EB" w:rsidRDefault="00E9221E" w:rsidP="008B19EB">
      <w:pPr>
        <w:spacing w:line="276" w:lineRule="auto"/>
        <w:jc w:val="both"/>
      </w:pPr>
      <w:r w:rsidRPr="008B19EB">
        <w:t xml:space="preserve">По данным на 1 октября 2013 года 232 студентов из стран дальнего зарубежья были зачислены или продолжали обучение в НИУ ВШЭ по различным программам и </w:t>
      </w:r>
      <w:r w:rsidRPr="008B19EB">
        <w:lastRenderedPageBreak/>
        <w:t xml:space="preserve">направлениям подготовки. Это на 54% (82 человека) больше по сравнению с аналогичным периодом 2012 года.  </w:t>
      </w:r>
    </w:p>
    <w:p w:rsidR="00E9221E" w:rsidRDefault="00E9221E" w:rsidP="00E9221E">
      <w:pPr>
        <w:pStyle w:val="aff0"/>
        <w:rPr>
          <w:rFonts w:ascii="Palatino Linotype" w:eastAsia="Calibri" w:hAnsi="Palatino Linotype"/>
          <w:sz w:val="24"/>
          <w:szCs w:val="24"/>
        </w:rPr>
      </w:pPr>
    </w:p>
    <w:p w:rsidR="00E9221E" w:rsidRPr="008B19EB" w:rsidRDefault="00E9221E" w:rsidP="008B19EB">
      <w:pPr>
        <w:spacing w:after="200" w:line="276" w:lineRule="auto"/>
        <w:jc w:val="both"/>
        <w:rPr>
          <w:b/>
          <w:bCs/>
        </w:rPr>
      </w:pPr>
      <w:r w:rsidRPr="008B19EB">
        <w:rPr>
          <w:b/>
          <w:bCs/>
        </w:rPr>
        <w:t>Сравнительные показатели числа иностранных студентов  (по состоянию на 01.10.2012 и 01.10.2013)</w:t>
      </w:r>
    </w:p>
    <w:p w:rsidR="00E9221E" w:rsidRDefault="00E9221E" w:rsidP="00E9221E">
      <w:pPr>
        <w:pStyle w:val="aff0"/>
        <w:rPr>
          <w:rFonts w:ascii="Palatino Linotype" w:eastAsia="Calibri" w:hAnsi="Palatino Linotype"/>
          <w:sz w:val="24"/>
          <w:szCs w:val="24"/>
        </w:rPr>
      </w:pPr>
      <w:r w:rsidRPr="009C5BD1">
        <w:rPr>
          <w:rFonts w:ascii="Palatino Linotype" w:eastAsia="Calibri" w:hAnsi="Palatino Linotype"/>
          <w:noProof/>
          <w:sz w:val="24"/>
          <w:szCs w:val="24"/>
          <w:lang w:eastAsia="ru-RU"/>
        </w:rPr>
        <w:drawing>
          <wp:inline distT="0" distB="0" distL="0" distR="0">
            <wp:extent cx="5642517" cy="1873405"/>
            <wp:effectExtent l="0" t="0" r="15875" b="12700"/>
            <wp:docPr id="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1D39C9" w:rsidRDefault="001D39C9" w:rsidP="008B19EB">
      <w:pPr>
        <w:spacing w:line="276" w:lineRule="auto"/>
        <w:jc w:val="both"/>
      </w:pPr>
    </w:p>
    <w:p w:rsidR="001D39C9" w:rsidRPr="001D39C9" w:rsidRDefault="001D39C9" w:rsidP="001D39C9">
      <w:pPr>
        <w:spacing w:line="276" w:lineRule="auto"/>
        <w:jc w:val="both"/>
      </w:pPr>
      <w:r w:rsidRPr="001D39C9">
        <w:t xml:space="preserve">В отчетном периоде студенты из дальнего зарубежья проходили обучение в НИУ ВШЭ по разным направлениям подготовки в </w:t>
      </w:r>
      <w:proofErr w:type="spellStart"/>
      <w:r w:rsidRPr="001D39C9">
        <w:t>бакалавриате</w:t>
      </w:r>
      <w:proofErr w:type="spellEnd"/>
      <w:r w:rsidRPr="001D39C9">
        <w:t xml:space="preserve"> и магистратуре:</w:t>
      </w:r>
    </w:p>
    <w:p w:rsidR="001D39C9" w:rsidRPr="001D39C9" w:rsidRDefault="001D39C9" w:rsidP="00F27C45">
      <w:pPr>
        <w:pStyle w:val="a5"/>
        <w:numPr>
          <w:ilvl w:val="0"/>
          <w:numId w:val="10"/>
        </w:numPr>
        <w:jc w:val="both"/>
        <w:rPr>
          <w:sz w:val="24"/>
        </w:rPr>
      </w:pPr>
      <w:r w:rsidRPr="001D39C9">
        <w:rPr>
          <w:sz w:val="24"/>
        </w:rPr>
        <w:t>с финансированием за счет ассигнований федерального бюджета;</w:t>
      </w:r>
    </w:p>
    <w:p w:rsidR="001D39C9" w:rsidRDefault="001D39C9" w:rsidP="00F27C45">
      <w:pPr>
        <w:pStyle w:val="a5"/>
        <w:numPr>
          <w:ilvl w:val="0"/>
          <w:numId w:val="10"/>
        </w:numPr>
        <w:jc w:val="both"/>
        <w:rPr>
          <w:sz w:val="24"/>
        </w:rPr>
      </w:pPr>
      <w:r w:rsidRPr="001D39C9">
        <w:rPr>
          <w:sz w:val="24"/>
        </w:rPr>
        <w:t>с оплатой стоимости обучения.</w:t>
      </w:r>
    </w:p>
    <w:p w:rsidR="001D39C9" w:rsidRPr="001D39C9" w:rsidRDefault="001D39C9" w:rsidP="00AB306D">
      <w:pPr>
        <w:spacing w:line="276" w:lineRule="auto"/>
        <w:jc w:val="both"/>
      </w:pPr>
      <w:r w:rsidRPr="001D39C9">
        <w:t>Всего в 2012-2013 учебном году в НИУ ВШЭ обучалось 37 студентов из стран дальнего зарубежья по про</w:t>
      </w:r>
      <w:r w:rsidR="00AB306D">
        <w:t xml:space="preserve">граммам ВПО. </w:t>
      </w:r>
    </w:p>
    <w:p w:rsidR="001D39C9" w:rsidRPr="001D39C9" w:rsidRDefault="001D39C9" w:rsidP="001D39C9">
      <w:pPr>
        <w:spacing w:line="276" w:lineRule="auto"/>
        <w:jc w:val="both"/>
      </w:pPr>
      <w:r w:rsidRPr="001D39C9">
        <w:t xml:space="preserve">Благодаря появлению в 2012 и 2013 гг.  новых образовательных программ с преподаванием на английском языке и более активной рекламной кампании по привлечению иностранных обучающихся, наметился интерес иностранных абитуриентов к обучению в НИУ ВШЭ.  </w:t>
      </w:r>
      <w:proofErr w:type="gramStart"/>
      <w:r w:rsidRPr="001D39C9">
        <w:t>Всего на 1 октября 2013 г. количество иностранных обучающихся из стран дальнего зарубежья составило 77 человека (двукратное увеличение).</w:t>
      </w:r>
      <w:proofErr w:type="gramEnd"/>
    </w:p>
    <w:p w:rsidR="001D39C9" w:rsidRDefault="001D39C9" w:rsidP="001D39C9">
      <w:pPr>
        <w:pStyle w:val="aff0"/>
        <w:rPr>
          <w:rFonts w:ascii="Palatino Linotype" w:hAnsi="Palatino Linotype"/>
          <w:sz w:val="24"/>
          <w:szCs w:val="24"/>
        </w:rPr>
      </w:pPr>
    </w:p>
    <w:tbl>
      <w:tblPr>
        <w:tblStyle w:val="aff9"/>
        <w:tblW w:w="9855" w:type="dxa"/>
        <w:tblLayout w:type="fixed"/>
        <w:tblLook w:val="04A0" w:firstRow="1" w:lastRow="0" w:firstColumn="1" w:lastColumn="0" w:noHBand="0" w:noVBand="1"/>
      </w:tblPr>
      <w:tblGrid>
        <w:gridCol w:w="1668"/>
        <w:gridCol w:w="850"/>
        <w:gridCol w:w="969"/>
        <w:gridCol w:w="910"/>
        <w:gridCol w:w="909"/>
        <w:gridCol w:w="910"/>
        <w:gridCol w:w="910"/>
        <w:gridCol w:w="909"/>
        <w:gridCol w:w="910"/>
        <w:gridCol w:w="910"/>
      </w:tblGrid>
      <w:tr w:rsidR="001D39C9" w:rsidRPr="001D39C9" w:rsidTr="001D39C9">
        <w:tc>
          <w:tcPr>
            <w:tcW w:w="1668" w:type="dxa"/>
          </w:tcPr>
          <w:p w:rsidR="001D39C9" w:rsidRPr="001D39C9" w:rsidRDefault="001D39C9" w:rsidP="001D39C9">
            <w:pPr>
              <w:pStyle w:val="aff0"/>
              <w:rPr>
                <w:rFonts w:asciiTheme="majorHAnsi" w:hAnsiTheme="majorHAnsi"/>
                <w:sz w:val="24"/>
                <w:szCs w:val="24"/>
              </w:rPr>
            </w:pPr>
          </w:p>
        </w:tc>
        <w:tc>
          <w:tcPr>
            <w:tcW w:w="2729" w:type="dxa"/>
            <w:gridSpan w:val="3"/>
          </w:tcPr>
          <w:p w:rsidR="001D39C9" w:rsidRPr="001D39C9" w:rsidRDefault="001D39C9" w:rsidP="001D39C9">
            <w:pPr>
              <w:pStyle w:val="aff0"/>
              <w:jc w:val="center"/>
              <w:rPr>
                <w:rFonts w:asciiTheme="majorHAnsi" w:hAnsiTheme="majorHAnsi"/>
                <w:sz w:val="24"/>
                <w:szCs w:val="24"/>
              </w:rPr>
            </w:pPr>
            <w:r w:rsidRPr="001D39C9">
              <w:rPr>
                <w:rFonts w:asciiTheme="majorHAnsi" w:hAnsiTheme="majorHAnsi"/>
                <w:sz w:val="24"/>
                <w:szCs w:val="24"/>
              </w:rPr>
              <w:t xml:space="preserve">Кол-во </w:t>
            </w:r>
            <w:proofErr w:type="gramStart"/>
            <w:r w:rsidRPr="001D39C9">
              <w:rPr>
                <w:rFonts w:asciiTheme="majorHAnsi" w:hAnsiTheme="majorHAnsi"/>
                <w:sz w:val="24"/>
                <w:szCs w:val="24"/>
              </w:rPr>
              <w:t>обучающихся</w:t>
            </w:r>
            <w:proofErr w:type="gramEnd"/>
            <w:r w:rsidRPr="001D39C9">
              <w:rPr>
                <w:rFonts w:asciiTheme="majorHAnsi" w:hAnsiTheme="majorHAnsi"/>
                <w:sz w:val="24"/>
                <w:szCs w:val="24"/>
              </w:rPr>
              <w:t>,</w:t>
            </w:r>
          </w:p>
          <w:p w:rsidR="001D39C9" w:rsidRPr="001D39C9" w:rsidRDefault="001D39C9" w:rsidP="001D39C9">
            <w:pPr>
              <w:pStyle w:val="aff0"/>
              <w:jc w:val="center"/>
              <w:rPr>
                <w:rFonts w:asciiTheme="majorHAnsi" w:hAnsiTheme="majorHAnsi"/>
                <w:sz w:val="24"/>
                <w:szCs w:val="24"/>
              </w:rPr>
            </w:pPr>
            <w:r w:rsidRPr="001D39C9">
              <w:rPr>
                <w:rFonts w:asciiTheme="majorHAnsi" w:hAnsiTheme="majorHAnsi"/>
                <w:sz w:val="24"/>
                <w:szCs w:val="24"/>
              </w:rPr>
              <w:t>2012/13 уч. г.</w:t>
            </w:r>
          </w:p>
        </w:tc>
        <w:tc>
          <w:tcPr>
            <w:tcW w:w="2729" w:type="dxa"/>
            <w:gridSpan w:val="3"/>
          </w:tcPr>
          <w:p w:rsidR="001D39C9" w:rsidRPr="001D39C9" w:rsidRDefault="001D39C9" w:rsidP="001D39C9">
            <w:pPr>
              <w:pStyle w:val="aff0"/>
              <w:jc w:val="center"/>
              <w:rPr>
                <w:rFonts w:asciiTheme="majorHAnsi" w:hAnsiTheme="majorHAnsi"/>
                <w:sz w:val="24"/>
                <w:szCs w:val="24"/>
              </w:rPr>
            </w:pPr>
            <w:r w:rsidRPr="001D39C9">
              <w:rPr>
                <w:rFonts w:asciiTheme="majorHAnsi" w:hAnsiTheme="majorHAnsi"/>
                <w:sz w:val="24"/>
                <w:szCs w:val="24"/>
              </w:rPr>
              <w:t>Прием 2013 г.</w:t>
            </w:r>
          </w:p>
        </w:tc>
        <w:tc>
          <w:tcPr>
            <w:tcW w:w="2729" w:type="dxa"/>
            <w:gridSpan w:val="3"/>
          </w:tcPr>
          <w:p w:rsidR="001D39C9" w:rsidRPr="001D39C9" w:rsidRDefault="001D39C9" w:rsidP="001D39C9">
            <w:pPr>
              <w:pStyle w:val="aff0"/>
              <w:jc w:val="center"/>
              <w:rPr>
                <w:rFonts w:asciiTheme="majorHAnsi" w:hAnsiTheme="majorHAnsi"/>
                <w:sz w:val="24"/>
                <w:szCs w:val="24"/>
              </w:rPr>
            </w:pPr>
            <w:r w:rsidRPr="001D39C9">
              <w:rPr>
                <w:rFonts w:asciiTheme="majorHAnsi" w:hAnsiTheme="majorHAnsi"/>
                <w:sz w:val="24"/>
                <w:szCs w:val="24"/>
              </w:rPr>
              <w:t xml:space="preserve">Кол-во </w:t>
            </w:r>
            <w:proofErr w:type="gramStart"/>
            <w:r w:rsidRPr="001D39C9">
              <w:rPr>
                <w:rFonts w:asciiTheme="majorHAnsi" w:hAnsiTheme="majorHAnsi"/>
                <w:sz w:val="24"/>
                <w:szCs w:val="24"/>
              </w:rPr>
              <w:t>обучающихся</w:t>
            </w:r>
            <w:proofErr w:type="gramEnd"/>
            <w:r w:rsidRPr="001D39C9">
              <w:rPr>
                <w:rFonts w:asciiTheme="majorHAnsi" w:hAnsiTheme="majorHAnsi"/>
                <w:sz w:val="24"/>
                <w:szCs w:val="24"/>
              </w:rPr>
              <w:t>,</w:t>
            </w:r>
          </w:p>
          <w:p w:rsidR="001D39C9" w:rsidRPr="001D39C9" w:rsidRDefault="001D39C9" w:rsidP="001D39C9">
            <w:pPr>
              <w:pStyle w:val="aff0"/>
              <w:jc w:val="center"/>
              <w:rPr>
                <w:rFonts w:asciiTheme="majorHAnsi" w:hAnsiTheme="majorHAnsi"/>
                <w:sz w:val="24"/>
                <w:szCs w:val="24"/>
              </w:rPr>
            </w:pPr>
            <w:r w:rsidRPr="001D39C9">
              <w:rPr>
                <w:rFonts w:asciiTheme="majorHAnsi" w:hAnsiTheme="majorHAnsi"/>
                <w:sz w:val="24"/>
                <w:szCs w:val="24"/>
              </w:rPr>
              <w:t>на 01.10.2013 г.</w:t>
            </w:r>
          </w:p>
          <w:p w:rsidR="001D39C9" w:rsidRPr="001D39C9" w:rsidRDefault="001D39C9" w:rsidP="001D39C9">
            <w:pPr>
              <w:pStyle w:val="aff0"/>
              <w:jc w:val="center"/>
              <w:rPr>
                <w:rFonts w:asciiTheme="majorHAnsi" w:hAnsiTheme="majorHAnsi"/>
                <w:sz w:val="24"/>
                <w:szCs w:val="24"/>
              </w:rPr>
            </w:pPr>
          </w:p>
        </w:tc>
      </w:tr>
      <w:tr w:rsidR="001D39C9" w:rsidRPr="001D39C9" w:rsidTr="001D39C9">
        <w:tc>
          <w:tcPr>
            <w:tcW w:w="1668" w:type="dxa"/>
          </w:tcPr>
          <w:p w:rsidR="001D39C9" w:rsidRPr="001D39C9" w:rsidRDefault="001D39C9" w:rsidP="001D39C9">
            <w:pPr>
              <w:pStyle w:val="aff0"/>
              <w:rPr>
                <w:rFonts w:asciiTheme="majorHAnsi" w:hAnsiTheme="majorHAnsi"/>
                <w:sz w:val="24"/>
                <w:szCs w:val="24"/>
              </w:rPr>
            </w:pPr>
          </w:p>
        </w:tc>
        <w:tc>
          <w:tcPr>
            <w:tcW w:w="850" w:type="dxa"/>
          </w:tcPr>
          <w:p w:rsidR="001D39C9" w:rsidRPr="002224F3" w:rsidRDefault="001D39C9" w:rsidP="002224F3">
            <w:pPr>
              <w:pStyle w:val="aff0"/>
              <w:spacing w:line="240" w:lineRule="exact"/>
              <w:rPr>
                <w:rFonts w:asciiTheme="majorHAnsi" w:hAnsiTheme="majorHAnsi"/>
                <w:sz w:val="16"/>
                <w:szCs w:val="24"/>
              </w:rPr>
            </w:pPr>
            <w:r w:rsidRPr="002224F3">
              <w:rPr>
                <w:rFonts w:asciiTheme="majorHAnsi" w:hAnsiTheme="majorHAnsi"/>
                <w:sz w:val="16"/>
                <w:szCs w:val="24"/>
              </w:rPr>
              <w:t>всего</w:t>
            </w:r>
          </w:p>
        </w:tc>
        <w:tc>
          <w:tcPr>
            <w:tcW w:w="969" w:type="dxa"/>
          </w:tcPr>
          <w:p w:rsidR="001D39C9" w:rsidRPr="002224F3" w:rsidRDefault="001D39C9" w:rsidP="002224F3">
            <w:pPr>
              <w:pStyle w:val="aff0"/>
              <w:spacing w:line="240" w:lineRule="exact"/>
              <w:rPr>
                <w:rFonts w:asciiTheme="majorHAnsi" w:hAnsiTheme="majorHAnsi"/>
                <w:sz w:val="16"/>
                <w:szCs w:val="24"/>
              </w:rPr>
            </w:pPr>
            <w:r w:rsidRPr="002224F3">
              <w:rPr>
                <w:rFonts w:asciiTheme="majorHAnsi" w:hAnsiTheme="majorHAnsi"/>
                <w:sz w:val="16"/>
                <w:szCs w:val="24"/>
              </w:rPr>
              <w:t xml:space="preserve">из них на бюджетных  </w:t>
            </w:r>
            <w:proofErr w:type="gramStart"/>
            <w:r w:rsidRPr="002224F3">
              <w:rPr>
                <w:rFonts w:asciiTheme="majorHAnsi" w:hAnsiTheme="majorHAnsi"/>
                <w:sz w:val="16"/>
                <w:szCs w:val="24"/>
              </w:rPr>
              <w:t>местах</w:t>
            </w:r>
            <w:proofErr w:type="gramEnd"/>
            <w:r w:rsidRPr="002224F3">
              <w:rPr>
                <w:rFonts w:asciiTheme="majorHAnsi" w:hAnsiTheme="majorHAnsi"/>
                <w:sz w:val="16"/>
                <w:szCs w:val="24"/>
              </w:rPr>
              <w:t xml:space="preserve">, в </w:t>
            </w:r>
            <w:proofErr w:type="spellStart"/>
            <w:r w:rsidRPr="002224F3">
              <w:rPr>
                <w:rFonts w:asciiTheme="majorHAnsi" w:hAnsiTheme="majorHAnsi"/>
                <w:sz w:val="16"/>
                <w:szCs w:val="24"/>
              </w:rPr>
              <w:t>т.ч</w:t>
            </w:r>
            <w:proofErr w:type="spellEnd"/>
            <w:r w:rsidRPr="002224F3">
              <w:rPr>
                <w:rFonts w:asciiTheme="majorHAnsi" w:hAnsiTheme="majorHAnsi"/>
                <w:sz w:val="16"/>
                <w:szCs w:val="24"/>
              </w:rPr>
              <w:t>. по  квотам</w:t>
            </w:r>
          </w:p>
        </w:tc>
        <w:tc>
          <w:tcPr>
            <w:tcW w:w="910" w:type="dxa"/>
          </w:tcPr>
          <w:p w:rsidR="001D39C9" w:rsidRPr="002224F3" w:rsidRDefault="001D39C9" w:rsidP="002224F3">
            <w:pPr>
              <w:pStyle w:val="aff0"/>
              <w:spacing w:line="240" w:lineRule="exact"/>
              <w:rPr>
                <w:rFonts w:asciiTheme="majorHAnsi" w:hAnsiTheme="majorHAnsi"/>
                <w:sz w:val="16"/>
                <w:szCs w:val="24"/>
              </w:rPr>
            </w:pPr>
            <w:r w:rsidRPr="002224F3">
              <w:rPr>
                <w:rFonts w:asciiTheme="majorHAnsi" w:hAnsiTheme="majorHAnsi"/>
                <w:sz w:val="16"/>
                <w:szCs w:val="24"/>
              </w:rPr>
              <w:t>из них с оплатой стоим</w:t>
            </w:r>
            <w:proofErr w:type="gramStart"/>
            <w:r w:rsidRPr="002224F3">
              <w:rPr>
                <w:rFonts w:asciiTheme="majorHAnsi" w:hAnsiTheme="majorHAnsi"/>
                <w:sz w:val="16"/>
                <w:szCs w:val="24"/>
              </w:rPr>
              <w:t>.</w:t>
            </w:r>
            <w:proofErr w:type="gramEnd"/>
            <w:r w:rsidRPr="002224F3">
              <w:rPr>
                <w:rFonts w:asciiTheme="majorHAnsi" w:hAnsiTheme="majorHAnsi"/>
                <w:sz w:val="16"/>
                <w:szCs w:val="24"/>
              </w:rPr>
              <w:t xml:space="preserve"> </w:t>
            </w:r>
            <w:proofErr w:type="gramStart"/>
            <w:r w:rsidRPr="002224F3">
              <w:rPr>
                <w:rFonts w:asciiTheme="majorHAnsi" w:hAnsiTheme="majorHAnsi"/>
                <w:sz w:val="16"/>
                <w:szCs w:val="24"/>
              </w:rPr>
              <w:t>о</w:t>
            </w:r>
            <w:proofErr w:type="gramEnd"/>
            <w:r w:rsidRPr="002224F3">
              <w:rPr>
                <w:rFonts w:asciiTheme="majorHAnsi" w:hAnsiTheme="majorHAnsi"/>
                <w:sz w:val="16"/>
                <w:szCs w:val="24"/>
              </w:rPr>
              <w:t>бучения</w:t>
            </w:r>
          </w:p>
        </w:tc>
        <w:tc>
          <w:tcPr>
            <w:tcW w:w="909" w:type="dxa"/>
          </w:tcPr>
          <w:p w:rsidR="001D39C9" w:rsidRPr="002224F3" w:rsidRDefault="001D39C9" w:rsidP="002224F3">
            <w:pPr>
              <w:pStyle w:val="aff0"/>
              <w:spacing w:line="240" w:lineRule="exact"/>
              <w:rPr>
                <w:rFonts w:asciiTheme="majorHAnsi" w:hAnsiTheme="majorHAnsi"/>
                <w:sz w:val="16"/>
                <w:szCs w:val="24"/>
              </w:rPr>
            </w:pPr>
            <w:r w:rsidRPr="002224F3">
              <w:rPr>
                <w:rFonts w:asciiTheme="majorHAnsi" w:hAnsiTheme="majorHAnsi"/>
                <w:sz w:val="16"/>
                <w:szCs w:val="24"/>
              </w:rPr>
              <w:t>всего</w:t>
            </w:r>
          </w:p>
        </w:tc>
        <w:tc>
          <w:tcPr>
            <w:tcW w:w="910" w:type="dxa"/>
          </w:tcPr>
          <w:p w:rsidR="001D39C9" w:rsidRPr="002224F3" w:rsidRDefault="001D39C9" w:rsidP="002224F3">
            <w:pPr>
              <w:pStyle w:val="aff0"/>
              <w:spacing w:line="240" w:lineRule="exact"/>
              <w:rPr>
                <w:rFonts w:asciiTheme="majorHAnsi" w:hAnsiTheme="majorHAnsi"/>
                <w:sz w:val="16"/>
                <w:szCs w:val="24"/>
              </w:rPr>
            </w:pPr>
            <w:r w:rsidRPr="002224F3">
              <w:rPr>
                <w:rFonts w:asciiTheme="majorHAnsi" w:hAnsiTheme="majorHAnsi"/>
                <w:sz w:val="16"/>
                <w:szCs w:val="24"/>
              </w:rPr>
              <w:t xml:space="preserve">из них на бюджетных  </w:t>
            </w:r>
            <w:proofErr w:type="gramStart"/>
            <w:r w:rsidRPr="002224F3">
              <w:rPr>
                <w:rFonts w:asciiTheme="majorHAnsi" w:hAnsiTheme="majorHAnsi"/>
                <w:sz w:val="16"/>
                <w:szCs w:val="24"/>
              </w:rPr>
              <w:t>местах</w:t>
            </w:r>
            <w:proofErr w:type="gramEnd"/>
            <w:r w:rsidRPr="002224F3">
              <w:rPr>
                <w:rFonts w:asciiTheme="majorHAnsi" w:hAnsiTheme="majorHAnsi"/>
                <w:sz w:val="16"/>
                <w:szCs w:val="24"/>
              </w:rPr>
              <w:t xml:space="preserve">, в </w:t>
            </w:r>
            <w:proofErr w:type="spellStart"/>
            <w:r w:rsidRPr="002224F3">
              <w:rPr>
                <w:rFonts w:asciiTheme="majorHAnsi" w:hAnsiTheme="majorHAnsi"/>
                <w:sz w:val="16"/>
                <w:szCs w:val="24"/>
              </w:rPr>
              <w:t>т.ч</w:t>
            </w:r>
            <w:proofErr w:type="spellEnd"/>
            <w:r w:rsidRPr="002224F3">
              <w:rPr>
                <w:rFonts w:asciiTheme="majorHAnsi" w:hAnsiTheme="majorHAnsi"/>
                <w:sz w:val="16"/>
                <w:szCs w:val="24"/>
              </w:rPr>
              <w:t>. по  квотам</w:t>
            </w:r>
          </w:p>
        </w:tc>
        <w:tc>
          <w:tcPr>
            <w:tcW w:w="910" w:type="dxa"/>
          </w:tcPr>
          <w:p w:rsidR="001D39C9" w:rsidRPr="002224F3" w:rsidRDefault="001D39C9" w:rsidP="002224F3">
            <w:pPr>
              <w:pStyle w:val="aff0"/>
              <w:spacing w:line="240" w:lineRule="exact"/>
              <w:rPr>
                <w:rFonts w:asciiTheme="majorHAnsi" w:hAnsiTheme="majorHAnsi"/>
                <w:sz w:val="16"/>
                <w:szCs w:val="24"/>
              </w:rPr>
            </w:pPr>
            <w:r w:rsidRPr="002224F3">
              <w:rPr>
                <w:rFonts w:asciiTheme="majorHAnsi" w:hAnsiTheme="majorHAnsi"/>
                <w:sz w:val="16"/>
                <w:szCs w:val="24"/>
              </w:rPr>
              <w:t>из них с оплатой стоимости обучения</w:t>
            </w:r>
          </w:p>
        </w:tc>
        <w:tc>
          <w:tcPr>
            <w:tcW w:w="909" w:type="dxa"/>
          </w:tcPr>
          <w:p w:rsidR="001D39C9" w:rsidRPr="002224F3" w:rsidRDefault="001D39C9" w:rsidP="002224F3">
            <w:pPr>
              <w:pStyle w:val="aff0"/>
              <w:spacing w:line="240" w:lineRule="exact"/>
              <w:rPr>
                <w:rFonts w:asciiTheme="majorHAnsi" w:hAnsiTheme="majorHAnsi"/>
                <w:sz w:val="16"/>
                <w:szCs w:val="24"/>
              </w:rPr>
            </w:pPr>
            <w:r w:rsidRPr="002224F3">
              <w:rPr>
                <w:rFonts w:asciiTheme="majorHAnsi" w:hAnsiTheme="majorHAnsi"/>
                <w:sz w:val="16"/>
                <w:szCs w:val="24"/>
              </w:rPr>
              <w:t>всего</w:t>
            </w:r>
          </w:p>
        </w:tc>
        <w:tc>
          <w:tcPr>
            <w:tcW w:w="910" w:type="dxa"/>
          </w:tcPr>
          <w:p w:rsidR="001D39C9" w:rsidRPr="002224F3" w:rsidRDefault="001D39C9" w:rsidP="002224F3">
            <w:pPr>
              <w:pStyle w:val="aff0"/>
              <w:spacing w:line="240" w:lineRule="exact"/>
              <w:rPr>
                <w:rFonts w:asciiTheme="majorHAnsi" w:hAnsiTheme="majorHAnsi"/>
                <w:sz w:val="16"/>
                <w:szCs w:val="24"/>
              </w:rPr>
            </w:pPr>
            <w:r w:rsidRPr="002224F3">
              <w:rPr>
                <w:rFonts w:asciiTheme="majorHAnsi" w:hAnsiTheme="majorHAnsi"/>
                <w:sz w:val="16"/>
                <w:szCs w:val="24"/>
              </w:rPr>
              <w:t>из них на бюджетных  местах</w:t>
            </w:r>
            <w:proofErr w:type="gramStart"/>
            <w:r w:rsidRPr="002224F3">
              <w:rPr>
                <w:rFonts w:asciiTheme="majorHAnsi" w:hAnsiTheme="majorHAnsi"/>
                <w:sz w:val="16"/>
                <w:szCs w:val="24"/>
              </w:rPr>
              <w:t xml:space="preserve"> ,</w:t>
            </w:r>
            <w:proofErr w:type="gramEnd"/>
            <w:r w:rsidRPr="002224F3">
              <w:rPr>
                <w:rFonts w:asciiTheme="majorHAnsi" w:hAnsiTheme="majorHAnsi"/>
                <w:sz w:val="16"/>
                <w:szCs w:val="24"/>
              </w:rPr>
              <w:t xml:space="preserve"> в </w:t>
            </w:r>
            <w:proofErr w:type="spellStart"/>
            <w:r w:rsidRPr="002224F3">
              <w:rPr>
                <w:rFonts w:asciiTheme="majorHAnsi" w:hAnsiTheme="majorHAnsi"/>
                <w:sz w:val="16"/>
                <w:szCs w:val="24"/>
              </w:rPr>
              <w:t>т.ч</w:t>
            </w:r>
            <w:proofErr w:type="spellEnd"/>
            <w:r w:rsidRPr="002224F3">
              <w:rPr>
                <w:rFonts w:asciiTheme="majorHAnsi" w:hAnsiTheme="majorHAnsi"/>
                <w:sz w:val="16"/>
                <w:szCs w:val="24"/>
              </w:rPr>
              <w:t>. по  квотам</w:t>
            </w:r>
          </w:p>
        </w:tc>
        <w:tc>
          <w:tcPr>
            <w:tcW w:w="910" w:type="dxa"/>
          </w:tcPr>
          <w:p w:rsidR="001D39C9" w:rsidRPr="002224F3" w:rsidRDefault="001D39C9" w:rsidP="002224F3">
            <w:pPr>
              <w:pStyle w:val="aff0"/>
              <w:spacing w:line="240" w:lineRule="exact"/>
              <w:rPr>
                <w:rFonts w:asciiTheme="majorHAnsi" w:hAnsiTheme="majorHAnsi"/>
                <w:sz w:val="16"/>
                <w:szCs w:val="24"/>
              </w:rPr>
            </w:pPr>
            <w:r w:rsidRPr="002224F3">
              <w:rPr>
                <w:rFonts w:asciiTheme="majorHAnsi" w:hAnsiTheme="majorHAnsi"/>
                <w:sz w:val="16"/>
                <w:szCs w:val="24"/>
              </w:rPr>
              <w:t>из них с оплатой стоимости обучения</w:t>
            </w:r>
          </w:p>
        </w:tc>
      </w:tr>
      <w:tr w:rsidR="001D39C9" w:rsidRPr="001D39C9" w:rsidTr="001D39C9">
        <w:tc>
          <w:tcPr>
            <w:tcW w:w="1668" w:type="dxa"/>
          </w:tcPr>
          <w:p w:rsidR="001D39C9" w:rsidRPr="001D39C9" w:rsidRDefault="002224F3" w:rsidP="001D39C9">
            <w:pPr>
              <w:pStyle w:val="aff0"/>
              <w:rPr>
                <w:rFonts w:asciiTheme="majorHAnsi" w:hAnsiTheme="majorHAnsi"/>
                <w:sz w:val="24"/>
                <w:szCs w:val="24"/>
              </w:rPr>
            </w:pPr>
            <w:r>
              <w:rPr>
                <w:rFonts w:asciiTheme="majorHAnsi" w:hAnsiTheme="majorHAnsi"/>
                <w:sz w:val="24"/>
                <w:szCs w:val="24"/>
              </w:rPr>
              <w:t>ИТОГО по всем программам</w:t>
            </w:r>
          </w:p>
        </w:tc>
        <w:tc>
          <w:tcPr>
            <w:tcW w:w="850" w:type="dxa"/>
          </w:tcPr>
          <w:p w:rsidR="001D39C9" w:rsidRPr="00506377" w:rsidRDefault="001D39C9" w:rsidP="001D39C9">
            <w:pPr>
              <w:pStyle w:val="aff0"/>
              <w:rPr>
                <w:rFonts w:asciiTheme="majorHAnsi" w:hAnsiTheme="majorHAnsi"/>
                <w:b/>
                <w:sz w:val="24"/>
                <w:szCs w:val="24"/>
              </w:rPr>
            </w:pPr>
            <w:r w:rsidRPr="00506377">
              <w:rPr>
                <w:rFonts w:asciiTheme="majorHAnsi" w:hAnsiTheme="majorHAnsi"/>
                <w:b/>
                <w:sz w:val="24"/>
                <w:szCs w:val="24"/>
              </w:rPr>
              <w:t>37</w:t>
            </w:r>
          </w:p>
        </w:tc>
        <w:tc>
          <w:tcPr>
            <w:tcW w:w="969" w:type="dxa"/>
          </w:tcPr>
          <w:p w:rsidR="001D39C9" w:rsidRPr="00506377" w:rsidRDefault="001D39C9" w:rsidP="001D39C9">
            <w:pPr>
              <w:pStyle w:val="aff0"/>
              <w:rPr>
                <w:rFonts w:asciiTheme="majorHAnsi" w:hAnsiTheme="majorHAnsi"/>
                <w:sz w:val="24"/>
                <w:szCs w:val="24"/>
              </w:rPr>
            </w:pPr>
            <w:r w:rsidRPr="00506377">
              <w:rPr>
                <w:rFonts w:asciiTheme="majorHAnsi" w:hAnsiTheme="majorHAnsi"/>
                <w:sz w:val="24"/>
                <w:szCs w:val="24"/>
              </w:rPr>
              <w:t>5</w:t>
            </w:r>
          </w:p>
        </w:tc>
        <w:tc>
          <w:tcPr>
            <w:tcW w:w="910" w:type="dxa"/>
          </w:tcPr>
          <w:p w:rsidR="001D39C9" w:rsidRPr="00506377" w:rsidRDefault="001D39C9" w:rsidP="001D39C9">
            <w:pPr>
              <w:pStyle w:val="aff0"/>
              <w:rPr>
                <w:rFonts w:asciiTheme="majorHAnsi" w:hAnsiTheme="majorHAnsi"/>
                <w:sz w:val="24"/>
                <w:szCs w:val="24"/>
              </w:rPr>
            </w:pPr>
            <w:r w:rsidRPr="00506377">
              <w:rPr>
                <w:rFonts w:asciiTheme="majorHAnsi" w:hAnsiTheme="majorHAnsi"/>
                <w:sz w:val="24"/>
                <w:szCs w:val="24"/>
              </w:rPr>
              <w:t>32</w:t>
            </w:r>
          </w:p>
        </w:tc>
        <w:tc>
          <w:tcPr>
            <w:tcW w:w="909" w:type="dxa"/>
          </w:tcPr>
          <w:p w:rsidR="001D39C9" w:rsidRPr="00506377" w:rsidRDefault="001D39C9" w:rsidP="001D39C9">
            <w:pPr>
              <w:pStyle w:val="aff0"/>
              <w:rPr>
                <w:rFonts w:asciiTheme="majorHAnsi" w:hAnsiTheme="majorHAnsi"/>
                <w:b/>
                <w:sz w:val="24"/>
                <w:szCs w:val="24"/>
              </w:rPr>
            </w:pPr>
            <w:r w:rsidRPr="00506377">
              <w:rPr>
                <w:rFonts w:asciiTheme="majorHAnsi" w:hAnsiTheme="majorHAnsi"/>
                <w:b/>
                <w:sz w:val="24"/>
                <w:szCs w:val="24"/>
              </w:rPr>
              <w:t>56</w:t>
            </w:r>
          </w:p>
        </w:tc>
        <w:tc>
          <w:tcPr>
            <w:tcW w:w="910" w:type="dxa"/>
          </w:tcPr>
          <w:p w:rsidR="001D39C9" w:rsidRPr="00506377" w:rsidRDefault="001D39C9" w:rsidP="001D39C9">
            <w:pPr>
              <w:pStyle w:val="aff0"/>
              <w:rPr>
                <w:rFonts w:asciiTheme="majorHAnsi" w:hAnsiTheme="majorHAnsi"/>
                <w:sz w:val="24"/>
                <w:szCs w:val="24"/>
              </w:rPr>
            </w:pPr>
            <w:r w:rsidRPr="00506377">
              <w:rPr>
                <w:rFonts w:asciiTheme="majorHAnsi" w:hAnsiTheme="majorHAnsi"/>
                <w:sz w:val="24"/>
                <w:szCs w:val="24"/>
              </w:rPr>
              <w:t>28</w:t>
            </w:r>
          </w:p>
        </w:tc>
        <w:tc>
          <w:tcPr>
            <w:tcW w:w="910" w:type="dxa"/>
          </w:tcPr>
          <w:p w:rsidR="001D39C9" w:rsidRPr="00506377" w:rsidRDefault="001D39C9" w:rsidP="001D39C9">
            <w:pPr>
              <w:pStyle w:val="aff0"/>
              <w:rPr>
                <w:rFonts w:asciiTheme="majorHAnsi" w:hAnsiTheme="majorHAnsi"/>
                <w:sz w:val="24"/>
                <w:szCs w:val="24"/>
              </w:rPr>
            </w:pPr>
            <w:r w:rsidRPr="00506377">
              <w:rPr>
                <w:rFonts w:asciiTheme="majorHAnsi" w:hAnsiTheme="majorHAnsi"/>
                <w:sz w:val="24"/>
                <w:szCs w:val="24"/>
              </w:rPr>
              <w:t>28</w:t>
            </w:r>
          </w:p>
        </w:tc>
        <w:tc>
          <w:tcPr>
            <w:tcW w:w="909" w:type="dxa"/>
          </w:tcPr>
          <w:p w:rsidR="001D39C9" w:rsidRPr="00506377" w:rsidRDefault="001D39C9" w:rsidP="001D39C9">
            <w:pPr>
              <w:pStyle w:val="aff0"/>
              <w:rPr>
                <w:rFonts w:asciiTheme="majorHAnsi" w:hAnsiTheme="majorHAnsi"/>
                <w:b/>
                <w:sz w:val="24"/>
                <w:szCs w:val="24"/>
              </w:rPr>
            </w:pPr>
            <w:r w:rsidRPr="00506377">
              <w:rPr>
                <w:rFonts w:asciiTheme="majorHAnsi" w:hAnsiTheme="majorHAnsi"/>
                <w:b/>
                <w:sz w:val="24"/>
                <w:szCs w:val="24"/>
              </w:rPr>
              <w:t>77</w:t>
            </w:r>
          </w:p>
        </w:tc>
        <w:tc>
          <w:tcPr>
            <w:tcW w:w="910"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33</w:t>
            </w:r>
          </w:p>
        </w:tc>
        <w:tc>
          <w:tcPr>
            <w:tcW w:w="910"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44</w:t>
            </w:r>
          </w:p>
        </w:tc>
      </w:tr>
      <w:tr w:rsidR="001D39C9" w:rsidRPr="001D39C9" w:rsidTr="001D39C9">
        <w:tc>
          <w:tcPr>
            <w:tcW w:w="1668"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В</w:t>
            </w:r>
            <w:r w:rsidR="002224F3">
              <w:rPr>
                <w:rFonts w:asciiTheme="majorHAnsi" w:hAnsiTheme="majorHAnsi"/>
                <w:sz w:val="24"/>
                <w:szCs w:val="24"/>
              </w:rPr>
              <w:t xml:space="preserve">сего по программам </w:t>
            </w:r>
            <w:proofErr w:type="spellStart"/>
            <w:r w:rsidR="002224F3">
              <w:rPr>
                <w:rFonts w:asciiTheme="majorHAnsi" w:hAnsiTheme="majorHAnsi"/>
                <w:sz w:val="24"/>
                <w:szCs w:val="24"/>
              </w:rPr>
              <w:t>бакалавриата</w:t>
            </w:r>
            <w:proofErr w:type="spellEnd"/>
          </w:p>
        </w:tc>
        <w:tc>
          <w:tcPr>
            <w:tcW w:w="850"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3</w:t>
            </w:r>
          </w:p>
        </w:tc>
        <w:tc>
          <w:tcPr>
            <w:tcW w:w="969"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2</w:t>
            </w:r>
          </w:p>
        </w:tc>
        <w:tc>
          <w:tcPr>
            <w:tcW w:w="910"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1</w:t>
            </w:r>
          </w:p>
        </w:tc>
        <w:tc>
          <w:tcPr>
            <w:tcW w:w="909"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6</w:t>
            </w:r>
          </w:p>
        </w:tc>
        <w:tc>
          <w:tcPr>
            <w:tcW w:w="910"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2</w:t>
            </w:r>
          </w:p>
        </w:tc>
        <w:tc>
          <w:tcPr>
            <w:tcW w:w="910"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4</w:t>
            </w:r>
          </w:p>
        </w:tc>
        <w:tc>
          <w:tcPr>
            <w:tcW w:w="909"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9</w:t>
            </w:r>
          </w:p>
        </w:tc>
        <w:tc>
          <w:tcPr>
            <w:tcW w:w="910"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4</w:t>
            </w:r>
          </w:p>
        </w:tc>
        <w:tc>
          <w:tcPr>
            <w:tcW w:w="910"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5</w:t>
            </w:r>
          </w:p>
        </w:tc>
      </w:tr>
      <w:tr w:rsidR="001D39C9" w:rsidRPr="001D39C9" w:rsidTr="001D39C9">
        <w:tc>
          <w:tcPr>
            <w:tcW w:w="1668"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В</w:t>
            </w:r>
            <w:r w:rsidR="002224F3">
              <w:rPr>
                <w:rFonts w:asciiTheme="majorHAnsi" w:hAnsiTheme="majorHAnsi"/>
                <w:sz w:val="24"/>
                <w:szCs w:val="24"/>
              </w:rPr>
              <w:t>сего по программам магистратуры</w:t>
            </w:r>
          </w:p>
        </w:tc>
        <w:tc>
          <w:tcPr>
            <w:tcW w:w="850"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34</w:t>
            </w:r>
          </w:p>
        </w:tc>
        <w:tc>
          <w:tcPr>
            <w:tcW w:w="969"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3</w:t>
            </w:r>
          </w:p>
        </w:tc>
        <w:tc>
          <w:tcPr>
            <w:tcW w:w="910"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31</w:t>
            </w:r>
          </w:p>
        </w:tc>
        <w:tc>
          <w:tcPr>
            <w:tcW w:w="909"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50</w:t>
            </w:r>
          </w:p>
        </w:tc>
        <w:tc>
          <w:tcPr>
            <w:tcW w:w="910"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26</w:t>
            </w:r>
          </w:p>
        </w:tc>
        <w:tc>
          <w:tcPr>
            <w:tcW w:w="910"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24</w:t>
            </w:r>
          </w:p>
        </w:tc>
        <w:tc>
          <w:tcPr>
            <w:tcW w:w="909"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68</w:t>
            </w:r>
          </w:p>
        </w:tc>
        <w:tc>
          <w:tcPr>
            <w:tcW w:w="910"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29</w:t>
            </w:r>
          </w:p>
        </w:tc>
        <w:tc>
          <w:tcPr>
            <w:tcW w:w="910" w:type="dxa"/>
          </w:tcPr>
          <w:p w:rsidR="001D39C9" w:rsidRPr="001D39C9" w:rsidRDefault="001D39C9" w:rsidP="001D39C9">
            <w:pPr>
              <w:pStyle w:val="aff0"/>
              <w:rPr>
                <w:rFonts w:asciiTheme="majorHAnsi" w:hAnsiTheme="majorHAnsi"/>
                <w:sz w:val="24"/>
                <w:szCs w:val="24"/>
              </w:rPr>
            </w:pPr>
            <w:r w:rsidRPr="001D39C9">
              <w:rPr>
                <w:rFonts w:asciiTheme="majorHAnsi" w:hAnsiTheme="majorHAnsi"/>
                <w:sz w:val="24"/>
                <w:szCs w:val="24"/>
              </w:rPr>
              <w:t>39</w:t>
            </w:r>
          </w:p>
        </w:tc>
      </w:tr>
    </w:tbl>
    <w:p w:rsidR="001D39C9" w:rsidRPr="00146E58" w:rsidRDefault="001D39C9" w:rsidP="001D39C9">
      <w:pPr>
        <w:pStyle w:val="aff0"/>
        <w:rPr>
          <w:rFonts w:ascii="Palatino Linotype" w:hAnsi="Palatino Linotype"/>
          <w:sz w:val="24"/>
          <w:szCs w:val="24"/>
        </w:rPr>
      </w:pPr>
    </w:p>
    <w:p w:rsidR="001D39C9" w:rsidRPr="001D39C9" w:rsidRDefault="001D39C9" w:rsidP="001D39C9">
      <w:pPr>
        <w:spacing w:line="276" w:lineRule="auto"/>
        <w:jc w:val="both"/>
      </w:pPr>
      <w:r w:rsidRPr="001D39C9">
        <w:t>В рамках приемной кампании 2013 г. в НИУ ВШЭ поступило свыше 100 заявлений от иностранных абитуриентов из стран дальн</w:t>
      </w:r>
      <w:r w:rsidR="00AB306D">
        <w:t>его зарубежья (более 40 стран).</w:t>
      </w:r>
    </w:p>
    <w:p w:rsidR="001D39C9" w:rsidRPr="001D39C9" w:rsidRDefault="001D39C9" w:rsidP="001D39C9">
      <w:pPr>
        <w:spacing w:line="276" w:lineRule="auto"/>
        <w:jc w:val="both"/>
      </w:pPr>
      <w:r w:rsidRPr="001D39C9">
        <w:t>По результатам проведения приемной кампании можно сделать следующие выводы:</w:t>
      </w:r>
    </w:p>
    <w:p w:rsidR="001D39C9" w:rsidRDefault="001D39C9" w:rsidP="001D39C9">
      <w:pPr>
        <w:pStyle w:val="aff0"/>
        <w:jc w:val="both"/>
        <w:rPr>
          <w:rFonts w:ascii="Palatino Linotype" w:hAnsi="Palatino Linotype"/>
          <w:sz w:val="24"/>
          <w:szCs w:val="24"/>
        </w:rPr>
      </w:pPr>
    </w:p>
    <w:p w:rsidR="001D39C9" w:rsidRPr="00500E76" w:rsidRDefault="001D39C9" w:rsidP="002B51DC">
      <w:pPr>
        <w:pStyle w:val="aff0"/>
        <w:numPr>
          <w:ilvl w:val="0"/>
          <w:numId w:val="26"/>
        </w:numPr>
        <w:jc w:val="both"/>
        <w:rPr>
          <w:rFonts w:asciiTheme="majorHAnsi" w:hAnsiTheme="majorHAnsi"/>
          <w:sz w:val="24"/>
          <w:szCs w:val="24"/>
        </w:rPr>
      </w:pPr>
      <w:r w:rsidRPr="00500E76">
        <w:rPr>
          <w:rFonts w:asciiTheme="majorHAnsi" w:hAnsiTheme="majorHAnsi"/>
          <w:sz w:val="24"/>
          <w:szCs w:val="24"/>
        </w:rPr>
        <w:t xml:space="preserve">В НИУ ВШЭ могло бы поступать больше иностранных студентов из стран дальнего зарубежья </w:t>
      </w:r>
      <w:r w:rsidRPr="002224F3">
        <w:rPr>
          <w:rFonts w:asciiTheme="majorHAnsi" w:hAnsiTheme="majorHAnsi"/>
          <w:sz w:val="24"/>
          <w:szCs w:val="24"/>
        </w:rPr>
        <w:t>по квотам Правительства РФ</w:t>
      </w:r>
      <w:r w:rsidRPr="00500E76">
        <w:rPr>
          <w:rFonts w:asciiTheme="majorHAnsi" w:hAnsiTheme="majorHAnsi"/>
          <w:sz w:val="24"/>
          <w:szCs w:val="24"/>
        </w:rPr>
        <w:t>, в том случае, если бы им предоставлялась финансовая поддержка для оплаты части расходов, связанных с проживанием в Москве.  Из 81 заявления на квотные места к зачислению был отобран 41 кандидат. В НИУ ВШЭ было зачислено только 28 иностранных студентов (отказ кандидатов от зачисления объясняется в основном финансовыми причинами).</w:t>
      </w:r>
    </w:p>
    <w:p w:rsidR="001D39C9" w:rsidRPr="00AB306D" w:rsidRDefault="001D39C9" w:rsidP="002B51DC">
      <w:pPr>
        <w:pStyle w:val="aff0"/>
        <w:numPr>
          <w:ilvl w:val="0"/>
          <w:numId w:val="26"/>
        </w:numPr>
        <w:jc w:val="both"/>
        <w:rPr>
          <w:rFonts w:asciiTheme="majorHAnsi" w:hAnsiTheme="majorHAnsi"/>
          <w:sz w:val="24"/>
          <w:szCs w:val="24"/>
        </w:rPr>
      </w:pPr>
      <w:r w:rsidRPr="00500E76">
        <w:rPr>
          <w:rFonts w:asciiTheme="majorHAnsi" w:hAnsiTheme="majorHAnsi"/>
          <w:sz w:val="24"/>
          <w:szCs w:val="24"/>
        </w:rPr>
        <w:t xml:space="preserve">Сложная и длительная процедура признания документов об иностранном образовании </w:t>
      </w:r>
      <w:proofErr w:type="spellStart"/>
      <w:r w:rsidRPr="00500E76">
        <w:rPr>
          <w:rFonts w:asciiTheme="majorHAnsi" w:hAnsiTheme="majorHAnsi"/>
          <w:sz w:val="24"/>
          <w:szCs w:val="24"/>
        </w:rPr>
        <w:t>Главэкспертцентром</w:t>
      </w:r>
      <w:proofErr w:type="spellEnd"/>
      <w:r w:rsidRPr="00500E76">
        <w:rPr>
          <w:rFonts w:asciiTheme="majorHAnsi" w:hAnsiTheme="majorHAnsi"/>
          <w:sz w:val="24"/>
          <w:szCs w:val="24"/>
        </w:rPr>
        <w:t xml:space="preserve"> является одним из факторов, ограничивающих поступление иностранных абитуриентов в НИУ ВШЭ. Право университета устанавливать собственный порядок признания иностранного образования, предоставляемый новым законом «Об образовании», позволит НИУ ВШЭ более оперативно осуществлять данную процедуру.</w:t>
      </w:r>
    </w:p>
    <w:p w:rsidR="00E9221E" w:rsidRPr="008B19EB" w:rsidRDefault="00E9221E" w:rsidP="00F868E1">
      <w:pPr>
        <w:spacing w:after="200" w:line="276" w:lineRule="auto"/>
        <w:jc w:val="both"/>
      </w:pPr>
      <w:r w:rsidRPr="008B19EB">
        <w:t xml:space="preserve">Анализ существующих количественных показателей позволяет предположить, что  тенденция роста количества студентов из стран дальнего зарубежья в 2013-2014 учебном году сохранится. Для усиления этой тенденции необходимо разработать четкую стратегию </w:t>
      </w:r>
      <w:proofErr w:type="spellStart"/>
      <w:r w:rsidRPr="008B19EB">
        <w:t>рекрутинга</w:t>
      </w:r>
      <w:proofErr w:type="spellEnd"/>
      <w:r w:rsidRPr="008B19EB">
        <w:t xml:space="preserve"> иностранных студентов, определить наиболее перспективные страны и диверсифицировать форматы работы по привлечению иностранных студентов. Одним из основных факторов, который будет способствовать увеличению количества иностранных студентов, является появление новых международных образовательных программ с преподаванием на английском языке, а также обеспечение достаточного количества тематических образовательных туров и конкурентных образовательных программ по формату общеуниверситетских факультативов.  </w:t>
      </w:r>
    </w:p>
    <w:p w:rsidR="00E9221E" w:rsidRPr="008B19EB" w:rsidRDefault="00E9221E" w:rsidP="00F868E1">
      <w:pPr>
        <w:spacing w:after="200" w:line="276" w:lineRule="auto"/>
        <w:jc w:val="both"/>
      </w:pPr>
      <w:r w:rsidRPr="008B19EB">
        <w:t xml:space="preserve">В </w:t>
      </w:r>
      <w:r w:rsidR="00C50F33">
        <w:t>ближайшее время</w:t>
      </w:r>
      <w:r w:rsidRPr="008B19EB">
        <w:t xml:space="preserve"> необходимо обеспечить развитие качественной инфраструктуры приема и сопровождения иностранных студентов, в том числе:</w:t>
      </w:r>
    </w:p>
    <w:p w:rsidR="00E9221E" w:rsidRPr="008B19EB" w:rsidRDefault="00E9221E" w:rsidP="002B51DC">
      <w:pPr>
        <w:pStyle w:val="aff0"/>
        <w:numPr>
          <w:ilvl w:val="0"/>
          <w:numId w:val="26"/>
        </w:numPr>
        <w:jc w:val="both"/>
        <w:rPr>
          <w:rFonts w:asciiTheme="majorHAnsi" w:hAnsiTheme="majorHAnsi"/>
          <w:sz w:val="24"/>
          <w:szCs w:val="24"/>
        </w:rPr>
      </w:pPr>
      <w:r w:rsidRPr="008B19EB">
        <w:rPr>
          <w:rFonts w:asciiTheme="majorHAnsi" w:hAnsiTheme="majorHAnsi"/>
          <w:sz w:val="24"/>
          <w:szCs w:val="24"/>
        </w:rPr>
        <w:t>разработать широкую линейку информационной продукции и модернизировать Интернет ресурсы в соответствии с современными требованиями международного образовательного рынка;</w:t>
      </w:r>
    </w:p>
    <w:p w:rsidR="00E9221E" w:rsidRPr="008B19EB" w:rsidRDefault="00E9221E" w:rsidP="002B51DC">
      <w:pPr>
        <w:pStyle w:val="aff0"/>
        <w:numPr>
          <w:ilvl w:val="0"/>
          <w:numId w:val="26"/>
        </w:numPr>
        <w:jc w:val="both"/>
        <w:rPr>
          <w:rFonts w:asciiTheme="majorHAnsi" w:hAnsiTheme="majorHAnsi"/>
          <w:sz w:val="24"/>
          <w:szCs w:val="24"/>
        </w:rPr>
      </w:pPr>
      <w:r w:rsidRPr="008B19EB">
        <w:rPr>
          <w:rFonts w:asciiTheme="majorHAnsi" w:hAnsiTheme="majorHAnsi"/>
          <w:sz w:val="24"/>
          <w:szCs w:val="24"/>
        </w:rPr>
        <w:t>автоматизировать процедуры приема иностранных абитуриентов;</w:t>
      </w:r>
    </w:p>
    <w:p w:rsidR="00E9221E" w:rsidRPr="00C50F33" w:rsidRDefault="00E9221E" w:rsidP="002B51DC">
      <w:pPr>
        <w:pStyle w:val="aff0"/>
        <w:numPr>
          <w:ilvl w:val="0"/>
          <w:numId w:val="26"/>
        </w:numPr>
        <w:jc w:val="both"/>
        <w:rPr>
          <w:rFonts w:asciiTheme="majorHAnsi" w:hAnsiTheme="majorHAnsi"/>
          <w:sz w:val="24"/>
          <w:szCs w:val="24"/>
        </w:rPr>
      </w:pPr>
      <w:r w:rsidRPr="008B19EB">
        <w:rPr>
          <w:rFonts w:asciiTheme="majorHAnsi" w:hAnsiTheme="majorHAnsi"/>
          <w:sz w:val="24"/>
          <w:szCs w:val="24"/>
        </w:rPr>
        <w:t>использовать право устанавливать собственный порядок приз</w:t>
      </w:r>
      <w:r w:rsidR="00C50F33">
        <w:rPr>
          <w:rFonts w:asciiTheme="majorHAnsi" w:hAnsiTheme="majorHAnsi"/>
          <w:sz w:val="24"/>
          <w:szCs w:val="24"/>
        </w:rPr>
        <w:t>нания иностранного образования.</w:t>
      </w:r>
    </w:p>
    <w:p w:rsidR="005005BC" w:rsidRDefault="0072190D" w:rsidP="005005BC">
      <w:pPr>
        <w:pStyle w:val="3"/>
        <w:numPr>
          <w:ilvl w:val="2"/>
          <w:numId w:val="1"/>
        </w:numPr>
        <w:ind w:hanging="11"/>
      </w:pPr>
      <w:r>
        <w:t>Из стран СНГ и Балтии</w:t>
      </w:r>
    </w:p>
    <w:p w:rsidR="00506377" w:rsidRDefault="00506377" w:rsidP="00CA0EB4">
      <w:pPr>
        <w:rPr>
          <w:b/>
        </w:rPr>
      </w:pPr>
    </w:p>
    <w:p w:rsidR="00CA0EB4" w:rsidRPr="00B52F40" w:rsidRDefault="00B52F40" w:rsidP="00CA0EB4">
      <w:r w:rsidRPr="00B52F40">
        <w:t xml:space="preserve">Входящая мобильность студентов из стран СНГ и Балтии </w:t>
      </w:r>
      <w:proofErr w:type="spellStart"/>
      <w:r w:rsidRPr="00B52F40">
        <w:t>харакретизуется</w:t>
      </w:r>
      <w:proofErr w:type="spellEnd"/>
      <w:r w:rsidRPr="00B52F40">
        <w:t xml:space="preserve"> следующими параметрами:</w:t>
      </w:r>
    </w:p>
    <w:p w:rsidR="00CA0EB4" w:rsidRPr="00C50F33" w:rsidRDefault="00CA0EB4" w:rsidP="002B51DC">
      <w:pPr>
        <w:pStyle w:val="aff0"/>
        <w:numPr>
          <w:ilvl w:val="0"/>
          <w:numId w:val="26"/>
        </w:numPr>
        <w:jc w:val="both"/>
        <w:rPr>
          <w:rFonts w:asciiTheme="majorHAnsi" w:hAnsiTheme="majorHAnsi"/>
          <w:sz w:val="24"/>
          <w:szCs w:val="24"/>
        </w:rPr>
      </w:pPr>
      <w:r w:rsidRPr="00C50F33">
        <w:rPr>
          <w:rFonts w:asciiTheme="majorHAnsi" w:hAnsiTheme="majorHAnsi"/>
          <w:sz w:val="24"/>
          <w:szCs w:val="24"/>
        </w:rPr>
        <w:t xml:space="preserve">Ежегодное удвоение приема иностранных студентов (СНГ и Балтия) в </w:t>
      </w:r>
      <w:proofErr w:type="spellStart"/>
      <w:r w:rsidRPr="00C50F33">
        <w:rPr>
          <w:rFonts w:asciiTheme="majorHAnsi" w:hAnsiTheme="majorHAnsi"/>
          <w:sz w:val="24"/>
          <w:szCs w:val="24"/>
        </w:rPr>
        <w:t>бакалавриат</w:t>
      </w:r>
      <w:proofErr w:type="spellEnd"/>
      <w:r w:rsidRPr="00C50F33">
        <w:rPr>
          <w:rFonts w:asciiTheme="majorHAnsi" w:hAnsiTheme="majorHAnsi"/>
          <w:sz w:val="24"/>
          <w:szCs w:val="24"/>
        </w:rPr>
        <w:t xml:space="preserve"> </w:t>
      </w:r>
    </w:p>
    <w:p w:rsidR="00CA0EB4" w:rsidRPr="00C50F33" w:rsidRDefault="00CA0EB4" w:rsidP="002B51DC">
      <w:pPr>
        <w:pStyle w:val="aff0"/>
        <w:numPr>
          <w:ilvl w:val="0"/>
          <w:numId w:val="26"/>
        </w:numPr>
        <w:jc w:val="both"/>
        <w:rPr>
          <w:rFonts w:asciiTheme="majorHAnsi" w:hAnsiTheme="majorHAnsi"/>
          <w:sz w:val="24"/>
          <w:szCs w:val="24"/>
        </w:rPr>
      </w:pPr>
      <w:r w:rsidRPr="00C50F33">
        <w:rPr>
          <w:rFonts w:asciiTheme="majorHAnsi" w:hAnsiTheme="majorHAnsi"/>
          <w:sz w:val="24"/>
          <w:szCs w:val="24"/>
        </w:rPr>
        <w:t xml:space="preserve">Увеличение приема в магистратуру: </w:t>
      </w:r>
    </w:p>
    <w:p w:rsidR="00CA0EB4" w:rsidRPr="00CA0EB4" w:rsidRDefault="00CA0EB4" w:rsidP="002B51DC">
      <w:pPr>
        <w:numPr>
          <w:ilvl w:val="1"/>
          <w:numId w:val="46"/>
        </w:numPr>
        <w:tabs>
          <w:tab w:val="num" w:pos="720"/>
        </w:tabs>
      </w:pPr>
      <w:r w:rsidRPr="00CA0EB4">
        <w:t xml:space="preserve">ежегодный рост в 1,5 раза, но темпы ниже, чем в </w:t>
      </w:r>
      <w:proofErr w:type="spellStart"/>
      <w:r w:rsidRPr="00CA0EB4">
        <w:t>бакалавриат</w:t>
      </w:r>
      <w:r>
        <w:t>е</w:t>
      </w:r>
      <w:proofErr w:type="spellEnd"/>
      <w:r w:rsidRPr="00CA0EB4">
        <w:t xml:space="preserve">  </w:t>
      </w:r>
    </w:p>
    <w:p w:rsidR="00CA0EB4" w:rsidRPr="00CA0EB4" w:rsidRDefault="00CA0EB4" w:rsidP="002B51DC">
      <w:pPr>
        <w:pStyle w:val="aff0"/>
        <w:numPr>
          <w:ilvl w:val="0"/>
          <w:numId w:val="26"/>
        </w:numPr>
        <w:jc w:val="both"/>
      </w:pPr>
      <w:r w:rsidRPr="00C50F33">
        <w:rPr>
          <w:rFonts w:asciiTheme="majorHAnsi" w:hAnsiTheme="majorHAnsi"/>
          <w:sz w:val="24"/>
          <w:szCs w:val="24"/>
        </w:rPr>
        <w:t>Увеличение спроса на образовательные программы НИУ ВШЭ</w:t>
      </w:r>
      <w:r w:rsidRPr="00CA0EB4">
        <w:t xml:space="preserve"> </w:t>
      </w:r>
    </w:p>
    <w:p w:rsidR="00CA0EB4" w:rsidRPr="00CA0EB4" w:rsidRDefault="00CA0EB4" w:rsidP="002B51DC">
      <w:pPr>
        <w:numPr>
          <w:ilvl w:val="1"/>
          <w:numId w:val="46"/>
        </w:numPr>
      </w:pPr>
      <w:r w:rsidRPr="00CA0EB4">
        <w:t>В 2013 г. численность абитуриентов на бакалаврские и магистерские  программы увеличилась более чем в 1,5 раза в сравнении с 2012 г.</w:t>
      </w:r>
    </w:p>
    <w:p w:rsidR="00CA0EB4" w:rsidRPr="00CA0EB4" w:rsidRDefault="00CA0EB4" w:rsidP="002B51DC">
      <w:pPr>
        <w:numPr>
          <w:ilvl w:val="1"/>
          <w:numId w:val="46"/>
        </w:numPr>
      </w:pPr>
      <w:r w:rsidRPr="00CA0EB4">
        <w:lastRenderedPageBreak/>
        <w:t xml:space="preserve">Конкурс 2013 г. на квотные места сохраняется на достаточно высоком уровне – 4,7 чел. на одно «квотное место» (2012 – 4,3 чел.) при увеличении контрольных цифр приема по квотам в два раза в сравнении с 2012 годом. </w:t>
      </w:r>
    </w:p>
    <w:p w:rsidR="00CA0EB4" w:rsidRPr="00CA0EB4" w:rsidRDefault="00CA0EB4" w:rsidP="00CA0EB4">
      <w:pPr>
        <w:ind w:left="720"/>
        <w:rPr>
          <w:b/>
        </w:rPr>
      </w:pPr>
    </w:p>
    <w:p w:rsidR="00CA0EB4" w:rsidRPr="00CA0EB4" w:rsidRDefault="00CA0EB4" w:rsidP="00CA0EB4">
      <w:r w:rsidRPr="00CA0EB4">
        <w:rPr>
          <w:b/>
        </w:rPr>
        <w:t xml:space="preserve">Таблица </w:t>
      </w:r>
      <w:r>
        <w:rPr>
          <w:b/>
        </w:rPr>
        <w:t>7.1.2.1</w:t>
      </w:r>
      <w:r w:rsidRPr="00CA0EB4">
        <w:rPr>
          <w:b/>
        </w:rPr>
        <w:t xml:space="preserve">. </w:t>
      </w:r>
      <w:r w:rsidRPr="00CA0EB4">
        <w:t xml:space="preserve">Количество зачисленных в </w:t>
      </w:r>
      <w:proofErr w:type="spellStart"/>
      <w:r w:rsidRPr="00CA0EB4">
        <w:t>бакалавриат</w:t>
      </w:r>
      <w:proofErr w:type="spellEnd"/>
      <w:r w:rsidRPr="00CA0EB4">
        <w:t xml:space="preserve"> и магистратуру  из стран СНГ,  Балтии и соотечественники</w:t>
      </w:r>
      <w:r w:rsidR="006B7F12">
        <w:rPr>
          <w:rStyle w:val="ac"/>
        </w:rPr>
        <w:footnoteReference w:id="25"/>
      </w:r>
      <w:r w:rsidRPr="00CA0EB4">
        <w:t xml:space="preserve"> (все способы п</w:t>
      </w:r>
      <w:r w:rsidR="0072190D">
        <w:t>оступления), 2007-2013, человек</w:t>
      </w:r>
    </w:p>
    <w:tbl>
      <w:tblPr>
        <w:tblW w:w="9503" w:type="dxa"/>
        <w:tblInd w:w="93" w:type="dxa"/>
        <w:tblLook w:val="04A0" w:firstRow="1" w:lastRow="0" w:firstColumn="1" w:lastColumn="0" w:noHBand="0" w:noVBand="1"/>
      </w:tblPr>
      <w:tblGrid>
        <w:gridCol w:w="3546"/>
        <w:gridCol w:w="851"/>
        <w:gridCol w:w="851"/>
        <w:gridCol w:w="851"/>
        <w:gridCol w:w="851"/>
        <w:gridCol w:w="851"/>
        <w:gridCol w:w="851"/>
        <w:gridCol w:w="851"/>
      </w:tblGrid>
      <w:tr w:rsidR="00CA0EB4" w:rsidRPr="00CA0EB4" w:rsidTr="00CA0EB4">
        <w:trPr>
          <w:trHeight w:val="341"/>
        </w:trPr>
        <w:tc>
          <w:tcPr>
            <w:tcW w:w="3546" w:type="dxa"/>
            <w:tcBorders>
              <w:top w:val="single" w:sz="8" w:space="0" w:color="auto"/>
              <w:left w:val="single" w:sz="8" w:space="0" w:color="auto"/>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 </w:t>
            </w:r>
          </w:p>
        </w:tc>
        <w:tc>
          <w:tcPr>
            <w:tcW w:w="851" w:type="dxa"/>
            <w:tcBorders>
              <w:top w:val="single" w:sz="8" w:space="0" w:color="auto"/>
              <w:left w:val="nil"/>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2007</w:t>
            </w:r>
          </w:p>
        </w:tc>
        <w:tc>
          <w:tcPr>
            <w:tcW w:w="851" w:type="dxa"/>
            <w:tcBorders>
              <w:top w:val="single" w:sz="8" w:space="0" w:color="auto"/>
              <w:left w:val="nil"/>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2008</w:t>
            </w:r>
          </w:p>
        </w:tc>
        <w:tc>
          <w:tcPr>
            <w:tcW w:w="851" w:type="dxa"/>
            <w:tcBorders>
              <w:top w:val="single" w:sz="8" w:space="0" w:color="auto"/>
              <w:left w:val="nil"/>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2009</w:t>
            </w:r>
          </w:p>
        </w:tc>
        <w:tc>
          <w:tcPr>
            <w:tcW w:w="851" w:type="dxa"/>
            <w:tcBorders>
              <w:top w:val="single" w:sz="8" w:space="0" w:color="auto"/>
              <w:left w:val="nil"/>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2010</w:t>
            </w:r>
          </w:p>
        </w:tc>
        <w:tc>
          <w:tcPr>
            <w:tcW w:w="851" w:type="dxa"/>
            <w:tcBorders>
              <w:top w:val="single" w:sz="8" w:space="0" w:color="auto"/>
              <w:left w:val="nil"/>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2011</w:t>
            </w:r>
          </w:p>
        </w:tc>
        <w:tc>
          <w:tcPr>
            <w:tcW w:w="851" w:type="dxa"/>
            <w:tcBorders>
              <w:top w:val="single" w:sz="8" w:space="0" w:color="auto"/>
              <w:left w:val="nil"/>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2012</w:t>
            </w:r>
          </w:p>
        </w:tc>
        <w:tc>
          <w:tcPr>
            <w:tcW w:w="851" w:type="dxa"/>
            <w:tcBorders>
              <w:top w:val="single" w:sz="8" w:space="0" w:color="auto"/>
              <w:left w:val="nil"/>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2013</w:t>
            </w:r>
          </w:p>
        </w:tc>
      </w:tr>
      <w:tr w:rsidR="00CA0EB4" w:rsidRPr="00CA0EB4" w:rsidTr="00CA0EB4">
        <w:trPr>
          <w:trHeight w:val="326"/>
        </w:trPr>
        <w:tc>
          <w:tcPr>
            <w:tcW w:w="3546" w:type="dxa"/>
            <w:tcBorders>
              <w:top w:val="nil"/>
              <w:left w:val="single" w:sz="8" w:space="0" w:color="auto"/>
              <w:bottom w:val="single" w:sz="8" w:space="0" w:color="auto"/>
              <w:right w:val="single" w:sz="8" w:space="0" w:color="auto"/>
            </w:tcBorders>
            <w:shd w:val="clear" w:color="auto" w:fill="auto"/>
            <w:vAlign w:val="center"/>
          </w:tcPr>
          <w:p w:rsidR="00CA0EB4" w:rsidRPr="00CA0EB4" w:rsidRDefault="00CA0EB4" w:rsidP="00CA0EB4">
            <w:proofErr w:type="spellStart"/>
            <w:r w:rsidRPr="00CA0EB4">
              <w:t>Бакалавриат</w:t>
            </w:r>
            <w:proofErr w:type="spellEnd"/>
            <w:r w:rsidRPr="00CA0EB4">
              <w:t xml:space="preserve"> </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11</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14</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24</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24</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57</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92</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168</w:t>
            </w:r>
          </w:p>
        </w:tc>
      </w:tr>
      <w:tr w:rsidR="00CA0EB4" w:rsidRPr="00CA0EB4" w:rsidTr="00CA0EB4">
        <w:trPr>
          <w:trHeight w:val="326"/>
        </w:trPr>
        <w:tc>
          <w:tcPr>
            <w:tcW w:w="3546" w:type="dxa"/>
            <w:tcBorders>
              <w:top w:val="nil"/>
              <w:left w:val="single" w:sz="8" w:space="0" w:color="auto"/>
              <w:bottom w:val="single" w:sz="8" w:space="0" w:color="auto"/>
              <w:right w:val="single" w:sz="8" w:space="0" w:color="auto"/>
            </w:tcBorders>
            <w:shd w:val="clear" w:color="auto" w:fill="auto"/>
            <w:vAlign w:val="center"/>
          </w:tcPr>
          <w:p w:rsidR="00CA0EB4" w:rsidRPr="00CA0EB4" w:rsidRDefault="00CA0EB4" w:rsidP="00CA0EB4">
            <w:r w:rsidRPr="00CA0EB4">
              <w:t xml:space="preserve">Магистратура </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12</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19</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39</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71</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95</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125</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162</w:t>
            </w:r>
          </w:p>
        </w:tc>
      </w:tr>
      <w:tr w:rsidR="00CA0EB4" w:rsidRPr="00CA0EB4" w:rsidTr="00CA0EB4">
        <w:trPr>
          <w:trHeight w:val="388"/>
        </w:trPr>
        <w:tc>
          <w:tcPr>
            <w:tcW w:w="3546" w:type="dxa"/>
            <w:tcBorders>
              <w:top w:val="nil"/>
              <w:left w:val="single" w:sz="8" w:space="0" w:color="auto"/>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Всего</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23</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33</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63</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95</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152</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217</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330</w:t>
            </w:r>
          </w:p>
        </w:tc>
      </w:tr>
      <w:tr w:rsidR="00CA0EB4" w:rsidRPr="00CA0EB4" w:rsidTr="00CA0EB4">
        <w:trPr>
          <w:trHeight w:val="636"/>
        </w:trPr>
        <w:tc>
          <w:tcPr>
            <w:tcW w:w="3546" w:type="dxa"/>
            <w:tcBorders>
              <w:top w:val="nil"/>
              <w:left w:val="single" w:sz="8" w:space="0" w:color="auto"/>
              <w:bottom w:val="single" w:sz="8" w:space="0" w:color="auto"/>
              <w:right w:val="single" w:sz="8" w:space="0" w:color="auto"/>
            </w:tcBorders>
            <w:shd w:val="clear" w:color="auto" w:fill="auto"/>
            <w:vAlign w:val="center"/>
          </w:tcPr>
          <w:p w:rsidR="00CA0EB4" w:rsidRPr="00CA0EB4" w:rsidRDefault="00CA0EB4" w:rsidP="0072190D">
            <w:r w:rsidRPr="00CA0EB4">
              <w:t xml:space="preserve">Из них: </w:t>
            </w:r>
            <w:r w:rsidR="0072190D">
              <w:t>стран Балтии</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3</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10</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pPr>
              <w:rPr>
                <w:b/>
                <w:bCs/>
              </w:rPr>
            </w:pPr>
            <w:r w:rsidRPr="00CA0EB4">
              <w:rPr>
                <w:b/>
                <w:bCs/>
              </w:rPr>
              <w:t>12</w:t>
            </w:r>
          </w:p>
        </w:tc>
      </w:tr>
      <w:tr w:rsidR="00CA0EB4" w:rsidRPr="00CA0EB4" w:rsidTr="00CA0EB4">
        <w:trPr>
          <w:trHeight w:val="326"/>
        </w:trPr>
        <w:tc>
          <w:tcPr>
            <w:tcW w:w="3546" w:type="dxa"/>
            <w:tcBorders>
              <w:top w:val="nil"/>
              <w:left w:val="single" w:sz="8" w:space="0" w:color="auto"/>
              <w:bottom w:val="single" w:sz="8" w:space="0" w:color="auto"/>
              <w:right w:val="single" w:sz="8" w:space="0" w:color="auto"/>
            </w:tcBorders>
            <w:shd w:val="clear" w:color="auto" w:fill="auto"/>
            <w:vAlign w:val="center"/>
          </w:tcPr>
          <w:p w:rsidR="00CA0EB4" w:rsidRPr="00CA0EB4" w:rsidRDefault="00CA0EB4" w:rsidP="00CA0EB4">
            <w:proofErr w:type="spellStart"/>
            <w:r w:rsidRPr="00CA0EB4">
              <w:t>бакалавриат</w:t>
            </w:r>
            <w:proofErr w:type="spellEnd"/>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3</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5</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7</w:t>
            </w:r>
          </w:p>
        </w:tc>
      </w:tr>
      <w:tr w:rsidR="00CA0EB4" w:rsidRPr="00CA0EB4" w:rsidTr="00CA0EB4">
        <w:trPr>
          <w:trHeight w:val="326"/>
        </w:trPr>
        <w:tc>
          <w:tcPr>
            <w:tcW w:w="3546" w:type="dxa"/>
            <w:tcBorders>
              <w:top w:val="nil"/>
              <w:left w:val="single" w:sz="8" w:space="0" w:color="auto"/>
              <w:bottom w:val="single" w:sz="8" w:space="0" w:color="auto"/>
              <w:right w:val="single" w:sz="8" w:space="0" w:color="auto"/>
            </w:tcBorders>
            <w:shd w:val="clear" w:color="auto" w:fill="auto"/>
            <w:vAlign w:val="center"/>
          </w:tcPr>
          <w:p w:rsidR="00CA0EB4" w:rsidRPr="00CA0EB4" w:rsidRDefault="00CA0EB4" w:rsidP="00CA0EB4">
            <w:r w:rsidRPr="00CA0EB4">
              <w:t>магистратура</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 </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 </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 </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 </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5</w:t>
            </w:r>
          </w:p>
        </w:tc>
        <w:tc>
          <w:tcPr>
            <w:tcW w:w="851" w:type="dxa"/>
            <w:tcBorders>
              <w:top w:val="nil"/>
              <w:left w:val="nil"/>
              <w:bottom w:val="single" w:sz="8" w:space="0" w:color="auto"/>
              <w:right w:val="single" w:sz="8" w:space="0" w:color="auto"/>
            </w:tcBorders>
            <w:shd w:val="clear" w:color="auto" w:fill="auto"/>
            <w:vAlign w:val="center"/>
          </w:tcPr>
          <w:p w:rsidR="00CA0EB4" w:rsidRPr="00CA0EB4" w:rsidRDefault="00CA0EB4" w:rsidP="00CA0EB4">
            <w:r w:rsidRPr="00CA0EB4">
              <w:t>5</w:t>
            </w:r>
          </w:p>
        </w:tc>
      </w:tr>
    </w:tbl>
    <w:p w:rsidR="00CA0EB4" w:rsidRPr="006B7F12" w:rsidRDefault="00CA0EB4" w:rsidP="00CA0EB4">
      <w:pPr>
        <w:rPr>
          <w:i/>
          <w:lang w:val="en-US"/>
        </w:rPr>
      </w:pPr>
    </w:p>
    <w:p w:rsidR="00CA0EB4" w:rsidRPr="00CA0EB4" w:rsidRDefault="00CA0EB4" w:rsidP="00CA0EB4">
      <w:pPr>
        <w:rPr>
          <w:b/>
        </w:rPr>
      </w:pPr>
      <w:r w:rsidRPr="00CA0EB4">
        <w:rPr>
          <w:b/>
          <w:noProof/>
        </w:rPr>
        <w:drawing>
          <wp:inline distT="0" distB="0" distL="0" distR="0">
            <wp:extent cx="5886450" cy="3419475"/>
            <wp:effectExtent l="0" t="0" r="19050" b="9525"/>
            <wp:docPr id="7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CA0EB4" w:rsidRDefault="00CA0EB4" w:rsidP="00CA0EB4">
      <w:pPr>
        <w:ind w:left="720"/>
        <w:rPr>
          <w:b/>
        </w:rPr>
      </w:pPr>
    </w:p>
    <w:p w:rsidR="00CA0EB4" w:rsidRDefault="00CA0EB4" w:rsidP="00CA0EB4">
      <w:pPr>
        <w:ind w:left="720"/>
      </w:pPr>
      <w:r w:rsidRPr="00CA0EB4">
        <w:rPr>
          <w:bCs/>
        </w:rPr>
        <w:t>Это достигается благодаря:</w:t>
      </w:r>
    </w:p>
    <w:p w:rsidR="00CA0EB4" w:rsidRDefault="00CA0EB4" w:rsidP="006B7F12">
      <w:pPr>
        <w:pStyle w:val="a5"/>
        <w:numPr>
          <w:ilvl w:val="0"/>
          <w:numId w:val="48"/>
        </w:numPr>
        <w:ind w:left="0" w:firstLine="0"/>
        <w:jc w:val="both"/>
      </w:pPr>
      <w:r w:rsidRPr="00CA0EB4">
        <w:t>Повышению узнаваемости НИУ ВШЭ, расширению информированности о качестве образования в университете, возможности поступления иностранных студенто</w:t>
      </w:r>
      <w:r>
        <w:t>в на бюджетные места в НИУ ВШЭ,</w:t>
      </w:r>
    </w:p>
    <w:p w:rsidR="00CA0EB4" w:rsidRDefault="00CA0EB4" w:rsidP="006B7F12">
      <w:pPr>
        <w:pStyle w:val="a5"/>
        <w:numPr>
          <w:ilvl w:val="0"/>
          <w:numId w:val="48"/>
        </w:numPr>
        <w:ind w:left="0" w:firstLine="0"/>
        <w:jc w:val="both"/>
      </w:pPr>
      <w:r w:rsidRPr="00CA0EB4">
        <w:t xml:space="preserve">Расширению доступности образовательных проектов НИУ ВШЭ для основных целевых аудиторий стран СНГ (олимпиады, Зимние школы, </w:t>
      </w:r>
      <w:proofErr w:type="spellStart"/>
      <w:r w:rsidRPr="00CA0EB4">
        <w:t>профориентационные</w:t>
      </w:r>
      <w:proofErr w:type="spellEnd"/>
      <w:r w:rsidRPr="00CA0EB4">
        <w:t xml:space="preserve"> лагери, открытые лекции и открытые уроки, мастер-классы, </w:t>
      </w:r>
      <w:proofErr w:type="spellStart"/>
      <w:r w:rsidRPr="00CA0EB4">
        <w:t>метод.семинары</w:t>
      </w:r>
      <w:proofErr w:type="spellEnd"/>
      <w:r w:rsidRPr="00CA0EB4">
        <w:t xml:space="preserve"> для преподавателей и учителей школ и университетов стран СНГ, ППК для учителей);</w:t>
      </w:r>
    </w:p>
    <w:p w:rsidR="00CA0EB4" w:rsidRDefault="00CA0EB4" w:rsidP="006B7F12">
      <w:pPr>
        <w:pStyle w:val="a5"/>
        <w:numPr>
          <w:ilvl w:val="0"/>
          <w:numId w:val="48"/>
        </w:numPr>
        <w:ind w:left="0" w:firstLine="0"/>
        <w:jc w:val="both"/>
      </w:pPr>
      <w:r w:rsidRPr="00CA0EB4">
        <w:lastRenderedPageBreak/>
        <w:t>Предоставлению школьникам и студентам из стран СНГ и Балтии права быть зачисленными в НИУ ВШЭ по результатам олимпиадных испытаний наравне с российскими участниками олимпиад;</w:t>
      </w:r>
    </w:p>
    <w:p w:rsidR="00CA0EB4" w:rsidRPr="00CA0EB4" w:rsidRDefault="00CA0EB4" w:rsidP="006B7F12">
      <w:pPr>
        <w:pStyle w:val="a5"/>
        <w:numPr>
          <w:ilvl w:val="0"/>
          <w:numId w:val="48"/>
        </w:numPr>
        <w:ind w:left="0" w:firstLine="0"/>
        <w:jc w:val="both"/>
      </w:pPr>
      <w:r w:rsidRPr="00CA0EB4">
        <w:t xml:space="preserve">Предоставлению </w:t>
      </w:r>
      <w:r w:rsidRPr="00CA0EB4">
        <w:rPr>
          <w:bCs/>
        </w:rPr>
        <w:t xml:space="preserve">НИУ ВШЭ права самостоятельного отбора студентов в </w:t>
      </w:r>
      <w:proofErr w:type="spellStart"/>
      <w:r w:rsidRPr="00CA0EB4">
        <w:rPr>
          <w:bCs/>
        </w:rPr>
        <w:t>бакалавриат</w:t>
      </w:r>
      <w:proofErr w:type="spellEnd"/>
      <w:r w:rsidRPr="00CA0EB4">
        <w:rPr>
          <w:bCs/>
        </w:rPr>
        <w:t xml:space="preserve"> и магистратуру на места, обеспеченные финансированием из бюджета РФ (квоты) по межправительственным соглашениям.</w:t>
      </w:r>
    </w:p>
    <w:p w:rsidR="00CA0EB4" w:rsidRPr="00CA0EB4" w:rsidRDefault="00026D1D" w:rsidP="00B52F40">
      <w:pPr>
        <w:jc w:val="both"/>
      </w:pPr>
      <w:r w:rsidRPr="00026D1D">
        <w:t>В</w:t>
      </w:r>
      <w:r w:rsidR="00CA0EB4" w:rsidRPr="00026D1D">
        <w:t xml:space="preserve"> 2012/2013 уч. </w:t>
      </w:r>
      <w:r w:rsidRPr="00026D1D">
        <w:t>г</w:t>
      </w:r>
      <w:r w:rsidR="00CA0EB4" w:rsidRPr="00026D1D">
        <w:t>оду</w:t>
      </w:r>
      <w:r w:rsidRPr="00026D1D">
        <w:t xml:space="preserve"> отчислено 12 % студентов </w:t>
      </w:r>
      <w:proofErr w:type="spellStart"/>
      <w:r w:rsidRPr="00026D1D">
        <w:t>бакалавриата</w:t>
      </w:r>
      <w:proofErr w:type="spellEnd"/>
      <w:r w:rsidR="00B52F40">
        <w:t xml:space="preserve"> из стран СНГ и Балтии</w:t>
      </w:r>
      <w:r w:rsidRPr="00026D1D">
        <w:t>, поступивших в 2012 году.</w:t>
      </w:r>
      <w:r w:rsidR="00CA0EB4" w:rsidRPr="00CA0EB4">
        <w:rPr>
          <w:b/>
        </w:rPr>
        <w:t xml:space="preserve"> </w:t>
      </w:r>
    </w:p>
    <w:p w:rsidR="00CA0EB4" w:rsidRPr="00CA0EB4" w:rsidRDefault="00CA0EB4" w:rsidP="00CA0EB4">
      <w:pPr>
        <w:rPr>
          <w:u w:val="single"/>
        </w:rPr>
      </w:pPr>
    </w:p>
    <w:p w:rsidR="00CA0EB4" w:rsidRPr="00CA0EB4" w:rsidRDefault="00CA0EB4" w:rsidP="00CA0EB4">
      <w:pPr>
        <w:rPr>
          <w:u w:val="single"/>
        </w:rPr>
      </w:pPr>
      <w:r w:rsidRPr="00CA0EB4">
        <w:rPr>
          <w:u w:val="single"/>
        </w:rPr>
        <w:t>1. Отчисления  по причинам:</w:t>
      </w:r>
    </w:p>
    <w:p w:rsidR="00CA0EB4" w:rsidRPr="00CA0EB4" w:rsidRDefault="00CA0EB4" w:rsidP="002B51DC">
      <w:pPr>
        <w:pStyle w:val="a5"/>
        <w:numPr>
          <w:ilvl w:val="0"/>
          <w:numId w:val="48"/>
        </w:numPr>
        <w:ind w:left="0" w:firstLine="0"/>
      </w:pPr>
      <w:r w:rsidRPr="00CA0EB4">
        <w:t xml:space="preserve">За академическую неуспеваемость – 8 чел. </w:t>
      </w:r>
    </w:p>
    <w:p w:rsidR="00CA0EB4" w:rsidRPr="00CA0EB4" w:rsidRDefault="00CA0EB4" w:rsidP="002B51DC">
      <w:pPr>
        <w:pStyle w:val="a5"/>
        <w:numPr>
          <w:ilvl w:val="0"/>
          <w:numId w:val="48"/>
        </w:numPr>
        <w:ind w:left="0" w:firstLine="0"/>
      </w:pPr>
      <w:r w:rsidRPr="00CA0EB4">
        <w:t>По собственному желанию + перевод в др. вуз – 4 чел.</w:t>
      </w:r>
    </w:p>
    <w:p w:rsidR="00CA0EB4" w:rsidRPr="00CA0EB4" w:rsidRDefault="00CA0EB4" w:rsidP="002B51DC">
      <w:pPr>
        <w:pStyle w:val="a5"/>
        <w:numPr>
          <w:ilvl w:val="0"/>
          <w:numId w:val="48"/>
        </w:numPr>
        <w:ind w:left="0" w:firstLine="0"/>
      </w:pPr>
      <w:r w:rsidRPr="00CA0EB4">
        <w:t>Нарушение правил внутр</w:t>
      </w:r>
      <w:r w:rsidR="00026D1D">
        <w:t>еннего</w:t>
      </w:r>
      <w:r w:rsidRPr="00CA0EB4">
        <w:t xml:space="preserve"> распорядка – 1 чел.</w:t>
      </w:r>
    </w:p>
    <w:p w:rsidR="00CA0EB4" w:rsidRPr="00CA0EB4" w:rsidRDefault="00CA0EB4" w:rsidP="00CA0EB4">
      <w:pPr>
        <w:rPr>
          <w:u w:val="single"/>
        </w:rPr>
      </w:pPr>
      <w:r w:rsidRPr="00CA0EB4">
        <w:rPr>
          <w:u w:val="single"/>
        </w:rPr>
        <w:t>2. Отчисления  по способам поступления:</w:t>
      </w:r>
    </w:p>
    <w:p w:rsidR="00CA0EB4" w:rsidRPr="00CA0EB4" w:rsidRDefault="00CA0EB4" w:rsidP="002B51DC">
      <w:pPr>
        <w:pStyle w:val="a5"/>
        <w:numPr>
          <w:ilvl w:val="0"/>
          <w:numId w:val="48"/>
        </w:numPr>
        <w:ind w:left="0" w:firstLine="0"/>
      </w:pPr>
      <w:r w:rsidRPr="00CA0EB4">
        <w:t>Поступили по квотам - 10 чел. (из них: 5 чел. отчислены за академическую неуспеваемость)</w:t>
      </w:r>
    </w:p>
    <w:p w:rsidR="00CA0EB4" w:rsidRPr="00CA0EB4" w:rsidRDefault="00CA0EB4" w:rsidP="002B51DC">
      <w:pPr>
        <w:pStyle w:val="a5"/>
        <w:numPr>
          <w:ilvl w:val="0"/>
          <w:numId w:val="48"/>
        </w:numPr>
        <w:ind w:left="0" w:firstLine="0"/>
      </w:pPr>
      <w:r w:rsidRPr="00CA0EB4">
        <w:t>Поступили по конкурсу – 1 чел. (отчислен за академическую неуспеваемость)</w:t>
      </w:r>
    </w:p>
    <w:p w:rsidR="00CA0EB4" w:rsidRPr="00CA0EB4" w:rsidRDefault="00CA0EB4" w:rsidP="002B51DC">
      <w:pPr>
        <w:pStyle w:val="a5"/>
        <w:numPr>
          <w:ilvl w:val="0"/>
          <w:numId w:val="48"/>
        </w:numPr>
        <w:ind w:left="0" w:firstLine="0"/>
      </w:pPr>
      <w:r w:rsidRPr="00CA0EB4">
        <w:t>Поступили по олимпиаде – 1 чел. (отчислен за академическую неуспеваемость)</w:t>
      </w:r>
    </w:p>
    <w:p w:rsidR="00CA0EB4" w:rsidRPr="00CA0EB4" w:rsidRDefault="00CA0EB4" w:rsidP="002B51DC">
      <w:pPr>
        <w:pStyle w:val="a5"/>
        <w:numPr>
          <w:ilvl w:val="0"/>
          <w:numId w:val="48"/>
        </w:numPr>
        <w:ind w:left="0" w:firstLine="0"/>
      </w:pPr>
      <w:r w:rsidRPr="00CA0EB4">
        <w:t>Поступили по договору – 1 чел. (отчислен за академическую неуспеваемость)</w:t>
      </w:r>
    </w:p>
    <w:p w:rsidR="00CA0EB4" w:rsidRPr="00CA0EB4" w:rsidRDefault="00CA0EB4" w:rsidP="00CA0EB4">
      <w:pPr>
        <w:rPr>
          <w:u w:val="single"/>
        </w:rPr>
      </w:pPr>
      <w:r w:rsidRPr="00CA0EB4">
        <w:rPr>
          <w:u w:val="single"/>
        </w:rPr>
        <w:t>3. Отчисления  по факультетам по причине акад</w:t>
      </w:r>
      <w:r w:rsidR="00026D1D">
        <w:rPr>
          <w:u w:val="single"/>
        </w:rPr>
        <w:t xml:space="preserve">емической </w:t>
      </w:r>
      <w:r w:rsidRPr="00CA0EB4">
        <w:rPr>
          <w:u w:val="single"/>
        </w:rPr>
        <w:t>неуспеваемости:</w:t>
      </w:r>
    </w:p>
    <w:p w:rsidR="00CA0EB4" w:rsidRPr="00CA0EB4" w:rsidRDefault="00CA0EB4" w:rsidP="002B51DC">
      <w:pPr>
        <w:pStyle w:val="a5"/>
        <w:numPr>
          <w:ilvl w:val="0"/>
          <w:numId w:val="48"/>
        </w:numPr>
        <w:ind w:left="0" w:firstLine="0"/>
      </w:pPr>
      <w:r w:rsidRPr="00CA0EB4">
        <w:t>Прикладная математика – 4 чел. (Казахстан, Украина, Молдова)</w:t>
      </w:r>
    </w:p>
    <w:p w:rsidR="00CA0EB4" w:rsidRPr="00CA0EB4" w:rsidRDefault="00CA0EB4" w:rsidP="002B51DC">
      <w:pPr>
        <w:pStyle w:val="a5"/>
        <w:numPr>
          <w:ilvl w:val="0"/>
          <w:numId w:val="48"/>
        </w:numPr>
        <w:ind w:left="0" w:firstLine="0"/>
      </w:pPr>
      <w:r w:rsidRPr="00CA0EB4">
        <w:t>Программная инженерия – 2 чел. (Украина, Беларусь)</w:t>
      </w:r>
    </w:p>
    <w:p w:rsidR="00CA0EB4" w:rsidRPr="00CA0EB4" w:rsidRDefault="00CA0EB4" w:rsidP="002B51DC">
      <w:pPr>
        <w:pStyle w:val="a5"/>
        <w:numPr>
          <w:ilvl w:val="0"/>
          <w:numId w:val="48"/>
        </w:numPr>
        <w:ind w:left="0" w:firstLine="0"/>
      </w:pPr>
      <w:r w:rsidRPr="00CA0EB4">
        <w:t xml:space="preserve">Ф-т </w:t>
      </w:r>
      <w:proofErr w:type="spellStart"/>
      <w:r w:rsidRPr="00CA0EB4">
        <w:t>инф.технологий</w:t>
      </w:r>
      <w:proofErr w:type="spellEnd"/>
      <w:r w:rsidRPr="00CA0EB4">
        <w:t xml:space="preserve"> – 1 чел (Беларусь)</w:t>
      </w:r>
    </w:p>
    <w:p w:rsidR="00CA0EB4" w:rsidRDefault="00CA0EB4" w:rsidP="002B51DC">
      <w:pPr>
        <w:pStyle w:val="a5"/>
        <w:numPr>
          <w:ilvl w:val="0"/>
          <w:numId w:val="48"/>
        </w:numPr>
        <w:ind w:left="0" w:firstLine="0"/>
      </w:pPr>
      <w:r w:rsidRPr="00CA0EB4">
        <w:t>Психология – 1 чел. (Украина)</w:t>
      </w:r>
    </w:p>
    <w:p w:rsidR="00CA0EB4" w:rsidRPr="00026D1D" w:rsidRDefault="00026D1D" w:rsidP="00CA0EB4">
      <w:r w:rsidRPr="00026D1D">
        <w:t>В</w:t>
      </w:r>
      <w:r w:rsidR="00CA0EB4" w:rsidRPr="00026D1D">
        <w:t xml:space="preserve"> 2012/2013 уч. </w:t>
      </w:r>
      <w:r>
        <w:t>г</w:t>
      </w:r>
      <w:r w:rsidR="00CA0EB4" w:rsidRPr="00026D1D">
        <w:t>оду</w:t>
      </w:r>
      <w:r>
        <w:t xml:space="preserve"> отчислено</w:t>
      </w:r>
      <w:r w:rsidR="00CA0EB4" w:rsidRPr="00026D1D">
        <w:t xml:space="preserve">  15%  набора  </w:t>
      </w:r>
      <w:r>
        <w:t xml:space="preserve">магистров </w:t>
      </w:r>
      <w:r w:rsidR="00CA0EB4" w:rsidRPr="00026D1D">
        <w:t>2012 г</w:t>
      </w:r>
      <w:r>
        <w:t>ода</w:t>
      </w:r>
      <w:r w:rsidR="00CA0EB4" w:rsidRPr="00026D1D">
        <w:t>.</w:t>
      </w:r>
    </w:p>
    <w:p w:rsidR="00CA0EB4" w:rsidRPr="00CA0EB4" w:rsidRDefault="00CA0EB4" w:rsidP="00CA0EB4">
      <w:pPr>
        <w:rPr>
          <w:b/>
        </w:rPr>
      </w:pPr>
    </w:p>
    <w:p w:rsidR="00CA0EB4" w:rsidRPr="00CA0EB4" w:rsidRDefault="00CA0EB4" w:rsidP="00CA0EB4">
      <w:pPr>
        <w:rPr>
          <w:u w:val="single"/>
        </w:rPr>
      </w:pPr>
      <w:r w:rsidRPr="00CA0EB4">
        <w:rPr>
          <w:u w:val="single"/>
        </w:rPr>
        <w:t>1. Отчисления по причинам:</w:t>
      </w:r>
    </w:p>
    <w:p w:rsidR="00CA0EB4" w:rsidRPr="00CA0EB4" w:rsidRDefault="00CA0EB4" w:rsidP="00CA0EB4">
      <w:r w:rsidRPr="00CA0EB4">
        <w:t xml:space="preserve">11 чел. - за академическую неуспеваемость </w:t>
      </w:r>
    </w:p>
    <w:p w:rsidR="00CA0EB4" w:rsidRPr="00CA0EB4" w:rsidRDefault="00CA0EB4" w:rsidP="00CA0EB4">
      <w:r w:rsidRPr="00CA0EB4">
        <w:t>8 чел. – по собственному желанию</w:t>
      </w:r>
    </w:p>
    <w:p w:rsidR="00CA0EB4" w:rsidRPr="00CA0EB4" w:rsidRDefault="00CA0EB4" w:rsidP="00CA0EB4"/>
    <w:p w:rsidR="00CA0EB4" w:rsidRPr="00CA0EB4" w:rsidRDefault="00CA0EB4" w:rsidP="00CA0EB4">
      <w:pPr>
        <w:rPr>
          <w:u w:val="single"/>
        </w:rPr>
      </w:pPr>
      <w:r w:rsidRPr="00CA0EB4">
        <w:rPr>
          <w:u w:val="single"/>
        </w:rPr>
        <w:t>2. Отчисления  по способам поступления:</w:t>
      </w:r>
    </w:p>
    <w:p w:rsidR="00CA0EB4" w:rsidRPr="00CA0EB4" w:rsidRDefault="00CA0EB4" w:rsidP="002B51DC">
      <w:pPr>
        <w:pStyle w:val="a5"/>
        <w:numPr>
          <w:ilvl w:val="0"/>
          <w:numId w:val="48"/>
        </w:numPr>
        <w:ind w:left="0" w:firstLine="0"/>
      </w:pPr>
      <w:r w:rsidRPr="00CA0EB4">
        <w:t>Поступили по квотам -10 чел., из них:: 8 чел. –  отчислены за акад. неуспеваемость,  2 чел. – по собственному желанию</w:t>
      </w:r>
    </w:p>
    <w:p w:rsidR="00CA0EB4" w:rsidRPr="00CA0EB4" w:rsidRDefault="00CA0EB4" w:rsidP="002B51DC">
      <w:pPr>
        <w:pStyle w:val="a5"/>
        <w:numPr>
          <w:ilvl w:val="0"/>
          <w:numId w:val="48"/>
        </w:numPr>
        <w:ind w:left="0" w:firstLine="0"/>
      </w:pPr>
      <w:r w:rsidRPr="00CA0EB4">
        <w:t>Поступили по конкурсу – 3 чел. (все отчислены по СЖ)</w:t>
      </w:r>
    </w:p>
    <w:p w:rsidR="00CA0EB4" w:rsidRPr="00CA0EB4" w:rsidRDefault="00CA0EB4" w:rsidP="002B51DC">
      <w:pPr>
        <w:pStyle w:val="a5"/>
        <w:numPr>
          <w:ilvl w:val="0"/>
          <w:numId w:val="48"/>
        </w:numPr>
        <w:ind w:left="0" w:firstLine="0"/>
      </w:pPr>
      <w:r w:rsidRPr="00CA0EB4">
        <w:t>Поступили по олимпиаде – 3 чел., из них: 2 чел. - отчислены за акад. неуспеваемость</w:t>
      </w:r>
    </w:p>
    <w:p w:rsidR="00CA0EB4" w:rsidRPr="00CA0EB4" w:rsidRDefault="00CA0EB4" w:rsidP="002B51DC">
      <w:pPr>
        <w:pStyle w:val="a5"/>
        <w:numPr>
          <w:ilvl w:val="0"/>
          <w:numId w:val="48"/>
        </w:numPr>
        <w:ind w:left="0" w:firstLine="0"/>
      </w:pPr>
      <w:r w:rsidRPr="00CA0EB4">
        <w:t>Поступили по договору – 2  чел. (все отчислены за акад. неуспеваемость)</w:t>
      </w:r>
    </w:p>
    <w:p w:rsidR="00CA0EB4" w:rsidRPr="00CA0EB4" w:rsidRDefault="00CA0EB4" w:rsidP="00CA0EB4">
      <w:pPr>
        <w:rPr>
          <w:u w:val="single"/>
        </w:rPr>
      </w:pPr>
      <w:r w:rsidRPr="00CA0EB4">
        <w:rPr>
          <w:u w:val="single"/>
        </w:rPr>
        <w:t>3. Отчисления за академическую неуспеваемость по направлениям магистерских программ и странам:</w:t>
      </w:r>
    </w:p>
    <w:p w:rsidR="00CA0EB4" w:rsidRPr="00CA0EB4" w:rsidRDefault="00CA0EB4" w:rsidP="002B51DC">
      <w:pPr>
        <w:pStyle w:val="a5"/>
        <w:numPr>
          <w:ilvl w:val="0"/>
          <w:numId w:val="48"/>
        </w:numPr>
        <w:ind w:left="0" w:firstLine="0"/>
      </w:pPr>
      <w:r w:rsidRPr="00CA0EB4">
        <w:t xml:space="preserve">ПИ  – 1 чел. (Казахстан) </w:t>
      </w:r>
    </w:p>
    <w:p w:rsidR="00CA0EB4" w:rsidRPr="00CA0EB4" w:rsidRDefault="00CA0EB4" w:rsidP="002B51DC">
      <w:pPr>
        <w:pStyle w:val="a5"/>
        <w:numPr>
          <w:ilvl w:val="0"/>
          <w:numId w:val="48"/>
        </w:numPr>
        <w:ind w:left="0" w:firstLine="0"/>
      </w:pPr>
      <w:r w:rsidRPr="00CA0EB4">
        <w:t>Экономика  –   3 чел. (Казахстан – 2 чел, Украина – 1 чел.)</w:t>
      </w:r>
    </w:p>
    <w:p w:rsidR="00CA0EB4" w:rsidRPr="00CA0EB4" w:rsidRDefault="00CA0EB4" w:rsidP="002B51DC">
      <w:pPr>
        <w:pStyle w:val="a5"/>
        <w:numPr>
          <w:ilvl w:val="0"/>
          <w:numId w:val="48"/>
        </w:numPr>
        <w:ind w:left="0" w:firstLine="0"/>
      </w:pPr>
      <w:r w:rsidRPr="00CA0EB4">
        <w:t>Юриспруденция  - 2 чел (Казахстан, Молдова)</w:t>
      </w:r>
    </w:p>
    <w:p w:rsidR="00CA0EB4" w:rsidRPr="00CA0EB4" w:rsidRDefault="00CA0EB4" w:rsidP="002B51DC">
      <w:pPr>
        <w:pStyle w:val="a5"/>
        <w:numPr>
          <w:ilvl w:val="0"/>
          <w:numId w:val="48"/>
        </w:numPr>
        <w:ind w:left="0" w:firstLine="0"/>
      </w:pPr>
      <w:r w:rsidRPr="00CA0EB4">
        <w:t>Социология – 2 чел. (Беларусь. Украина)</w:t>
      </w:r>
    </w:p>
    <w:p w:rsidR="00CA0EB4" w:rsidRPr="00CA0EB4" w:rsidRDefault="00CA0EB4" w:rsidP="002B51DC">
      <w:pPr>
        <w:pStyle w:val="a5"/>
        <w:numPr>
          <w:ilvl w:val="0"/>
          <w:numId w:val="48"/>
        </w:numPr>
        <w:ind w:left="0" w:firstLine="0"/>
      </w:pPr>
      <w:r w:rsidRPr="00CA0EB4">
        <w:t>Менеджмент – 2 чел. (Киргизия, Латвия)</w:t>
      </w:r>
    </w:p>
    <w:p w:rsidR="00CA0EB4" w:rsidRPr="00CA0EB4" w:rsidRDefault="00CA0EB4" w:rsidP="002B51DC">
      <w:pPr>
        <w:pStyle w:val="a5"/>
        <w:numPr>
          <w:ilvl w:val="0"/>
          <w:numId w:val="48"/>
        </w:numPr>
        <w:ind w:left="0" w:firstLine="0"/>
      </w:pPr>
      <w:proofErr w:type="spellStart"/>
      <w:r w:rsidRPr="00CA0EB4">
        <w:t>Медиакоммуникации</w:t>
      </w:r>
      <w:proofErr w:type="spellEnd"/>
      <w:r w:rsidRPr="00CA0EB4">
        <w:t xml:space="preserve"> – 1 чел. (Латвия)</w:t>
      </w:r>
    </w:p>
    <w:p w:rsidR="00CA0EB4" w:rsidRPr="00CA0EB4" w:rsidRDefault="00CA0EB4" w:rsidP="00CA0EB4">
      <w:pPr>
        <w:rPr>
          <w:b/>
        </w:rPr>
      </w:pPr>
    </w:p>
    <w:p w:rsidR="00CA0EB4" w:rsidRPr="00CA0EB4" w:rsidRDefault="00CA0EB4" w:rsidP="00CA0EB4">
      <w:pPr>
        <w:rPr>
          <w:u w:val="single"/>
        </w:rPr>
      </w:pPr>
      <w:r w:rsidRPr="00CA0EB4">
        <w:rPr>
          <w:u w:val="single"/>
        </w:rPr>
        <w:t>4. Отчисления по странам:</w:t>
      </w:r>
    </w:p>
    <w:p w:rsidR="00CA0EB4" w:rsidRPr="00CA0EB4" w:rsidRDefault="00CA0EB4" w:rsidP="002B51DC">
      <w:pPr>
        <w:pStyle w:val="a5"/>
        <w:numPr>
          <w:ilvl w:val="0"/>
          <w:numId w:val="48"/>
        </w:numPr>
        <w:ind w:left="0" w:firstLine="0"/>
      </w:pPr>
      <w:r w:rsidRPr="00CA0EB4">
        <w:t>Казахстан – 7 чел.</w:t>
      </w:r>
    </w:p>
    <w:p w:rsidR="00CA0EB4" w:rsidRPr="00CA0EB4" w:rsidRDefault="00CA0EB4" w:rsidP="002B51DC">
      <w:pPr>
        <w:pStyle w:val="a5"/>
        <w:numPr>
          <w:ilvl w:val="0"/>
          <w:numId w:val="48"/>
        </w:numPr>
        <w:ind w:left="0" w:firstLine="0"/>
      </w:pPr>
      <w:r w:rsidRPr="00CA0EB4">
        <w:t>Украина – 5 чел.</w:t>
      </w:r>
    </w:p>
    <w:p w:rsidR="00CA0EB4" w:rsidRPr="00CA0EB4" w:rsidRDefault="00CA0EB4" w:rsidP="002B51DC">
      <w:pPr>
        <w:pStyle w:val="a5"/>
        <w:numPr>
          <w:ilvl w:val="0"/>
          <w:numId w:val="48"/>
        </w:numPr>
        <w:ind w:left="0" w:firstLine="0"/>
      </w:pPr>
      <w:r w:rsidRPr="00CA0EB4">
        <w:t>Латвия – 2 чел.</w:t>
      </w:r>
    </w:p>
    <w:p w:rsidR="00CA0EB4" w:rsidRPr="00CA0EB4" w:rsidRDefault="00CA0EB4" w:rsidP="002B51DC">
      <w:pPr>
        <w:pStyle w:val="a5"/>
        <w:numPr>
          <w:ilvl w:val="0"/>
          <w:numId w:val="48"/>
        </w:numPr>
        <w:ind w:left="0" w:firstLine="0"/>
      </w:pPr>
      <w:r w:rsidRPr="00CA0EB4">
        <w:t>Узбекистан – 2 чел.</w:t>
      </w:r>
    </w:p>
    <w:p w:rsidR="00CA0EB4" w:rsidRPr="00CA0EB4" w:rsidRDefault="00CA0EB4" w:rsidP="002B51DC">
      <w:pPr>
        <w:pStyle w:val="a5"/>
        <w:numPr>
          <w:ilvl w:val="0"/>
          <w:numId w:val="48"/>
        </w:numPr>
        <w:ind w:left="0" w:firstLine="0"/>
      </w:pPr>
      <w:r w:rsidRPr="00CA0EB4">
        <w:t>Киргизия – 1 чел.</w:t>
      </w:r>
    </w:p>
    <w:p w:rsidR="00CA0EB4" w:rsidRPr="00CA0EB4" w:rsidRDefault="00CA0EB4" w:rsidP="002B51DC">
      <w:pPr>
        <w:pStyle w:val="a5"/>
        <w:numPr>
          <w:ilvl w:val="0"/>
          <w:numId w:val="48"/>
        </w:numPr>
        <w:ind w:left="0" w:firstLine="0"/>
      </w:pPr>
      <w:r w:rsidRPr="00CA0EB4">
        <w:t>Молдова -1 чел.</w:t>
      </w:r>
    </w:p>
    <w:p w:rsidR="00CA0EB4" w:rsidRPr="00CA0EB4" w:rsidRDefault="00CA0EB4" w:rsidP="002B51DC">
      <w:pPr>
        <w:pStyle w:val="a5"/>
        <w:numPr>
          <w:ilvl w:val="0"/>
          <w:numId w:val="48"/>
        </w:numPr>
        <w:ind w:left="0" w:firstLine="0"/>
      </w:pPr>
      <w:r w:rsidRPr="00CA0EB4">
        <w:t>Беларусь – 1 чел.</w:t>
      </w:r>
    </w:p>
    <w:p w:rsidR="00B52F40" w:rsidRPr="00CA0EB4" w:rsidRDefault="00B52F40" w:rsidP="00B52F40">
      <w:r w:rsidRPr="00B52F40">
        <w:rPr>
          <w:b/>
        </w:rPr>
        <w:t xml:space="preserve">Таблица 7.1.2.5. </w:t>
      </w:r>
      <w:r w:rsidRPr="00CA0EB4">
        <w:t xml:space="preserve">Удельный вес отчисленных (все причины) студентов </w:t>
      </w:r>
      <w:proofErr w:type="spellStart"/>
      <w:r w:rsidRPr="00CA0EB4">
        <w:t>бакалавриата</w:t>
      </w:r>
      <w:proofErr w:type="spellEnd"/>
      <w:r w:rsidRPr="00CA0EB4">
        <w:t xml:space="preserve"> и магистратуры из числа поступивших в соответствующем году,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3188"/>
        <w:gridCol w:w="3189"/>
      </w:tblGrid>
      <w:tr w:rsidR="00B52F40" w:rsidRPr="00CA0EB4" w:rsidTr="000C7663">
        <w:tc>
          <w:tcPr>
            <w:tcW w:w="3190" w:type="dxa"/>
            <w:shd w:val="clear" w:color="auto" w:fill="auto"/>
          </w:tcPr>
          <w:p w:rsidR="00B52F40" w:rsidRPr="00CA0EB4" w:rsidRDefault="00B52F40" w:rsidP="000C7663">
            <w:pPr>
              <w:rPr>
                <w:b/>
              </w:rPr>
            </w:pPr>
            <w:r w:rsidRPr="00CA0EB4">
              <w:rPr>
                <w:b/>
              </w:rPr>
              <w:t>% отчисленных</w:t>
            </w:r>
          </w:p>
        </w:tc>
        <w:tc>
          <w:tcPr>
            <w:tcW w:w="3190" w:type="dxa"/>
            <w:shd w:val="clear" w:color="auto" w:fill="auto"/>
          </w:tcPr>
          <w:p w:rsidR="00B52F40" w:rsidRPr="00CA0EB4" w:rsidRDefault="00B52F40" w:rsidP="000C7663">
            <w:pPr>
              <w:rPr>
                <w:b/>
              </w:rPr>
            </w:pPr>
            <w:r w:rsidRPr="00CA0EB4">
              <w:rPr>
                <w:b/>
              </w:rPr>
              <w:t xml:space="preserve">Из </w:t>
            </w:r>
            <w:proofErr w:type="spellStart"/>
            <w:r w:rsidRPr="00CA0EB4">
              <w:rPr>
                <w:b/>
              </w:rPr>
              <w:t>бакалавриата</w:t>
            </w:r>
            <w:proofErr w:type="spellEnd"/>
          </w:p>
        </w:tc>
        <w:tc>
          <w:tcPr>
            <w:tcW w:w="3191" w:type="dxa"/>
            <w:shd w:val="clear" w:color="auto" w:fill="auto"/>
          </w:tcPr>
          <w:p w:rsidR="00B52F40" w:rsidRPr="00CA0EB4" w:rsidRDefault="00B52F40" w:rsidP="000C7663">
            <w:pPr>
              <w:rPr>
                <w:b/>
              </w:rPr>
            </w:pPr>
            <w:r w:rsidRPr="00CA0EB4">
              <w:rPr>
                <w:b/>
              </w:rPr>
              <w:t>Из магистратуры</w:t>
            </w:r>
          </w:p>
        </w:tc>
      </w:tr>
      <w:tr w:rsidR="00B52F40" w:rsidRPr="00CA0EB4" w:rsidTr="000C7663">
        <w:tc>
          <w:tcPr>
            <w:tcW w:w="3190" w:type="dxa"/>
            <w:shd w:val="clear" w:color="auto" w:fill="auto"/>
          </w:tcPr>
          <w:p w:rsidR="00B52F40" w:rsidRPr="00CA0EB4" w:rsidRDefault="00B52F40" w:rsidP="000C7663">
            <w:pPr>
              <w:rPr>
                <w:b/>
              </w:rPr>
            </w:pPr>
            <w:r w:rsidRPr="00CA0EB4">
              <w:rPr>
                <w:b/>
              </w:rPr>
              <w:t>2010</w:t>
            </w:r>
          </w:p>
        </w:tc>
        <w:tc>
          <w:tcPr>
            <w:tcW w:w="3190" w:type="dxa"/>
            <w:shd w:val="clear" w:color="auto" w:fill="auto"/>
          </w:tcPr>
          <w:p w:rsidR="00B52F40" w:rsidRPr="00CA0EB4" w:rsidRDefault="00B52F40" w:rsidP="000C7663">
            <w:r w:rsidRPr="00CA0EB4">
              <w:t>23</w:t>
            </w:r>
          </w:p>
        </w:tc>
        <w:tc>
          <w:tcPr>
            <w:tcW w:w="3191" w:type="dxa"/>
            <w:shd w:val="clear" w:color="auto" w:fill="auto"/>
          </w:tcPr>
          <w:p w:rsidR="00B52F40" w:rsidRPr="00CA0EB4" w:rsidRDefault="00B52F40" w:rsidP="000C7663">
            <w:r w:rsidRPr="00CA0EB4">
              <w:t>19</w:t>
            </w:r>
          </w:p>
        </w:tc>
      </w:tr>
      <w:tr w:rsidR="00B52F40" w:rsidRPr="00CA0EB4" w:rsidTr="000C7663">
        <w:tc>
          <w:tcPr>
            <w:tcW w:w="3190" w:type="dxa"/>
            <w:shd w:val="clear" w:color="auto" w:fill="auto"/>
          </w:tcPr>
          <w:p w:rsidR="00B52F40" w:rsidRPr="00CA0EB4" w:rsidRDefault="00B52F40" w:rsidP="000C7663">
            <w:pPr>
              <w:rPr>
                <w:b/>
              </w:rPr>
            </w:pPr>
            <w:r w:rsidRPr="00CA0EB4">
              <w:rPr>
                <w:b/>
              </w:rPr>
              <w:t>2011</w:t>
            </w:r>
          </w:p>
        </w:tc>
        <w:tc>
          <w:tcPr>
            <w:tcW w:w="3190" w:type="dxa"/>
            <w:shd w:val="clear" w:color="auto" w:fill="auto"/>
          </w:tcPr>
          <w:p w:rsidR="00B52F40" w:rsidRPr="00CA0EB4" w:rsidRDefault="00B52F40" w:rsidP="000C7663">
            <w:r w:rsidRPr="00CA0EB4">
              <w:t>23</w:t>
            </w:r>
          </w:p>
        </w:tc>
        <w:tc>
          <w:tcPr>
            <w:tcW w:w="3191" w:type="dxa"/>
            <w:shd w:val="clear" w:color="auto" w:fill="auto"/>
          </w:tcPr>
          <w:p w:rsidR="00B52F40" w:rsidRPr="00CA0EB4" w:rsidRDefault="00B52F40" w:rsidP="000C7663">
            <w:r w:rsidRPr="00CA0EB4">
              <w:t>16</w:t>
            </w:r>
          </w:p>
        </w:tc>
      </w:tr>
      <w:tr w:rsidR="00B52F40" w:rsidRPr="00CA0EB4" w:rsidTr="000C7663">
        <w:tc>
          <w:tcPr>
            <w:tcW w:w="3190" w:type="dxa"/>
            <w:shd w:val="clear" w:color="auto" w:fill="auto"/>
          </w:tcPr>
          <w:p w:rsidR="00B52F40" w:rsidRPr="00CA0EB4" w:rsidRDefault="00B52F40" w:rsidP="000C7663">
            <w:pPr>
              <w:rPr>
                <w:b/>
              </w:rPr>
            </w:pPr>
            <w:r w:rsidRPr="00CA0EB4">
              <w:rPr>
                <w:b/>
              </w:rPr>
              <w:t>2012</w:t>
            </w:r>
          </w:p>
        </w:tc>
        <w:tc>
          <w:tcPr>
            <w:tcW w:w="3190" w:type="dxa"/>
            <w:shd w:val="clear" w:color="auto" w:fill="auto"/>
          </w:tcPr>
          <w:p w:rsidR="00B52F40" w:rsidRPr="00CA0EB4" w:rsidRDefault="00B52F40" w:rsidP="000C7663">
            <w:r w:rsidRPr="00CA0EB4">
              <w:t>12</w:t>
            </w:r>
          </w:p>
        </w:tc>
        <w:tc>
          <w:tcPr>
            <w:tcW w:w="3191" w:type="dxa"/>
            <w:shd w:val="clear" w:color="auto" w:fill="auto"/>
          </w:tcPr>
          <w:p w:rsidR="00B52F40" w:rsidRPr="00CA0EB4" w:rsidRDefault="00B52F40" w:rsidP="000C7663">
            <w:r w:rsidRPr="00CA0EB4">
              <w:t>15</w:t>
            </w:r>
          </w:p>
        </w:tc>
      </w:tr>
      <w:tr w:rsidR="00B52F40" w:rsidRPr="00CA0EB4" w:rsidTr="000C7663">
        <w:tc>
          <w:tcPr>
            <w:tcW w:w="3190" w:type="dxa"/>
            <w:shd w:val="clear" w:color="auto" w:fill="auto"/>
          </w:tcPr>
          <w:p w:rsidR="00B52F40" w:rsidRPr="00CA0EB4" w:rsidRDefault="00B52F40" w:rsidP="000C7663">
            <w:pPr>
              <w:rPr>
                <w:b/>
              </w:rPr>
            </w:pPr>
            <w:r w:rsidRPr="00CA0EB4">
              <w:rPr>
                <w:b/>
              </w:rPr>
              <w:t>2013</w:t>
            </w:r>
          </w:p>
        </w:tc>
        <w:tc>
          <w:tcPr>
            <w:tcW w:w="3190" w:type="dxa"/>
            <w:shd w:val="clear" w:color="auto" w:fill="auto"/>
          </w:tcPr>
          <w:p w:rsidR="00B52F40" w:rsidRPr="00CA0EB4" w:rsidRDefault="00B52F40" w:rsidP="000C7663">
            <w:r w:rsidRPr="00CA0EB4">
              <w:t>1 чел. (СЖ)</w:t>
            </w:r>
          </w:p>
        </w:tc>
        <w:tc>
          <w:tcPr>
            <w:tcW w:w="3191" w:type="dxa"/>
            <w:shd w:val="clear" w:color="auto" w:fill="auto"/>
          </w:tcPr>
          <w:p w:rsidR="00B52F40" w:rsidRPr="00CA0EB4" w:rsidRDefault="00B52F40" w:rsidP="000C7663">
            <w:r w:rsidRPr="00CA0EB4">
              <w:t>2 чел. (СЖ)</w:t>
            </w:r>
          </w:p>
        </w:tc>
      </w:tr>
    </w:tbl>
    <w:p w:rsidR="00B52F40" w:rsidRPr="00B52F40" w:rsidRDefault="00B52F40" w:rsidP="00B52F40">
      <w:pPr>
        <w:ind w:left="1080"/>
        <w:rPr>
          <w:b/>
        </w:rPr>
      </w:pPr>
    </w:p>
    <w:p w:rsidR="00B52F40" w:rsidRPr="00B52F40" w:rsidRDefault="00B52F40" w:rsidP="00B52F40">
      <w:pPr>
        <w:rPr>
          <w:b/>
        </w:rPr>
      </w:pPr>
      <w:r w:rsidRPr="005E362F">
        <w:rPr>
          <w:noProof/>
        </w:rPr>
        <w:drawing>
          <wp:inline distT="0" distB="0" distL="0" distR="0" wp14:anchorId="3CA11970" wp14:editId="0B59B907">
            <wp:extent cx="5959928" cy="2530928"/>
            <wp:effectExtent l="0" t="0" r="22225" b="22225"/>
            <wp:docPr id="74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B52F40" w:rsidRPr="00B52F40" w:rsidRDefault="00B52F40" w:rsidP="00B52F40">
      <w:pPr>
        <w:ind w:left="1080"/>
        <w:rPr>
          <w:b/>
        </w:rPr>
      </w:pPr>
    </w:p>
    <w:p w:rsidR="00CA0EB4" w:rsidRPr="00CA0EB4" w:rsidRDefault="00292B1B" w:rsidP="00CA0EB4">
      <w:pPr>
        <w:rPr>
          <w:b/>
        </w:rPr>
      </w:pPr>
      <w:r w:rsidRPr="00292B1B">
        <w:rPr>
          <w:b/>
          <w:noProof/>
        </w:rPr>
        <w:drawing>
          <wp:inline distT="0" distB="0" distL="0" distR="0">
            <wp:extent cx="5704514" cy="2776756"/>
            <wp:effectExtent l="0" t="0" r="10795" b="24130"/>
            <wp:docPr id="74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CA0EB4" w:rsidRPr="00CA0EB4" w:rsidRDefault="00CA0EB4" w:rsidP="00CA0EB4"/>
    <w:p w:rsidR="00CA0EB4" w:rsidRPr="00B52F40" w:rsidRDefault="00B52F40" w:rsidP="00CA0EB4">
      <w:r w:rsidRPr="00B52F40">
        <w:lastRenderedPageBreak/>
        <w:t>В целом можно отметить:</w:t>
      </w:r>
    </w:p>
    <w:p w:rsidR="00CA0EB4" w:rsidRPr="00CA0EB4" w:rsidRDefault="00CA0EB4" w:rsidP="002B51DC">
      <w:pPr>
        <w:pStyle w:val="a5"/>
        <w:numPr>
          <w:ilvl w:val="0"/>
          <w:numId w:val="48"/>
        </w:numPr>
        <w:ind w:left="0" w:firstLine="0"/>
      </w:pPr>
      <w:r w:rsidRPr="008D5377">
        <w:t xml:space="preserve">Основной «канал» входа на полный цикл обучения и в </w:t>
      </w:r>
      <w:proofErr w:type="spellStart"/>
      <w:r w:rsidRPr="008D5377">
        <w:t>бакалавриат</w:t>
      </w:r>
      <w:proofErr w:type="spellEnd"/>
      <w:r w:rsidRPr="008D5377">
        <w:t xml:space="preserve"> и в магистратуру ВШЭ, начиная с 2011,  - отбор по квотам.</w:t>
      </w:r>
    </w:p>
    <w:p w:rsidR="00CA0EB4" w:rsidRPr="00CA0EB4" w:rsidRDefault="00CA0EB4" w:rsidP="002B51DC">
      <w:pPr>
        <w:pStyle w:val="a5"/>
        <w:numPr>
          <w:ilvl w:val="0"/>
          <w:numId w:val="48"/>
        </w:numPr>
        <w:ind w:left="0" w:firstLine="0"/>
      </w:pPr>
      <w:r w:rsidRPr="008D5377">
        <w:t xml:space="preserve">«видимым каналом» поступления постепенно становятся олимпиады. </w:t>
      </w:r>
    </w:p>
    <w:p w:rsidR="00CA0EB4" w:rsidRPr="00CA0EB4" w:rsidRDefault="00CA0EB4" w:rsidP="002B51DC">
      <w:pPr>
        <w:pStyle w:val="a5"/>
        <w:numPr>
          <w:ilvl w:val="0"/>
          <w:numId w:val="48"/>
        </w:numPr>
        <w:ind w:left="0" w:firstLine="0"/>
      </w:pPr>
      <w:r w:rsidRPr="008D5377">
        <w:t xml:space="preserve">Однако значительная часть победителей и призеров олимпиад (и школьников и студентов) не воспользовались правом быть зачисленными в ВШЭ без вступительных экзаменов. В основном это страны Балтии, Армения. Почти половина победителей олимпиад делают выбор в пользу других университетов (преимущественно не российских). </w:t>
      </w:r>
    </w:p>
    <w:p w:rsidR="005005BC" w:rsidRDefault="005005BC" w:rsidP="005005BC">
      <w:pPr>
        <w:pStyle w:val="2"/>
        <w:numPr>
          <w:ilvl w:val="1"/>
          <w:numId w:val="1"/>
        </w:numPr>
      </w:pPr>
      <w:bookmarkStart w:id="53" w:name="_Toc374030071"/>
      <w:r>
        <w:t>Программы включенного обучения (обменные и индивидуальные) и краткосрочные образовательные программы</w:t>
      </w:r>
      <w:bookmarkEnd w:id="53"/>
    </w:p>
    <w:p w:rsidR="006B7F12" w:rsidRDefault="006B7F12" w:rsidP="008026E6">
      <w:pPr>
        <w:pStyle w:val="aff0"/>
        <w:jc w:val="both"/>
        <w:rPr>
          <w:rFonts w:ascii="Calibri" w:hAnsi="Calibri"/>
          <w:sz w:val="24"/>
          <w:szCs w:val="24"/>
          <w:lang w:eastAsia="ru-RU"/>
        </w:rPr>
      </w:pPr>
    </w:p>
    <w:p w:rsidR="006B7F12" w:rsidRPr="00CA0EB4" w:rsidRDefault="006B7F12" w:rsidP="006B7F12">
      <w:pPr>
        <w:jc w:val="both"/>
      </w:pPr>
      <w:r w:rsidRPr="00CA0EB4">
        <w:t>Работа по организации приема студентов</w:t>
      </w:r>
      <w:r w:rsidR="00B52F40">
        <w:t xml:space="preserve"> из стран СНГ и Балтии</w:t>
      </w:r>
      <w:r w:rsidRPr="00CA0EB4">
        <w:t xml:space="preserve"> на </w:t>
      </w:r>
      <w:r>
        <w:t>включенное обучение</w:t>
      </w:r>
      <w:r w:rsidRPr="00CA0EB4">
        <w:t xml:space="preserve"> началась с 2011/2012 уч. года. Основанием для </w:t>
      </w:r>
      <w:r>
        <w:t>включенного обучения</w:t>
      </w:r>
      <w:r w:rsidRPr="00CA0EB4">
        <w:t xml:space="preserve"> явились Соглашения (Меморандумы) о сотрудничестве, подписанные НИУ ВШЭ с университетами стран СНГ и Балтии. </w:t>
      </w:r>
    </w:p>
    <w:p w:rsidR="006B7F12" w:rsidRPr="004C0574" w:rsidRDefault="006B7F12" w:rsidP="006B7F12">
      <w:pPr>
        <w:jc w:val="both"/>
      </w:pPr>
      <w:r w:rsidRPr="00CA0EB4">
        <w:t>К настоящему времени подписано более 20 соглашений с университетами стран СНГ. В 2012/2013 уч. году поступили заявки на стажиров</w:t>
      </w:r>
      <w:r>
        <w:t xml:space="preserve">ки студентов от 9 университетов </w:t>
      </w:r>
      <w:r w:rsidRPr="00CA0EB4">
        <w:t xml:space="preserve">Украины, Казахстана, Армении. В результате были приняты на </w:t>
      </w:r>
      <w:r>
        <w:t>обучение</w:t>
      </w:r>
      <w:r w:rsidRPr="00CA0EB4">
        <w:t xml:space="preserve"> 65 студентов, из них: студенты 3-4 курсов – 41 чел., студенты 1 курса магистратуры – 24 чел.   </w:t>
      </w:r>
    </w:p>
    <w:p w:rsidR="006B7F12" w:rsidRDefault="006B7F12" w:rsidP="008026E6">
      <w:pPr>
        <w:pStyle w:val="aff0"/>
        <w:jc w:val="both"/>
        <w:rPr>
          <w:rFonts w:ascii="Calibri" w:hAnsi="Calibri"/>
          <w:sz w:val="24"/>
          <w:szCs w:val="24"/>
          <w:lang w:eastAsia="ru-RU"/>
        </w:rPr>
      </w:pPr>
    </w:p>
    <w:p w:rsidR="008026E6" w:rsidRPr="00221675" w:rsidRDefault="008026E6" w:rsidP="008026E6">
      <w:pPr>
        <w:pStyle w:val="aff0"/>
        <w:jc w:val="both"/>
        <w:rPr>
          <w:rFonts w:ascii="Calibri" w:hAnsi="Calibri"/>
          <w:sz w:val="24"/>
          <w:szCs w:val="24"/>
          <w:lang w:eastAsia="ru-RU"/>
        </w:rPr>
      </w:pPr>
      <w:r w:rsidRPr="00221675">
        <w:rPr>
          <w:rFonts w:ascii="Calibri" w:hAnsi="Calibri"/>
          <w:sz w:val="24"/>
          <w:szCs w:val="24"/>
          <w:lang w:eastAsia="ru-RU"/>
        </w:rPr>
        <w:t>Общее количество иностранных студентов</w:t>
      </w:r>
      <w:r w:rsidR="006B7F12" w:rsidRPr="006B7F12">
        <w:rPr>
          <w:rFonts w:ascii="Calibri" w:hAnsi="Calibri"/>
          <w:sz w:val="24"/>
          <w:szCs w:val="24"/>
          <w:lang w:eastAsia="ru-RU"/>
        </w:rPr>
        <w:t xml:space="preserve"> (</w:t>
      </w:r>
      <w:r w:rsidR="006B7F12">
        <w:rPr>
          <w:rFonts w:ascii="Calibri" w:hAnsi="Calibri"/>
          <w:sz w:val="24"/>
          <w:szCs w:val="24"/>
          <w:lang w:eastAsia="ru-RU"/>
        </w:rPr>
        <w:t>без учета стран СНГ и Балтии</w:t>
      </w:r>
      <w:r w:rsidR="006B7F12" w:rsidRPr="006B7F12">
        <w:rPr>
          <w:rFonts w:ascii="Calibri" w:hAnsi="Calibri"/>
          <w:sz w:val="24"/>
          <w:szCs w:val="24"/>
          <w:lang w:eastAsia="ru-RU"/>
        </w:rPr>
        <w:t>)</w:t>
      </w:r>
      <w:r w:rsidRPr="00221675">
        <w:rPr>
          <w:rFonts w:ascii="Calibri" w:hAnsi="Calibri"/>
          <w:sz w:val="24"/>
          <w:szCs w:val="24"/>
          <w:lang w:eastAsia="ru-RU"/>
        </w:rPr>
        <w:t>, обучавшихся в 2012-2013 учебном году в НИУ ВШЭ на программах включенного обучения и краткосрочных образовательных программах, составило 375 человек:</w:t>
      </w:r>
    </w:p>
    <w:p w:rsidR="008026E6" w:rsidRPr="00221675" w:rsidRDefault="008026E6" w:rsidP="002B51DC">
      <w:pPr>
        <w:pStyle w:val="aff0"/>
        <w:numPr>
          <w:ilvl w:val="0"/>
          <w:numId w:val="27"/>
        </w:numPr>
        <w:jc w:val="both"/>
        <w:rPr>
          <w:rFonts w:ascii="Calibri" w:hAnsi="Calibri"/>
          <w:sz w:val="24"/>
          <w:szCs w:val="24"/>
          <w:lang w:eastAsia="ru-RU"/>
        </w:rPr>
      </w:pPr>
      <w:r w:rsidRPr="00221675">
        <w:rPr>
          <w:rFonts w:ascii="Calibri" w:hAnsi="Calibri"/>
          <w:sz w:val="24"/>
          <w:szCs w:val="24"/>
          <w:lang w:eastAsia="ru-RU"/>
        </w:rPr>
        <w:t xml:space="preserve">194 человека на программах включенного обучения </w:t>
      </w:r>
    </w:p>
    <w:p w:rsidR="008026E6" w:rsidRPr="00221675" w:rsidRDefault="008026E6" w:rsidP="002B51DC">
      <w:pPr>
        <w:pStyle w:val="aff0"/>
        <w:numPr>
          <w:ilvl w:val="0"/>
          <w:numId w:val="27"/>
        </w:numPr>
        <w:jc w:val="both"/>
        <w:rPr>
          <w:rFonts w:ascii="Calibri" w:hAnsi="Calibri"/>
          <w:sz w:val="24"/>
          <w:szCs w:val="24"/>
          <w:lang w:eastAsia="ru-RU"/>
        </w:rPr>
      </w:pPr>
      <w:r w:rsidRPr="00221675">
        <w:rPr>
          <w:rFonts w:ascii="Calibri" w:hAnsi="Calibri"/>
          <w:sz w:val="24"/>
          <w:szCs w:val="24"/>
          <w:lang w:eastAsia="ru-RU"/>
        </w:rPr>
        <w:t>181 человек на краткосрочных образовательных программах</w:t>
      </w:r>
    </w:p>
    <w:p w:rsidR="008026E6" w:rsidRDefault="008026E6" w:rsidP="008026E6">
      <w:pPr>
        <w:pStyle w:val="aff0"/>
        <w:jc w:val="both"/>
        <w:rPr>
          <w:rFonts w:ascii="Palatino Linotype" w:eastAsia="Calibri" w:hAnsi="Palatino Linotype"/>
          <w:sz w:val="24"/>
          <w:szCs w:val="24"/>
        </w:rPr>
      </w:pPr>
    </w:p>
    <w:p w:rsidR="008026E6" w:rsidRPr="00221675" w:rsidRDefault="008026E6" w:rsidP="00221675">
      <w:pPr>
        <w:pStyle w:val="aff0"/>
        <w:jc w:val="both"/>
        <w:rPr>
          <w:rFonts w:ascii="Calibri" w:hAnsi="Calibri"/>
          <w:sz w:val="24"/>
          <w:szCs w:val="24"/>
          <w:lang w:eastAsia="ru-RU"/>
        </w:rPr>
      </w:pPr>
      <w:r w:rsidRPr="00221675">
        <w:rPr>
          <w:rFonts w:ascii="Calibri" w:hAnsi="Calibri"/>
          <w:sz w:val="24"/>
          <w:szCs w:val="24"/>
          <w:lang w:eastAsia="ru-RU"/>
        </w:rPr>
        <w:t xml:space="preserve">Количество  иностранных студентов, приехавших на программы включенного обучения (от одного семестра) в 2012-2013 учебном году, впервые превысило количество студентов, участвовавших в краткосрочных образовательных программах. Это изменение в структуре входящей студенческой мобильности является существенным, поскольку студенты на программах включенного обучения учитываются для целей международных рейтингов. </w:t>
      </w:r>
    </w:p>
    <w:p w:rsidR="008026E6" w:rsidRPr="00221675" w:rsidRDefault="008026E6" w:rsidP="00221675">
      <w:pPr>
        <w:pStyle w:val="aff0"/>
        <w:jc w:val="both"/>
        <w:rPr>
          <w:rFonts w:ascii="Calibri" w:hAnsi="Calibri"/>
          <w:sz w:val="24"/>
          <w:szCs w:val="24"/>
          <w:lang w:eastAsia="ru-RU"/>
        </w:rPr>
      </w:pPr>
    </w:p>
    <w:p w:rsidR="008026E6" w:rsidRPr="00221675" w:rsidRDefault="008026E6" w:rsidP="00221675">
      <w:pPr>
        <w:pStyle w:val="aff0"/>
        <w:jc w:val="both"/>
        <w:rPr>
          <w:rFonts w:ascii="Calibri" w:hAnsi="Calibri"/>
          <w:sz w:val="24"/>
          <w:szCs w:val="24"/>
          <w:lang w:eastAsia="ru-RU"/>
        </w:rPr>
      </w:pPr>
      <w:r w:rsidRPr="00221675">
        <w:rPr>
          <w:rFonts w:ascii="Calibri" w:hAnsi="Calibri"/>
          <w:sz w:val="24"/>
          <w:szCs w:val="24"/>
          <w:lang w:eastAsia="ru-RU"/>
        </w:rPr>
        <w:t xml:space="preserve">Участие в данных программах подразумевает наличие межвузовского соглашения или контракта на оказание платных образовательных услуг. Иностранные студенты, находящиеся на включенном обучении, имеют право изучать дисциплины на разных учебных программах НИУ ВШЭ. </w:t>
      </w:r>
    </w:p>
    <w:p w:rsidR="008026E6" w:rsidRDefault="008026E6" w:rsidP="008026E6">
      <w:pPr>
        <w:pStyle w:val="aff0"/>
        <w:jc w:val="both"/>
        <w:rPr>
          <w:rFonts w:ascii="Palatino Linotype" w:eastAsia="Calibri" w:hAnsi="Palatino Linotype"/>
          <w:b/>
          <w:sz w:val="24"/>
          <w:szCs w:val="24"/>
        </w:rPr>
      </w:pPr>
    </w:p>
    <w:p w:rsidR="008026E6" w:rsidRDefault="008026E6" w:rsidP="00221675">
      <w:pPr>
        <w:spacing w:line="276" w:lineRule="auto"/>
        <w:rPr>
          <w:rFonts w:ascii="Palatino Linotype" w:eastAsia="Calibri" w:hAnsi="Palatino Linotype"/>
          <w:b/>
        </w:rPr>
      </w:pPr>
      <w:r w:rsidRPr="00221675">
        <w:rPr>
          <w:rFonts w:asciiTheme="majorHAnsi" w:eastAsia="Calibri" w:hAnsiTheme="majorHAnsi"/>
          <w:b/>
          <w:bCs/>
          <w:lang w:eastAsia="en-US"/>
        </w:rPr>
        <w:t>Динамика роста числа студентов из стран дальнего зарубежья на включенном обучении за период  с 2009 по 2013 г.</w:t>
      </w:r>
      <w:r w:rsidRPr="0049521B">
        <w:rPr>
          <w:rFonts w:ascii="Palatino Linotype" w:eastAsia="Calibri" w:hAnsi="Palatino Linotype"/>
          <w:b/>
        </w:rPr>
        <w:tab/>
      </w:r>
    </w:p>
    <w:p w:rsidR="008026E6" w:rsidRDefault="008026E6" w:rsidP="008026E6">
      <w:pPr>
        <w:pStyle w:val="aff0"/>
        <w:jc w:val="both"/>
        <w:rPr>
          <w:rFonts w:ascii="Palatino Linotype" w:eastAsia="Calibri" w:hAnsi="Palatino Linotype"/>
          <w:b/>
          <w:sz w:val="24"/>
          <w:szCs w:val="24"/>
        </w:rPr>
      </w:pPr>
    </w:p>
    <w:p w:rsidR="008026E6" w:rsidRPr="00DB735B" w:rsidRDefault="008026E6" w:rsidP="008026E6">
      <w:pPr>
        <w:pStyle w:val="aff0"/>
        <w:jc w:val="both"/>
        <w:rPr>
          <w:rFonts w:ascii="Palatino Linotype" w:eastAsia="Calibri" w:hAnsi="Palatino Linotype"/>
          <w:sz w:val="24"/>
          <w:szCs w:val="24"/>
        </w:rPr>
      </w:pPr>
      <w:r w:rsidRPr="00E56F65">
        <w:rPr>
          <w:rFonts w:ascii="Palatino Linotype" w:eastAsia="Calibri" w:hAnsi="Palatino Linotype"/>
          <w:noProof/>
          <w:sz w:val="24"/>
          <w:szCs w:val="24"/>
          <w:lang w:eastAsia="ru-RU"/>
        </w:rPr>
        <w:lastRenderedPageBreak/>
        <w:drawing>
          <wp:inline distT="0" distB="0" distL="0" distR="0">
            <wp:extent cx="5829935" cy="2735926"/>
            <wp:effectExtent l="0" t="0" r="12065" b="7620"/>
            <wp:docPr id="3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8026E6" w:rsidRDefault="008026E6" w:rsidP="008026E6">
      <w:pPr>
        <w:pStyle w:val="aff0"/>
        <w:rPr>
          <w:rFonts w:ascii="Palatino Linotype" w:eastAsia="Calibri" w:hAnsi="Palatino Linotype"/>
          <w:b/>
          <w:sz w:val="24"/>
          <w:szCs w:val="24"/>
        </w:rPr>
      </w:pPr>
    </w:p>
    <w:p w:rsidR="008026E6" w:rsidRPr="00221675" w:rsidRDefault="008026E6" w:rsidP="00221675">
      <w:pPr>
        <w:pStyle w:val="aff0"/>
        <w:jc w:val="both"/>
        <w:rPr>
          <w:rFonts w:ascii="Calibri" w:hAnsi="Calibri"/>
          <w:sz w:val="24"/>
          <w:szCs w:val="24"/>
          <w:lang w:eastAsia="ru-RU"/>
        </w:rPr>
      </w:pPr>
      <w:r w:rsidRPr="00221675">
        <w:rPr>
          <w:rFonts w:ascii="Calibri" w:hAnsi="Calibri"/>
          <w:sz w:val="24"/>
          <w:szCs w:val="24"/>
          <w:lang w:eastAsia="ru-RU"/>
        </w:rPr>
        <w:t>В 2012-2013 году увеличение числа иностранных студентов на включенном обучении было достигнуто благодаря:</w:t>
      </w:r>
    </w:p>
    <w:p w:rsidR="008026E6" w:rsidRPr="00221675" w:rsidRDefault="008026E6" w:rsidP="002B51DC">
      <w:pPr>
        <w:pStyle w:val="aff0"/>
        <w:numPr>
          <w:ilvl w:val="0"/>
          <w:numId w:val="28"/>
        </w:numPr>
        <w:jc w:val="both"/>
        <w:rPr>
          <w:rFonts w:ascii="Calibri" w:hAnsi="Calibri"/>
          <w:sz w:val="24"/>
          <w:szCs w:val="24"/>
          <w:lang w:eastAsia="ru-RU"/>
        </w:rPr>
      </w:pPr>
      <w:r w:rsidRPr="00221675">
        <w:rPr>
          <w:rFonts w:ascii="Calibri" w:hAnsi="Calibri"/>
          <w:sz w:val="24"/>
          <w:szCs w:val="24"/>
          <w:lang w:eastAsia="ru-RU"/>
        </w:rPr>
        <w:t>успешному развитию сотрудничества с зарубежными вузами-партнерами  - 102 студента приехали в НИУ ВШЭ в рамках программ обмена;</w:t>
      </w:r>
    </w:p>
    <w:p w:rsidR="008026E6" w:rsidRPr="00221675" w:rsidRDefault="008026E6" w:rsidP="002B51DC">
      <w:pPr>
        <w:pStyle w:val="aff0"/>
        <w:numPr>
          <w:ilvl w:val="0"/>
          <w:numId w:val="28"/>
        </w:numPr>
        <w:jc w:val="both"/>
        <w:rPr>
          <w:rFonts w:ascii="Calibri" w:hAnsi="Calibri"/>
          <w:sz w:val="24"/>
          <w:szCs w:val="24"/>
          <w:lang w:eastAsia="ru-RU"/>
        </w:rPr>
      </w:pPr>
      <w:r w:rsidRPr="00221675">
        <w:rPr>
          <w:rFonts w:ascii="Calibri" w:hAnsi="Calibri"/>
          <w:sz w:val="24"/>
          <w:szCs w:val="24"/>
          <w:lang w:eastAsia="ru-RU"/>
        </w:rPr>
        <w:t xml:space="preserve">участию в реализации </w:t>
      </w:r>
      <w:proofErr w:type="spellStart"/>
      <w:r w:rsidRPr="00221675">
        <w:rPr>
          <w:rFonts w:ascii="Calibri" w:hAnsi="Calibri"/>
          <w:sz w:val="24"/>
          <w:szCs w:val="24"/>
          <w:lang w:eastAsia="ru-RU"/>
        </w:rPr>
        <w:t>Alfa</w:t>
      </w:r>
      <w:proofErr w:type="spellEnd"/>
      <w:r w:rsidRPr="00221675">
        <w:rPr>
          <w:rFonts w:ascii="Calibri" w:hAnsi="Calibri"/>
          <w:sz w:val="24"/>
          <w:szCs w:val="24"/>
          <w:lang w:eastAsia="ru-RU"/>
        </w:rPr>
        <w:t xml:space="preserve"> </w:t>
      </w:r>
      <w:proofErr w:type="spellStart"/>
      <w:r w:rsidRPr="00221675">
        <w:rPr>
          <w:rFonts w:ascii="Calibri" w:hAnsi="Calibri"/>
          <w:sz w:val="24"/>
          <w:szCs w:val="24"/>
          <w:lang w:eastAsia="ru-RU"/>
        </w:rPr>
        <w:t>Fellowship</w:t>
      </w:r>
      <w:proofErr w:type="spellEnd"/>
      <w:r w:rsidRPr="00221675">
        <w:rPr>
          <w:rFonts w:ascii="Calibri" w:hAnsi="Calibri"/>
          <w:sz w:val="24"/>
          <w:szCs w:val="24"/>
          <w:lang w:eastAsia="ru-RU"/>
        </w:rPr>
        <w:t xml:space="preserve"> </w:t>
      </w:r>
      <w:proofErr w:type="spellStart"/>
      <w:r w:rsidRPr="00221675">
        <w:rPr>
          <w:rFonts w:ascii="Calibri" w:hAnsi="Calibri"/>
          <w:sz w:val="24"/>
          <w:szCs w:val="24"/>
          <w:lang w:eastAsia="ru-RU"/>
        </w:rPr>
        <w:t>Program</w:t>
      </w:r>
      <w:proofErr w:type="spellEnd"/>
      <w:r w:rsidRPr="00221675">
        <w:rPr>
          <w:rFonts w:ascii="Calibri" w:hAnsi="Calibri"/>
          <w:sz w:val="24"/>
          <w:szCs w:val="24"/>
          <w:lang w:eastAsia="ru-RU"/>
        </w:rPr>
        <w:t xml:space="preserve"> - 14 человек;</w:t>
      </w:r>
    </w:p>
    <w:p w:rsidR="008026E6" w:rsidRPr="00221675" w:rsidRDefault="008026E6" w:rsidP="002B51DC">
      <w:pPr>
        <w:pStyle w:val="aff0"/>
        <w:numPr>
          <w:ilvl w:val="0"/>
          <w:numId w:val="28"/>
        </w:numPr>
        <w:jc w:val="both"/>
        <w:rPr>
          <w:rFonts w:ascii="Calibri" w:hAnsi="Calibri"/>
          <w:sz w:val="24"/>
          <w:szCs w:val="24"/>
          <w:lang w:eastAsia="ru-RU"/>
        </w:rPr>
      </w:pPr>
      <w:r w:rsidRPr="00221675">
        <w:rPr>
          <w:rFonts w:ascii="Calibri" w:hAnsi="Calibri"/>
          <w:sz w:val="24"/>
          <w:szCs w:val="24"/>
          <w:lang w:eastAsia="ru-RU"/>
        </w:rPr>
        <w:t>запуску новой программы совместно с Германской службой академических обменов DAAD - 29 человек;</w:t>
      </w:r>
    </w:p>
    <w:p w:rsidR="008026E6" w:rsidRPr="00221675" w:rsidRDefault="008026E6" w:rsidP="002B51DC">
      <w:pPr>
        <w:pStyle w:val="aff0"/>
        <w:numPr>
          <w:ilvl w:val="0"/>
          <w:numId w:val="28"/>
        </w:numPr>
        <w:jc w:val="both"/>
        <w:rPr>
          <w:rFonts w:ascii="Calibri" w:hAnsi="Calibri"/>
          <w:sz w:val="24"/>
          <w:szCs w:val="24"/>
          <w:lang w:eastAsia="ru-RU"/>
        </w:rPr>
      </w:pPr>
      <w:r w:rsidRPr="00221675">
        <w:rPr>
          <w:rFonts w:ascii="Calibri" w:hAnsi="Calibri"/>
          <w:sz w:val="24"/>
          <w:szCs w:val="24"/>
          <w:lang w:eastAsia="ru-RU"/>
        </w:rPr>
        <w:t>устойчивому интересу иностранных студентов к программе «Математика в Москве» - 25 человек;</w:t>
      </w:r>
    </w:p>
    <w:p w:rsidR="008026E6" w:rsidRPr="00221675" w:rsidRDefault="008026E6" w:rsidP="002B51DC">
      <w:pPr>
        <w:pStyle w:val="aff0"/>
        <w:numPr>
          <w:ilvl w:val="0"/>
          <w:numId w:val="28"/>
        </w:numPr>
        <w:jc w:val="both"/>
        <w:rPr>
          <w:rFonts w:ascii="Calibri" w:hAnsi="Calibri"/>
          <w:sz w:val="24"/>
          <w:szCs w:val="24"/>
          <w:lang w:eastAsia="ru-RU"/>
        </w:rPr>
      </w:pPr>
      <w:r w:rsidRPr="00221675">
        <w:rPr>
          <w:rFonts w:ascii="Calibri" w:hAnsi="Calibri"/>
          <w:sz w:val="24"/>
          <w:szCs w:val="24"/>
          <w:lang w:eastAsia="ru-RU"/>
        </w:rPr>
        <w:t>привлечению иностранных студентов к обучению в НИУ ВШЭ на платной основе - 12 человек;</w:t>
      </w:r>
    </w:p>
    <w:p w:rsidR="008026E6" w:rsidRPr="00221675" w:rsidRDefault="008026E6" w:rsidP="002B51DC">
      <w:pPr>
        <w:pStyle w:val="aff0"/>
        <w:numPr>
          <w:ilvl w:val="0"/>
          <w:numId w:val="28"/>
        </w:numPr>
        <w:jc w:val="both"/>
        <w:rPr>
          <w:rFonts w:ascii="Calibri" w:hAnsi="Calibri"/>
          <w:sz w:val="24"/>
          <w:szCs w:val="24"/>
          <w:lang w:eastAsia="ru-RU"/>
        </w:rPr>
      </w:pPr>
      <w:r w:rsidRPr="00221675">
        <w:rPr>
          <w:rFonts w:ascii="Calibri" w:hAnsi="Calibri"/>
          <w:sz w:val="24"/>
          <w:szCs w:val="24"/>
          <w:lang w:eastAsia="ru-RU"/>
        </w:rPr>
        <w:t xml:space="preserve">организации 12 индивидуальных научных стажировок, в </w:t>
      </w:r>
      <w:proofErr w:type="spellStart"/>
      <w:r w:rsidRPr="00221675">
        <w:rPr>
          <w:rFonts w:ascii="Calibri" w:hAnsi="Calibri"/>
          <w:sz w:val="24"/>
          <w:szCs w:val="24"/>
          <w:lang w:eastAsia="ru-RU"/>
        </w:rPr>
        <w:t>т.ч</w:t>
      </w:r>
      <w:proofErr w:type="spellEnd"/>
      <w:r w:rsidRPr="00221675">
        <w:rPr>
          <w:rFonts w:ascii="Calibri" w:hAnsi="Calibri"/>
          <w:sz w:val="24"/>
          <w:szCs w:val="24"/>
          <w:lang w:eastAsia="ru-RU"/>
        </w:rPr>
        <w:t xml:space="preserve">. в рамках международной программы </w:t>
      </w:r>
      <w:proofErr w:type="spellStart"/>
      <w:r w:rsidRPr="00221675">
        <w:rPr>
          <w:rFonts w:ascii="Calibri" w:hAnsi="Calibri"/>
          <w:sz w:val="24"/>
          <w:szCs w:val="24"/>
          <w:lang w:eastAsia="ru-RU"/>
        </w:rPr>
        <w:t>Erasmus</w:t>
      </w:r>
      <w:proofErr w:type="spellEnd"/>
      <w:r w:rsidRPr="00221675">
        <w:rPr>
          <w:rFonts w:ascii="Calibri" w:hAnsi="Calibri"/>
          <w:sz w:val="24"/>
          <w:szCs w:val="24"/>
          <w:lang w:eastAsia="ru-RU"/>
        </w:rPr>
        <w:t xml:space="preserve"> </w:t>
      </w:r>
      <w:proofErr w:type="spellStart"/>
      <w:r w:rsidRPr="00221675">
        <w:rPr>
          <w:rFonts w:ascii="Calibri" w:hAnsi="Calibri"/>
          <w:sz w:val="24"/>
          <w:szCs w:val="24"/>
          <w:lang w:eastAsia="ru-RU"/>
        </w:rPr>
        <w:t>Mundus</w:t>
      </w:r>
      <w:proofErr w:type="spellEnd"/>
      <w:r w:rsidRPr="00221675">
        <w:rPr>
          <w:rFonts w:ascii="Calibri" w:hAnsi="Calibri"/>
          <w:sz w:val="24"/>
          <w:szCs w:val="24"/>
          <w:lang w:eastAsia="ru-RU"/>
        </w:rPr>
        <w:t xml:space="preserve"> </w:t>
      </w:r>
      <w:proofErr w:type="spellStart"/>
      <w:r w:rsidRPr="00221675">
        <w:rPr>
          <w:rFonts w:ascii="Calibri" w:hAnsi="Calibri"/>
          <w:sz w:val="24"/>
          <w:szCs w:val="24"/>
          <w:lang w:eastAsia="ru-RU"/>
        </w:rPr>
        <w:t>Triple</w:t>
      </w:r>
      <w:proofErr w:type="spellEnd"/>
      <w:r w:rsidRPr="00221675">
        <w:rPr>
          <w:rFonts w:ascii="Calibri" w:hAnsi="Calibri"/>
          <w:sz w:val="24"/>
          <w:szCs w:val="24"/>
          <w:lang w:eastAsia="ru-RU"/>
        </w:rPr>
        <w:t xml:space="preserve"> I.</w:t>
      </w:r>
    </w:p>
    <w:p w:rsidR="008026E6" w:rsidRDefault="008026E6" w:rsidP="008026E6">
      <w:pPr>
        <w:spacing w:line="276" w:lineRule="auto"/>
        <w:jc w:val="both"/>
        <w:rPr>
          <w:rFonts w:ascii="Palatino Linotype" w:eastAsiaTheme="minorHAnsi" w:hAnsi="Palatino Linotype" w:cstheme="minorBidi"/>
          <w:b/>
        </w:rPr>
      </w:pPr>
    </w:p>
    <w:p w:rsidR="008026E6" w:rsidRPr="00221675" w:rsidRDefault="008026E6" w:rsidP="00221675">
      <w:pPr>
        <w:spacing w:line="276" w:lineRule="auto"/>
        <w:rPr>
          <w:rFonts w:asciiTheme="majorHAnsi" w:eastAsia="Calibri" w:hAnsiTheme="majorHAnsi"/>
          <w:b/>
          <w:bCs/>
          <w:lang w:eastAsia="en-US"/>
        </w:rPr>
      </w:pPr>
      <w:r w:rsidRPr="00221675">
        <w:rPr>
          <w:rFonts w:asciiTheme="majorHAnsi" w:eastAsia="Calibri" w:hAnsiTheme="majorHAnsi"/>
          <w:b/>
          <w:bCs/>
          <w:lang w:eastAsia="en-US"/>
        </w:rPr>
        <w:t xml:space="preserve">Распределение студентов из дальнего зарубежья на всех программах по уровням </w:t>
      </w:r>
    </w:p>
    <w:p w:rsidR="008026E6" w:rsidRPr="00221675" w:rsidRDefault="00221675" w:rsidP="008026E6">
      <w:pPr>
        <w:spacing w:line="276" w:lineRule="auto"/>
        <w:rPr>
          <w:rFonts w:asciiTheme="majorHAnsi" w:eastAsia="Calibri" w:hAnsiTheme="majorHAnsi"/>
          <w:b/>
          <w:bCs/>
          <w:lang w:eastAsia="en-US"/>
        </w:rPr>
      </w:pPr>
      <w:r>
        <w:rPr>
          <w:rFonts w:asciiTheme="majorHAnsi" w:eastAsia="Calibri" w:hAnsiTheme="majorHAnsi"/>
          <w:b/>
          <w:bCs/>
          <w:lang w:eastAsia="en-US"/>
        </w:rPr>
        <w:t>обучения</w:t>
      </w:r>
    </w:p>
    <w:p w:rsidR="00221675" w:rsidRDefault="00221675" w:rsidP="00221675">
      <w:pPr>
        <w:spacing w:line="276" w:lineRule="auto"/>
        <w:rPr>
          <w:rFonts w:ascii="Palatino Linotype" w:hAnsi="Palatino Linotype"/>
          <w:b/>
        </w:rPr>
      </w:pPr>
      <w:r>
        <w:rPr>
          <w:rFonts w:ascii="Palatino Linotype" w:eastAsiaTheme="minorHAnsi" w:hAnsi="Palatino Linotype" w:cstheme="minorBidi"/>
          <w:b/>
          <w:noProof/>
        </w:rPr>
        <w:drawing>
          <wp:inline distT="0" distB="0" distL="0" distR="0">
            <wp:extent cx="3434576" cy="2198808"/>
            <wp:effectExtent l="0" t="0" r="0" b="0"/>
            <wp:docPr id="37" name="Изображение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439744" cy="2202117"/>
                    </a:xfrm>
                    <a:prstGeom prst="rect">
                      <a:avLst/>
                    </a:prstGeom>
                    <a:noFill/>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inline>
        </w:drawing>
      </w:r>
    </w:p>
    <w:p w:rsidR="00221675" w:rsidRDefault="00221675" w:rsidP="00221675">
      <w:pPr>
        <w:spacing w:line="276" w:lineRule="auto"/>
        <w:rPr>
          <w:rFonts w:ascii="Palatino Linotype" w:hAnsi="Palatino Linotype"/>
          <w:b/>
        </w:rPr>
      </w:pPr>
    </w:p>
    <w:p w:rsidR="008026E6" w:rsidRPr="00221675" w:rsidRDefault="008026E6" w:rsidP="00221675">
      <w:pPr>
        <w:spacing w:line="276" w:lineRule="auto"/>
        <w:rPr>
          <w:rFonts w:asciiTheme="majorHAnsi" w:eastAsia="Calibri" w:hAnsiTheme="majorHAnsi"/>
          <w:b/>
          <w:bCs/>
          <w:lang w:eastAsia="en-US"/>
        </w:rPr>
      </w:pPr>
      <w:r w:rsidRPr="00221675">
        <w:rPr>
          <w:rFonts w:asciiTheme="majorHAnsi" w:eastAsia="Calibri" w:hAnsiTheme="majorHAnsi"/>
          <w:b/>
          <w:bCs/>
          <w:lang w:eastAsia="en-US"/>
        </w:rPr>
        <w:t>Страны, направляющие наибольшее количество студентов в НИУ ВШЭ по программам включенного обучения (по годам)</w:t>
      </w:r>
    </w:p>
    <w:p w:rsidR="008026E6" w:rsidRPr="00834877" w:rsidRDefault="008026E6" w:rsidP="008026E6">
      <w:pPr>
        <w:spacing w:line="276" w:lineRule="auto"/>
        <w:jc w:val="both"/>
        <w:rPr>
          <w:rStyle w:val="aff2"/>
          <w:rFonts w:ascii="Palatino Linotype" w:hAnsi="Palatino Linotype"/>
          <w:sz w:val="22"/>
          <w:szCs w:val="22"/>
        </w:rPr>
      </w:pPr>
      <w:r w:rsidRPr="00DD7809">
        <w:rPr>
          <w:rStyle w:val="aff2"/>
          <w:rFonts w:ascii="Palatino Linotype" w:hAnsi="Palatino Linotype"/>
          <w:noProof/>
          <w:sz w:val="22"/>
          <w:szCs w:val="22"/>
        </w:rPr>
        <w:lastRenderedPageBreak/>
        <w:drawing>
          <wp:inline distT="0" distB="0" distL="0" distR="0">
            <wp:extent cx="5600700" cy="2612572"/>
            <wp:effectExtent l="0" t="0" r="19050" b="16510"/>
            <wp:docPr id="38"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2224F3" w:rsidRPr="00F868E1" w:rsidRDefault="008026E6" w:rsidP="00F868E1">
      <w:pPr>
        <w:spacing w:after="200" w:line="276" w:lineRule="auto"/>
        <w:jc w:val="both"/>
      </w:pPr>
      <w:r w:rsidRPr="00221675">
        <w:t>Наибольший интерес к обучению в НИУ ВШЭ проявляют студенты из Германии и США. В 2012-2013 учебном году учебные дисциплины по направлениям подготовки экономика, менеджмент, мировая экономика, политология и социология были наиболее востребованы студентам</w:t>
      </w:r>
      <w:r w:rsidR="001E60A8">
        <w:t xml:space="preserve">и из стран дальнего зарубежья. </w:t>
      </w:r>
    </w:p>
    <w:p w:rsidR="008026E6" w:rsidRPr="00221675" w:rsidRDefault="008026E6" w:rsidP="008026E6">
      <w:pPr>
        <w:spacing w:line="276" w:lineRule="auto"/>
        <w:rPr>
          <w:rFonts w:asciiTheme="majorHAnsi" w:eastAsia="Calibri" w:hAnsiTheme="majorHAnsi"/>
          <w:b/>
          <w:lang w:eastAsia="en-US"/>
        </w:rPr>
      </w:pPr>
      <w:r w:rsidRPr="00221675">
        <w:rPr>
          <w:rFonts w:asciiTheme="majorHAnsi" w:eastAsia="Calibri" w:hAnsiTheme="majorHAnsi"/>
          <w:b/>
          <w:lang w:eastAsia="en-US"/>
        </w:rPr>
        <w:t>Соотношение студентов на включенном обучении по направлениям подготовки (%)</w:t>
      </w:r>
    </w:p>
    <w:p w:rsidR="008026E6" w:rsidRPr="00221675" w:rsidRDefault="008026E6" w:rsidP="008026E6">
      <w:pPr>
        <w:spacing w:line="276" w:lineRule="auto"/>
        <w:jc w:val="both"/>
        <w:rPr>
          <w:rFonts w:ascii="Palatino Linotype" w:hAnsi="Palatino Linotype"/>
          <w:b/>
        </w:rPr>
      </w:pPr>
      <w:r w:rsidRPr="0029355E">
        <w:rPr>
          <w:rFonts w:ascii="Palatino Linotype" w:hAnsi="Palatino Linotype"/>
          <w:b/>
          <w:noProof/>
        </w:rPr>
        <w:drawing>
          <wp:inline distT="0" distB="0" distL="0" distR="0">
            <wp:extent cx="4751614" cy="1861457"/>
            <wp:effectExtent l="0" t="0" r="11430" b="2476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8026E6" w:rsidRPr="00221675" w:rsidRDefault="008026E6" w:rsidP="00221675">
      <w:pPr>
        <w:spacing w:after="200" w:line="276" w:lineRule="auto"/>
        <w:jc w:val="both"/>
      </w:pPr>
      <w:r w:rsidRPr="00221675">
        <w:t xml:space="preserve">В 2012-2013 учебном году на краткосрочные программы обучения (менее 90 дней) в НИУ ВШЭ приезжал 181 студент из стран дальнего зарубежья.  </w:t>
      </w:r>
    </w:p>
    <w:p w:rsidR="008026E6" w:rsidRDefault="008026E6" w:rsidP="008026E6">
      <w:pPr>
        <w:pStyle w:val="aff0"/>
        <w:rPr>
          <w:rFonts w:ascii="Palatino Linotype" w:eastAsia="Calibri" w:hAnsi="Palatino Linotype"/>
          <w:sz w:val="24"/>
          <w:szCs w:val="24"/>
        </w:rPr>
      </w:pPr>
      <w:r w:rsidRPr="00221675">
        <w:rPr>
          <w:rFonts w:asciiTheme="majorHAnsi" w:eastAsia="Calibri" w:hAnsiTheme="majorHAnsi"/>
          <w:b/>
          <w:sz w:val="24"/>
          <w:szCs w:val="24"/>
        </w:rPr>
        <w:t>Число иностранных студентов-участников краткосрочных программ</w:t>
      </w:r>
      <w:r w:rsidRPr="00BC4D15">
        <w:rPr>
          <w:rFonts w:ascii="Palatino Linotype" w:eastAsia="Calibri" w:hAnsi="Palatino Linotype"/>
          <w:noProof/>
          <w:sz w:val="24"/>
          <w:szCs w:val="24"/>
          <w:lang w:eastAsia="ru-RU"/>
        </w:rPr>
        <w:drawing>
          <wp:inline distT="0" distB="0" distL="0" distR="0">
            <wp:extent cx="5470071" cy="2090058"/>
            <wp:effectExtent l="0" t="0" r="16510" b="24765"/>
            <wp:docPr id="3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8026E6" w:rsidRPr="008026E6" w:rsidRDefault="008026E6" w:rsidP="008026E6">
      <w:pPr>
        <w:spacing w:after="200" w:line="276" w:lineRule="auto"/>
        <w:jc w:val="both"/>
      </w:pPr>
      <w:r w:rsidRPr="008026E6">
        <w:t xml:space="preserve">Снижение количества иностранных студентов, участвовавших в краткосрочных программах связано с ликвидацией Центра международных образовательных программ (ЦМОП), который, будучи хозрасчетным подразделением, организовывал коммерческие </w:t>
      </w:r>
      <w:r w:rsidRPr="008026E6">
        <w:lastRenderedPageBreak/>
        <w:t xml:space="preserve">летние школы для иностранных студентов.   В настоящее время различные факультеты НИУ ВШЭ и руководители англоязычных программ ведут активную деятельность по привлечению иностранных обучающихся для участия в летних и зимних школах, оказывают консультационную поддержку и научное руководство при организации индивидуальных научных стажировок для иностранных аспирантов. В отчетном периоде появились новые договоренности с зарубежными университетами об организации </w:t>
      </w:r>
      <w:proofErr w:type="spellStart"/>
      <w:r w:rsidRPr="008026E6">
        <w:t>Study</w:t>
      </w:r>
      <w:proofErr w:type="spellEnd"/>
      <w:r w:rsidRPr="008026E6">
        <w:t xml:space="preserve"> </w:t>
      </w:r>
      <w:proofErr w:type="spellStart"/>
      <w:r w:rsidRPr="008026E6">
        <w:t>Abroad</w:t>
      </w:r>
      <w:proofErr w:type="spellEnd"/>
      <w:r w:rsidRPr="008026E6">
        <w:t xml:space="preserve"> на базе НИУ ВШЭ, что должно позволить увеличить долю иностранных студентов в данной категории.</w:t>
      </w:r>
    </w:p>
    <w:p w:rsidR="008026E6" w:rsidRPr="008026E6" w:rsidRDefault="008026E6" w:rsidP="008026E6">
      <w:pPr>
        <w:spacing w:after="200" w:line="276" w:lineRule="auto"/>
        <w:jc w:val="both"/>
      </w:pPr>
      <w:r w:rsidRPr="008026E6">
        <w:t>В 2012-2013 учебном году 148 иностранны</w:t>
      </w:r>
      <w:r>
        <w:t>х</w:t>
      </w:r>
      <w:r w:rsidRPr="008026E6">
        <w:t xml:space="preserve"> студент</w:t>
      </w:r>
      <w:r>
        <w:t>ов прош</w:t>
      </w:r>
      <w:r w:rsidRPr="008026E6">
        <w:t>л</w:t>
      </w:r>
      <w:r>
        <w:t>и</w:t>
      </w:r>
      <w:r w:rsidRPr="008026E6">
        <w:t xml:space="preserve"> обучение в тематических летних и зимних школах, организованных в Москве и филиалах НИУ ВШЭ. Международные летние школы, факультетов мировой экономики и мировой политики, социологии, менеджмента привлекли к участию иностранных студентов из Китая, Германии, Нидерландов и др. Большой популярностью пользовались языковые школы. В феврале 2013 года в НИУ ВШЭ начал работу Учебно-методический центр преподавания русского языка как иностранного. Центр  преподает русский язык для групп разного уровня подготовки (от начинающих до продвинутых – 5 уровней) и проводит летние школы. Первая школа с успехом прошла в июне - августе 2013г. для 26 студентов Техасского университета (</w:t>
      </w:r>
      <w:proofErr w:type="spellStart"/>
      <w:r w:rsidRPr="008026E6">
        <w:t>Остин</w:t>
      </w:r>
      <w:proofErr w:type="spellEnd"/>
      <w:r w:rsidRPr="008026E6">
        <w:t xml:space="preserve">). </w:t>
      </w:r>
    </w:p>
    <w:p w:rsidR="008026E6" w:rsidRPr="00221675" w:rsidRDefault="008026E6" w:rsidP="008026E6">
      <w:pPr>
        <w:pStyle w:val="aff0"/>
        <w:rPr>
          <w:rFonts w:asciiTheme="majorHAnsi" w:eastAsia="Calibri" w:hAnsiTheme="majorHAnsi"/>
          <w:b/>
          <w:sz w:val="24"/>
          <w:szCs w:val="24"/>
        </w:rPr>
      </w:pPr>
      <w:r w:rsidRPr="00221675">
        <w:rPr>
          <w:rFonts w:asciiTheme="majorHAnsi" w:eastAsia="Calibri" w:hAnsiTheme="majorHAnsi"/>
          <w:b/>
          <w:sz w:val="24"/>
          <w:szCs w:val="24"/>
        </w:rPr>
        <w:t>Участие иностранных студентов в летних и зимних школах в Москве, Санкт-Петербурге и Нижнем Новгороде</w:t>
      </w:r>
    </w:p>
    <w:p w:rsidR="008026E6" w:rsidRDefault="008026E6" w:rsidP="008026E6">
      <w:pPr>
        <w:pStyle w:val="aff0"/>
        <w:rPr>
          <w:rFonts w:ascii="Palatino Linotype" w:eastAsia="Calibri" w:hAnsi="Palatino Linotype"/>
          <w:b/>
          <w:sz w:val="24"/>
          <w:szCs w:val="24"/>
        </w:rPr>
      </w:pPr>
    </w:p>
    <w:p w:rsidR="008026E6" w:rsidRDefault="008026E6" w:rsidP="008026E6">
      <w:pPr>
        <w:pStyle w:val="aff0"/>
        <w:jc w:val="both"/>
        <w:rPr>
          <w:rFonts w:ascii="Palatino Linotype" w:eastAsia="Calibri" w:hAnsi="Palatino Linotype"/>
          <w:b/>
          <w:sz w:val="24"/>
          <w:szCs w:val="24"/>
        </w:rPr>
      </w:pPr>
      <w:r w:rsidRPr="00E56F65">
        <w:rPr>
          <w:rFonts w:ascii="Palatino Linotype" w:eastAsia="Calibri" w:hAnsi="Palatino Linotype"/>
          <w:b/>
          <w:noProof/>
          <w:sz w:val="24"/>
          <w:szCs w:val="24"/>
          <w:lang w:eastAsia="ru-RU"/>
        </w:rPr>
        <w:drawing>
          <wp:inline distT="0" distB="0" distL="0" distR="0">
            <wp:extent cx="5822950" cy="3486150"/>
            <wp:effectExtent l="0" t="0" r="25400" b="19050"/>
            <wp:docPr id="2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8026E6" w:rsidRPr="00360E66" w:rsidRDefault="008026E6" w:rsidP="008026E6">
      <w:pPr>
        <w:pStyle w:val="aff0"/>
        <w:jc w:val="both"/>
        <w:rPr>
          <w:rFonts w:ascii="Palatino Linotype" w:eastAsia="Calibri" w:hAnsi="Palatino Linotype"/>
          <w:b/>
          <w:sz w:val="24"/>
          <w:szCs w:val="24"/>
        </w:rPr>
      </w:pPr>
    </w:p>
    <w:p w:rsidR="008026E6" w:rsidRPr="008026E6" w:rsidRDefault="008026E6" w:rsidP="008026E6">
      <w:pPr>
        <w:spacing w:after="200" w:line="276" w:lineRule="auto"/>
        <w:jc w:val="both"/>
      </w:pPr>
      <w:r w:rsidRPr="008026E6">
        <w:t>Другие виды краткосрочных программ были представлены тематическими образовательными турами и индивидуальными стажировками в НИУ ВШЭ (33 человека).</w:t>
      </w:r>
    </w:p>
    <w:p w:rsidR="00F868E1" w:rsidRDefault="00F868E1">
      <w:pPr>
        <w:rPr>
          <w:rFonts w:asciiTheme="majorHAnsi" w:eastAsiaTheme="majorEastAsia" w:hAnsiTheme="majorHAnsi" w:cstheme="majorBidi"/>
          <w:b/>
          <w:bCs/>
          <w:color w:val="4F81BD" w:themeColor="accent1"/>
          <w:sz w:val="26"/>
          <w:szCs w:val="26"/>
        </w:rPr>
      </w:pPr>
      <w:r>
        <w:br w:type="page"/>
      </w:r>
    </w:p>
    <w:p w:rsidR="00B1611E" w:rsidRDefault="005005BC" w:rsidP="00873393">
      <w:pPr>
        <w:pStyle w:val="2"/>
        <w:numPr>
          <w:ilvl w:val="1"/>
          <w:numId w:val="1"/>
        </w:numPr>
        <w:spacing w:after="200" w:line="276" w:lineRule="auto"/>
        <w:jc w:val="both"/>
      </w:pPr>
      <w:bookmarkStart w:id="54" w:name="_Toc374030072"/>
      <w:r>
        <w:lastRenderedPageBreak/>
        <w:t xml:space="preserve">Участие </w:t>
      </w:r>
      <w:r w:rsidR="00732590">
        <w:t xml:space="preserve">штатных </w:t>
      </w:r>
      <w:r>
        <w:t>иностранных преподавателей в реализации образовательных программ</w:t>
      </w:r>
      <w:bookmarkEnd w:id="54"/>
    </w:p>
    <w:p w:rsidR="00873393" w:rsidRPr="00873393" w:rsidRDefault="00873393" w:rsidP="00B1611E">
      <w:pPr>
        <w:spacing w:after="200" w:line="276" w:lineRule="auto"/>
        <w:jc w:val="both"/>
      </w:pPr>
      <w:r w:rsidRPr="00873393">
        <w:t xml:space="preserve">Для обеспечения учебного процесса в НИУ ВШЭ на 2012/2013 учебный год было </w:t>
      </w:r>
      <w:r w:rsidR="00E505C3">
        <w:t>принято на трудовые договоры</w:t>
      </w:r>
      <w:r w:rsidR="00E505C3">
        <w:rPr>
          <w:rStyle w:val="ac"/>
        </w:rPr>
        <w:footnoteReference w:id="26"/>
      </w:r>
      <w:r w:rsidRPr="00873393">
        <w:t xml:space="preserve"> 49 иностранных преподавателей из 20 стран ближнего и дальнего зарубежья. </w:t>
      </w:r>
    </w:p>
    <w:p w:rsidR="00873393" w:rsidRDefault="00873393" w:rsidP="00873393">
      <w:r>
        <w:rPr>
          <w:rFonts w:ascii="Arial" w:hAnsi="Arial" w:cs="Arial"/>
          <w:noProof/>
        </w:rPr>
        <w:drawing>
          <wp:anchor distT="0" distB="0" distL="114300" distR="114300" simplePos="0" relativeHeight="251668480" behindDoc="0" locked="0" layoutInCell="1" allowOverlap="1">
            <wp:simplePos x="0" y="0"/>
            <wp:positionH relativeFrom="column">
              <wp:posOffset>1319712</wp:posOffset>
            </wp:positionH>
            <wp:positionV relativeFrom="paragraph">
              <wp:posOffset>1055279</wp:posOffset>
            </wp:positionV>
            <wp:extent cx="1551215" cy="1551215"/>
            <wp:effectExtent l="0" t="0" r="0" b="0"/>
            <wp:wrapNone/>
            <wp:docPr id="1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44_html_m63f8de4e.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551215" cy="15512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4147457" cy="3771900"/>
            <wp:effectExtent l="0" t="0" r="5715" b="0"/>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873393" w:rsidRPr="00873393" w:rsidRDefault="00873393" w:rsidP="00873393">
      <w:pPr>
        <w:spacing w:after="200" w:line="276" w:lineRule="auto"/>
        <w:jc w:val="both"/>
      </w:pPr>
      <w:r w:rsidRPr="00873393">
        <w:t>Распределение иностранных преподавателей по возрасту в 2012/2013 учебном году показано на Диаграмме ниже</w:t>
      </w:r>
    </w:p>
    <w:p w:rsidR="00873393" w:rsidRDefault="00873393" w:rsidP="00873393">
      <w:r>
        <w:rPr>
          <w:noProof/>
        </w:rPr>
        <w:drawing>
          <wp:inline distT="0" distB="0" distL="0" distR="0">
            <wp:extent cx="6257290" cy="3109999"/>
            <wp:effectExtent l="0" t="0" r="0" b="0"/>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873393" w:rsidRPr="00873393" w:rsidRDefault="00873393" w:rsidP="00873393">
      <w:pPr>
        <w:spacing w:after="200" w:line="276" w:lineRule="auto"/>
        <w:jc w:val="both"/>
      </w:pPr>
      <w:r w:rsidRPr="00873393">
        <w:lastRenderedPageBreak/>
        <w:t>Наибольшее количество иностранных преподавателей в 2012/2013 учебном году работало в Международном институте экономики и финансов, на кафедре восточной философии Отделения востоковедения и Факультете социологии.</w:t>
      </w:r>
    </w:p>
    <w:p w:rsidR="00873393" w:rsidRDefault="00873393" w:rsidP="00873393">
      <w:pPr>
        <w:rPr>
          <w:sz w:val="26"/>
          <w:szCs w:val="26"/>
        </w:rPr>
      </w:pPr>
      <w:r>
        <w:rPr>
          <w:noProof/>
        </w:rPr>
        <w:drawing>
          <wp:inline distT="0" distB="0" distL="0" distR="0">
            <wp:extent cx="6153785" cy="7289702"/>
            <wp:effectExtent l="0" t="0" r="0" b="6985"/>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873393" w:rsidRPr="00873393" w:rsidRDefault="00873393" w:rsidP="00873393">
      <w:pPr>
        <w:spacing w:after="200" w:line="276" w:lineRule="auto"/>
        <w:jc w:val="both"/>
      </w:pPr>
      <w:r w:rsidRPr="00873393">
        <w:t xml:space="preserve">Основная часть иностранных преподавателей в 2012/2013 учебном году занимала должности доцентов и профессоров </w:t>
      </w:r>
    </w:p>
    <w:p w:rsidR="00873393" w:rsidRDefault="00873393" w:rsidP="00873393">
      <w:pPr>
        <w:jc w:val="center"/>
        <w:rPr>
          <w:sz w:val="26"/>
          <w:szCs w:val="26"/>
        </w:rPr>
      </w:pPr>
      <w:r>
        <w:rPr>
          <w:noProof/>
        </w:rPr>
        <w:lastRenderedPageBreak/>
        <w:drawing>
          <wp:inline distT="0" distB="0" distL="0" distR="0">
            <wp:extent cx="5084957" cy="3300761"/>
            <wp:effectExtent l="0" t="0" r="1905" b="0"/>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873393" w:rsidRDefault="00873393" w:rsidP="00873393">
      <w:pPr>
        <w:spacing w:after="200" w:line="276" w:lineRule="auto"/>
        <w:jc w:val="both"/>
        <w:rPr>
          <w:sz w:val="26"/>
          <w:szCs w:val="26"/>
        </w:rPr>
      </w:pPr>
      <w:r w:rsidRPr="00873393">
        <w:t>Более половины иностранных преподавателей выбрали НИУ ВШЭ основным местом работы</w:t>
      </w:r>
    </w:p>
    <w:p w:rsidR="00873393" w:rsidRDefault="00873393" w:rsidP="00873393">
      <w:pPr>
        <w:jc w:val="center"/>
        <w:rPr>
          <w:sz w:val="26"/>
          <w:szCs w:val="26"/>
        </w:rPr>
      </w:pPr>
      <w:r>
        <w:rPr>
          <w:noProof/>
        </w:rPr>
        <w:drawing>
          <wp:inline distT="0" distB="0" distL="0" distR="0">
            <wp:extent cx="4661210" cy="3010829"/>
            <wp:effectExtent l="0" t="0" r="6350" b="0"/>
            <wp:docPr id="448" name="Диаграмма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873393" w:rsidRDefault="00873393" w:rsidP="00873393">
      <w:pPr>
        <w:jc w:val="both"/>
        <w:rPr>
          <w:sz w:val="26"/>
          <w:szCs w:val="26"/>
        </w:rPr>
      </w:pPr>
      <w:r>
        <w:rPr>
          <w:sz w:val="26"/>
          <w:szCs w:val="26"/>
        </w:rPr>
        <w:tab/>
      </w:r>
    </w:p>
    <w:p w:rsidR="00873393" w:rsidRPr="00873393" w:rsidRDefault="00873393" w:rsidP="00873393">
      <w:pPr>
        <w:spacing w:after="200" w:line="276" w:lineRule="auto"/>
        <w:jc w:val="both"/>
      </w:pPr>
      <w:r w:rsidRPr="00873393">
        <w:t>Ученую степень имеют около 60% занятых в учебном процессе 2012/2013 года иностранных преподавателя</w:t>
      </w:r>
      <w:r>
        <w:t>.</w:t>
      </w:r>
    </w:p>
    <w:p w:rsidR="00873393" w:rsidRDefault="00873393" w:rsidP="00873393">
      <w:pPr>
        <w:jc w:val="both"/>
        <w:rPr>
          <w:sz w:val="26"/>
          <w:szCs w:val="26"/>
        </w:rPr>
      </w:pPr>
      <w:r>
        <w:rPr>
          <w:noProof/>
        </w:rPr>
        <w:lastRenderedPageBreak/>
        <w:drawing>
          <wp:inline distT="0" distB="0" distL="0" distR="0">
            <wp:extent cx="5620215" cy="2765502"/>
            <wp:effectExtent l="0" t="0" r="19050" b="15875"/>
            <wp:docPr id="449" name="Диаграмма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873393" w:rsidRPr="00873393" w:rsidRDefault="00873393" w:rsidP="00873393"/>
    <w:p w:rsidR="005005BC" w:rsidRPr="005005BC" w:rsidRDefault="005005BC" w:rsidP="005005BC">
      <w:pPr>
        <w:pStyle w:val="1"/>
        <w:keepLines w:val="0"/>
        <w:spacing w:before="240" w:after="60" w:line="276" w:lineRule="auto"/>
      </w:pPr>
      <w:bookmarkStart w:id="55" w:name="_Toc374030073"/>
      <w:r>
        <w:t>Профессорско-преподавательский состав (ППС) НИУ ВШЭ</w:t>
      </w:r>
      <w:bookmarkEnd w:id="55"/>
    </w:p>
    <w:p w:rsidR="007B187C" w:rsidRPr="007B187C" w:rsidRDefault="005005BC" w:rsidP="007B187C">
      <w:pPr>
        <w:pStyle w:val="2"/>
        <w:numPr>
          <w:ilvl w:val="1"/>
          <w:numId w:val="1"/>
        </w:numPr>
      </w:pPr>
      <w:bookmarkStart w:id="56" w:name="_Toc374030074"/>
      <w:r>
        <w:t>Количественная и качественная характеристика ППС</w:t>
      </w:r>
      <w:bookmarkEnd w:id="56"/>
    </w:p>
    <w:p w:rsidR="007B187C" w:rsidRPr="007B187C" w:rsidRDefault="007B187C" w:rsidP="007B187C">
      <w:pPr>
        <w:spacing w:after="200" w:line="276" w:lineRule="auto"/>
        <w:jc w:val="both"/>
      </w:pPr>
      <w:r w:rsidRPr="007B187C">
        <w:t>Профессорско-преподавательский состав в НИУ ВШЭ в анализируемом учебном году распределен по кафедрам, департаментам, факультетам и филиалам, структура которых отображена ниже.</w:t>
      </w:r>
    </w:p>
    <w:p w:rsidR="007B187C" w:rsidRPr="007B187C" w:rsidRDefault="007B187C" w:rsidP="007B187C">
      <w:pPr>
        <w:spacing w:after="200" w:line="276" w:lineRule="auto"/>
        <w:jc w:val="both"/>
      </w:pPr>
      <w:r w:rsidRPr="007B187C">
        <w:t>Статистика структурных изменений в Москве и филиалах приведена в таблице.</w:t>
      </w:r>
    </w:p>
    <w:tbl>
      <w:tblPr>
        <w:tblW w:w="9747" w:type="dxa"/>
        <w:tblInd w:w="-176" w:type="dxa"/>
        <w:tblLayout w:type="fixed"/>
        <w:tblLook w:val="04A0" w:firstRow="1" w:lastRow="0" w:firstColumn="1" w:lastColumn="0" w:noHBand="0" w:noVBand="1"/>
      </w:tblPr>
      <w:tblGrid>
        <w:gridCol w:w="1560"/>
        <w:gridCol w:w="567"/>
        <w:gridCol w:w="583"/>
        <w:gridCol w:w="542"/>
        <w:gridCol w:w="542"/>
        <w:gridCol w:w="542"/>
        <w:gridCol w:w="542"/>
        <w:gridCol w:w="541"/>
        <w:gridCol w:w="541"/>
        <w:gridCol w:w="541"/>
        <w:gridCol w:w="541"/>
        <w:gridCol w:w="541"/>
        <w:gridCol w:w="541"/>
        <w:gridCol w:w="541"/>
        <w:gridCol w:w="541"/>
        <w:gridCol w:w="541"/>
      </w:tblGrid>
      <w:tr w:rsidR="007B187C" w:rsidRPr="00A54F63" w:rsidTr="007B187C">
        <w:trPr>
          <w:trHeight w:val="300"/>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color w:val="000000"/>
                <w:sz w:val="16"/>
                <w:szCs w:val="16"/>
              </w:rPr>
            </w:pPr>
          </w:p>
        </w:tc>
        <w:tc>
          <w:tcPr>
            <w:tcW w:w="1692" w:type="dxa"/>
            <w:gridSpan w:val="3"/>
            <w:tcBorders>
              <w:top w:val="single" w:sz="4" w:space="0" w:color="auto"/>
              <w:left w:val="nil"/>
              <w:bottom w:val="single" w:sz="4" w:space="0" w:color="auto"/>
              <w:right w:val="single" w:sz="4" w:space="0" w:color="auto"/>
            </w:tcBorders>
            <w:shd w:val="clear" w:color="000000" w:fill="FFFFFF"/>
            <w:vAlign w:val="center"/>
            <w:hideMark/>
          </w:tcPr>
          <w:p w:rsidR="007B187C" w:rsidRPr="008D25A5" w:rsidRDefault="007B187C" w:rsidP="007B187C">
            <w:pPr>
              <w:jc w:val="center"/>
              <w:rPr>
                <w:rFonts w:asciiTheme="minorHAnsi" w:hAnsiTheme="minorHAnsi" w:cstheme="minorHAnsi"/>
                <w:color w:val="000000"/>
                <w:sz w:val="22"/>
                <w:szCs w:val="22"/>
              </w:rPr>
            </w:pPr>
            <w:r w:rsidRPr="008D25A5">
              <w:rPr>
                <w:rFonts w:asciiTheme="minorHAnsi" w:hAnsiTheme="minorHAnsi" w:cstheme="minorHAnsi"/>
                <w:color w:val="000000"/>
                <w:sz w:val="22"/>
                <w:szCs w:val="22"/>
              </w:rPr>
              <w:t>Москва</w:t>
            </w:r>
          </w:p>
        </w:tc>
        <w:tc>
          <w:tcPr>
            <w:tcW w:w="1626" w:type="dxa"/>
            <w:gridSpan w:val="3"/>
            <w:tcBorders>
              <w:top w:val="single" w:sz="4" w:space="0" w:color="auto"/>
              <w:left w:val="nil"/>
              <w:bottom w:val="single" w:sz="4" w:space="0" w:color="auto"/>
              <w:right w:val="single" w:sz="4" w:space="0" w:color="auto"/>
            </w:tcBorders>
            <w:shd w:val="clear" w:color="000000" w:fill="FFFFFF"/>
            <w:vAlign w:val="center"/>
            <w:hideMark/>
          </w:tcPr>
          <w:p w:rsidR="007B187C" w:rsidRPr="008D25A5" w:rsidRDefault="007B187C" w:rsidP="007B187C">
            <w:pPr>
              <w:jc w:val="center"/>
              <w:rPr>
                <w:rFonts w:asciiTheme="minorHAnsi" w:hAnsiTheme="minorHAnsi" w:cstheme="minorHAnsi"/>
                <w:color w:val="000000"/>
                <w:sz w:val="22"/>
                <w:szCs w:val="22"/>
              </w:rPr>
            </w:pPr>
            <w:r w:rsidRPr="008D25A5">
              <w:rPr>
                <w:rFonts w:asciiTheme="minorHAnsi" w:hAnsiTheme="minorHAnsi" w:cstheme="minorHAnsi"/>
                <w:color w:val="000000"/>
                <w:sz w:val="22"/>
                <w:szCs w:val="22"/>
              </w:rPr>
              <w:t>С-Пб</w:t>
            </w:r>
          </w:p>
        </w:tc>
        <w:tc>
          <w:tcPr>
            <w:tcW w:w="1623" w:type="dxa"/>
            <w:gridSpan w:val="3"/>
            <w:tcBorders>
              <w:top w:val="single" w:sz="4" w:space="0" w:color="auto"/>
              <w:left w:val="nil"/>
              <w:bottom w:val="single" w:sz="4" w:space="0" w:color="auto"/>
              <w:right w:val="single" w:sz="4" w:space="0" w:color="auto"/>
            </w:tcBorders>
            <w:shd w:val="clear" w:color="000000" w:fill="FFFFFF"/>
            <w:vAlign w:val="center"/>
            <w:hideMark/>
          </w:tcPr>
          <w:p w:rsidR="007B187C" w:rsidRPr="008D25A5" w:rsidRDefault="007B187C" w:rsidP="007B187C">
            <w:pPr>
              <w:jc w:val="center"/>
              <w:rPr>
                <w:rFonts w:asciiTheme="minorHAnsi" w:hAnsiTheme="minorHAnsi" w:cstheme="minorHAnsi"/>
                <w:color w:val="000000"/>
                <w:sz w:val="22"/>
                <w:szCs w:val="22"/>
              </w:rPr>
            </w:pPr>
            <w:proofErr w:type="spellStart"/>
            <w:r w:rsidRPr="008D25A5">
              <w:rPr>
                <w:rFonts w:asciiTheme="minorHAnsi" w:hAnsiTheme="minorHAnsi" w:cstheme="minorHAnsi"/>
                <w:color w:val="000000"/>
                <w:sz w:val="22"/>
                <w:szCs w:val="22"/>
              </w:rPr>
              <w:t>Н.Новг</w:t>
            </w:r>
            <w:proofErr w:type="spellEnd"/>
            <w:r w:rsidRPr="008D25A5">
              <w:rPr>
                <w:rFonts w:asciiTheme="minorHAnsi" w:hAnsiTheme="minorHAnsi" w:cstheme="minorHAnsi"/>
                <w:color w:val="000000"/>
                <w:sz w:val="22"/>
                <w:szCs w:val="22"/>
              </w:rPr>
              <w:t>.</w:t>
            </w:r>
          </w:p>
        </w:tc>
        <w:tc>
          <w:tcPr>
            <w:tcW w:w="1623" w:type="dxa"/>
            <w:gridSpan w:val="3"/>
            <w:tcBorders>
              <w:top w:val="single" w:sz="4" w:space="0" w:color="auto"/>
              <w:left w:val="nil"/>
              <w:bottom w:val="single" w:sz="4" w:space="0" w:color="auto"/>
              <w:right w:val="single" w:sz="4" w:space="0" w:color="auto"/>
            </w:tcBorders>
            <w:shd w:val="clear" w:color="000000" w:fill="FFFFFF"/>
            <w:vAlign w:val="center"/>
            <w:hideMark/>
          </w:tcPr>
          <w:p w:rsidR="007B187C" w:rsidRPr="008D25A5" w:rsidRDefault="007B187C" w:rsidP="007B187C">
            <w:pPr>
              <w:jc w:val="center"/>
              <w:rPr>
                <w:rFonts w:asciiTheme="minorHAnsi" w:hAnsiTheme="minorHAnsi" w:cstheme="minorHAnsi"/>
                <w:color w:val="000000"/>
                <w:sz w:val="22"/>
                <w:szCs w:val="22"/>
              </w:rPr>
            </w:pPr>
            <w:r w:rsidRPr="008D25A5">
              <w:rPr>
                <w:rFonts w:asciiTheme="minorHAnsi" w:hAnsiTheme="minorHAnsi" w:cstheme="minorHAnsi"/>
                <w:color w:val="000000"/>
                <w:sz w:val="22"/>
                <w:szCs w:val="22"/>
              </w:rPr>
              <w:t>Пермь</w:t>
            </w:r>
          </w:p>
        </w:tc>
        <w:tc>
          <w:tcPr>
            <w:tcW w:w="1623" w:type="dxa"/>
            <w:gridSpan w:val="3"/>
            <w:tcBorders>
              <w:top w:val="single" w:sz="4" w:space="0" w:color="auto"/>
              <w:left w:val="nil"/>
              <w:bottom w:val="single" w:sz="4" w:space="0" w:color="auto"/>
              <w:right w:val="single" w:sz="4" w:space="0" w:color="auto"/>
            </w:tcBorders>
            <w:shd w:val="clear" w:color="000000" w:fill="FFFFFF"/>
            <w:vAlign w:val="center"/>
            <w:hideMark/>
          </w:tcPr>
          <w:p w:rsidR="007B187C" w:rsidRPr="008D25A5" w:rsidRDefault="007B187C" w:rsidP="007B187C">
            <w:pPr>
              <w:jc w:val="center"/>
              <w:rPr>
                <w:rFonts w:asciiTheme="minorHAnsi" w:hAnsiTheme="minorHAnsi" w:cstheme="minorHAnsi"/>
                <w:color w:val="000000"/>
                <w:sz w:val="22"/>
                <w:szCs w:val="22"/>
              </w:rPr>
            </w:pPr>
            <w:r w:rsidRPr="008D25A5">
              <w:rPr>
                <w:rFonts w:asciiTheme="minorHAnsi" w:hAnsiTheme="minorHAnsi" w:cstheme="minorHAnsi"/>
                <w:color w:val="000000"/>
                <w:sz w:val="22"/>
                <w:szCs w:val="22"/>
              </w:rPr>
              <w:t>Всего</w:t>
            </w:r>
          </w:p>
        </w:tc>
      </w:tr>
      <w:tr w:rsidR="007B187C" w:rsidRPr="00A54F63" w:rsidTr="007B187C">
        <w:trPr>
          <w:trHeight w:val="600"/>
        </w:trPr>
        <w:tc>
          <w:tcPr>
            <w:tcW w:w="1560" w:type="dxa"/>
            <w:tcBorders>
              <w:top w:val="nil"/>
              <w:left w:val="single" w:sz="4" w:space="0" w:color="auto"/>
              <w:bottom w:val="single" w:sz="4" w:space="0" w:color="auto"/>
              <w:right w:val="nil"/>
            </w:tcBorders>
            <w:shd w:val="clear" w:color="000000" w:fill="FFFFFF"/>
            <w:vAlign w:val="center"/>
            <w:hideMark/>
          </w:tcPr>
          <w:p w:rsidR="007B187C" w:rsidRPr="008D25A5" w:rsidRDefault="007B187C" w:rsidP="007B187C">
            <w:pPr>
              <w:jc w:val="center"/>
              <w:rPr>
                <w:rFonts w:asciiTheme="minorHAnsi" w:hAnsiTheme="minorHAnsi" w:cstheme="minorHAnsi"/>
                <w:color w:val="000000"/>
                <w:sz w:val="20"/>
                <w:szCs w:val="20"/>
              </w:rPr>
            </w:pPr>
            <w:r w:rsidRPr="008D25A5">
              <w:rPr>
                <w:rFonts w:asciiTheme="minorHAnsi" w:hAnsiTheme="minorHAnsi" w:cstheme="minorHAnsi"/>
                <w:color w:val="000000"/>
                <w:sz w:val="20"/>
                <w:szCs w:val="20"/>
              </w:rPr>
              <w:t>Количество</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2010-11</w:t>
            </w:r>
          </w:p>
        </w:tc>
        <w:tc>
          <w:tcPr>
            <w:tcW w:w="583"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2011-12</w:t>
            </w:r>
          </w:p>
        </w:tc>
        <w:tc>
          <w:tcPr>
            <w:tcW w:w="542"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2012-13</w:t>
            </w:r>
          </w:p>
        </w:tc>
        <w:tc>
          <w:tcPr>
            <w:tcW w:w="542"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2010-11</w:t>
            </w:r>
          </w:p>
        </w:tc>
        <w:tc>
          <w:tcPr>
            <w:tcW w:w="542"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2011-12</w:t>
            </w:r>
          </w:p>
        </w:tc>
        <w:tc>
          <w:tcPr>
            <w:tcW w:w="542"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2012-13</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2010-11</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2011-12</w:t>
            </w:r>
          </w:p>
        </w:tc>
        <w:tc>
          <w:tcPr>
            <w:tcW w:w="541"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2012-13</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2010-11</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2011-12</w:t>
            </w:r>
          </w:p>
        </w:tc>
        <w:tc>
          <w:tcPr>
            <w:tcW w:w="541"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2012-13</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2010-11</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2011-12</w:t>
            </w:r>
          </w:p>
        </w:tc>
        <w:tc>
          <w:tcPr>
            <w:tcW w:w="541"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2012-13</w:t>
            </w:r>
          </w:p>
        </w:tc>
      </w:tr>
      <w:tr w:rsidR="007B187C" w:rsidRPr="00A54F63" w:rsidTr="007B187C">
        <w:trPr>
          <w:trHeight w:val="300"/>
        </w:trPr>
        <w:tc>
          <w:tcPr>
            <w:tcW w:w="1560" w:type="dxa"/>
            <w:tcBorders>
              <w:top w:val="nil"/>
              <w:left w:val="single" w:sz="4" w:space="0" w:color="auto"/>
              <w:bottom w:val="single" w:sz="4" w:space="0" w:color="auto"/>
              <w:right w:val="nil"/>
            </w:tcBorders>
            <w:shd w:val="clear" w:color="000000" w:fill="FFFFFF"/>
            <w:vAlign w:val="center"/>
            <w:hideMark/>
          </w:tcPr>
          <w:p w:rsidR="007B187C" w:rsidRPr="008D25A5" w:rsidRDefault="007B187C" w:rsidP="007B187C">
            <w:pPr>
              <w:jc w:val="center"/>
              <w:rPr>
                <w:rFonts w:asciiTheme="minorHAnsi" w:hAnsiTheme="minorHAnsi" w:cstheme="minorHAnsi"/>
                <w:color w:val="000000"/>
                <w:sz w:val="20"/>
                <w:szCs w:val="20"/>
              </w:rPr>
            </w:pPr>
            <w:r w:rsidRPr="008D25A5">
              <w:rPr>
                <w:rFonts w:asciiTheme="minorHAnsi" w:hAnsiTheme="minorHAnsi" w:cstheme="minorHAnsi"/>
                <w:color w:val="000000"/>
                <w:sz w:val="20"/>
                <w:szCs w:val="20"/>
              </w:rPr>
              <w:t>факультетов</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sz w:val="16"/>
                <w:szCs w:val="16"/>
              </w:rPr>
            </w:pPr>
            <w:r w:rsidRPr="00A54F63">
              <w:rPr>
                <w:rFonts w:asciiTheme="minorHAnsi" w:hAnsiTheme="minorHAnsi" w:cstheme="minorHAnsi"/>
                <w:sz w:val="16"/>
                <w:szCs w:val="16"/>
              </w:rPr>
              <w:t>14</w:t>
            </w:r>
          </w:p>
        </w:tc>
        <w:tc>
          <w:tcPr>
            <w:tcW w:w="583" w:type="dxa"/>
            <w:tcBorders>
              <w:top w:val="nil"/>
              <w:left w:val="nil"/>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sz w:val="16"/>
                <w:szCs w:val="16"/>
              </w:rPr>
            </w:pPr>
            <w:r w:rsidRPr="00A54F63">
              <w:rPr>
                <w:rFonts w:asciiTheme="minorHAnsi" w:hAnsiTheme="minorHAnsi" w:cstheme="minorHAnsi"/>
                <w:sz w:val="16"/>
                <w:szCs w:val="16"/>
              </w:rPr>
              <w:t>15</w:t>
            </w:r>
          </w:p>
        </w:tc>
        <w:tc>
          <w:tcPr>
            <w:tcW w:w="542"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sz w:val="16"/>
                <w:szCs w:val="16"/>
              </w:rPr>
            </w:pPr>
            <w:r w:rsidRPr="00A54F63">
              <w:rPr>
                <w:rFonts w:asciiTheme="minorHAnsi" w:hAnsiTheme="minorHAnsi" w:cstheme="minorHAnsi"/>
                <w:sz w:val="16"/>
                <w:szCs w:val="16"/>
              </w:rPr>
              <w:t>19</w:t>
            </w:r>
          </w:p>
        </w:tc>
        <w:tc>
          <w:tcPr>
            <w:tcW w:w="542"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4</w:t>
            </w:r>
          </w:p>
        </w:tc>
        <w:tc>
          <w:tcPr>
            <w:tcW w:w="542"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4</w:t>
            </w:r>
          </w:p>
        </w:tc>
        <w:tc>
          <w:tcPr>
            <w:tcW w:w="542"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5</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6</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6</w:t>
            </w:r>
          </w:p>
        </w:tc>
        <w:tc>
          <w:tcPr>
            <w:tcW w:w="541"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6</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6</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6</w:t>
            </w:r>
          </w:p>
        </w:tc>
        <w:tc>
          <w:tcPr>
            <w:tcW w:w="541"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7</w:t>
            </w:r>
          </w:p>
        </w:tc>
        <w:tc>
          <w:tcPr>
            <w:tcW w:w="541" w:type="dxa"/>
            <w:tcBorders>
              <w:top w:val="nil"/>
              <w:left w:val="nil"/>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30</w:t>
            </w:r>
          </w:p>
        </w:tc>
        <w:tc>
          <w:tcPr>
            <w:tcW w:w="541" w:type="dxa"/>
            <w:tcBorders>
              <w:top w:val="nil"/>
              <w:left w:val="nil"/>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31</w:t>
            </w:r>
          </w:p>
        </w:tc>
        <w:tc>
          <w:tcPr>
            <w:tcW w:w="541" w:type="dxa"/>
            <w:tcBorders>
              <w:top w:val="nil"/>
              <w:left w:val="nil"/>
              <w:bottom w:val="single" w:sz="4" w:space="0" w:color="auto"/>
              <w:right w:val="single" w:sz="4" w:space="0" w:color="auto"/>
            </w:tcBorders>
            <w:shd w:val="clear" w:color="000000" w:fill="F2F2F2"/>
            <w:noWrap/>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37</w:t>
            </w:r>
          </w:p>
        </w:tc>
      </w:tr>
      <w:tr w:rsidR="007B187C" w:rsidRPr="00A54F63" w:rsidTr="007B187C">
        <w:trPr>
          <w:trHeight w:val="300"/>
        </w:trPr>
        <w:tc>
          <w:tcPr>
            <w:tcW w:w="1560" w:type="dxa"/>
            <w:tcBorders>
              <w:top w:val="nil"/>
              <w:left w:val="single" w:sz="4" w:space="0" w:color="auto"/>
              <w:bottom w:val="single" w:sz="4" w:space="0" w:color="auto"/>
              <w:right w:val="nil"/>
            </w:tcBorders>
            <w:shd w:val="clear" w:color="000000" w:fill="FFFFFF"/>
            <w:vAlign w:val="center"/>
            <w:hideMark/>
          </w:tcPr>
          <w:p w:rsidR="007B187C" w:rsidRPr="008D25A5" w:rsidRDefault="007B187C" w:rsidP="007B187C">
            <w:pPr>
              <w:jc w:val="center"/>
              <w:rPr>
                <w:rFonts w:asciiTheme="minorHAnsi" w:hAnsiTheme="minorHAnsi" w:cstheme="minorHAnsi"/>
                <w:color w:val="000000"/>
                <w:sz w:val="20"/>
                <w:szCs w:val="20"/>
              </w:rPr>
            </w:pPr>
            <w:r w:rsidRPr="008D25A5">
              <w:rPr>
                <w:rFonts w:asciiTheme="minorHAnsi" w:hAnsiTheme="minorHAnsi" w:cstheme="minorHAnsi"/>
                <w:color w:val="000000"/>
                <w:sz w:val="20"/>
                <w:szCs w:val="20"/>
              </w:rPr>
              <w:t>отделений</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sz w:val="16"/>
                <w:szCs w:val="16"/>
              </w:rPr>
            </w:pPr>
            <w:r w:rsidRPr="00A54F63">
              <w:rPr>
                <w:rFonts w:asciiTheme="minorHAnsi" w:hAnsiTheme="minorHAnsi" w:cstheme="minorHAnsi"/>
                <w:sz w:val="16"/>
                <w:szCs w:val="16"/>
              </w:rPr>
              <w:t>8</w:t>
            </w:r>
          </w:p>
        </w:tc>
        <w:tc>
          <w:tcPr>
            <w:tcW w:w="583" w:type="dxa"/>
            <w:tcBorders>
              <w:top w:val="nil"/>
              <w:left w:val="nil"/>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sz w:val="16"/>
                <w:szCs w:val="16"/>
              </w:rPr>
            </w:pPr>
            <w:r w:rsidRPr="00A54F63">
              <w:rPr>
                <w:rFonts w:asciiTheme="minorHAnsi" w:hAnsiTheme="minorHAnsi" w:cstheme="minorHAnsi"/>
                <w:sz w:val="16"/>
                <w:szCs w:val="16"/>
              </w:rPr>
              <w:t>5</w:t>
            </w:r>
          </w:p>
        </w:tc>
        <w:tc>
          <w:tcPr>
            <w:tcW w:w="542"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sz w:val="16"/>
                <w:szCs w:val="16"/>
              </w:rPr>
            </w:pPr>
            <w:r w:rsidRPr="00A54F63">
              <w:rPr>
                <w:rFonts w:asciiTheme="minorHAnsi" w:hAnsiTheme="minorHAnsi" w:cstheme="minorHAnsi"/>
                <w:sz w:val="16"/>
                <w:szCs w:val="16"/>
              </w:rPr>
              <w:t>5</w:t>
            </w:r>
          </w:p>
        </w:tc>
        <w:tc>
          <w:tcPr>
            <w:tcW w:w="542"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w:t>
            </w:r>
          </w:p>
        </w:tc>
        <w:tc>
          <w:tcPr>
            <w:tcW w:w="542"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w:t>
            </w:r>
          </w:p>
        </w:tc>
        <w:tc>
          <w:tcPr>
            <w:tcW w:w="542"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1</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0</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0</w:t>
            </w:r>
          </w:p>
        </w:tc>
        <w:tc>
          <w:tcPr>
            <w:tcW w:w="541"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0</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0</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0</w:t>
            </w:r>
          </w:p>
        </w:tc>
        <w:tc>
          <w:tcPr>
            <w:tcW w:w="541"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0</w:t>
            </w:r>
          </w:p>
        </w:tc>
        <w:tc>
          <w:tcPr>
            <w:tcW w:w="541" w:type="dxa"/>
            <w:tcBorders>
              <w:top w:val="nil"/>
              <w:left w:val="nil"/>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10</w:t>
            </w:r>
          </w:p>
        </w:tc>
        <w:tc>
          <w:tcPr>
            <w:tcW w:w="541" w:type="dxa"/>
            <w:tcBorders>
              <w:top w:val="nil"/>
              <w:left w:val="nil"/>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7</w:t>
            </w:r>
          </w:p>
        </w:tc>
        <w:tc>
          <w:tcPr>
            <w:tcW w:w="541" w:type="dxa"/>
            <w:tcBorders>
              <w:top w:val="nil"/>
              <w:left w:val="nil"/>
              <w:bottom w:val="single" w:sz="4" w:space="0" w:color="auto"/>
              <w:right w:val="single" w:sz="4" w:space="0" w:color="auto"/>
            </w:tcBorders>
            <w:shd w:val="clear" w:color="000000" w:fill="F2F2F2"/>
            <w:noWrap/>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6</w:t>
            </w:r>
          </w:p>
        </w:tc>
      </w:tr>
      <w:tr w:rsidR="007B187C" w:rsidRPr="00A54F63" w:rsidTr="007B187C">
        <w:trPr>
          <w:trHeight w:val="300"/>
        </w:trPr>
        <w:tc>
          <w:tcPr>
            <w:tcW w:w="1560" w:type="dxa"/>
            <w:tcBorders>
              <w:top w:val="nil"/>
              <w:left w:val="single" w:sz="4" w:space="0" w:color="auto"/>
              <w:bottom w:val="single" w:sz="4" w:space="0" w:color="auto"/>
              <w:right w:val="nil"/>
            </w:tcBorders>
            <w:shd w:val="clear" w:color="000000" w:fill="FFFFFF"/>
            <w:vAlign w:val="center"/>
            <w:hideMark/>
          </w:tcPr>
          <w:p w:rsidR="007B187C" w:rsidRPr="008D25A5" w:rsidRDefault="007B187C" w:rsidP="007B187C">
            <w:pPr>
              <w:jc w:val="center"/>
              <w:rPr>
                <w:rFonts w:asciiTheme="minorHAnsi" w:hAnsiTheme="minorHAnsi" w:cstheme="minorHAnsi"/>
                <w:color w:val="000000"/>
                <w:sz w:val="20"/>
                <w:szCs w:val="20"/>
              </w:rPr>
            </w:pPr>
            <w:r w:rsidRPr="008D25A5">
              <w:rPr>
                <w:rFonts w:asciiTheme="minorHAnsi" w:hAnsiTheme="minorHAnsi" w:cstheme="minorHAnsi"/>
                <w:color w:val="000000"/>
                <w:sz w:val="20"/>
                <w:szCs w:val="20"/>
              </w:rPr>
              <w:t>департам</w:t>
            </w:r>
            <w:r>
              <w:rPr>
                <w:rFonts w:asciiTheme="minorHAnsi" w:hAnsiTheme="minorHAnsi" w:cstheme="minorHAnsi"/>
                <w:color w:val="000000"/>
                <w:sz w:val="20"/>
                <w:szCs w:val="20"/>
              </w:rPr>
              <w:t>ентов</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sz w:val="16"/>
                <w:szCs w:val="16"/>
              </w:rPr>
            </w:pPr>
            <w:r w:rsidRPr="00A54F63">
              <w:rPr>
                <w:rFonts w:asciiTheme="minorHAnsi" w:hAnsiTheme="minorHAnsi" w:cstheme="minorHAnsi"/>
                <w:sz w:val="16"/>
                <w:szCs w:val="16"/>
              </w:rPr>
              <w:t>4</w:t>
            </w:r>
          </w:p>
        </w:tc>
        <w:tc>
          <w:tcPr>
            <w:tcW w:w="583" w:type="dxa"/>
            <w:tcBorders>
              <w:top w:val="nil"/>
              <w:left w:val="nil"/>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sz w:val="16"/>
                <w:szCs w:val="16"/>
              </w:rPr>
            </w:pPr>
            <w:r w:rsidRPr="00A54F63">
              <w:rPr>
                <w:rFonts w:asciiTheme="minorHAnsi" w:hAnsiTheme="minorHAnsi" w:cstheme="minorHAnsi"/>
                <w:sz w:val="16"/>
                <w:szCs w:val="16"/>
              </w:rPr>
              <w:t>10</w:t>
            </w:r>
          </w:p>
        </w:tc>
        <w:tc>
          <w:tcPr>
            <w:tcW w:w="542"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sz w:val="16"/>
                <w:szCs w:val="16"/>
              </w:rPr>
            </w:pPr>
            <w:r w:rsidRPr="00A54F63">
              <w:rPr>
                <w:rFonts w:asciiTheme="minorHAnsi" w:hAnsiTheme="minorHAnsi" w:cstheme="minorHAnsi"/>
                <w:sz w:val="16"/>
                <w:szCs w:val="16"/>
              </w:rPr>
              <w:t>10</w:t>
            </w:r>
          </w:p>
        </w:tc>
        <w:tc>
          <w:tcPr>
            <w:tcW w:w="542"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0</w:t>
            </w:r>
          </w:p>
        </w:tc>
        <w:tc>
          <w:tcPr>
            <w:tcW w:w="542"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0</w:t>
            </w:r>
          </w:p>
        </w:tc>
        <w:tc>
          <w:tcPr>
            <w:tcW w:w="542"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0</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0</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0</w:t>
            </w:r>
          </w:p>
        </w:tc>
        <w:tc>
          <w:tcPr>
            <w:tcW w:w="541"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0</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0</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0</w:t>
            </w:r>
          </w:p>
        </w:tc>
        <w:tc>
          <w:tcPr>
            <w:tcW w:w="541"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0</w:t>
            </w:r>
          </w:p>
        </w:tc>
        <w:tc>
          <w:tcPr>
            <w:tcW w:w="541" w:type="dxa"/>
            <w:tcBorders>
              <w:top w:val="nil"/>
              <w:left w:val="nil"/>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4</w:t>
            </w:r>
          </w:p>
        </w:tc>
        <w:tc>
          <w:tcPr>
            <w:tcW w:w="541" w:type="dxa"/>
            <w:tcBorders>
              <w:top w:val="nil"/>
              <w:left w:val="nil"/>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10</w:t>
            </w:r>
          </w:p>
        </w:tc>
        <w:tc>
          <w:tcPr>
            <w:tcW w:w="541" w:type="dxa"/>
            <w:tcBorders>
              <w:top w:val="nil"/>
              <w:left w:val="nil"/>
              <w:bottom w:val="single" w:sz="4" w:space="0" w:color="auto"/>
              <w:right w:val="single" w:sz="4" w:space="0" w:color="auto"/>
            </w:tcBorders>
            <w:shd w:val="clear" w:color="000000" w:fill="F2F2F2"/>
            <w:noWrap/>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10</w:t>
            </w:r>
          </w:p>
        </w:tc>
      </w:tr>
      <w:tr w:rsidR="007B187C" w:rsidRPr="00A54F63" w:rsidTr="007B187C">
        <w:trPr>
          <w:trHeight w:val="300"/>
        </w:trPr>
        <w:tc>
          <w:tcPr>
            <w:tcW w:w="1560" w:type="dxa"/>
            <w:tcBorders>
              <w:top w:val="nil"/>
              <w:left w:val="single" w:sz="4" w:space="0" w:color="auto"/>
              <w:bottom w:val="single" w:sz="4" w:space="0" w:color="auto"/>
              <w:right w:val="nil"/>
            </w:tcBorders>
            <w:shd w:val="clear" w:color="000000" w:fill="FFFFFF"/>
            <w:vAlign w:val="center"/>
            <w:hideMark/>
          </w:tcPr>
          <w:p w:rsidR="007B187C" w:rsidRPr="008D25A5" w:rsidRDefault="007B187C" w:rsidP="007B187C">
            <w:pPr>
              <w:jc w:val="center"/>
              <w:rPr>
                <w:rFonts w:asciiTheme="minorHAnsi" w:hAnsiTheme="minorHAnsi" w:cstheme="minorHAnsi"/>
                <w:color w:val="000000"/>
                <w:sz w:val="20"/>
                <w:szCs w:val="20"/>
              </w:rPr>
            </w:pPr>
            <w:r w:rsidRPr="008D25A5">
              <w:rPr>
                <w:rFonts w:asciiTheme="minorHAnsi" w:hAnsiTheme="minorHAnsi" w:cstheme="minorHAnsi"/>
                <w:color w:val="000000"/>
                <w:sz w:val="20"/>
                <w:szCs w:val="20"/>
              </w:rPr>
              <w:t>кафедр,</w:t>
            </w:r>
            <w:r>
              <w:rPr>
                <w:rFonts w:asciiTheme="minorHAnsi" w:hAnsiTheme="minorHAnsi" w:cstheme="minorHAnsi"/>
                <w:color w:val="000000"/>
                <w:sz w:val="20"/>
                <w:szCs w:val="20"/>
              </w:rPr>
              <w:t xml:space="preserve"> </w:t>
            </w:r>
            <w:r w:rsidRPr="008D25A5">
              <w:rPr>
                <w:rFonts w:asciiTheme="minorHAnsi" w:hAnsiTheme="minorHAnsi" w:cstheme="minorHAnsi"/>
                <w:color w:val="000000"/>
                <w:sz w:val="20"/>
                <w:szCs w:val="20"/>
              </w:rPr>
              <w:t>из них</w:t>
            </w:r>
            <w:r>
              <w:rPr>
                <w:rFonts w:asciiTheme="minorHAnsi" w:hAnsiTheme="minorHAnsi" w:cstheme="minorHAnsi"/>
                <w:color w:val="000000"/>
                <w:sz w:val="20"/>
                <w:szCs w:val="20"/>
              </w:rPr>
              <w:t>:</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sz w:val="16"/>
                <w:szCs w:val="16"/>
              </w:rPr>
            </w:pPr>
            <w:r w:rsidRPr="00A54F63">
              <w:rPr>
                <w:rFonts w:asciiTheme="minorHAnsi" w:hAnsiTheme="minorHAnsi" w:cstheme="minorHAnsi"/>
                <w:sz w:val="16"/>
                <w:szCs w:val="16"/>
              </w:rPr>
              <w:t>138</w:t>
            </w:r>
          </w:p>
        </w:tc>
        <w:tc>
          <w:tcPr>
            <w:tcW w:w="583" w:type="dxa"/>
            <w:tcBorders>
              <w:top w:val="nil"/>
              <w:left w:val="nil"/>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sz w:val="16"/>
                <w:szCs w:val="16"/>
              </w:rPr>
            </w:pPr>
            <w:r w:rsidRPr="00A54F63">
              <w:rPr>
                <w:rFonts w:asciiTheme="minorHAnsi" w:hAnsiTheme="minorHAnsi" w:cstheme="minorHAnsi"/>
                <w:sz w:val="16"/>
                <w:szCs w:val="16"/>
              </w:rPr>
              <w:t>141</w:t>
            </w:r>
          </w:p>
        </w:tc>
        <w:tc>
          <w:tcPr>
            <w:tcW w:w="542"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sz w:val="16"/>
                <w:szCs w:val="16"/>
              </w:rPr>
            </w:pPr>
            <w:r w:rsidRPr="00A54F63">
              <w:rPr>
                <w:rFonts w:asciiTheme="minorHAnsi" w:hAnsiTheme="minorHAnsi" w:cstheme="minorHAnsi"/>
                <w:sz w:val="16"/>
                <w:szCs w:val="16"/>
              </w:rPr>
              <w:t>162</w:t>
            </w:r>
          </w:p>
        </w:tc>
        <w:tc>
          <w:tcPr>
            <w:tcW w:w="542"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20</w:t>
            </w:r>
          </w:p>
        </w:tc>
        <w:tc>
          <w:tcPr>
            <w:tcW w:w="542"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21</w:t>
            </w:r>
          </w:p>
        </w:tc>
        <w:tc>
          <w:tcPr>
            <w:tcW w:w="542"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21</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22</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23</w:t>
            </w:r>
          </w:p>
        </w:tc>
        <w:tc>
          <w:tcPr>
            <w:tcW w:w="541"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25</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14</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14</w:t>
            </w:r>
          </w:p>
        </w:tc>
        <w:tc>
          <w:tcPr>
            <w:tcW w:w="541"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15</w:t>
            </w:r>
          </w:p>
        </w:tc>
        <w:tc>
          <w:tcPr>
            <w:tcW w:w="541" w:type="dxa"/>
            <w:tcBorders>
              <w:top w:val="nil"/>
              <w:left w:val="nil"/>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194</w:t>
            </w:r>
          </w:p>
        </w:tc>
        <w:tc>
          <w:tcPr>
            <w:tcW w:w="541" w:type="dxa"/>
            <w:tcBorders>
              <w:top w:val="nil"/>
              <w:left w:val="nil"/>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199</w:t>
            </w:r>
          </w:p>
        </w:tc>
        <w:tc>
          <w:tcPr>
            <w:tcW w:w="541" w:type="dxa"/>
            <w:tcBorders>
              <w:top w:val="nil"/>
              <w:left w:val="nil"/>
              <w:bottom w:val="single" w:sz="4" w:space="0" w:color="auto"/>
              <w:right w:val="single" w:sz="4" w:space="0" w:color="auto"/>
            </w:tcBorders>
            <w:shd w:val="clear" w:color="000000" w:fill="F2F2F2"/>
            <w:noWrap/>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223</w:t>
            </w:r>
          </w:p>
        </w:tc>
      </w:tr>
      <w:tr w:rsidR="007B187C" w:rsidRPr="00A54F63" w:rsidTr="007B187C">
        <w:trPr>
          <w:trHeight w:val="300"/>
        </w:trPr>
        <w:tc>
          <w:tcPr>
            <w:tcW w:w="1560" w:type="dxa"/>
            <w:tcBorders>
              <w:top w:val="nil"/>
              <w:left w:val="single" w:sz="4" w:space="0" w:color="auto"/>
              <w:bottom w:val="single" w:sz="4" w:space="0" w:color="auto"/>
              <w:right w:val="nil"/>
            </w:tcBorders>
            <w:shd w:val="clear" w:color="000000" w:fill="FFFFFF"/>
            <w:vAlign w:val="center"/>
            <w:hideMark/>
          </w:tcPr>
          <w:p w:rsidR="007B187C" w:rsidRPr="008D25A5" w:rsidRDefault="007B187C" w:rsidP="007B187C">
            <w:pPr>
              <w:jc w:val="center"/>
              <w:rPr>
                <w:rFonts w:asciiTheme="minorHAnsi" w:hAnsiTheme="minorHAnsi" w:cstheme="minorHAnsi"/>
                <w:color w:val="000000"/>
                <w:sz w:val="20"/>
                <w:szCs w:val="20"/>
              </w:rPr>
            </w:pPr>
            <w:proofErr w:type="spellStart"/>
            <w:r>
              <w:rPr>
                <w:rFonts w:asciiTheme="minorHAnsi" w:hAnsiTheme="minorHAnsi" w:cstheme="minorHAnsi"/>
                <w:color w:val="000000"/>
                <w:sz w:val="20"/>
                <w:szCs w:val="20"/>
              </w:rPr>
              <w:t>о</w:t>
            </w:r>
            <w:r w:rsidRPr="008D25A5">
              <w:rPr>
                <w:rFonts w:asciiTheme="minorHAnsi" w:hAnsiTheme="minorHAnsi" w:cstheme="minorHAnsi"/>
                <w:color w:val="000000"/>
                <w:sz w:val="20"/>
                <w:szCs w:val="20"/>
              </w:rPr>
              <w:t>бщеун</w:t>
            </w:r>
            <w:r>
              <w:rPr>
                <w:rFonts w:asciiTheme="minorHAnsi" w:hAnsiTheme="minorHAnsi" w:cstheme="minorHAnsi"/>
                <w:color w:val="000000"/>
                <w:sz w:val="20"/>
                <w:szCs w:val="20"/>
              </w:rPr>
              <w:t>ивер</w:t>
            </w:r>
            <w:proofErr w:type="spellEnd"/>
            <w:r>
              <w:rPr>
                <w:rFonts w:asciiTheme="minorHAnsi" w:hAnsiTheme="minorHAnsi" w:cstheme="minorHAnsi"/>
                <w:color w:val="000000"/>
                <w:sz w:val="20"/>
                <w:szCs w:val="20"/>
              </w:rPr>
              <w:t>.</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sz w:val="16"/>
                <w:szCs w:val="16"/>
              </w:rPr>
            </w:pPr>
            <w:r w:rsidRPr="00A54F63">
              <w:rPr>
                <w:rFonts w:asciiTheme="minorHAnsi" w:hAnsiTheme="minorHAnsi" w:cstheme="minorHAnsi"/>
                <w:sz w:val="16"/>
                <w:szCs w:val="16"/>
              </w:rPr>
              <w:t>11</w:t>
            </w:r>
          </w:p>
        </w:tc>
        <w:tc>
          <w:tcPr>
            <w:tcW w:w="583" w:type="dxa"/>
            <w:tcBorders>
              <w:top w:val="nil"/>
              <w:left w:val="nil"/>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sz w:val="16"/>
                <w:szCs w:val="16"/>
              </w:rPr>
            </w:pPr>
            <w:r w:rsidRPr="00A54F63">
              <w:rPr>
                <w:rFonts w:asciiTheme="minorHAnsi" w:hAnsiTheme="minorHAnsi" w:cstheme="minorHAnsi"/>
                <w:sz w:val="16"/>
                <w:szCs w:val="16"/>
              </w:rPr>
              <w:t>12</w:t>
            </w:r>
          </w:p>
        </w:tc>
        <w:tc>
          <w:tcPr>
            <w:tcW w:w="542"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sz w:val="16"/>
                <w:szCs w:val="16"/>
              </w:rPr>
            </w:pPr>
            <w:r>
              <w:rPr>
                <w:rFonts w:asciiTheme="minorHAnsi" w:hAnsiTheme="minorHAnsi" w:cstheme="minorHAnsi"/>
                <w:sz w:val="16"/>
                <w:szCs w:val="16"/>
              </w:rPr>
              <w:t>16</w:t>
            </w:r>
          </w:p>
        </w:tc>
        <w:tc>
          <w:tcPr>
            <w:tcW w:w="542"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3</w:t>
            </w:r>
          </w:p>
        </w:tc>
        <w:tc>
          <w:tcPr>
            <w:tcW w:w="542"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3</w:t>
            </w:r>
          </w:p>
        </w:tc>
        <w:tc>
          <w:tcPr>
            <w:tcW w:w="542"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3</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3</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3</w:t>
            </w:r>
          </w:p>
        </w:tc>
        <w:tc>
          <w:tcPr>
            <w:tcW w:w="541"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3</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0</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0</w:t>
            </w:r>
          </w:p>
        </w:tc>
        <w:tc>
          <w:tcPr>
            <w:tcW w:w="541"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0</w:t>
            </w:r>
          </w:p>
        </w:tc>
        <w:tc>
          <w:tcPr>
            <w:tcW w:w="541" w:type="dxa"/>
            <w:tcBorders>
              <w:top w:val="nil"/>
              <w:left w:val="nil"/>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17</w:t>
            </w:r>
          </w:p>
        </w:tc>
        <w:tc>
          <w:tcPr>
            <w:tcW w:w="541" w:type="dxa"/>
            <w:tcBorders>
              <w:top w:val="nil"/>
              <w:left w:val="nil"/>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18</w:t>
            </w:r>
          </w:p>
        </w:tc>
        <w:tc>
          <w:tcPr>
            <w:tcW w:w="541" w:type="dxa"/>
            <w:tcBorders>
              <w:top w:val="nil"/>
              <w:left w:val="nil"/>
              <w:bottom w:val="single" w:sz="4" w:space="0" w:color="auto"/>
              <w:right w:val="single" w:sz="4" w:space="0" w:color="auto"/>
            </w:tcBorders>
            <w:shd w:val="clear" w:color="000000" w:fill="F2F2F2"/>
            <w:noWrap/>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w:t>
            </w:r>
            <w:r>
              <w:rPr>
                <w:rFonts w:asciiTheme="minorHAnsi" w:hAnsiTheme="minorHAnsi" w:cstheme="minorHAnsi"/>
                <w:color w:val="000000"/>
                <w:sz w:val="16"/>
                <w:szCs w:val="16"/>
              </w:rPr>
              <w:t>2</w:t>
            </w:r>
          </w:p>
        </w:tc>
      </w:tr>
      <w:tr w:rsidR="007B187C" w:rsidRPr="00A54F63" w:rsidTr="007B187C">
        <w:trPr>
          <w:trHeight w:val="300"/>
        </w:trPr>
        <w:tc>
          <w:tcPr>
            <w:tcW w:w="1560" w:type="dxa"/>
            <w:tcBorders>
              <w:top w:val="nil"/>
              <w:left w:val="single" w:sz="4" w:space="0" w:color="auto"/>
              <w:bottom w:val="single" w:sz="4" w:space="0" w:color="auto"/>
              <w:right w:val="nil"/>
            </w:tcBorders>
            <w:shd w:val="clear" w:color="000000" w:fill="FFFFFF"/>
            <w:vAlign w:val="center"/>
            <w:hideMark/>
          </w:tcPr>
          <w:p w:rsidR="007B187C" w:rsidRPr="008D25A5" w:rsidRDefault="007B187C" w:rsidP="007B187C">
            <w:pPr>
              <w:jc w:val="center"/>
              <w:rPr>
                <w:rFonts w:asciiTheme="minorHAnsi" w:hAnsiTheme="minorHAnsi" w:cstheme="minorHAnsi"/>
                <w:color w:val="000000"/>
                <w:sz w:val="20"/>
                <w:szCs w:val="20"/>
              </w:rPr>
            </w:pPr>
            <w:r w:rsidRPr="008D25A5">
              <w:rPr>
                <w:rFonts w:asciiTheme="minorHAnsi" w:hAnsiTheme="minorHAnsi" w:cstheme="minorHAnsi"/>
                <w:color w:val="000000"/>
                <w:sz w:val="20"/>
                <w:szCs w:val="20"/>
              </w:rPr>
              <w:t>базовых</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sz w:val="16"/>
                <w:szCs w:val="16"/>
              </w:rPr>
            </w:pPr>
            <w:r w:rsidRPr="00A54F63">
              <w:rPr>
                <w:rFonts w:asciiTheme="minorHAnsi" w:hAnsiTheme="minorHAnsi" w:cstheme="minorHAnsi"/>
                <w:sz w:val="16"/>
                <w:szCs w:val="16"/>
              </w:rPr>
              <w:t>25</w:t>
            </w:r>
          </w:p>
        </w:tc>
        <w:tc>
          <w:tcPr>
            <w:tcW w:w="583" w:type="dxa"/>
            <w:tcBorders>
              <w:top w:val="nil"/>
              <w:left w:val="nil"/>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sz w:val="16"/>
                <w:szCs w:val="16"/>
              </w:rPr>
            </w:pPr>
            <w:r w:rsidRPr="00A54F63">
              <w:rPr>
                <w:rFonts w:asciiTheme="minorHAnsi" w:hAnsiTheme="minorHAnsi" w:cstheme="minorHAnsi"/>
                <w:sz w:val="16"/>
                <w:szCs w:val="16"/>
              </w:rPr>
              <w:t>29</w:t>
            </w:r>
          </w:p>
        </w:tc>
        <w:tc>
          <w:tcPr>
            <w:tcW w:w="542"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sz w:val="16"/>
                <w:szCs w:val="16"/>
              </w:rPr>
            </w:pPr>
            <w:r w:rsidRPr="00A54F63">
              <w:rPr>
                <w:rFonts w:asciiTheme="minorHAnsi" w:hAnsiTheme="minorHAnsi" w:cstheme="minorHAnsi"/>
                <w:sz w:val="16"/>
                <w:szCs w:val="16"/>
              </w:rPr>
              <w:t>35</w:t>
            </w:r>
          </w:p>
        </w:tc>
        <w:tc>
          <w:tcPr>
            <w:tcW w:w="542"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1</w:t>
            </w:r>
          </w:p>
        </w:tc>
        <w:tc>
          <w:tcPr>
            <w:tcW w:w="542"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w:t>
            </w:r>
          </w:p>
        </w:tc>
        <w:tc>
          <w:tcPr>
            <w:tcW w:w="542"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3</w:t>
            </w:r>
          </w:p>
        </w:tc>
        <w:tc>
          <w:tcPr>
            <w:tcW w:w="541"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3</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w:t>
            </w:r>
          </w:p>
        </w:tc>
        <w:tc>
          <w:tcPr>
            <w:tcW w:w="541" w:type="dxa"/>
            <w:tcBorders>
              <w:top w:val="nil"/>
              <w:left w:val="nil"/>
              <w:bottom w:val="single" w:sz="4" w:space="0" w:color="auto"/>
              <w:right w:val="single" w:sz="4" w:space="0" w:color="auto"/>
            </w:tcBorders>
            <w:shd w:val="clear" w:color="000000" w:fill="FFFFFF"/>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2</w:t>
            </w:r>
          </w:p>
        </w:tc>
        <w:tc>
          <w:tcPr>
            <w:tcW w:w="541" w:type="dxa"/>
            <w:tcBorders>
              <w:top w:val="nil"/>
              <w:left w:val="nil"/>
              <w:bottom w:val="single" w:sz="4" w:space="0" w:color="auto"/>
              <w:right w:val="single" w:sz="4" w:space="0" w:color="auto"/>
            </w:tcBorders>
            <w:shd w:val="clear" w:color="000000" w:fill="F2F2F2"/>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3</w:t>
            </w:r>
          </w:p>
        </w:tc>
        <w:tc>
          <w:tcPr>
            <w:tcW w:w="541" w:type="dxa"/>
            <w:tcBorders>
              <w:top w:val="nil"/>
              <w:left w:val="nil"/>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30</w:t>
            </w:r>
          </w:p>
        </w:tc>
        <w:tc>
          <w:tcPr>
            <w:tcW w:w="541" w:type="dxa"/>
            <w:tcBorders>
              <w:top w:val="nil"/>
              <w:left w:val="nil"/>
              <w:bottom w:val="single" w:sz="4" w:space="0" w:color="auto"/>
              <w:right w:val="single" w:sz="4" w:space="0" w:color="auto"/>
            </w:tcBorders>
            <w:shd w:val="clear" w:color="000000" w:fill="FFFFFF"/>
            <w:noWrap/>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36</w:t>
            </w:r>
          </w:p>
        </w:tc>
        <w:tc>
          <w:tcPr>
            <w:tcW w:w="541" w:type="dxa"/>
            <w:tcBorders>
              <w:top w:val="nil"/>
              <w:left w:val="nil"/>
              <w:bottom w:val="single" w:sz="4" w:space="0" w:color="auto"/>
              <w:right w:val="single" w:sz="4" w:space="0" w:color="auto"/>
            </w:tcBorders>
            <w:shd w:val="clear" w:color="000000" w:fill="F2F2F2"/>
            <w:noWrap/>
            <w:vAlign w:val="center"/>
            <w:hideMark/>
          </w:tcPr>
          <w:p w:rsidR="007B187C" w:rsidRPr="00A54F63" w:rsidRDefault="007B187C" w:rsidP="007B187C">
            <w:pPr>
              <w:jc w:val="center"/>
              <w:rPr>
                <w:rFonts w:asciiTheme="minorHAnsi" w:hAnsiTheme="minorHAnsi" w:cstheme="minorHAnsi"/>
                <w:color w:val="000000"/>
                <w:sz w:val="16"/>
                <w:szCs w:val="16"/>
              </w:rPr>
            </w:pPr>
            <w:r w:rsidRPr="00A54F63">
              <w:rPr>
                <w:rFonts w:asciiTheme="minorHAnsi" w:hAnsiTheme="minorHAnsi" w:cstheme="minorHAnsi"/>
                <w:color w:val="000000"/>
                <w:sz w:val="16"/>
                <w:szCs w:val="16"/>
              </w:rPr>
              <w:t>43</w:t>
            </w:r>
          </w:p>
        </w:tc>
      </w:tr>
    </w:tbl>
    <w:p w:rsidR="007B187C" w:rsidRPr="000A028F" w:rsidRDefault="007B187C" w:rsidP="007B187C">
      <w:pPr>
        <w:spacing w:after="200" w:line="276" w:lineRule="auto"/>
        <w:jc w:val="both"/>
      </w:pPr>
      <w:r w:rsidRPr="00B84338">
        <w:t xml:space="preserve">Представленные далее </w:t>
      </w:r>
      <w:r>
        <w:t xml:space="preserve">таблицы и </w:t>
      </w:r>
      <w:r w:rsidRPr="007B187C">
        <w:t>диаграммы</w:t>
      </w:r>
      <w:r w:rsidRPr="00B84338">
        <w:t xml:space="preserve"> демонстрируют общую картину динамики численности учебных подразд</w:t>
      </w:r>
      <w:r>
        <w:t xml:space="preserve">елений  в НИУ ВШЭ за 3 года. В таблицах и </w:t>
      </w:r>
      <w:r w:rsidRPr="00B84338">
        <w:t>диаграмм</w:t>
      </w:r>
      <w:r>
        <w:t>ах</w:t>
      </w:r>
      <w:r w:rsidRPr="00B84338">
        <w:t xml:space="preserve"> отражены данные по Москве, </w:t>
      </w:r>
      <w:r>
        <w:t>по Москве и филиалам</w:t>
      </w:r>
    </w:p>
    <w:tbl>
      <w:tblPr>
        <w:tblpPr w:leftFromText="180" w:rightFromText="180" w:vertAnchor="text" w:horzAnchor="margin" w:tblpXSpec="center" w:tblpY="101"/>
        <w:tblW w:w="6620" w:type="dxa"/>
        <w:tblLook w:val="04A0" w:firstRow="1" w:lastRow="0" w:firstColumn="1" w:lastColumn="0" w:noHBand="0" w:noVBand="1"/>
      </w:tblPr>
      <w:tblGrid>
        <w:gridCol w:w="1385"/>
        <w:gridCol w:w="1319"/>
        <w:gridCol w:w="1242"/>
        <w:gridCol w:w="1601"/>
        <w:gridCol w:w="1073"/>
      </w:tblGrid>
      <w:tr w:rsidR="007B187C" w:rsidRPr="00AD5BD8" w:rsidTr="007B187C">
        <w:trPr>
          <w:trHeight w:val="300"/>
        </w:trPr>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87C" w:rsidRPr="008D25A5" w:rsidRDefault="007B187C" w:rsidP="007B187C">
            <w:pPr>
              <w:jc w:val="center"/>
              <w:rPr>
                <w:rFonts w:cs="Calibri"/>
                <w:color w:val="000000"/>
                <w:sz w:val="22"/>
                <w:szCs w:val="22"/>
              </w:rPr>
            </w:pPr>
            <w:r w:rsidRPr="008D25A5">
              <w:rPr>
                <w:rFonts w:cs="Calibri"/>
                <w:color w:val="000000"/>
                <w:sz w:val="22"/>
                <w:szCs w:val="22"/>
              </w:rPr>
              <w:t>Москва</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7B187C" w:rsidRPr="008D25A5" w:rsidRDefault="007B187C" w:rsidP="007B187C">
            <w:pPr>
              <w:rPr>
                <w:rFonts w:cs="Calibri"/>
                <w:color w:val="000000"/>
                <w:sz w:val="22"/>
                <w:szCs w:val="22"/>
              </w:rPr>
            </w:pPr>
            <w:r w:rsidRPr="008D25A5">
              <w:rPr>
                <w:rFonts w:cs="Calibri"/>
                <w:color w:val="000000"/>
                <w:sz w:val="22"/>
                <w:szCs w:val="22"/>
              </w:rPr>
              <w:t>Факультеты</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7B187C" w:rsidRPr="008D25A5" w:rsidRDefault="007B187C" w:rsidP="007B187C">
            <w:pPr>
              <w:rPr>
                <w:rFonts w:cs="Calibri"/>
                <w:color w:val="000000"/>
                <w:sz w:val="22"/>
                <w:szCs w:val="22"/>
              </w:rPr>
            </w:pPr>
            <w:r w:rsidRPr="008D25A5">
              <w:rPr>
                <w:rFonts w:cs="Calibri"/>
                <w:color w:val="000000"/>
                <w:sz w:val="22"/>
                <w:szCs w:val="22"/>
              </w:rPr>
              <w:t>Отделения</w:t>
            </w:r>
          </w:p>
        </w:tc>
        <w:tc>
          <w:tcPr>
            <w:tcW w:w="1601" w:type="dxa"/>
            <w:tcBorders>
              <w:top w:val="single" w:sz="4" w:space="0" w:color="auto"/>
              <w:left w:val="nil"/>
              <w:bottom w:val="single" w:sz="4" w:space="0" w:color="auto"/>
              <w:right w:val="single" w:sz="4" w:space="0" w:color="auto"/>
            </w:tcBorders>
            <w:shd w:val="clear" w:color="auto" w:fill="auto"/>
            <w:vAlign w:val="center"/>
            <w:hideMark/>
          </w:tcPr>
          <w:p w:rsidR="007B187C" w:rsidRPr="008D25A5" w:rsidRDefault="007B187C" w:rsidP="007B187C">
            <w:pPr>
              <w:rPr>
                <w:rFonts w:cs="Calibri"/>
                <w:color w:val="000000"/>
                <w:sz w:val="22"/>
                <w:szCs w:val="22"/>
              </w:rPr>
            </w:pPr>
            <w:r w:rsidRPr="008D25A5">
              <w:rPr>
                <w:rFonts w:cs="Calibri"/>
                <w:color w:val="000000"/>
                <w:sz w:val="22"/>
                <w:szCs w:val="22"/>
              </w:rPr>
              <w:t>Департаменты</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7B187C" w:rsidRPr="008D25A5" w:rsidRDefault="007B187C" w:rsidP="007B187C">
            <w:pPr>
              <w:rPr>
                <w:rFonts w:cs="Calibri"/>
                <w:color w:val="000000"/>
                <w:sz w:val="22"/>
                <w:szCs w:val="22"/>
              </w:rPr>
            </w:pPr>
            <w:r w:rsidRPr="008D25A5">
              <w:rPr>
                <w:rFonts w:cs="Calibri"/>
                <w:color w:val="000000"/>
                <w:sz w:val="22"/>
                <w:szCs w:val="22"/>
              </w:rPr>
              <w:t>Кафедры</w:t>
            </w:r>
          </w:p>
        </w:tc>
      </w:tr>
      <w:tr w:rsidR="007B187C" w:rsidRPr="00AD5BD8" w:rsidTr="007B187C">
        <w:trPr>
          <w:trHeight w:val="300"/>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7B187C" w:rsidRPr="008D25A5" w:rsidRDefault="007B187C" w:rsidP="007B187C">
            <w:pPr>
              <w:jc w:val="center"/>
              <w:rPr>
                <w:rFonts w:cs="Calibri"/>
                <w:color w:val="000000"/>
                <w:sz w:val="22"/>
                <w:szCs w:val="22"/>
              </w:rPr>
            </w:pPr>
            <w:r w:rsidRPr="008D25A5">
              <w:rPr>
                <w:rFonts w:cs="Calibri"/>
                <w:color w:val="000000"/>
                <w:sz w:val="22"/>
                <w:szCs w:val="22"/>
              </w:rPr>
              <w:t>2010-11</w:t>
            </w:r>
          </w:p>
        </w:tc>
        <w:tc>
          <w:tcPr>
            <w:tcW w:w="1319" w:type="dxa"/>
            <w:tcBorders>
              <w:top w:val="nil"/>
              <w:left w:val="nil"/>
              <w:bottom w:val="single" w:sz="4" w:space="0" w:color="auto"/>
              <w:right w:val="single" w:sz="4" w:space="0" w:color="auto"/>
            </w:tcBorders>
            <w:shd w:val="clear" w:color="000000" w:fill="FFFFFF"/>
            <w:vAlign w:val="center"/>
            <w:hideMark/>
          </w:tcPr>
          <w:p w:rsidR="007B187C" w:rsidRPr="008D25A5" w:rsidRDefault="007B187C" w:rsidP="007B187C">
            <w:pPr>
              <w:jc w:val="center"/>
              <w:rPr>
                <w:rFonts w:cs="Calibri"/>
                <w:color w:val="000000"/>
                <w:sz w:val="22"/>
                <w:szCs w:val="22"/>
              </w:rPr>
            </w:pPr>
            <w:r w:rsidRPr="008D25A5">
              <w:rPr>
                <w:rFonts w:cs="Calibri"/>
                <w:color w:val="000000"/>
                <w:sz w:val="22"/>
                <w:szCs w:val="22"/>
              </w:rPr>
              <w:t>14</w:t>
            </w:r>
          </w:p>
        </w:tc>
        <w:tc>
          <w:tcPr>
            <w:tcW w:w="1242" w:type="dxa"/>
            <w:tcBorders>
              <w:top w:val="nil"/>
              <w:left w:val="nil"/>
              <w:bottom w:val="single" w:sz="4" w:space="0" w:color="auto"/>
              <w:right w:val="single" w:sz="4" w:space="0" w:color="auto"/>
            </w:tcBorders>
            <w:shd w:val="clear" w:color="000000" w:fill="FFFFFF"/>
            <w:vAlign w:val="center"/>
            <w:hideMark/>
          </w:tcPr>
          <w:p w:rsidR="007B187C" w:rsidRPr="008D25A5" w:rsidRDefault="007B187C" w:rsidP="007B187C">
            <w:pPr>
              <w:jc w:val="center"/>
              <w:rPr>
                <w:rFonts w:cs="Calibri"/>
                <w:color w:val="000000"/>
                <w:sz w:val="22"/>
                <w:szCs w:val="22"/>
              </w:rPr>
            </w:pPr>
            <w:r w:rsidRPr="008D25A5">
              <w:rPr>
                <w:rFonts w:cs="Calibri"/>
                <w:color w:val="000000"/>
                <w:sz w:val="22"/>
                <w:szCs w:val="22"/>
              </w:rPr>
              <w:t>8</w:t>
            </w:r>
          </w:p>
        </w:tc>
        <w:tc>
          <w:tcPr>
            <w:tcW w:w="1601" w:type="dxa"/>
            <w:tcBorders>
              <w:top w:val="nil"/>
              <w:left w:val="nil"/>
              <w:bottom w:val="single" w:sz="4" w:space="0" w:color="auto"/>
              <w:right w:val="single" w:sz="4" w:space="0" w:color="auto"/>
            </w:tcBorders>
            <w:shd w:val="clear" w:color="000000" w:fill="FFFFFF"/>
            <w:vAlign w:val="center"/>
            <w:hideMark/>
          </w:tcPr>
          <w:p w:rsidR="007B187C" w:rsidRPr="008D25A5" w:rsidRDefault="007B187C" w:rsidP="007B187C">
            <w:pPr>
              <w:jc w:val="center"/>
              <w:rPr>
                <w:rFonts w:cs="Calibri"/>
                <w:color w:val="000000"/>
                <w:sz w:val="22"/>
                <w:szCs w:val="22"/>
              </w:rPr>
            </w:pPr>
            <w:r w:rsidRPr="008D25A5">
              <w:rPr>
                <w:rFonts w:cs="Calibri"/>
                <w:color w:val="000000"/>
                <w:sz w:val="22"/>
                <w:szCs w:val="22"/>
              </w:rPr>
              <w:t>4</w:t>
            </w:r>
          </w:p>
        </w:tc>
        <w:tc>
          <w:tcPr>
            <w:tcW w:w="1073" w:type="dxa"/>
            <w:tcBorders>
              <w:top w:val="nil"/>
              <w:left w:val="nil"/>
              <w:bottom w:val="single" w:sz="4" w:space="0" w:color="auto"/>
              <w:right w:val="single" w:sz="4" w:space="0" w:color="auto"/>
            </w:tcBorders>
            <w:shd w:val="clear" w:color="000000" w:fill="FFFFFF"/>
            <w:vAlign w:val="center"/>
            <w:hideMark/>
          </w:tcPr>
          <w:p w:rsidR="007B187C" w:rsidRPr="008D25A5" w:rsidRDefault="007B187C" w:rsidP="007B187C">
            <w:pPr>
              <w:jc w:val="center"/>
              <w:rPr>
                <w:rFonts w:cs="Calibri"/>
                <w:color w:val="000000"/>
                <w:sz w:val="22"/>
                <w:szCs w:val="22"/>
              </w:rPr>
            </w:pPr>
            <w:r w:rsidRPr="008D25A5">
              <w:rPr>
                <w:rFonts w:cs="Calibri"/>
                <w:color w:val="000000"/>
                <w:sz w:val="22"/>
                <w:szCs w:val="22"/>
              </w:rPr>
              <w:t>138</w:t>
            </w:r>
          </w:p>
        </w:tc>
      </w:tr>
      <w:tr w:rsidR="007B187C" w:rsidRPr="00AD5BD8" w:rsidTr="007B187C">
        <w:trPr>
          <w:trHeight w:val="300"/>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7B187C" w:rsidRPr="008D25A5" w:rsidRDefault="007B187C" w:rsidP="007B187C">
            <w:pPr>
              <w:jc w:val="center"/>
              <w:rPr>
                <w:rFonts w:cs="Calibri"/>
                <w:color w:val="000000"/>
                <w:sz w:val="22"/>
                <w:szCs w:val="22"/>
              </w:rPr>
            </w:pPr>
            <w:r w:rsidRPr="008D25A5">
              <w:rPr>
                <w:rFonts w:cs="Calibri"/>
                <w:color w:val="000000"/>
                <w:sz w:val="22"/>
                <w:szCs w:val="22"/>
              </w:rPr>
              <w:t>2011-12</w:t>
            </w:r>
          </w:p>
        </w:tc>
        <w:tc>
          <w:tcPr>
            <w:tcW w:w="1319" w:type="dxa"/>
            <w:tcBorders>
              <w:top w:val="nil"/>
              <w:left w:val="nil"/>
              <w:bottom w:val="single" w:sz="4" w:space="0" w:color="auto"/>
              <w:right w:val="single" w:sz="4" w:space="0" w:color="auto"/>
            </w:tcBorders>
            <w:shd w:val="clear" w:color="000000" w:fill="FFFFFF"/>
            <w:vAlign w:val="center"/>
            <w:hideMark/>
          </w:tcPr>
          <w:p w:rsidR="007B187C" w:rsidRPr="008D25A5" w:rsidRDefault="007B187C" w:rsidP="007B187C">
            <w:pPr>
              <w:jc w:val="center"/>
              <w:rPr>
                <w:rFonts w:cs="Calibri"/>
                <w:color w:val="000000"/>
                <w:sz w:val="22"/>
                <w:szCs w:val="22"/>
              </w:rPr>
            </w:pPr>
            <w:r w:rsidRPr="008D25A5">
              <w:rPr>
                <w:rFonts w:cs="Calibri"/>
                <w:color w:val="000000"/>
                <w:sz w:val="22"/>
                <w:szCs w:val="22"/>
              </w:rPr>
              <w:t>15</w:t>
            </w:r>
          </w:p>
        </w:tc>
        <w:tc>
          <w:tcPr>
            <w:tcW w:w="1242" w:type="dxa"/>
            <w:tcBorders>
              <w:top w:val="nil"/>
              <w:left w:val="nil"/>
              <w:bottom w:val="single" w:sz="4" w:space="0" w:color="auto"/>
              <w:right w:val="single" w:sz="4" w:space="0" w:color="auto"/>
            </w:tcBorders>
            <w:shd w:val="clear" w:color="000000" w:fill="FFFFFF"/>
            <w:noWrap/>
            <w:vAlign w:val="center"/>
            <w:hideMark/>
          </w:tcPr>
          <w:p w:rsidR="007B187C" w:rsidRPr="008D25A5" w:rsidRDefault="007B187C" w:rsidP="007B187C">
            <w:pPr>
              <w:jc w:val="center"/>
              <w:rPr>
                <w:rFonts w:cs="Calibri"/>
                <w:color w:val="000000"/>
                <w:sz w:val="22"/>
                <w:szCs w:val="22"/>
              </w:rPr>
            </w:pPr>
            <w:r w:rsidRPr="008D25A5">
              <w:rPr>
                <w:rFonts w:cs="Calibri"/>
                <w:color w:val="000000"/>
                <w:sz w:val="22"/>
                <w:szCs w:val="22"/>
              </w:rPr>
              <w:t>5</w:t>
            </w:r>
          </w:p>
        </w:tc>
        <w:tc>
          <w:tcPr>
            <w:tcW w:w="1601" w:type="dxa"/>
            <w:tcBorders>
              <w:top w:val="nil"/>
              <w:left w:val="nil"/>
              <w:bottom w:val="single" w:sz="4" w:space="0" w:color="auto"/>
              <w:right w:val="single" w:sz="4" w:space="0" w:color="auto"/>
            </w:tcBorders>
            <w:shd w:val="clear" w:color="000000" w:fill="FFFFFF"/>
            <w:noWrap/>
            <w:vAlign w:val="center"/>
            <w:hideMark/>
          </w:tcPr>
          <w:p w:rsidR="007B187C" w:rsidRPr="008D25A5" w:rsidRDefault="007B187C" w:rsidP="007B187C">
            <w:pPr>
              <w:jc w:val="center"/>
              <w:rPr>
                <w:rFonts w:cs="Calibri"/>
                <w:color w:val="000000"/>
                <w:sz w:val="22"/>
                <w:szCs w:val="22"/>
              </w:rPr>
            </w:pPr>
            <w:r w:rsidRPr="008D25A5">
              <w:rPr>
                <w:rFonts w:cs="Calibri"/>
                <w:color w:val="000000"/>
                <w:sz w:val="22"/>
                <w:szCs w:val="22"/>
              </w:rPr>
              <w:t>10</w:t>
            </w:r>
          </w:p>
        </w:tc>
        <w:tc>
          <w:tcPr>
            <w:tcW w:w="1073" w:type="dxa"/>
            <w:tcBorders>
              <w:top w:val="nil"/>
              <w:left w:val="nil"/>
              <w:bottom w:val="single" w:sz="4" w:space="0" w:color="auto"/>
              <w:right w:val="single" w:sz="4" w:space="0" w:color="auto"/>
            </w:tcBorders>
            <w:shd w:val="clear" w:color="000000" w:fill="FFFFFF"/>
            <w:noWrap/>
            <w:vAlign w:val="center"/>
            <w:hideMark/>
          </w:tcPr>
          <w:p w:rsidR="007B187C" w:rsidRPr="008D25A5" w:rsidRDefault="007B187C" w:rsidP="007B187C">
            <w:pPr>
              <w:jc w:val="center"/>
              <w:rPr>
                <w:rFonts w:cs="Calibri"/>
                <w:color w:val="000000"/>
                <w:sz w:val="22"/>
                <w:szCs w:val="22"/>
              </w:rPr>
            </w:pPr>
            <w:r w:rsidRPr="008D25A5">
              <w:rPr>
                <w:rFonts w:cs="Calibri"/>
                <w:color w:val="000000"/>
                <w:sz w:val="22"/>
                <w:szCs w:val="22"/>
              </w:rPr>
              <w:t>141</w:t>
            </w:r>
          </w:p>
        </w:tc>
      </w:tr>
      <w:tr w:rsidR="007B187C" w:rsidRPr="00AD5BD8" w:rsidTr="007B187C">
        <w:trPr>
          <w:trHeight w:val="300"/>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7B187C" w:rsidRPr="008D25A5" w:rsidRDefault="007B187C" w:rsidP="007B187C">
            <w:pPr>
              <w:jc w:val="center"/>
              <w:rPr>
                <w:rFonts w:cs="Calibri"/>
                <w:color w:val="000000"/>
                <w:sz w:val="22"/>
                <w:szCs w:val="22"/>
              </w:rPr>
            </w:pPr>
            <w:r w:rsidRPr="008D25A5">
              <w:rPr>
                <w:rFonts w:cs="Calibri"/>
                <w:color w:val="000000"/>
                <w:sz w:val="22"/>
                <w:szCs w:val="22"/>
              </w:rPr>
              <w:t>2012-13</w:t>
            </w:r>
          </w:p>
        </w:tc>
        <w:tc>
          <w:tcPr>
            <w:tcW w:w="1319" w:type="dxa"/>
            <w:tcBorders>
              <w:top w:val="nil"/>
              <w:left w:val="nil"/>
              <w:bottom w:val="single" w:sz="4" w:space="0" w:color="auto"/>
              <w:right w:val="single" w:sz="4" w:space="0" w:color="auto"/>
            </w:tcBorders>
            <w:shd w:val="clear" w:color="000000" w:fill="FFFFFF"/>
            <w:noWrap/>
            <w:vAlign w:val="bottom"/>
            <w:hideMark/>
          </w:tcPr>
          <w:p w:rsidR="007B187C" w:rsidRDefault="007B187C" w:rsidP="007B187C">
            <w:pPr>
              <w:jc w:val="center"/>
              <w:rPr>
                <w:rFonts w:cs="Calibri"/>
                <w:color w:val="000000"/>
                <w:sz w:val="20"/>
                <w:szCs w:val="20"/>
              </w:rPr>
            </w:pPr>
            <w:r>
              <w:rPr>
                <w:rFonts w:cs="Calibri"/>
                <w:color w:val="000000"/>
                <w:sz w:val="20"/>
                <w:szCs w:val="20"/>
              </w:rPr>
              <w:t>19</w:t>
            </w:r>
          </w:p>
        </w:tc>
        <w:tc>
          <w:tcPr>
            <w:tcW w:w="1242" w:type="dxa"/>
            <w:tcBorders>
              <w:top w:val="nil"/>
              <w:left w:val="nil"/>
              <w:bottom w:val="single" w:sz="4" w:space="0" w:color="auto"/>
              <w:right w:val="single" w:sz="4" w:space="0" w:color="auto"/>
            </w:tcBorders>
            <w:shd w:val="clear" w:color="000000" w:fill="FFFFFF"/>
            <w:noWrap/>
            <w:vAlign w:val="bottom"/>
            <w:hideMark/>
          </w:tcPr>
          <w:p w:rsidR="007B187C" w:rsidRDefault="007B187C" w:rsidP="007B187C">
            <w:pPr>
              <w:jc w:val="center"/>
              <w:rPr>
                <w:rFonts w:cs="Calibri"/>
                <w:color w:val="000000"/>
                <w:sz w:val="20"/>
                <w:szCs w:val="20"/>
              </w:rPr>
            </w:pPr>
            <w:r>
              <w:rPr>
                <w:rFonts w:cs="Calibri"/>
                <w:color w:val="000000"/>
                <w:sz w:val="20"/>
                <w:szCs w:val="20"/>
              </w:rPr>
              <w:t>5</w:t>
            </w:r>
          </w:p>
        </w:tc>
        <w:tc>
          <w:tcPr>
            <w:tcW w:w="1601" w:type="dxa"/>
            <w:tcBorders>
              <w:top w:val="nil"/>
              <w:left w:val="nil"/>
              <w:bottom w:val="single" w:sz="4" w:space="0" w:color="auto"/>
              <w:right w:val="single" w:sz="4" w:space="0" w:color="auto"/>
            </w:tcBorders>
            <w:shd w:val="clear" w:color="000000" w:fill="FFFFFF"/>
            <w:noWrap/>
            <w:vAlign w:val="bottom"/>
            <w:hideMark/>
          </w:tcPr>
          <w:p w:rsidR="007B187C" w:rsidRDefault="007B187C" w:rsidP="007B187C">
            <w:pPr>
              <w:jc w:val="center"/>
              <w:rPr>
                <w:rFonts w:cs="Calibri"/>
                <w:color w:val="000000"/>
                <w:sz w:val="20"/>
                <w:szCs w:val="20"/>
              </w:rPr>
            </w:pPr>
            <w:r>
              <w:rPr>
                <w:rFonts w:cs="Calibri"/>
                <w:color w:val="000000"/>
                <w:sz w:val="20"/>
                <w:szCs w:val="20"/>
              </w:rPr>
              <w:t>10</w:t>
            </w:r>
          </w:p>
        </w:tc>
        <w:tc>
          <w:tcPr>
            <w:tcW w:w="1073" w:type="dxa"/>
            <w:tcBorders>
              <w:top w:val="nil"/>
              <w:left w:val="nil"/>
              <w:bottom w:val="single" w:sz="4" w:space="0" w:color="auto"/>
              <w:right w:val="single" w:sz="4" w:space="0" w:color="auto"/>
            </w:tcBorders>
            <w:shd w:val="clear" w:color="000000" w:fill="FFFFFF"/>
            <w:noWrap/>
            <w:vAlign w:val="bottom"/>
            <w:hideMark/>
          </w:tcPr>
          <w:p w:rsidR="007B187C" w:rsidRDefault="007B187C" w:rsidP="007B187C">
            <w:pPr>
              <w:jc w:val="center"/>
              <w:rPr>
                <w:rFonts w:cs="Calibri"/>
                <w:color w:val="000000"/>
                <w:sz w:val="20"/>
                <w:szCs w:val="20"/>
              </w:rPr>
            </w:pPr>
            <w:r>
              <w:rPr>
                <w:rFonts w:cs="Calibri"/>
                <w:color w:val="000000"/>
                <w:sz w:val="20"/>
                <w:szCs w:val="20"/>
              </w:rPr>
              <w:t>162</w:t>
            </w:r>
          </w:p>
        </w:tc>
      </w:tr>
    </w:tbl>
    <w:p w:rsidR="007B187C" w:rsidRDefault="007B187C" w:rsidP="007B187C">
      <w:pPr>
        <w:spacing w:before="240"/>
        <w:jc w:val="both"/>
        <w:rPr>
          <w:b/>
          <w:bCs/>
        </w:rPr>
      </w:pPr>
    </w:p>
    <w:p w:rsidR="003928B8" w:rsidRDefault="003928B8" w:rsidP="007B187C">
      <w:pPr>
        <w:spacing w:before="240"/>
        <w:jc w:val="both"/>
        <w:rPr>
          <w:b/>
          <w:bCs/>
        </w:rPr>
      </w:pPr>
    </w:p>
    <w:p w:rsidR="003928B8" w:rsidRPr="002E513C" w:rsidRDefault="003928B8" w:rsidP="007B187C">
      <w:pPr>
        <w:spacing w:before="240"/>
        <w:jc w:val="both"/>
        <w:rPr>
          <w:b/>
          <w:bCs/>
        </w:rPr>
      </w:pPr>
    </w:p>
    <w:p w:rsidR="007B187C" w:rsidRPr="003928B8" w:rsidRDefault="00982A49" w:rsidP="003928B8">
      <w:pPr>
        <w:spacing w:after="200" w:line="276" w:lineRule="auto"/>
        <w:jc w:val="both"/>
        <w:rPr>
          <w:b/>
          <w:bCs/>
        </w:rPr>
      </w:pPr>
      <w:r>
        <w:rPr>
          <w:b/>
          <w:bCs/>
          <w:noProof/>
        </w:rPr>
        <w:lastRenderedPageBreak/>
        <w:drawing>
          <wp:inline distT="0" distB="0" distL="0" distR="0">
            <wp:extent cx="5927271" cy="3184072"/>
            <wp:effectExtent l="0" t="0" r="0" b="0"/>
            <wp:docPr id="7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37250" cy="3189433"/>
                    </a:xfrm>
                    <a:prstGeom prst="rect">
                      <a:avLst/>
                    </a:prstGeom>
                    <a:noFill/>
                    <a:ln>
                      <a:noFill/>
                    </a:ln>
                  </pic:spPr>
                </pic:pic>
              </a:graphicData>
            </a:graphic>
          </wp:inline>
        </w:drawing>
      </w:r>
    </w:p>
    <w:tbl>
      <w:tblPr>
        <w:tblW w:w="6878" w:type="dxa"/>
        <w:tblInd w:w="108" w:type="dxa"/>
        <w:tblLook w:val="04A0" w:firstRow="1" w:lastRow="0" w:firstColumn="1" w:lastColumn="0" w:noHBand="0" w:noVBand="1"/>
      </w:tblPr>
      <w:tblGrid>
        <w:gridCol w:w="2040"/>
        <w:gridCol w:w="1219"/>
        <w:gridCol w:w="1149"/>
        <w:gridCol w:w="1475"/>
        <w:gridCol w:w="995"/>
      </w:tblGrid>
      <w:tr w:rsidR="007B187C" w:rsidRPr="00AD5BD8" w:rsidTr="007B187C">
        <w:trPr>
          <w:trHeight w:val="300"/>
        </w:trPr>
        <w:tc>
          <w:tcPr>
            <w:tcW w:w="2040" w:type="dxa"/>
            <w:tcBorders>
              <w:top w:val="nil"/>
              <w:left w:val="nil"/>
              <w:bottom w:val="nil"/>
              <w:right w:val="nil"/>
            </w:tcBorders>
            <w:shd w:val="clear" w:color="auto" w:fill="auto"/>
            <w:noWrap/>
            <w:vAlign w:val="bottom"/>
            <w:hideMark/>
          </w:tcPr>
          <w:p w:rsidR="007B187C" w:rsidRPr="00AD5BD8" w:rsidRDefault="007B187C" w:rsidP="007B187C">
            <w:pPr>
              <w:spacing w:before="240"/>
              <w:jc w:val="both"/>
              <w:rPr>
                <w:rFonts w:cs="Calibri"/>
                <w:color w:val="000000"/>
                <w:sz w:val="22"/>
                <w:szCs w:val="22"/>
              </w:rPr>
            </w:pPr>
          </w:p>
        </w:tc>
        <w:tc>
          <w:tcPr>
            <w:tcW w:w="2368" w:type="dxa"/>
            <w:gridSpan w:val="2"/>
            <w:tcBorders>
              <w:top w:val="nil"/>
              <w:left w:val="nil"/>
              <w:bottom w:val="nil"/>
              <w:right w:val="nil"/>
            </w:tcBorders>
            <w:shd w:val="clear" w:color="auto" w:fill="auto"/>
            <w:noWrap/>
            <w:vAlign w:val="bottom"/>
            <w:hideMark/>
          </w:tcPr>
          <w:p w:rsidR="007B187C" w:rsidRPr="00AD5BD8" w:rsidRDefault="007B187C" w:rsidP="007B187C">
            <w:pPr>
              <w:rPr>
                <w:rFonts w:cs="Calibri"/>
                <w:color w:val="000000"/>
                <w:sz w:val="20"/>
                <w:szCs w:val="20"/>
              </w:rPr>
            </w:pPr>
            <w:r>
              <w:rPr>
                <w:rFonts w:cs="Calibri"/>
                <w:color w:val="000000"/>
                <w:sz w:val="20"/>
                <w:szCs w:val="20"/>
              </w:rPr>
              <w:t>Москва</w:t>
            </w:r>
            <w:r w:rsidRPr="00AD5BD8">
              <w:rPr>
                <w:rFonts w:cs="Calibri"/>
                <w:color w:val="000000"/>
                <w:sz w:val="20"/>
                <w:szCs w:val="20"/>
              </w:rPr>
              <w:t xml:space="preserve"> с </w:t>
            </w:r>
            <w:r>
              <w:rPr>
                <w:rFonts w:cs="Calibri"/>
                <w:color w:val="000000"/>
                <w:sz w:val="20"/>
                <w:szCs w:val="20"/>
              </w:rPr>
              <w:t xml:space="preserve">филиалами    </w:t>
            </w:r>
          </w:p>
        </w:tc>
        <w:tc>
          <w:tcPr>
            <w:tcW w:w="1475" w:type="dxa"/>
            <w:tcBorders>
              <w:top w:val="nil"/>
              <w:left w:val="nil"/>
              <w:bottom w:val="nil"/>
              <w:right w:val="nil"/>
            </w:tcBorders>
            <w:shd w:val="clear" w:color="auto" w:fill="auto"/>
            <w:noWrap/>
            <w:vAlign w:val="bottom"/>
            <w:hideMark/>
          </w:tcPr>
          <w:p w:rsidR="007B187C" w:rsidRPr="00AD5BD8" w:rsidRDefault="007B187C" w:rsidP="007B187C">
            <w:pPr>
              <w:rPr>
                <w:rFonts w:cs="Calibri"/>
                <w:color w:val="000000"/>
                <w:sz w:val="22"/>
                <w:szCs w:val="22"/>
              </w:rPr>
            </w:pPr>
          </w:p>
        </w:tc>
        <w:tc>
          <w:tcPr>
            <w:tcW w:w="995" w:type="dxa"/>
            <w:tcBorders>
              <w:top w:val="nil"/>
              <w:left w:val="nil"/>
              <w:bottom w:val="nil"/>
              <w:right w:val="nil"/>
            </w:tcBorders>
            <w:shd w:val="clear" w:color="auto" w:fill="auto"/>
            <w:noWrap/>
            <w:vAlign w:val="bottom"/>
            <w:hideMark/>
          </w:tcPr>
          <w:p w:rsidR="007B187C" w:rsidRPr="00AD5BD8" w:rsidRDefault="007B187C" w:rsidP="007B187C">
            <w:pPr>
              <w:rPr>
                <w:rFonts w:cs="Calibri"/>
                <w:color w:val="000000"/>
                <w:sz w:val="22"/>
                <w:szCs w:val="22"/>
              </w:rPr>
            </w:pPr>
          </w:p>
        </w:tc>
      </w:tr>
      <w:tr w:rsidR="007B187C" w:rsidRPr="00AD5BD8" w:rsidTr="007B187C">
        <w:trPr>
          <w:trHeight w:val="300"/>
        </w:trPr>
        <w:tc>
          <w:tcPr>
            <w:tcW w:w="2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B187C" w:rsidRPr="00AD5BD8" w:rsidRDefault="007B187C" w:rsidP="007B187C">
            <w:pPr>
              <w:jc w:val="center"/>
              <w:rPr>
                <w:rFonts w:cs="Calibri"/>
                <w:color w:val="000000"/>
                <w:sz w:val="20"/>
                <w:szCs w:val="20"/>
              </w:rPr>
            </w:pPr>
            <w:r w:rsidRPr="00AD5BD8">
              <w:rPr>
                <w:rFonts w:cs="Calibri"/>
                <w:color w:val="000000"/>
                <w:sz w:val="20"/>
                <w:szCs w:val="20"/>
              </w:rPr>
              <w:t>Кол-во</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7B187C" w:rsidRPr="00AD5BD8" w:rsidRDefault="007B187C" w:rsidP="007B187C">
            <w:pPr>
              <w:jc w:val="center"/>
              <w:rPr>
                <w:rFonts w:cs="Calibri"/>
                <w:color w:val="000000"/>
                <w:sz w:val="20"/>
                <w:szCs w:val="20"/>
              </w:rPr>
            </w:pPr>
            <w:r w:rsidRPr="00AD5BD8">
              <w:rPr>
                <w:rFonts w:cs="Calibri"/>
                <w:color w:val="000000"/>
                <w:sz w:val="20"/>
                <w:szCs w:val="20"/>
              </w:rPr>
              <w:t>Факультеты</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rsidR="007B187C" w:rsidRPr="00AD5BD8" w:rsidRDefault="007B187C" w:rsidP="007B187C">
            <w:pPr>
              <w:jc w:val="center"/>
              <w:rPr>
                <w:rFonts w:cs="Calibri"/>
                <w:color w:val="000000"/>
                <w:sz w:val="20"/>
                <w:szCs w:val="20"/>
              </w:rPr>
            </w:pPr>
            <w:r w:rsidRPr="00AD5BD8">
              <w:rPr>
                <w:rFonts w:cs="Calibri"/>
                <w:color w:val="000000"/>
                <w:sz w:val="20"/>
                <w:szCs w:val="20"/>
              </w:rPr>
              <w:t>Отделения</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7B187C" w:rsidRPr="00AD5BD8" w:rsidRDefault="007B187C" w:rsidP="007B187C">
            <w:pPr>
              <w:jc w:val="center"/>
              <w:rPr>
                <w:rFonts w:cs="Calibri"/>
                <w:color w:val="000000"/>
                <w:sz w:val="20"/>
                <w:szCs w:val="20"/>
              </w:rPr>
            </w:pPr>
            <w:r w:rsidRPr="00AD5BD8">
              <w:rPr>
                <w:rFonts w:cs="Calibri"/>
                <w:color w:val="000000"/>
                <w:sz w:val="20"/>
                <w:szCs w:val="20"/>
              </w:rPr>
              <w:t>Департаменты</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7B187C" w:rsidRPr="00AD5BD8" w:rsidRDefault="007B187C" w:rsidP="007B187C">
            <w:pPr>
              <w:jc w:val="center"/>
              <w:rPr>
                <w:rFonts w:cs="Calibri"/>
                <w:color w:val="000000"/>
                <w:sz w:val="20"/>
                <w:szCs w:val="20"/>
              </w:rPr>
            </w:pPr>
            <w:r w:rsidRPr="00AD5BD8">
              <w:rPr>
                <w:rFonts w:cs="Calibri"/>
                <w:color w:val="000000"/>
                <w:sz w:val="20"/>
                <w:szCs w:val="20"/>
              </w:rPr>
              <w:t>Кафедры</w:t>
            </w:r>
          </w:p>
        </w:tc>
      </w:tr>
      <w:tr w:rsidR="007B187C" w:rsidRPr="00AD5BD8" w:rsidTr="007B187C">
        <w:trPr>
          <w:trHeight w:val="300"/>
        </w:trPr>
        <w:tc>
          <w:tcPr>
            <w:tcW w:w="2040" w:type="dxa"/>
            <w:tcBorders>
              <w:top w:val="nil"/>
              <w:left w:val="single" w:sz="4" w:space="0" w:color="auto"/>
              <w:bottom w:val="single" w:sz="4" w:space="0" w:color="auto"/>
              <w:right w:val="single" w:sz="4" w:space="0" w:color="auto"/>
            </w:tcBorders>
            <w:shd w:val="clear" w:color="000000" w:fill="FFFFFF"/>
            <w:vAlign w:val="center"/>
            <w:hideMark/>
          </w:tcPr>
          <w:p w:rsidR="007B187C" w:rsidRPr="00AD5BD8" w:rsidRDefault="007B187C" w:rsidP="007B187C">
            <w:pPr>
              <w:jc w:val="center"/>
              <w:rPr>
                <w:rFonts w:cs="Calibri"/>
                <w:color w:val="000000"/>
                <w:sz w:val="20"/>
                <w:szCs w:val="20"/>
              </w:rPr>
            </w:pPr>
            <w:r w:rsidRPr="00AD5BD8">
              <w:rPr>
                <w:rFonts w:cs="Calibri"/>
                <w:color w:val="000000"/>
                <w:sz w:val="20"/>
                <w:szCs w:val="20"/>
              </w:rPr>
              <w:t>2010-11</w:t>
            </w:r>
          </w:p>
        </w:tc>
        <w:tc>
          <w:tcPr>
            <w:tcW w:w="1219" w:type="dxa"/>
            <w:tcBorders>
              <w:top w:val="nil"/>
              <w:left w:val="nil"/>
              <w:bottom w:val="single" w:sz="4" w:space="0" w:color="auto"/>
              <w:right w:val="single" w:sz="4" w:space="0" w:color="auto"/>
            </w:tcBorders>
            <w:shd w:val="clear" w:color="000000" w:fill="FFFFFF"/>
            <w:vAlign w:val="center"/>
            <w:hideMark/>
          </w:tcPr>
          <w:p w:rsidR="007B187C" w:rsidRPr="00AD5BD8" w:rsidRDefault="007B187C" w:rsidP="007B187C">
            <w:pPr>
              <w:jc w:val="center"/>
              <w:rPr>
                <w:rFonts w:cs="Calibri"/>
                <w:color w:val="000000"/>
                <w:sz w:val="20"/>
                <w:szCs w:val="20"/>
              </w:rPr>
            </w:pPr>
            <w:r w:rsidRPr="00AD5BD8">
              <w:rPr>
                <w:rFonts w:cs="Calibri"/>
                <w:color w:val="000000"/>
                <w:sz w:val="20"/>
                <w:szCs w:val="20"/>
              </w:rPr>
              <w:t>29</w:t>
            </w:r>
          </w:p>
        </w:tc>
        <w:tc>
          <w:tcPr>
            <w:tcW w:w="1149" w:type="dxa"/>
            <w:tcBorders>
              <w:top w:val="nil"/>
              <w:left w:val="nil"/>
              <w:bottom w:val="single" w:sz="4" w:space="0" w:color="auto"/>
              <w:right w:val="single" w:sz="4" w:space="0" w:color="auto"/>
            </w:tcBorders>
            <w:shd w:val="clear" w:color="000000" w:fill="FFFFFF"/>
            <w:vAlign w:val="center"/>
            <w:hideMark/>
          </w:tcPr>
          <w:p w:rsidR="007B187C" w:rsidRPr="00AD5BD8" w:rsidRDefault="007B187C" w:rsidP="007B187C">
            <w:pPr>
              <w:jc w:val="center"/>
              <w:rPr>
                <w:rFonts w:cs="Calibri"/>
                <w:color w:val="000000"/>
                <w:sz w:val="20"/>
                <w:szCs w:val="20"/>
              </w:rPr>
            </w:pPr>
            <w:r w:rsidRPr="00AD5BD8">
              <w:rPr>
                <w:rFonts w:cs="Calibri"/>
                <w:color w:val="000000"/>
                <w:sz w:val="20"/>
                <w:szCs w:val="20"/>
              </w:rPr>
              <w:t>10</w:t>
            </w:r>
          </w:p>
        </w:tc>
        <w:tc>
          <w:tcPr>
            <w:tcW w:w="1475" w:type="dxa"/>
            <w:tcBorders>
              <w:top w:val="nil"/>
              <w:left w:val="nil"/>
              <w:bottom w:val="single" w:sz="4" w:space="0" w:color="auto"/>
              <w:right w:val="single" w:sz="4" w:space="0" w:color="auto"/>
            </w:tcBorders>
            <w:shd w:val="clear" w:color="000000" w:fill="FFFFFF"/>
            <w:vAlign w:val="center"/>
            <w:hideMark/>
          </w:tcPr>
          <w:p w:rsidR="007B187C" w:rsidRPr="00AD5BD8" w:rsidRDefault="007B187C" w:rsidP="007B187C">
            <w:pPr>
              <w:jc w:val="center"/>
              <w:rPr>
                <w:rFonts w:cs="Calibri"/>
                <w:color w:val="000000"/>
                <w:sz w:val="20"/>
                <w:szCs w:val="20"/>
              </w:rPr>
            </w:pPr>
            <w:r w:rsidRPr="00AD5BD8">
              <w:rPr>
                <w:rFonts w:cs="Calibri"/>
                <w:color w:val="000000"/>
                <w:sz w:val="20"/>
                <w:szCs w:val="20"/>
              </w:rPr>
              <w:t>0</w:t>
            </w:r>
          </w:p>
        </w:tc>
        <w:tc>
          <w:tcPr>
            <w:tcW w:w="995" w:type="dxa"/>
            <w:tcBorders>
              <w:top w:val="nil"/>
              <w:left w:val="nil"/>
              <w:bottom w:val="single" w:sz="4" w:space="0" w:color="auto"/>
              <w:right w:val="single" w:sz="4" w:space="0" w:color="auto"/>
            </w:tcBorders>
            <w:shd w:val="clear" w:color="000000" w:fill="FFFFFF"/>
            <w:vAlign w:val="center"/>
            <w:hideMark/>
          </w:tcPr>
          <w:p w:rsidR="007B187C" w:rsidRPr="00AD5BD8" w:rsidRDefault="007B187C" w:rsidP="007B187C">
            <w:pPr>
              <w:jc w:val="center"/>
              <w:rPr>
                <w:rFonts w:cs="Calibri"/>
                <w:color w:val="000000"/>
                <w:sz w:val="20"/>
                <w:szCs w:val="20"/>
              </w:rPr>
            </w:pPr>
            <w:r w:rsidRPr="00AD5BD8">
              <w:rPr>
                <w:rFonts w:cs="Calibri"/>
                <w:color w:val="000000"/>
                <w:sz w:val="20"/>
                <w:szCs w:val="20"/>
              </w:rPr>
              <w:t>193</w:t>
            </w:r>
          </w:p>
        </w:tc>
      </w:tr>
      <w:tr w:rsidR="007B187C" w:rsidRPr="00AD5BD8" w:rsidTr="007B187C">
        <w:trPr>
          <w:trHeight w:val="300"/>
        </w:trPr>
        <w:tc>
          <w:tcPr>
            <w:tcW w:w="2040" w:type="dxa"/>
            <w:tcBorders>
              <w:top w:val="nil"/>
              <w:left w:val="single" w:sz="4" w:space="0" w:color="auto"/>
              <w:bottom w:val="single" w:sz="4" w:space="0" w:color="auto"/>
              <w:right w:val="single" w:sz="4" w:space="0" w:color="auto"/>
            </w:tcBorders>
            <w:shd w:val="clear" w:color="000000" w:fill="FFFFFF"/>
            <w:vAlign w:val="center"/>
            <w:hideMark/>
          </w:tcPr>
          <w:p w:rsidR="007B187C" w:rsidRPr="00AD5BD8" w:rsidRDefault="007B187C" w:rsidP="007B187C">
            <w:pPr>
              <w:jc w:val="center"/>
              <w:rPr>
                <w:rFonts w:cs="Calibri"/>
                <w:color w:val="000000"/>
                <w:sz w:val="20"/>
                <w:szCs w:val="20"/>
              </w:rPr>
            </w:pPr>
            <w:r w:rsidRPr="00AD5BD8">
              <w:rPr>
                <w:rFonts w:cs="Calibri"/>
                <w:color w:val="000000"/>
                <w:sz w:val="20"/>
                <w:szCs w:val="20"/>
              </w:rPr>
              <w:t>2011-12</w:t>
            </w:r>
          </w:p>
        </w:tc>
        <w:tc>
          <w:tcPr>
            <w:tcW w:w="1219" w:type="dxa"/>
            <w:tcBorders>
              <w:top w:val="nil"/>
              <w:left w:val="nil"/>
              <w:bottom w:val="single" w:sz="4" w:space="0" w:color="auto"/>
              <w:right w:val="single" w:sz="4" w:space="0" w:color="auto"/>
            </w:tcBorders>
            <w:shd w:val="clear" w:color="000000" w:fill="FFFFFF"/>
            <w:vAlign w:val="center"/>
            <w:hideMark/>
          </w:tcPr>
          <w:p w:rsidR="007B187C" w:rsidRPr="00AD5BD8" w:rsidRDefault="007B187C" w:rsidP="007B187C">
            <w:pPr>
              <w:jc w:val="center"/>
              <w:rPr>
                <w:rFonts w:cs="Calibri"/>
                <w:color w:val="000000"/>
                <w:sz w:val="20"/>
                <w:szCs w:val="20"/>
              </w:rPr>
            </w:pPr>
            <w:r w:rsidRPr="00AD5BD8">
              <w:rPr>
                <w:rFonts w:cs="Calibri"/>
                <w:color w:val="000000"/>
                <w:sz w:val="20"/>
                <w:szCs w:val="20"/>
              </w:rPr>
              <w:t>31</w:t>
            </w:r>
          </w:p>
        </w:tc>
        <w:tc>
          <w:tcPr>
            <w:tcW w:w="1149" w:type="dxa"/>
            <w:tcBorders>
              <w:top w:val="nil"/>
              <w:left w:val="nil"/>
              <w:bottom w:val="single" w:sz="4" w:space="0" w:color="auto"/>
              <w:right w:val="single" w:sz="4" w:space="0" w:color="auto"/>
            </w:tcBorders>
            <w:shd w:val="clear" w:color="000000" w:fill="FFFFFF"/>
            <w:vAlign w:val="center"/>
            <w:hideMark/>
          </w:tcPr>
          <w:p w:rsidR="007B187C" w:rsidRPr="00AD5BD8" w:rsidRDefault="007B187C" w:rsidP="007B187C">
            <w:pPr>
              <w:jc w:val="center"/>
              <w:rPr>
                <w:rFonts w:cs="Calibri"/>
                <w:color w:val="000000"/>
                <w:sz w:val="20"/>
                <w:szCs w:val="20"/>
              </w:rPr>
            </w:pPr>
            <w:r w:rsidRPr="00AD5BD8">
              <w:rPr>
                <w:rFonts w:cs="Calibri"/>
                <w:color w:val="000000"/>
                <w:sz w:val="20"/>
                <w:szCs w:val="20"/>
              </w:rPr>
              <w:t>7</w:t>
            </w:r>
          </w:p>
        </w:tc>
        <w:tc>
          <w:tcPr>
            <w:tcW w:w="1475" w:type="dxa"/>
            <w:tcBorders>
              <w:top w:val="nil"/>
              <w:left w:val="nil"/>
              <w:bottom w:val="single" w:sz="4" w:space="0" w:color="auto"/>
              <w:right w:val="single" w:sz="4" w:space="0" w:color="auto"/>
            </w:tcBorders>
            <w:shd w:val="clear" w:color="000000" w:fill="FFFFFF"/>
            <w:vAlign w:val="center"/>
            <w:hideMark/>
          </w:tcPr>
          <w:p w:rsidR="007B187C" w:rsidRPr="00AD5BD8" w:rsidRDefault="007B187C" w:rsidP="007B187C">
            <w:pPr>
              <w:jc w:val="center"/>
              <w:rPr>
                <w:rFonts w:cs="Calibri"/>
                <w:color w:val="000000"/>
                <w:sz w:val="20"/>
                <w:szCs w:val="20"/>
              </w:rPr>
            </w:pPr>
            <w:r w:rsidRPr="00AD5BD8">
              <w:rPr>
                <w:rFonts w:cs="Calibri"/>
                <w:color w:val="000000"/>
                <w:sz w:val="20"/>
                <w:szCs w:val="20"/>
              </w:rPr>
              <w:t>10</w:t>
            </w:r>
          </w:p>
        </w:tc>
        <w:tc>
          <w:tcPr>
            <w:tcW w:w="995" w:type="dxa"/>
            <w:tcBorders>
              <w:top w:val="nil"/>
              <w:left w:val="nil"/>
              <w:bottom w:val="single" w:sz="4" w:space="0" w:color="auto"/>
              <w:right w:val="single" w:sz="4" w:space="0" w:color="auto"/>
            </w:tcBorders>
            <w:shd w:val="clear" w:color="000000" w:fill="FFFFFF"/>
            <w:vAlign w:val="center"/>
            <w:hideMark/>
          </w:tcPr>
          <w:p w:rsidR="007B187C" w:rsidRPr="00AD5BD8" w:rsidRDefault="007B187C" w:rsidP="007B187C">
            <w:pPr>
              <w:jc w:val="center"/>
              <w:rPr>
                <w:rFonts w:cs="Calibri"/>
                <w:color w:val="000000"/>
                <w:sz w:val="20"/>
                <w:szCs w:val="20"/>
              </w:rPr>
            </w:pPr>
            <w:r w:rsidRPr="00AD5BD8">
              <w:rPr>
                <w:rFonts w:cs="Calibri"/>
                <w:color w:val="000000"/>
                <w:sz w:val="20"/>
                <w:szCs w:val="20"/>
              </w:rPr>
              <w:t>197</w:t>
            </w:r>
          </w:p>
        </w:tc>
      </w:tr>
      <w:tr w:rsidR="007B187C" w:rsidRPr="00AD5BD8" w:rsidTr="007B187C">
        <w:trPr>
          <w:trHeight w:val="300"/>
        </w:trPr>
        <w:tc>
          <w:tcPr>
            <w:tcW w:w="2040" w:type="dxa"/>
            <w:tcBorders>
              <w:top w:val="nil"/>
              <w:left w:val="single" w:sz="4" w:space="0" w:color="auto"/>
              <w:bottom w:val="single" w:sz="4" w:space="0" w:color="auto"/>
              <w:right w:val="single" w:sz="4" w:space="0" w:color="auto"/>
            </w:tcBorders>
            <w:shd w:val="clear" w:color="000000" w:fill="FFFFFF"/>
            <w:vAlign w:val="center"/>
            <w:hideMark/>
          </w:tcPr>
          <w:p w:rsidR="007B187C" w:rsidRPr="00AD5BD8" w:rsidRDefault="007B187C" w:rsidP="007B187C">
            <w:pPr>
              <w:jc w:val="center"/>
              <w:rPr>
                <w:rFonts w:cs="Calibri"/>
                <w:color w:val="000000"/>
                <w:sz w:val="20"/>
                <w:szCs w:val="20"/>
              </w:rPr>
            </w:pPr>
            <w:r w:rsidRPr="00AD5BD8">
              <w:rPr>
                <w:rFonts w:cs="Calibri"/>
                <w:color w:val="000000"/>
                <w:sz w:val="20"/>
                <w:szCs w:val="20"/>
              </w:rPr>
              <w:t>2012-13</w:t>
            </w:r>
          </w:p>
        </w:tc>
        <w:tc>
          <w:tcPr>
            <w:tcW w:w="1219" w:type="dxa"/>
            <w:tcBorders>
              <w:top w:val="nil"/>
              <w:left w:val="nil"/>
              <w:bottom w:val="single" w:sz="4" w:space="0" w:color="auto"/>
              <w:right w:val="single" w:sz="4" w:space="0" w:color="auto"/>
            </w:tcBorders>
            <w:shd w:val="clear" w:color="000000" w:fill="FFFFFF"/>
            <w:vAlign w:val="center"/>
            <w:hideMark/>
          </w:tcPr>
          <w:p w:rsidR="007B187C" w:rsidRDefault="007B187C" w:rsidP="007B187C">
            <w:pPr>
              <w:jc w:val="center"/>
              <w:rPr>
                <w:rFonts w:cs="Calibri"/>
                <w:color w:val="000000"/>
                <w:sz w:val="20"/>
                <w:szCs w:val="20"/>
              </w:rPr>
            </w:pPr>
            <w:r>
              <w:rPr>
                <w:rFonts w:cs="Calibri"/>
                <w:color w:val="000000"/>
                <w:sz w:val="20"/>
                <w:szCs w:val="20"/>
              </w:rPr>
              <w:t>37</w:t>
            </w:r>
          </w:p>
        </w:tc>
        <w:tc>
          <w:tcPr>
            <w:tcW w:w="1149" w:type="dxa"/>
            <w:tcBorders>
              <w:top w:val="nil"/>
              <w:left w:val="nil"/>
              <w:bottom w:val="single" w:sz="4" w:space="0" w:color="auto"/>
              <w:right w:val="single" w:sz="4" w:space="0" w:color="auto"/>
            </w:tcBorders>
            <w:shd w:val="clear" w:color="000000" w:fill="FFFFFF"/>
            <w:vAlign w:val="center"/>
            <w:hideMark/>
          </w:tcPr>
          <w:p w:rsidR="007B187C" w:rsidRDefault="007B187C" w:rsidP="007B187C">
            <w:pPr>
              <w:jc w:val="center"/>
              <w:rPr>
                <w:rFonts w:cs="Calibri"/>
                <w:color w:val="000000"/>
                <w:sz w:val="20"/>
                <w:szCs w:val="20"/>
              </w:rPr>
            </w:pPr>
            <w:r>
              <w:rPr>
                <w:rFonts w:cs="Calibri"/>
                <w:color w:val="000000"/>
                <w:sz w:val="20"/>
                <w:szCs w:val="20"/>
              </w:rPr>
              <w:t>6</w:t>
            </w:r>
          </w:p>
        </w:tc>
        <w:tc>
          <w:tcPr>
            <w:tcW w:w="1475" w:type="dxa"/>
            <w:tcBorders>
              <w:top w:val="nil"/>
              <w:left w:val="nil"/>
              <w:bottom w:val="single" w:sz="4" w:space="0" w:color="auto"/>
              <w:right w:val="single" w:sz="4" w:space="0" w:color="auto"/>
            </w:tcBorders>
            <w:shd w:val="clear" w:color="000000" w:fill="FFFFFF"/>
            <w:vAlign w:val="center"/>
            <w:hideMark/>
          </w:tcPr>
          <w:p w:rsidR="007B187C" w:rsidRDefault="007B187C" w:rsidP="007B187C">
            <w:pPr>
              <w:jc w:val="center"/>
              <w:rPr>
                <w:rFonts w:cs="Calibri"/>
                <w:color w:val="000000"/>
                <w:sz w:val="20"/>
                <w:szCs w:val="20"/>
              </w:rPr>
            </w:pPr>
            <w:r>
              <w:rPr>
                <w:rFonts w:cs="Calibri"/>
                <w:color w:val="000000"/>
                <w:sz w:val="20"/>
                <w:szCs w:val="20"/>
              </w:rPr>
              <w:t>10</w:t>
            </w:r>
          </w:p>
        </w:tc>
        <w:tc>
          <w:tcPr>
            <w:tcW w:w="995" w:type="dxa"/>
            <w:tcBorders>
              <w:top w:val="nil"/>
              <w:left w:val="nil"/>
              <w:bottom w:val="single" w:sz="4" w:space="0" w:color="auto"/>
              <w:right w:val="single" w:sz="4" w:space="0" w:color="auto"/>
            </w:tcBorders>
            <w:shd w:val="clear" w:color="000000" w:fill="FFFFFF"/>
            <w:vAlign w:val="center"/>
            <w:hideMark/>
          </w:tcPr>
          <w:p w:rsidR="007B187C" w:rsidRDefault="007B187C" w:rsidP="007B187C">
            <w:pPr>
              <w:jc w:val="center"/>
              <w:rPr>
                <w:rFonts w:cs="Calibri"/>
                <w:color w:val="000000"/>
                <w:sz w:val="20"/>
                <w:szCs w:val="20"/>
              </w:rPr>
            </w:pPr>
            <w:r>
              <w:rPr>
                <w:rFonts w:cs="Calibri"/>
                <w:color w:val="000000"/>
                <w:sz w:val="20"/>
                <w:szCs w:val="20"/>
              </w:rPr>
              <w:t>223</w:t>
            </w:r>
          </w:p>
        </w:tc>
      </w:tr>
    </w:tbl>
    <w:p w:rsidR="007B187C" w:rsidRDefault="00982A49" w:rsidP="007B187C">
      <w:pPr>
        <w:rPr>
          <w:b/>
          <w:noProof/>
        </w:rPr>
      </w:pPr>
      <w:r>
        <w:rPr>
          <w:b/>
          <w:noProof/>
        </w:rPr>
        <w:drawing>
          <wp:inline distT="0" distB="0" distL="0" distR="0">
            <wp:extent cx="4933559" cy="2612571"/>
            <wp:effectExtent l="0" t="0" r="0" b="0"/>
            <wp:docPr id="7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948601" cy="2620537"/>
                    </a:xfrm>
                    <a:prstGeom prst="rect">
                      <a:avLst/>
                    </a:prstGeom>
                    <a:noFill/>
                    <a:ln>
                      <a:noFill/>
                    </a:ln>
                  </pic:spPr>
                </pic:pic>
              </a:graphicData>
            </a:graphic>
          </wp:inline>
        </w:drawing>
      </w:r>
    </w:p>
    <w:p w:rsidR="007B187C" w:rsidRDefault="007B187C" w:rsidP="007B187C">
      <w:pPr>
        <w:rPr>
          <w:b/>
          <w:noProof/>
        </w:rPr>
      </w:pPr>
    </w:p>
    <w:p w:rsidR="007B187C" w:rsidRPr="003928B8" w:rsidRDefault="007B187C" w:rsidP="003928B8">
      <w:pPr>
        <w:spacing w:after="200" w:line="276" w:lineRule="auto"/>
        <w:jc w:val="both"/>
      </w:pPr>
      <w:r w:rsidRPr="004F4F46">
        <w:t>На диаграммах далее продемонстрировано соотнош</w:t>
      </w:r>
      <w:r>
        <w:t>ение (в</w:t>
      </w:r>
      <w:r w:rsidRPr="004F4F46">
        <w:t xml:space="preserve">%) факультетских, базовых и общеуниверситетских кафедр от общего количества в </w:t>
      </w:r>
      <w:r w:rsidRPr="00C342C5">
        <w:t>2012-2013</w:t>
      </w:r>
      <w:r w:rsidRPr="004F4F46">
        <w:rPr>
          <w:color w:val="FF0000"/>
        </w:rPr>
        <w:t xml:space="preserve"> </w:t>
      </w:r>
      <w:r w:rsidRPr="004F4F46">
        <w:t>учебном году в НИУ ВШЭ</w:t>
      </w:r>
      <w:r>
        <w:t>:</w:t>
      </w:r>
      <w:r w:rsidR="003928B8">
        <w:t xml:space="preserve"> Москва </w:t>
      </w:r>
      <w:r>
        <w:t xml:space="preserve"> и</w:t>
      </w:r>
      <w:r w:rsidR="003928B8">
        <w:t>,</w:t>
      </w:r>
      <w:r>
        <w:t xml:space="preserve"> </w:t>
      </w:r>
      <w:r w:rsidRPr="004F4F46">
        <w:t>включая филиалы</w:t>
      </w:r>
      <w:r>
        <w:t>.</w:t>
      </w:r>
    </w:p>
    <w:tbl>
      <w:tblPr>
        <w:tblW w:w="4280" w:type="dxa"/>
        <w:tblInd w:w="103" w:type="dxa"/>
        <w:tblLook w:val="04A0" w:firstRow="1" w:lastRow="0" w:firstColumn="1" w:lastColumn="0" w:noHBand="0" w:noVBand="1"/>
      </w:tblPr>
      <w:tblGrid>
        <w:gridCol w:w="2116"/>
        <w:gridCol w:w="1120"/>
        <w:gridCol w:w="1120"/>
      </w:tblGrid>
      <w:tr w:rsidR="007B187C" w:rsidRPr="004A3383" w:rsidTr="007B187C">
        <w:trPr>
          <w:trHeight w:val="240"/>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87C" w:rsidRPr="004A3383" w:rsidRDefault="007B187C" w:rsidP="007B187C">
            <w:pPr>
              <w:jc w:val="center"/>
              <w:rPr>
                <w:rFonts w:cs="Calibri"/>
                <w:b/>
                <w:bCs/>
                <w:color w:val="000000"/>
                <w:sz w:val="20"/>
                <w:szCs w:val="20"/>
              </w:rPr>
            </w:pPr>
            <w:r w:rsidRPr="004A3383">
              <w:rPr>
                <w:rFonts w:cs="Calibri"/>
                <w:b/>
                <w:bCs/>
                <w:color w:val="000000"/>
                <w:sz w:val="20"/>
                <w:szCs w:val="20"/>
              </w:rPr>
              <w:t>2012-13</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 </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Москва</w:t>
            </w:r>
          </w:p>
        </w:tc>
      </w:tr>
      <w:tr w:rsidR="007B187C" w:rsidRPr="004A3383" w:rsidTr="007B187C">
        <w:trPr>
          <w:trHeight w:val="240"/>
        </w:trPr>
        <w:tc>
          <w:tcPr>
            <w:tcW w:w="2040" w:type="dxa"/>
            <w:tcBorders>
              <w:top w:val="nil"/>
              <w:left w:val="single" w:sz="4" w:space="0" w:color="auto"/>
              <w:bottom w:val="single" w:sz="4" w:space="0" w:color="auto"/>
              <w:right w:val="single" w:sz="4" w:space="0" w:color="auto"/>
            </w:tcBorders>
            <w:shd w:val="clear" w:color="auto" w:fill="auto"/>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Всего кафедр</w:t>
            </w:r>
          </w:p>
        </w:tc>
        <w:tc>
          <w:tcPr>
            <w:tcW w:w="1120" w:type="dxa"/>
            <w:tcBorders>
              <w:top w:val="nil"/>
              <w:left w:val="nil"/>
              <w:bottom w:val="single" w:sz="4" w:space="0" w:color="auto"/>
              <w:right w:val="single" w:sz="4" w:space="0" w:color="auto"/>
            </w:tcBorders>
            <w:shd w:val="clear" w:color="auto" w:fill="auto"/>
            <w:noWrap/>
            <w:vAlign w:val="bottom"/>
            <w:hideMark/>
          </w:tcPr>
          <w:p w:rsidR="007B187C" w:rsidRPr="004A3383" w:rsidRDefault="007B187C" w:rsidP="007B187C">
            <w:pPr>
              <w:jc w:val="center"/>
              <w:rPr>
                <w:rFonts w:cs="Calibri"/>
                <w:color w:val="000000"/>
                <w:sz w:val="20"/>
                <w:szCs w:val="20"/>
              </w:rPr>
            </w:pPr>
            <w:r w:rsidRPr="004A3383">
              <w:rPr>
                <w:rFonts w:cs="Calibri"/>
                <w:color w:val="000000"/>
                <w:sz w:val="20"/>
                <w:szCs w:val="20"/>
              </w:rPr>
              <w:t>100%</w:t>
            </w:r>
          </w:p>
        </w:tc>
        <w:tc>
          <w:tcPr>
            <w:tcW w:w="1120" w:type="dxa"/>
            <w:tcBorders>
              <w:top w:val="nil"/>
              <w:left w:val="nil"/>
              <w:bottom w:val="single" w:sz="4" w:space="0" w:color="auto"/>
              <w:right w:val="single" w:sz="4" w:space="0" w:color="auto"/>
            </w:tcBorders>
            <w:shd w:val="clear" w:color="auto" w:fill="auto"/>
            <w:noWrap/>
            <w:vAlign w:val="bottom"/>
            <w:hideMark/>
          </w:tcPr>
          <w:p w:rsidR="007B187C" w:rsidRPr="004A3383" w:rsidRDefault="007B187C" w:rsidP="007B187C">
            <w:pPr>
              <w:jc w:val="center"/>
              <w:rPr>
                <w:rFonts w:cs="Calibri"/>
                <w:color w:val="000000"/>
                <w:sz w:val="20"/>
                <w:szCs w:val="20"/>
              </w:rPr>
            </w:pPr>
            <w:r w:rsidRPr="004A3383">
              <w:rPr>
                <w:rFonts w:cs="Calibri"/>
                <w:color w:val="000000"/>
                <w:sz w:val="20"/>
                <w:szCs w:val="20"/>
              </w:rPr>
              <w:t>162</w:t>
            </w:r>
          </w:p>
        </w:tc>
      </w:tr>
      <w:tr w:rsidR="007B187C" w:rsidRPr="004A3383" w:rsidTr="007B187C">
        <w:trPr>
          <w:trHeight w:val="24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7B187C" w:rsidRPr="004A3383" w:rsidRDefault="007B187C" w:rsidP="007B187C">
            <w:pPr>
              <w:jc w:val="center"/>
              <w:rPr>
                <w:rFonts w:cs="Calibri"/>
                <w:color w:val="000000"/>
                <w:sz w:val="20"/>
                <w:szCs w:val="20"/>
              </w:rPr>
            </w:pPr>
            <w:r w:rsidRPr="004A3383">
              <w:rPr>
                <w:rFonts w:cs="Calibri"/>
                <w:color w:val="000000"/>
                <w:sz w:val="20"/>
                <w:szCs w:val="20"/>
              </w:rPr>
              <w:t>факультетские</w:t>
            </w:r>
          </w:p>
        </w:tc>
        <w:tc>
          <w:tcPr>
            <w:tcW w:w="1120" w:type="dxa"/>
            <w:tcBorders>
              <w:top w:val="nil"/>
              <w:left w:val="nil"/>
              <w:bottom w:val="single" w:sz="4" w:space="0" w:color="auto"/>
              <w:right w:val="single" w:sz="4" w:space="0" w:color="auto"/>
            </w:tcBorders>
            <w:shd w:val="clear" w:color="auto" w:fill="auto"/>
            <w:noWrap/>
            <w:vAlign w:val="bottom"/>
            <w:hideMark/>
          </w:tcPr>
          <w:p w:rsidR="007B187C" w:rsidRPr="004A3383" w:rsidRDefault="007B187C" w:rsidP="007B187C">
            <w:pPr>
              <w:jc w:val="center"/>
              <w:rPr>
                <w:rFonts w:cs="Calibri"/>
                <w:color w:val="000000"/>
                <w:sz w:val="20"/>
                <w:szCs w:val="20"/>
              </w:rPr>
            </w:pPr>
            <w:r w:rsidRPr="004A3383">
              <w:rPr>
                <w:rFonts w:cs="Calibri"/>
                <w:color w:val="000000"/>
                <w:sz w:val="20"/>
                <w:szCs w:val="20"/>
              </w:rPr>
              <w:t>68,52%</w:t>
            </w:r>
          </w:p>
        </w:tc>
        <w:tc>
          <w:tcPr>
            <w:tcW w:w="1120" w:type="dxa"/>
            <w:tcBorders>
              <w:top w:val="nil"/>
              <w:left w:val="nil"/>
              <w:bottom w:val="single" w:sz="4" w:space="0" w:color="auto"/>
              <w:right w:val="single" w:sz="4" w:space="0" w:color="auto"/>
            </w:tcBorders>
            <w:shd w:val="clear" w:color="auto" w:fill="auto"/>
            <w:noWrap/>
            <w:vAlign w:val="bottom"/>
            <w:hideMark/>
          </w:tcPr>
          <w:p w:rsidR="007B187C" w:rsidRPr="004A3383" w:rsidRDefault="007B187C" w:rsidP="007B187C">
            <w:pPr>
              <w:jc w:val="center"/>
              <w:rPr>
                <w:rFonts w:cs="Calibri"/>
                <w:color w:val="000000"/>
                <w:sz w:val="20"/>
                <w:szCs w:val="20"/>
              </w:rPr>
            </w:pPr>
            <w:r w:rsidRPr="004A3383">
              <w:rPr>
                <w:rFonts w:cs="Calibri"/>
                <w:color w:val="000000"/>
                <w:sz w:val="20"/>
                <w:szCs w:val="20"/>
              </w:rPr>
              <w:t>111</w:t>
            </w:r>
          </w:p>
        </w:tc>
      </w:tr>
      <w:tr w:rsidR="007B187C" w:rsidRPr="004A3383" w:rsidTr="007B187C">
        <w:trPr>
          <w:trHeight w:val="240"/>
        </w:trPr>
        <w:tc>
          <w:tcPr>
            <w:tcW w:w="2040" w:type="dxa"/>
            <w:tcBorders>
              <w:top w:val="nil"/>
              <w:left w:val="single" w:sz="4" w:space="0" w:color="auto"/>
              <w:bottom w:val="single" w:sz="4" w:space="0" w:color="auto"/>
              <w:right w:val="single" w:sz="4" w:space="0" w:color="auto"/>
            </w:tcBorders>
            <w:shd w:val="clear" w:color="auto" w:fill="auto"/>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общеуниверситетские</w:t>
            </w:r>
          </w:p>
        </w:tc>
        <w:tc>
          <w:tcPr>
            <w:tcW w:w="1120" w:type="dxa"/>
            <w:tcBorders>
              <w:top w:val="nil"/>
              <w:left w:val="nil"/>
              <w:bottom w:val="single" w:sz="4" w:space="0" w:color="auto"/>
              <w:right w:val="single" w:sz="4" w:space="0" w:color="auto"/>
            </w:tcBorders>
            <w:shd w:val="clear" w:color="auto" w:fill="auto"/>
            <w:noWrap/>
            <w:vAlign w:val="bottom"/>
            <w:hideMark/>
          </w:tcPr>
          <w:p w:rsidR="007B187C" w:rsidRPr="004A3383" w:rsidRDefault="007B187C" w:rsidP="007B187C">
            <w:pPr>
              <w:jc w:val="center"/>
              <w:rPr>
                <w:rFonts w:cs="Calibri"/>
                <w:color w:val="000000"/>
                <w:sz w:val="20"/>
                <w:szCs w:val="20"/>
              </w:rPr>
            </w:pPr>
            <w:r w:rsidRPr="004A3383">
              <w:rPr>
                <w:rFonts w:cs="Calibri"/>
                <w:color w:val="000000"/>
                <w:sz w:val="20"/>
                <w:szCs w:val="20"/>
              </w:rPr>
              <w:t>9,88%</w:t>
            </w:r>
          </w:p>
        </w:tc>
        <w:tc>
          <w:tcPr>
            <w:tcW w:w="1120" w:type="dxa"/>
            <w:tcBorders>
              <w:top w:val="nil"/>
              <w:left w:val="nil"/>
              <w:bottom w:val="single" w:sz="4" w:space="0" w:color="auto"/>
              <w:right w:val="single" w:sz="4" w:space="0" w:color="auto"/>
            </w:tcBorders>
            <w:shd w:val="clear" w:color="auto" w:fill="auto"/>
            <w:noWrap/>
            <w:vAlign w:val="bottom"/>
            <w:hideMark/>
          </w:tcPr>
          <w:p w:rsidR="007B187C" w:rsidRPr="004A3383" w:rsidRDefault="007B187C" w:rsidP="007B187C">
            <w:pPr>
              <w:jc w:val="center"/>
              <w:rPr>
                <w:rFonts w:cs="Calibri"/>
                <w:color w:val="000000"/>
                <w:sz w:val="20"/>
                <w:szCs w:val="20"/>
              </w:rPr>
            </w:pPr>
            <w:r w:rsidRPr="004A3383">
              <w:rPr>
                <w:rFonts w:cs="Calibri"/>
                <w:color w:val="000000"/>
                <w:sz w:val="20"/>
                <w:szCs w:val="20"/>
              </w:rPr>
              <w:t>16</w:t>
            </w:r>
          </w:p>
        </w:tc>
      </w:tr>
      <w:tr w:rsidR="007B187C" w:rsidRPr="004A3383" w:rsidTr="007B187C">
        <w:trPr>
          <w:trHeight w:val="240"/>
        </w:trPr>
        <w:tc>
          <w:tcPr>
            <w:tcW w:w="2040" w:type="dxa"/>
            <w:tcBorders>
              <w:top w:val="nil"/>
              <w:left w:val="single" w:sz="4" w:space="0" w:color="auto"/>
              <w:bottom w:val="single" w:sz="4" w:space="0" w:color="auto"/>
              <w:right w:val="single" w:sz="4" w:space="0" w:color="auto"/>
            </w:tcBorders>
            <w:shd w:val="clear" w:color="auto" w:fill="auto"/>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базовые</w:t>
            </w:r>
          </w:p>
        </w:tc>
        <w:tc>
          <w:tcPr>
            <w:tcW w:w="1120" w:type="dxa"/>
            <w:tcBorders>
              <w:top w:val="nil"/>
              <w:left w:val="nil"/>
              <w:bottom w:val="single" w:sz="4" w:space="0" w:color="auto"/>
              <w:right w:val="single" w:sz="4" w:space="0" w:color="auto"/>
            </w:tcBorders>
            <w:shd w:val="clear" w:color="auto" w:fill="auto"/>
            <w:noWrap/>
            <w:vAlign w:val="bottom"/>
            <w:hideMark/>
          </w:tcPr>
          <w:p w:rsidR="007B187C" w:rsidRPr="004A3383" w:rsidRDefault="007B187C" w:rsidP="007B187C">
            <w:pPr>
              <w:jc w:val="center"/>
              <w:rPr>
                <w:rFonts w:cs="Calibri"/>
                <w:color w:val="000000"/>
                <w:sz w:val="20"/>
                <w:szCs w:val="20"/>
              </w:rPr>
            </w:pPr>
            <w:r w:rsidRPr="004A3383">
              <w:rPr>
                <w:rFonts w:cs="Calibri"/>
                <w:color w:val="000000"/>
                <w:sz w:val="20"/>
                <w:szCs w:val="20"/>
              </w:rPr>
              <w:t>21,60%</w:t>
            </w:r>
          </w:p>
        </w:tc>
        <w:tc>
          <w:tcPr>
            <w:tcW w:w="1120" w:type="dxa"/>
            <w:tcBorders>
              <w:top w:val="nil"/>
              <w:left w:val="nil"/>
              <w:bottom w:val="single" w:sz="4" w:space="0" w:color="auto"/>
              <w:right w:val="single" w:sz="4" w:space="0" w:color="auto"/>
            </w:tcBorders>
            <w:shd w:val="clear" w:color="auto" w:fill="auto"/>
            <w:noWrap/>
            <w:vAlign w:val="bottom"/>
            <w:hideMark/>
          </w:tcPr>
          <w:p w:rsidR="007B187C" w:rsidRPr="004A3383" w:rsidRDefault="007B187C" w:rsidP="007B187C">
            <w:pPr>
              <w:jc w:val="center"/>
              <w:rPr>
                <w:rFonts w:cs="Calibri"/>
                <w:color w:val="000000"/>
                <w:sz w:val="20"/>
                <w:szCs w:val="20"/>
              </w:rPr>
            </w:pPr>
            <w:r w:rsidRPr="004A3383">
              <w:rPr>
                <w:rFonts w:cs="Calibri"/>
                <w:color w:val="000000"/>
                <w:sz w:val="20"/>
                <w:szCs w:val="20"/>
              </w:rPr>
              <w:t>35</w:t>
            </w:r>
          </w:p>
        </w:tc>
      </w:tr>
    </w:tbl>
    <w:p w:rsidR="007B187C" w:rsidRPr="004A3383" w:rsidRDefault="007B187C" w:rsidP="007B187C"/>
    <w:p w:rsidR="007B187C" w:rsidRPr="003928B8" w:rsidRDefault="00982A49" w:rsidP="007B187C">
      <w:pPr>
        <w:pStyle w:val="af"/>
        <w:rPr>
          <w:rFonts w:ascii="Times New Roman" w:hAnsi="Times New Roman"/>
          <w:bCs w:val="0"/>
          <w:color w:val="auto"/>
          <w:sz w:val="24"/>
          <w:szCs w:val="24"/>
          <w:lang w:val="en-US" w:eastAsia="ru-RU"/>
        </w:rPr>
      </w:pPr>
      <w:r>
        <w:rPr>
          <w:rFonts w:ascii="Times New Roman" w:hAnsi="Times New Roman"/>
          <w:bCs w:val="0"/>
          <w:noProof/>
          <w:color w:val="auto"/>
          <w:sz w:val="24"/>
          <w:szCs w:val="24"/>
          <w:lang w:eastAsia="ru-RU"/>
        </w:rPr>
        <w:lastRenderedPageBreak/>
        <w:drawing>
          <wp:inline distT="0" distB="0" distL="0" distR="0">
            <wp:extent cx="5001887" cy="2645229"/>
            <wp:effectExtent l="0" t="0" r="0" b="0"/>
            <wp:docPr id="7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030094" cy="2660146"/>
                    </a:xfrm>
                    <a:prstGeom prst="rect">
                      <a:avLst/>
                    </a:prstGeom>
                    <a:noFill/>
                    <a:ln>
                      <a:noFill/>
                    </a:ln>
                  </pic:spPr>
                </pic:pic>
              </a:graphicData>
            </a:graphic>
          </wp:inline>
        </w:drawing>
      </w:r>
    </w:p>
    <w:tbl>
      <w:tblPr>
        <w:tblW w:w="6620" w:type="dxa"/>
        <w:tblInd w:w="103" w:type="dxa"/>
        <w:tblLook w:val="04A0" w:firstRow="1" w:lastRow="0" w:firstColumn="1" w:lastColumn="0" w:noHBand="0" w:noVBand="1"/>
      </w:tblPr>
      <w:tblGrid>
        <w:gridCol w:w="2116"/>
        <w:gridCol w:w="1104"/>
        <w:gridCol w:w="1105"/>
        <w:gridCol w:w="1339"/>
        <w:gridCol w:w="956"/>
      </w:tblGrid>
      <w:tr w:rsidR="007B187C" w:rsidRPr="004A3383" w:rsidTr="007B187C">
        <w:trPr>
          <w:trHeight w:val="240"/>
        </w:trPr>
        <w:tc>
          <w:tcPr>
            <w:tcW w:w="2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кафедры в 2012-13</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Пермь</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proofErr w:type="spellStart"/>
            <w:r w:rsidRPr="004A3383">
              <w:rPr>
                <w:rFonts w:cs="Calibri"/>
                <w:color w:val="000000"/>
                <w:sz w:val="20"/>
                <w:szCs w:val="20"/>
              </w:rPr>
              <w:t>Н.Новг</w:t>
            </w:r>
            <w:proofErr w:type="spellEnd"/>
          </w:p>
        </w:tc>
        <w:tc>
          <w:tcPr>
            <w:tcW w:w="1380" w:type="dxa"/>
            <w:tcBorders>
              <w:top w:val="single" w:sz="4" w:space="0" w:color="auto"/>
              <w:left w:val="nil"/>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С-Пб</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Москва</w:t>
            </w:r>
          </w:p>
        </w:tc>
      </w:tr>
      <w:tr w:rsidR="007B187C" w:rsidRPr="004A3383" w:rsidTr="007B187C">
        <w:trPr>
          <w:trHeight w:val="240"/>
        </w:trPr>
        <w:tc>
          <w:tcPr>
            <w:tcW w:w="2040" w:type="dxa"/>
            <w:tcBorders>
              <w:top w:val="nil"/>
              <w:left w:val="single" w:sz="4" w:space="0" w:color="auto"/>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факультетские</w:t>
            </w:r>
          </w:p>
        </w:tc>
        <w:tc>
          <w:tcPr>
            <w:tcW w:w="1120" w:type="dxa"/>
            <w:tcBorders>
              <w:top w:val="nil"/>
              <w:left w:val="nil"/>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12</w:t>
            </w:r>
          </w:p>
        </w:tc>
        <w:tc>
          <w:tcPr>
            <w:tcW w:w="1120" w:type="dxa"/>
            <w:tcBorders>
              <w:top w:val="nil"/>
              <w:left w:val="nil"/>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19</w:t>
            </w:r>
          </w:p>
        </w:tc>
        <w:tc>
          <w:tcPr>
            <w:tcW w:w="1380" w:type="dxa"/>
            <w:tcBorders>
              <w:top w:val="nil"/>
              <w:left w:val="nil"/>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16</w:t>
            </w:r>
          </w:p>
        </w:tc>
        <w:tc>
          <w:tcPr>
            <w:tcW w:w="960" w:type="dxa"/>
            <w:tcBorders>
              <w:top w:val="nil"/>
              <w:left w:val="nil"/>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111</w:t>
            </w:r>
          </w:p>
        </w:tc>
      </w:tr>
      <w:tr w:rsidR="007B187C" w:rsidRPr="004A3383" w:rsidTr="007B187C">
        <w:trPr>
          <w:trHeight w:val="240"/>
        </w:trPr>
        <w:tc>
          <w:tcPr>
            <w:tcW w:w="2040" w:type="dxa"/>
            <w:tcBorders>
              <w:top w:val="nil"/>
              <w:left w:val="single" w:sz="4" w:space="0" w:color="auto"/>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общеуниверситетские</w:t>
            </w:r>
          </w:p>
        </w:tc>
        <w:tc>
          <w:tcPr>
            <w:tcW w:w="1120" w:type="dxa"/>
            <w:tcBorders>
              <w:top w:val="nil"/>
              <w:left w:val="nil"/>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0</w:t>
            </w:r>
          </w:p>
        </w:tc>
        <w:tc>
          <w:tcPr>
            <w:tcW w:w="1120" w:type="dxa"/>
            <w:tcBorders>
              <w:top w:val="nil"/>
              <w:left w:val="nil"/>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3</w:t>
            </w:r>
          </w:p>
        </w:tc>
        <w:tc>
          <w:tcPr>
            <w:tcW w:w="1380" w:type="dxa"/>
            <w:tcBorders>
              <w:top w:val="nil"/>
              <w:left w:val="nil"/>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3</w:t>
            </w:r>
          </w:p>
        </w:tc>
        <w:tc>
          <w:tcPr>
            <w:tcW w:w="960" w:type="dxa"/>
            <w:tcBorders>
              <w:top w:val="nil"/>
              <w:left w:val="nil"/>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16</w:t>
            </w:r>
          </w:p>
        </w:tc>
      </w:tr>
      <w:tr w:rsidR="007B187C" w:rsidRPr="004A3383" w:rsidTr="007B187C">
        <w:trPr>
          <w:trHeight w:val="240"/>
        </w:trPr>
        <w:tc>
          <w:tcPr>
            <w:tcW w:w="2040" w:type="dxa"/>
            <w:tcBorders>
              <w:top w:val="nil"/>
              <w:left w:val="single" w:sz="4" w:space="0" w:color="auto"/>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базовые</w:t>
            </w:r>
          </w:p>
        </w:tc>
        <w:tc>
          <w:tcPr>
            <w:tcW w:w="1120" w:type="dxa"/>
            <w:tcBorders>
              <w:top w:val="nil"/>
              <w:left w:val="nil"/>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3</w:t>
            </w:r>
          </w:p>
        </w:tc>
        <w:tc>
          <w:tcPr>
            <w:tcW w:w="1120" w:type="dxa"/>
            <w:tcBorders>
              <w:top w:val="nil"/>
              <w:left w:val="nil"/>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3</w:t>
            </w:r>
          </w:p>
        </w:tc>
        <w:tc>
          <w:tcPr>
            <w:tcW w:w="1380" w:type="dxa"/>
            <w:tcBorders>
              <w:top w:val="nil"/>
              <w:left w:val="nil"/>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2</w:t>
            </w:r>
          </w:p>
        </w:tc>
        <w:tc>
          <w:tcPr>
            <w:tcW w:w="960" w:type="dxa"/>
            <w:tcBorders>
              <w:top w:val="nil"/>
              <w:left w:val="nil"/>
              <w:bottom w:val="single" w:sz="4" w:space="0" w:color="auto"/>
              <w:right w:val="single" w:sz="4" w:space="0" w:color="auto"/>
            </w:tcBorders>
            <w:shd w:val="clear" w:color="000000" w:fill="FFFFFF"/>
            <w:vAlign w:val="center"/>
            <w:hideMark/>
          </w:tcPr>
          <w:p w:rsidR="007B187C" w:rsidRPr="004A3383" w:rsidRDefault="007B187C" w:rsidP="007B187C">
            <w:pPr>
              <w:jc w:val="center"/>
              <w:rPr>
                <w:rFonts w:cs="Calibri"/>
                <w:color w:val="000000"/>
                <w:sz w:val="20"/>
                <w:szCs w:val="20"/>
              </w:rPr>
            </w:pPr>
            <w:r w:rsidRPr="004A3383">
              <w:rPr>
                <w:rFonts w:cs="Calibri"/>
                <w:color w:val="000000"/>
                <w:sz w:val="20"/>
                <w:szCs w:val="20"/>
              </w:rPr>
              <w:t>35</w:t>
            </w:r>
          </w:p>
        </w:tc>
      </w:tr>
    </w:tbl>
    <w:p w:rsidR="007B187C" w:rsidRDefault="007B187C" w:rsidP="007B187C">
      <w:pPr>
        <w:pStyle w:val="af"/>
        <w:rPr>
          <w:rFonts w:asciiTheme="minorHAnsi" w:hAnsiTheme="minorHAnsi" w:cstheme="minorHAnsi"/>
          <w:bCs w:val="0"/>
          <w:color w:val="auto"/>
          <w:sz w:val="24"/>
          <w:szCs w:val="24"/>
          <w:lang w:eastAsia="ru-RU"/>
        </w:rPr>
      </w:pPr>
    </w:p>
    <w:p w:rsidR="003928B8" w:rsidRDefault="00982A49" w:rsidP="003928B8">
      <w:r>
        <w:rPr>
          <w:noProof/>
        </w:rPr>
        <w:drawing>
          <wp:inline distT="0" distB="0" distL="0" distR="0">
            <wp:extent cx="4479132" cy="2873829"/>
            <wp:effectExtent l="0" t="0" r="0" b="0"/>
            <wp:docPr id="7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94513" cy="2883697"/>
                    </a:xfrm>
                    <a:prstGeom prst="rect">
                      <a:avLst/>
                    </a:prstGeom>
                    <a:noFill/>
                    <a:ln>
                      <a:noFill/>
                    </a:ln>
                  </pic:spPr>
                </pic:pic>
              </a:graphicData>
            </a:graphic>
          </wp:inline>
        </w:drawing>
      </w:r>
    </w:p>
    <w:p w:rsidR="00E70204" w:rsidRPr="00D27708" w:rsidRDefault="00E70204" w:rsidP="00E70204">
      <w:pPr>
        <w:spacing w:after="200" w:line="276" w:lineRule="auto"/>
        <w:jc w:val="both"/>
      </w:pPr>
      <w:r w:rsidRPr="00D27708">
        <w:t>Для обеспечения учебного процесса в НИУ ВШЭ по Москве на 2012/2013 учебный год было утверждено 2154 ставки профессорско-преподавательского состава, что на 547 ставок больше по сравнению с 2011/2012 учебным годом. В течение учебного года на кафедрах НИУ ВШЭ с МИЭМ работали  2705 преподавателей, которые занимали  2104 ставки, 210 преподавателей работали по договорам ГПХ.</w:t>
      </w:r>
    </w:p>
    <w:p w:rsidR="00E70204" w:rsidRPr="00D27708" w:rsidRDefault="00E70204" w:rsidP="00E70204">
      <w:pPr>
        <w:spacing w:after="200" w:line="276" w:lineRule="auto"/>
        <w:jc w:val="both"/>
      </w:pPr>
      <w:r w:rsidRPr="00D27708">
        <w:t xml:space="preserve">Общая численность работников ППС по сравнению с прошлым учебным годом возросла в Москве на 580 человек. В </w:t>
      </w:r>
      <w:r w:rsidR="001F4DB3" w:rsidRPr="00D27708">
        <w:t>таблице 8</w:t>
      </w:r>
      <w:r w:rsidRPr="00D27708">
        <w:t xml:space="preserve">.1.1 и на диаграмме </w:t>
      </w:r>
      <w:r w:rsidR="001F4DB3" w:rsidRPr="00D27708">
        <w:t>8</w:t>
      </w:r>
      <w:r w:rsidRPr="00D27708">
        <w:t>.1.1 показаны изменения численности преподавателей и количества ставок в Москве за последние 5 прошедших учебных лет. В настоящее время принято 2485 преподавателей (2010 ставок) и запланиров</w:t>
      </w:r>
      <w:r w:rsidR="001F4DB3" w:rsidRPr="00D27708">
        <w:t>ано 246 договоров ГПХ, по которым будет реализовано</w:t>
      </w:r>
      <w:r w:rsidRPr="00D27708">
        <w:t xml:space="preserve"> 2,3% от </w:t>
      </w:r>
      <w:r w:rsidR="001F4DB3" w:rsidRPr="00D27708">
        <w:t xml:space="preserve">общей </w:t>
      </w:r>
      <w:r w:rsidRPr="00D27708">
        <w:t xml:space="preserve">планируемой </w:t>
      </w:r>
      <w:r w:rsidR="001F4DB3" w:rsidRPr="00D27708">
        <w:t xml:space="preserve">учебной </w:t>
      </w:r>
      <w:r w:rsidRPr="00D27708">
        <w:t>нагрузки ППС на 2013/14 уч. год.</w:t>
      </w:r>
    </w:p>
    <w:p w:rsidR="00E70204" w:rsidRDefault="001F4DB3" w:rsidP="00E70204">
      <w:pPr>
        <w:spacing w:line="360" w:lineRule="auto"/>
        <w:jc w:val="both"/>
        <w:rPr>
          <w:b/>
        </w:rPr>
      </w:pPr>
      <w:r>
        <w:rPr>
          <w:b/>
        </w:rPr>
        <w:lastRenderedPageBreak/>
        <w:t>Таблица 8</w:t>
      </w:r>
      <w:r w:rsidR="00E70204">
        <w:rPr>
          <w:b/>
        </w:rPr>
        <w:t>.1.1</w:t>
      </w:r>
    </w:p>
    <w:tbl>
      <w:tblPr>
        <w:tblpPr w:leftFromText="180" w:rightFromText="180" w:vertAnchor="text" w:horzAnchor="page" w:tblpX="3602" w:tblpY="-74"/>
        <w:tblOverlap w:val="never"/>
        <w:tblW w:w="4881" w:type="dxa"/>
        <w:tblLook w:val="04A0" w:firstRow="1" w:lastRow="0" w:firstColumn="1" w:lastColumn="0" w:noHBand="0" w:noVBand="1"/>
      </w:tblPr>
      <w:tblGrid>
        <w:gridCol w:w="2493"/>
        <w:gridCol w:w="939"/>
        <w:gridCol w:w="1449"/>
      </w:tblGrid>
      <w:tr w:rsidR="00E70204" w:rsidRPr="003C6B1F" w:rsidTr="001F4DB3">
        <w:trPr>
          <w:trHeight w:val="402"/>
        </w:trPr>
        <w:tc>
          <w:tcPr>
            <w:tcW w:w="48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0204" w:rsidRPr="001F4DB3" w:rsidRDefault="00E70204" w:rsidP="00E70204">
            <w:pPr>
              <w:jc w:val="center"/>
              <w:rPr>
                <w:rFonts w:cs="Calibri"/>
                <w:b/>
                <w:color w:val="000000"/>
                <w:szCs w:val="22"/>
              </w:rPr>
            </w:pPr>
            <w:r w:rsidRPr="001F4DB3">
              <w:rPr>
                <w:rFonts w:cs="Calibri"/>
                <w:b/>
                <w:color w:val="000000"/>
                <w:szCs w:val="22"/>
              </w:rPr>
              <w:t>Москва</w:t>
            </w:r>
          </w:p>
        </w:tc>
      </w:tr>
      <w:tr w:rsidR="00E70204" w:rsidRPr="00445BA8" w:rsidTr="001F4DB3">
        <w:trPr>
          <w:trHeight w:val="402"/>
        </w:trPr>
        <w:tc>
          <w:tcPr>
            <w:tcW w:w="2493" w:type="dxa"/>
            <w:tcBorders>
              <w:top w:val="nil"/>
              <w:left w:val="single" w:sz="4" w:space="0" w:color="auto"/>
              <w:bottom w:val="single" w:sz="4" w:space="0" w:color="auto"/>
              <w:right w:val="single" w:sz="4" w:space="0" w:color="auto"/>
            </w:tcBorders>
            <w:shd w:val="clear" w:color="auto" w:fill="auto"/>
            <w:noWrap/>
            <w:vAlign w:val="bottom"/>
            <w:hideMark/>
          </w:tcPr>
          <w:p w:rsidR="00E70204" w:rsidRPr="001F4DB3" w:rsidRDefault="00E70204" w:rsidP="00E70204">
            <w:pPr>
              <w:jc w:val="center"/>
              <w:rPr>
                <w:rFonts w:asciiTheme="minorHAnsi" w:hAnsiTheme="minorHAnsi" w:cstheme="minorHAnsi"/>
                <w:color w:val="000000"/>
                <w:szCs w:val="20"/>
              </w:rPr>
            </w:pPr>
            <w:r w:rsidRPr="001F4DB3">
              <w:rPr>
                <w:rFonts w:asciiTheme="minorHAnsi" w:hAnsiTheme="minorHAnsi" w:cstheme="minorHAnsi"/>
                <w:color w:val="000000"/>
                <w:szCs w:val="20"/>
              </w:rPr>
              <w:t xml:space="preserve">Уч. </w:t>
            </w:r>
            <w:r w:rsidR="001F4DB3" w:rsidRPr="001F4DB3">
              <w:rPr>
                <w:rFonts w:asciiTheme="minorHAnsi" w:hAnsiTheme="minorHAnsi" w:cstheme="minorHAnsi"/>
                <w:color w:val="000000"/>
                <w:szCs w:val="20"/>
              </w:rPr>
              <w:t>Г</w:t>
            </w:r>
            <w:r w:rsidRPr="001F4DB3">
              <w:rPr>
                <w:rFonts w:asciiTheme="minorHAnsi" w:hAnsiTheme="minorHAnsi" w:cstheme="minorHAnsi"/>
                <w:color w:val="000000"/>
                <w:szCs w:val="20"/>
              </w:rPr>
              <w:t>од</w:t>
            </w:r>
          </w:p>
        </w:tc>
        <w:tc>
          <w:tcPr>
            <w:tcW w:w="939" w:type="dxa"/>
            <w:tcBorders>
              <w:top w:val="nil"/>
              <w:left w:val="nil"/>
              <w:bottom w:val="single" w:sz="4" w:space="0" w:color="auto"/>
              <w:right w:val="single" w:sz="4" w:space="0" w:color="auto"/>
            </w:tcBorders>
            <w:shd w:val="clear" w:color="auto" w:fill="auto"/>
            <w:noWrap/>
            <w:vAlign w:val="bottom"/>
            <w:hideMark/>
          </w:tcPr>
          <w:p w:rsidR="00E70204" w:rsidRPr="001F4DB3" w:rsidRDefault="00E70204" w:rsidP="00E70204">
            <w:pPr>
              <w:jc w:val="center"/>
              <w:rPr>
                <w:rFonts w:asciiTheme="minorHAnsi" w:hAnsiTheme="minorHAnsi" w:cstheme="minorHAnsi"/>
                <w:color w:val="000000"/>
                <w:szCs w:val="20"/>
              </w:rPr>
            </w:pPr>
            <w:r w:rsidRPr="001F4DB3">
              <w:rPr>
                <w:rFonts w:asciiTheme="minorHAnsi" w:hAnsiTheme="minorHAnsi" w:cstheme="minorHAnsi"/>
                <w:color w:val="000000"/>
                <w:szCs w:val="20"/>
              </w:rPr>
              <w:t>Люди</w:t>
            </w:r>
          </w:p>
        </w:tc>
        <w:tc>
          <w:tcPr>
            <w:tcW w:w="1449" w:type="dxa"/>
            <w:tcBorders>
              <w:top w:val="nil"/>
              <w:left w:val="nil"/>
              <w:bottom w:val="single" w:sz="4" w:space="0" w:color="auto"/>
              <w:right w:val="single" w:sz="4" w:space="0" w:color="auto"/>
            </w:tcBorders>
            <w:shd w:val="clear" w:color="auto" w:fill="auto"/>
            <w:noWrap/>
            <w:vAlign w:val="bottom"/>
            <w:hideMark/>
          </w:tcPr>
          <w:p w:rsidR="00E70204" w:rsidRPr="001F4DB3" w:rsidRDefault="00E70204" w:rsidP="00E70204">
            <w:pPr>
              <w:jc w:val="center"/>
              <w:rPr>
                <w:rFonts w:asciiTheme="minorHAnsi" w:hAnsiTheme="minorHAnsi" w:cstheme="minorHAnsi"/>
                <w:color w:val="000000"/>
                <w:szCs w:val="20"/>
              </w:rPr>
            </w:pPr>
            <w:r w:rsidRPr="001F4DB3">
              <w:rPr>
                <w:rFonts w:asciiTheme="minorHAnsi" w:hAnsiTheme="minorHAnsi" w:cstheme="minorHAnsi"/>
                <w:color w:val="000000"/>
                <w:szCs w:val="20"/>
              </w:rPr>
              <w:t>Ставки</w:t>
            </w:r>
          </w:p>
        </w:tc>
      </w:tr>
      <w:tr w:rsidR="00E70204" w:rsidRPr="00445BA8" w:rsidTr="001F4DB3">
        <w:trPr>
          <w:trHeight w:val="402"/>
        </w:trPr>
        <w:tc>
          <w:tcPr>
            <w:tcW w:w="2493" w:type="dxa"/>
            <w:tcBorders>
              <w:top w:val="nil"/>
              <w:left w:val="single" w:sz="4" w:space="0" w:color="auto"/>
              <w:bottom w:val="single" w:sz="4" w:space="0" w:color="auto"/>
              <w:right w:val="single" w:sz="4" w:space="0" w:color="auto"/>
            </w:tcBorders>
            <w:shd w:val="clear" w:color="auto" w:fill="auto"/>
            <w:noWrap/>
            <w:vAlign w:val="bottom"/>
            <w:hideMark/>
          </w:tcPr>
          <w:p w:rsidR="00E70204" w:rsidRPr="001F4DB3" w:rsidRDefault="00E70204" w:rsidP="00E70204">
            <w:pPr>
              <w:jc w:val="center"/>
              <w:rPr>
                <w:rFonts w:asciiTheme="minorHAnsi" w:hAnsiTheme="minorHAnsi" w:cstheme="minorHAnsi"/>
                <w:color w:val="000000"/>
                <w:szCs w:val="20"/>
              </w:rPr>
            </w:pPr>
            <w:r w:rsidRPr="001F4DB3">
              <w:rPr>
                <w:rFonts w:asciiTheme="minorHAnsi" w:hAnsiTheme="minorHAnsi" w:cstheme="minorHAnsi"/>
                <w:color w:val="000000"/>
                <w:szCs w:val="20"/>
              </w:rPr>
              <w:t>2008-09</w:t>
            </w:r>
          </w:p>
        </w:tc>
        <w:tc>
          <w:tcPr>
            <w:tcW w:w="939" w:type="dxa"/>
            <w:tcBorders>
              <w:top w:val="nil"/>
              <w:left w:val="nil"/>
              <w:bottom w:val="single" w:sz="4" w:space="0" w:color="auto"/>
              <w:right w:val="single" w:sz="4" w:space="0" w:color="auto"/>
            </w:tcBorders>
            <w:shd w:val="clear" w:color="auto" w:fill="auto"/>
            <w:noWrap/>
            <w:vAlign w:val="bottom"/>
            <w:hideMark/>
          </w:tcPr>
          <w:p w:rsidR="00E70204" w:rsidRPr="001F4DB3" w:rsidRDefault="00E70204" w:rsidP="00E70204">
            <w:pPr>
              <w:jc w:val="center"/>
              <w:rPr>
                <w:rFonts w:asciiTheme="minorHAnsi" w:hAnsiTheme="minorHAnsi" w:cstheme="minorHAnsi"/>
                <w:color w:val="000000"/>
                <w:szCs w:val="20"/>
              </w:rPr>
            </w:pPr>
            <w:r w:rsidRPr="001F4DB3">
              <w:rPr>
                <w:rFonts w:asciiTheme="minorHAnsi" w:hAnsiTheme="minorHAnsi" w:cstheme="minorHAnsi"/>
                <w:color w:val="000000"/>
                <w:szCs w:val="20"/>
              </w:rPr>
              <w:t>1475</w:t>
            </w:r>
          </w:p>
        </w:tc>
        <w:tc>
          <w:tcPr>
            <w:tcW w:w="1449" w:type="dxa"/>
            <w:tcBorders>
              <w:top w:val="nil"/>
              <w:left w:val="nil"/>
              <w:bottom w:val="single" w:sz="4" w:space="0" w:color="auto"/>
              <w:right w:val="single" w:sz="4" w:space="0" w:color="auto"/>
            </w:tcBorders>
            <w:shd w:val="clear" w:color="auto" w:fill="auto"/>
            <w:noWrap/>
            <w:vAlign w:val="bottom"/>
            <w:hideMark/>
          </w:tcPr>
          <w:p w:rsidR="00E70204" w:rsidRPr="001F4DB3" w:rsidRDefault="00E70204" w:rsidP="00E70204">
            <w:pPr>
              <w:jc w:val="center"/>
              <w:rPr>
                <w:rFonts w:asciiTheme="minorHAnsi" w:hAnsiTheme="minorHAnsi" w:cstheme="minorHAnsi"/>
                <w:color w:val="000000"/>
                <w:szCs w:val="20"/>
              </w:rPr>
            </w:pPr>
            <w:r w:rsidRPr="001F4DB3">
              <w:rPr>
                <w:rFonts w:asciiTheme="minorHAnsi" w:hAnsiTheme="minorHAnsi" w:cstheme="minorHAnsi"/>
                <w:color w:val="000000"/>
                <w:szCs w:val="20"/>
              </w:rPr>
              <w:t>1028</w:t>
            </w:r>
          </w:p>
        </w:tc>
      </w:tr>
      <w:tr w:rsidR="00E70204" w:rsidRPr="00445BA8" w:rsidTr="001F4DB3">
        <w:trPr>
          <w:trHeight w:val="402"/>
        </w:trPr>
        <w:tc>
          <w:tcPr>
            <w:tcW w:w="2493" w:type="dxa"/>
            <w:tcBorders>
              <w:top w:val="nil"/>
              <w:left w:val="single" w:sz="4" w:space="0" w:color="auto"/>
              <w:bottom w:val="single" w:sz="4" w:space="0" w:color="auto"/>
              <w:right w:val="single" w:sz="4" w:space="0" w:color="auto"/>
            </w:tcBorders>
            <w:shd w:val="clear" w:color="auto" w:fill="auto"/>
            <w:noWrap/>
            <w:vAlign w:val="bottom"/>
            <w:hideMark/>
          </w:tcPr>
          <w:p w:rsidR="00E70204" w:rsidRPr="001F4DB3" w:rsidRDefault="00E70204" w:rsidP="00E70204">
            <w:pPr>
              <w:jc w:val="center"/>
              <w:rPr>
                <w:rFonts w:asciiTheme="minorHAnsi" w:hAnsiTheme="minorHAnsi" w:cstheme="minorHAnsi"/>
                <w:color w:val="000000"/>
                <w:szCs w:val="20"/>
              </w:rPr>
            </w:pPr>
            <w:r w:rsidRPr="001F4DB3">
              <w:rPr>
                <w:rFonts w:asciiTheme="minorHAnsi" w:hAnsiTheme="minorHAnsi" w:cstheme="minorHAnsi"/>
                <w:color w:val="000000"/>
                <w:szCs w:val="20"/>
              </w:rPr>
              <w:t>2009-10</w:t>
            </w:r>
          </w:p>
        </w:tc>
        <w:tc>
          <w:tcPr>
            <w:tcW w:w="939" w:type="dxa"/>
            <w:tcBorders>
              <w:top w:val="nil"/>
              <w:left w:val="nil"/>
              <w:bottom w:val="single" w:sz="4" w:space="0" w:color="auto"/>
              <w:right w:val="single" w:sz="4" w:space="0" w:color="auto"/>
            </w:tcBorders>
            <w:shd w:val="clear" w:color="auto" w:fill="auto"/>
            <w:noWrap/>
            <w:vAlign w:val="bottom"/>
            <w:hideMark/>
          </w:tcPr>
          <w:p w:rsidR="00E70204" w:rsidRPr="001F4DB3" w:rsidRDefault="00E70204" w:rsidP="00E70204">
            <w:pPr>
              <w:jc w:val="center"/>
              <w:rPr>
                <w:rFonts w:asciiTheme="minorHAnsi" w:hAnsiTheme="minorHAnsi" w:cstheme="minorHAnsi"/>
                <w:color w:val="000000"/>
                <w:szCs w:val="20"/>
              </w:rPr>
            </w:pPr>
            <w:r w:rsidRPr="001F4DB3">
              <w:rPr>
                <w:rFonts w:asciiTheme="minorHAnsi" w:hAnsiTheme="minorHAnsi" w:cstheme="minorHAnsi"/>
                <w:color w:val="000000"/>
                <w:szCs w:val="20"/>
              </w:rPr>
              <w:t>1674</w:t>
            </w:r>
          </w:p>
        </w:tc>
        <w:tc>
          <w:tcPr>
            <w:tcW w:w="1449" w:type="dxa"/>
            <w:tcBorders>
              <w:top w:val="nil"/>
              <w:left w:val="nil"/>
              <w:bottom w:val="single" w:sz="4" w:space="0" w:color="auto"/>
              <w:right w:val="single" w:sz="4" w:space="0" w:color="auto"/>
            </w:tcBorders>
            <w:shd w:val="clear" w:color="auto" w:fill="auto"/>
            <w:noWrap/>
            <w:vAlign w:val="bottom"/>
            <w:hideMark/>
          </w:tcPr>
          <w:p w:rsidR="00E70204" w:rsidRPr="001F4DB3" w:rsidRDefault="00E70204" w:rsidP="00E70204">
            <w:pPr>
              <w:jc w:val="center"/>
              <w:rPr>
                <w:rFonts w:asciiTheme="minorHAnsi" w:hAnsiTheme="minorHAnsi" w:cstheme="minorHAnsi"/>
                <w:color w:val="000000"/>
                <w:szCs w:val="20"/>
              </w:rPr>
            </w:pPr>
            <w:r w:rsidRPr="001F4DB3">
              <w:rPr>
                <w:rFonts w:asciiTheme="minorHAnsi" w:hAnsiTheme="minorHAnsi" w:cstheme="minorHAnsi"/>
                <w:color w:val="000000"/>
                <w:szCs w:val="20"/>
              </w:rPr>
              <w:t>1235</w:t>
            </w:r>
          </w:p>
        </w:tc>
      </w:tr>
      <w:tr w:rsidR="00E70204" w:rsidRPr="00445BA8" w:rsidTr="001F4DB3">
        <w:trPr>
          <w:trHeight w:val="402"/>
        </w:trPr>
        <w:tc>
          <w:tcPr>
            <w:tcW w:w="2493" w:type="dxa"/>
            <w:tcBorders>
              <w:top w:val="nil"/>
              <w:left w:val="single" w:sz="4" w:space="0" w:color="auto"/>
              <w:bottom w:val="single" w:sz="4" w:space="0" w:color="auto"/>
              <w:right w:val="single" w:sz="4" w:space="0" w:color="auto"/>
            </w:tcBorders>
            <w:shd w:val="clear" w:color="auto" w:fill="auto"/>
            <w:noWrap/>
            <w:vAlign w:val="bottom"/>
            <w:hideMark/>
          </w:tcPr>
          <w:p w:rsidR="00E70204" w:rsidRPr="001F4DB3" w:rsidRDefault="00E70204" w:rsidP="00E70204">
            <w:pPr>
              <w:jc w:val="center"/>
              <w:rPr>
                <w:rFonts w:asciiTheme="minorHAnsi" w:hAnsiTheme="minorHAnsi" w:cstheme="minorHAnsi"/>
                <w:color w:val="000000"/>
                <w:szCs w:val="20"/>
              </w:rPr>
            </w:pPr>
            <w:r w:rsidRPr="001F4DB3">
              <w:rPr>
                <w:rFonts w:asciiTheme="minorHAnsi" w:hAnsiTheme="minorHAnsi" w:cstheme="minorHAnsi"/>
                <w:color w:val="000000"/>
                <w:szCs w:val="20"/>
              </w:rPr>
              <w:t>2010-11</w:t>
            </w:r>
          </w:p>
        </w:tc>
        <w:tc>
          <w:tcPr>
            <w:tcW w:w="939" w:type="dxa"/>
            <w:tcBorders>
              <w:top w:val="nil"/>
              <w:left w:val="nil"/>
              <w:bottom w:val="single" w:sz="4" w:space="0" w:color="auto"/>
              <w:right w:val="single" w:sz="4" w:space="0" w:color="auto"/>
            </w:tcBorders>
            <w:shd w:val="clear" w:color="auto" w:fill="auto"/>
            <w:noWrap/>
            <w:vAlign w:val="bottom"/>
            <w:hideMark/>
          </w:tcPr>
          <w:p w:rsidR="00E70204" w:rsidRPr="001F4DB3" w:rsidRDefault="00E70204" w:rsidP="00E70204">
            <w:pPr>
              <w:jc w:val="center"/>
              <w:rPr>
                <w:rFonts w:asciiTheme="minorHAnsi" w:hAnsiTheme="minorHAnsi" w:cstheme="minorHAnsi"/>
                <w:color w:val="000000"/>
                <w:szCs w:val="20"/>
              </w:rPr>
            </w:pPr>
            <w:r w:rsidRPr="001F4DB3">
              <w:rPr>
                <w:rFonts w:asciiTheme="minorHAnsi" w:hAnsiTheme="minorHAnsi" w:cstheme="minorHAnsi"/>
                <w:color w:val="000000"/>
                <w:szCs w:val="20"/>
              </w:rPr>
              <w:t>1904</w:t>
            </w:r>
          </w:p>
        </w:tc>
        <w:tc>
          <w:tcPr>
            <w:tcW w:w="1449" w:type="dxa"/>
            <w:tcBorders>
              <w:top w:val="nil"/>
              <w:left w:val="nil"/>
              <w:bottom w:val="single" w:sz="4" w:space="0" w:color="auto"/>
              <w:right w:val="single" w:sz="4" w:space="0" w:color="auto"/>
            </w:tcBorders>
            <w:shd w:val="clear" w:color="auto" w:fill="auto"/>
            <w:noWrap/>
            <w:vAlign w:val="bottom"/>
            <w:hideMark/>
          </w:tcPr>
          <w:p w:rsidR="00E70204" w:rsidRPr="001F4DB3" w:rsidRDefault="00E70204" w:rsidP="00E70204">
            <w:pPr>
              <w:jc w:val="center"/>
              <w:rPr>
                <w:rFonts w:asciiTheme="minorHAnsi" w:hAnsiTheme="minorHAnsi" w:cstheme="minorHAnsi"/>
                <w:color w:val="000000"/>
                <w:szCs w:val="20"/>
              </w:rPr>
            </w:pPr>
            <w:r w:rsidRPr="001F4DB3">
              <w:rPr>
                <w:rFonts w:asciiTheme="minorHAnsi" w:hAnsiTheme="minorHAnsi" w:cstheme="minorHAnsi"/>
                <w:color w:val="000000"/>
                <w:szCs w:val="20"/>
              </w:rPr>
              <w:t>1398</w:t>
            </w:r>
          </w:p>
        </w:tc>
      </w:tr>
      <w:tr w:rsidR="00E70204" w:rsidRPr="00445BA8" w:rsidTr="001F4DB3">
        <w:trPr>
          <w:trHeight w:val="402"/>
        </w:trPr>
        <w:tc>
          <w:tcPr>
            <w:tcW w:w="2493" w:type="dxa"/>
            <w:tcBorders>
              <w:top w:val="nil"/>
              <w:left w:val="single" w:sz="4" w:space="0" w:color="auto"/>
              <w:bottom w:val="single" w:sz="4" w:space="0" w:color="auto"/>
              <w:right w:val="single" w:sz="4" w:space="0" w:color="auto"/>
            </w:tcBorders>
            <w:shd w:val="clear" w:color="auto" w:fill="auto"/>
            <w:noWrap/>
            <w:vAlign w:val="bottom"/>
            <w:hideMark/>
          </w:tcPr>
          <w:p w:rsidR="00E70204" w:rsidRPr="001F4DB3" w:rsidRDefault="00E70204" w:rsidP="00E70204">
            <w:pPr>
              <w:jc w:val="center"/>
              <w:rPr>
                <w:rFonts w:asciiTheme="minorHAnsi" w:hAnsiTheme="minorHAnsi" w:cstheme="minorHAnsi"/>
                <w:color w:val="000000"/>
                <w:szCs w:val="20"/>
              </w:rPr>
            </w:pPr>
            <w:r w:rsidRPr="001F4DB3">
              <w:rPr>
                <w:rFonts w:asciiTheme="minorHAnsi" w:hAnsiTheme="minorHAnsi" w:cstheme="minorHAnsi"/>
                <w:color w:val="000000"/>
                <w:szCs w:val="20"/>
              </w:rPr>
              <w:t>2011-12</w:t>
            </w:r>
          </w:p>
        </w:tc>
        <w:tc>
          <w:tcPr>
            <w:tcW w:w="939" w:type="dxa"/>
            <w:tcBorders>
              <w:top w:val="nil"/>
              <w:left w:val="nil"/>
              <w:bottom w:val="single" w:sz="4" w:space="0" w:color="auto"/>
              <w:right w:val="single" w:sz="4" w:space="0" w:color="auto"/>
            </w:tcBorders>
            <w:shd w:val="clear" w:color="auto" w:fill="auto"/>
            <w:noWrap/>
            <w:vAlign w:val="bottom"/>
            <w:hideMark/>
          </w:tcPr>
          <w:p w:rsidR="00E70204" w:rsidRPr="001F4DB3" w:rsidRDefault="00E70204" w:rsidP="00E70204">
            <w:pPr>
              <w:jc w:val="center"/>
              <w:rPr>
                <w:rFonts w:asciiTheme="minorHAnsi" w:hAnsiTheme="minorHAnsi" w:cstheme="minorHAnsi"/>
                <w:color w:val="000000"/>
                <w:szCs w:val="20"/>
              </w:rPr>
            </w:pPr>
            <w:r w:rsidRPr="001F4DB3">
              <w:rPr>
                <w:rFonts w:asciiTheme="minorHAnsi" w:hAnsiTheme="minorHAnsi" w:cstheme="minorHAnsi"/>
                <w:color w:val="000000"/>
                <w:szCs w:val="20"/>
              </w:rPr>
              <w:t>2125</w:t>
            </w:r>
          </w:p>
        </w:tc>
        <w:tc>
          <w:tcPr>
            <w:tcW w:w="1449" w:type="dxa"/>
            <w:tcBorders>
              <w:top w:val="nil"/>
              <w:left w:val="nil"/>
              <w:bottom w:val="single" w:sz="4" w:space="0" w:color="auto"/>
              <w:right w:val="single" w:sz="4" w:space="0" w:color="auto"/>
            </w:tcBorders>
            <w:shd w:val="clear" w:color="auto" w:fill="auto"/>
            <w:noWrap/>
            <w:vAlign w:val="bottom"/>
            <w:hideMark/>
          </w:tcPr>
          <w:p w:rsidR="00E70204" w:rsidRPr="001F4DB3" w:rsidRDefault="00E70204" w:rsidP="00E70204">
            <w:pPr>
              <w:jc w:val="center"/>
              <w:rPr>
                <w:rFonts w:asciiTheme="minorHAnsi" w:hAnsiTheme="minorHAnsi" w:cstheme="minorHAnsi"/>
                <w:color w:val="000000"/>
                <w:szCs w:val="20"/>
              </w:rPr>
            </w:pPr>
            <w:r w:rsidRPr="001F4DB3">
              <w:rPr>
                <w:rFonts w:asciiTheme="minorHAnsi" w:hAnsiTheme="minorHAnsi" w:cstheme="minorHAnsi"/>
                <w:color w:val="000000"/>
                <w:szCs w:val="20"/>
              </w:rPr>
              <w:t>1580</w:t>
            </w:r>
          </w:p>
        </w:tc>
      </w:tr>
      <w:tr w:rsidR="00E70204" w:rsidRPr="00445BA8" w:rsidTr="001F4DB3">
        <w:trPr>
          <w:trHeight w:val="402"/>
        </w:trPr>
        <w:tc>
          <w:tcPr>
            <w:tcW w:w="2493" w:type="dxa"/>
            <w:tcBorders>
              <w:top w:val="nil"/>
              <w:left w:val="single" w:sz="4" w:space="0" w:color="auto"/>
              <w:bottom w:val="single" w:sz="4" w:space="0" w:color="auto"/>
              <w:right w:val="single" w:sz="4" w:space="0" w:color="auto"/>
            </w:tcBorders>
            <w:shd w:val="clear" w:color="auto" w:fill="auto"/>
            <w:noWrap/>
            <w:vAlign w:val="bottom"/>
            <w:hideMark/>
          </w:tcPr>
          <w:p w:rsidR="00E70204" w:rsidRPr="001F4DB3" w:rsidRDefault="00E70204" w:rsidP="00E70204">
            <w:pPr>
              <w:jc w:val="center"/>
              <w:rPr>
                <w:rFonts w:asciiTheme="minorHAnsi" w:hAnsiTheme="minorHAnsi" w:cstheme="minorHAnsi"/>
                <w:color w:val="000000"/>
                <w:szCs w:val="20"/>
              </w:rPr>
            </w:pPr>
            <w:r w:rsidRPr="001F4DB3">
              <w:rPr>
                <w:rFonts w:asciiTheme="minorHAnsi" w:hAnsiTheme="minorHAnsi" w:cstheme="minorHAnsi"/>
                <w:color w:val="000000"/>
                <w:szCs w:val="20"/>
              </w:rPr>
              <w:t>2012-13</w:t>
            </w:r>
          </w:p>
        </w:tc>
        <w:tc>
          <w:tcPr>
            <w:tcW w:w="939" w:type="dxa"/>
            <w:tcBorders>
              <w:top w:val="nil"/>
              <w:left w:val="nil"/>
              <w:bottom w:val="single" w:sz="4" w:space="0" w:color="auto"/>
              <w:right w:val="single" w:sz="4" w:space="0" w:color="auto"/>
            </w:tcBorders>
            <w:shd w:val="clear" w:color="auto" w:fill="auto"/>
            <w:noWrap/>
            <w:vAlign w:val="bottom"/>
            <w:hideMark/>
          </w:tcPr>
          <w:p w:rsidR="00E70204" w:rsidRPr="001F4DB3" w:rsidRDefault="00E70204" w:rsidP="00E70204">
            <w:pPr>
              <w:jc w:val="center"/>
              <w:rPr>
                <w:rFonts w:asciiTheme="minorHAnsi" w:hAnsiTheme="minorHAnsi" w:cstheme="minorHAnsi"/>
                <w:color w:val="000000"/>
                <w:szCs w:val="20"/>
              </w:rPr>
            </w:pPr>
            <w:r w:rsidRPr="001F4DB3">
              <w:rPr>
                <w:rFonts w:asciiTheme="minorHAnsi" w:hAnsiTheme="minorHAnsi" w:cstheme="minorHAnsi"/>
                <w:color w:val="000000"/>
                <w:szCs w:val="20"/>
              </w:rPr>
              <w:t>2705</w:t>
            </w:r>
          </w:p>
        </w:tc>
        <w:tc>
          <w:tcPr>
            <w:tcW w:w="1449" w:type="dxa"/>
            <w:tcBorders>
              <w:top w:val="nil"/>
              <w:left w:val="nil"/>
              <w:bottom w:val="single" w:sz="4" w:space="0" w:color="auto"/>
              <w:right w:val="single" w:sz="4" w:space="0" w:color="auto"/>
            </w:tcBorders>
            <w:shd w:val="clear" w:color="auto" w:fill="auto"/>
            <w:noWrap/>
            <w:vAlign w:val="bottom"/>
            <w:hideMark/>
          </w:tcPr>
          <w:p w:rsidR="00E70204" w:rsidRPr="001F4DB3" w:rsidRDefault="00E70204" w:rsidP="00E70204">
            <w:pPr>
              <w:jc w:val="center"/>
              <w:rPr>
                <w:rFonts w:asciiTheme="minorHAnsi" w:hAnsiTheme="minorHAnsi" w:cstheme="minorHAnsi"/>
                <w:color w:val="000000"/>
                <w:szCs w:val="20"/>
              </w:rPr>
            </w:pPr>
            <w:r w:rsidRPr="001F4DB3">
              <w:rPr>
                <w:rFonts w:asciiTheme="minorHAnsi" w:hAnsiTheme="minorHAnsi" w:cstheme="minorHAnsi"/>
                <w:color w:val="000000"/>
                <w:szCs w:val="20"/>
              </w:rPr>
              <w:t>2104</w:t>
            </w:r>
          </w:p>
        </w:tc>
      </w:tr>
      <w:tr w:rsidR="00E70204" w:rsidRPr="00445BA8" w:rsidTr="001F4DB3">
        <w:trPr>
          <w:trHeight w:val="402"/>
        </w:trPr>
        <w:tc>
          <w:tcPr>
            <w:tcW w:w="2493" w:type="dxa"/>
            <w:tcBorders>
              <w:top w:val="single" w:sz="4" w:space="0" w:color="auto"/>
              <w:left w:val="single" w:sz="4" w:space="0" w:color="auto"/>
              <w:bottom w:val="single" w:sz="4" w:space="0" w:color="auto"/>
              <w:right w:val="single" w:sz="4" w:space="0" w:color="auto"/>
            </w:tcBorders>
            <w:shd w:val="clear" w:color="auto" w:fill="auto"/>
            <w:noWrap/>
          </w:tcPr>
          <w:p w:rsidR="00E70204" w:rsidRPr="001F4DB3" w:rsidRDefault="00E70204" w:rsidP="00E70204">
            <w:pPr>
              <w:jc w:val="center"/>
              <w:rPr>
                <w:rFonts w:asciiTheme="minorHAnsi" w:hAnsiTheme="minorHAnsi" w:cstheme="minorHAnsi"/>
                <w:color w:val="000000"/>
                <w:szCs w:val="20"/>
              </w:rPr>
            </w:pPr>
            <w:r w:rsidRPr="001F4DB3">
              <w:rPr>
                <w:rFonts w:asciiTheme="minorHAnsi" w:hAnsiTheme="minorHAnsi" w:cstheme="minorHAnsi"/>
                <w:color w:val="000000"/>
                <w:szCs w:val="20"/>
              </w:rPr>
              <w:t xml:space="preserve">Нач. 2013-14 </w:t>
            </w:r>
          </w:p>
        </w:tc>
        <w:tc>
          <w:tcPr>
            <w:tcW w:w="939" w:type="dxa"/>
            <w:tcBorders>
              <w:top w:val="single" w:sz="4" w:space="0" w:color="auto"/>
              <w:left w:val="nil"/>
              <w:bottom w:val="single" w:sz="4" w:space="0" w:color="auto"/>
              <w:right w:val="single" w:sz="4" w:space="0" w:color="auto"/>
            </w:tcBorders>
            <w:shd w:val="clear" w:color="auto" w:fill="auto"/>
            <w:noWrap/>
          </w:tcPr>
          <w:p w:rsidR="00E70204" w:rsidRPr="001F4DB3" w:rsidRDefault="00E70204" w:rsidP="00E70204">
            <w:pPr>
              <w:jc w:val="center"/>
              <w:rPr>
                <w:rFonts w:asciiTheme="minorHAnsi" w:hAnsiTheme="minorHAnsi" w:cstheme="minorHAnsi"/>
                <w:color w:val="000000"/>
                <w:szCs w:val="20"/>
              </w:rPr>
            </w:pPr>
            <w:r w:rsidRPr="001F4DB3">
              <w:rPr>
                <w:rFonts w:asciiTheme="minorHAnsi" w:hAnsiTheme="minorHAnsi" w:cstheme="minorHAnsi"/>
                <w:color w:val="000000"/>
                <w:szCs w:val="20"/>
              </w:rPr>
              <w:t>2485</w:t>
            </w:r>
          </w:p>
        </w:tc>
        <w:tc>
          <w:tcPr>
            <w:tcW w:w="1449" w:type="dxa"/>
            <w:tcBorders>
              <w:top w:val="single" w:sz="4" w:space="0" w:color="auto"/>
              <w:left w:val="nil"/>
              <w:bottom w:val="single" w:sz="4" w:space="0" w:color="auto"/>
              <w:right w:val="single" w:sz="4" w:space="0" w:color="auto"/>
            </w:tcBorders>
            <w:shd w:val="clear" w:color="auto" w:fill="auto"/>
            <w:noWrap/>
          </w:tcPr>
          <w:p w:rsidR="00E70204" w:rsidRPr="001F4DB3" w:rsidRDefault="00E70204" w:rsidP="00E70204">
            <w:pPr>
              <w:jc w:val="center"/>
              <w:rPr>
                <w:rFonts w:asciiTheme="minorHAnsi" w:hAnsiTheme="minorHAnsi" w:cstheme="minorHAnsi"/>
                <w:color w:val="000000"/>
                <w:szCs w:val="20"/>
              </w:rPr>
            </w:pPr>
            <w:r w:rsidRPr="001F4DB3">
              <w:rPr>
                <w:rFonts w:asciiTheme="minorHAnsi" w:hAnsiTheme="minorHAnsi" w:cstheme="minorHAnsi"/>
                <w:color w:val="000000"/>
                <w:szCs w:val="20"/>
              </w:rPr>
              <w:t>2010</w:t>
            </w:r>
          </w:p>
        </w:tc>
      </w:tr>
    </w:tbl>
    <w:p w:rsidR="00E70204" w:rsidRPr="00445BA8" w:rsidRDefault="00E70204" w:rsidP="00E70204">
      <w:pPr>
        <w:jc w:val="center"/>
        <w:rPr>
          <w:rFonts w:asciiTheme="minorHAnsi" w:hAnsiTheme="minorHAnsi" w:cstheme="minorHAnsi"/>
          <w:color w:val="000000"/>
          <w:sz w:val="20"/>
          <w:szCs w:val="20"/>
        </w:rPr>
      </w:pPr>
    </w:p>
    <w:p w:rsidR="00E70204" w:rsidRPr="00445BA8" w:rsidRDefault="00E70204" w:rsidP="00E70204">
      <w:pPr>
        <w:jc w:val="center"/>
        <w:rPr>
          <w:rFonts w:asciiTheme="minorHAnsi" w:hAnsiTheme="minorHAnsi" w:cstheme="minorHAnsi"/>
          <w:color w:val="000000"/>
          <w:sz w:val="20"/>
          <w:szCs w:val="20"/>
        </w:rPr>
      </w:pPr>
    </w:p>
    <w:p w:rsidR="00E70204" w:rsidRPr="00445BA8" w:rsidRDefault="00E70204" w:rsidP="00E70204">
      <w:pPr>
        <w:jc w:val="center"/>
        <w:rPr>
          <w:rFonts w:asciiTheme="minorHAnsi" w:hAnsiTheme="minorHAnsi" w:cstheme="minorHAnsi"/>
          <w:color w:val="000000"/>
          <w:sz w:val="20"/>
          <w:szCs w:val="20"/>
        </w:rPr>
      </w:pPr>
    </w:p>
    <w:p w:rsidR="00E70204" w:rsidRPr="00445BA8" w:rsidRDefault="00E70204" w:rsidP="00E70204">
      <w:pPr>
        <w:jc w:val="center"/>
        <w:rPr>
          <w:rFonts w:asciiTheme="minorHAnsi" w:hAnsiTheme="minorHAnsi" w:cstheme="minorHAnsi"/>
          <w:color w:val="000000"/>
          <w:sz w:val="20"/>
          <w:szCs w:val="20"/>
        </w:rPr>
      </w:pPr>
    </w:p>
    <w:p w:rsidR="00E70204" w:rsidRPr="00445BA8" w:rsidRDefault="00E70204" w:rsidP="00E70204">
      <w:pPr>
        <w:jc w:val="center"/>
        <w:rPr>
          <w:rFonts w:asciiTheme="minorHAnsi" w:hAnsiTheme="minorHAnsi" w:cstheme="minorHAnsi"/>
          <w:color w:val="000000"/>
          <w:sz w:val="20"/>
          <w:szCs w:val="20"/>
        </w:rPr>
      </w:pPr>
    </w:p>
    <w:p w:rsidR="00E70204" w:rsidRPr="00445BA8" w:rsidRDefault="00E70204" w:rsidP="00E70204">
      <w:pPr>
        <w:spacing w:line="360" w:lineRule="auto"/>
        <w:jc w:val="both"/>
        <w:rPr>
          <w:rFonts w:asciiTheme="minorHAnsi" w:hAnsiTheme="minorHAnsi" w:cstheme="minorHAnsi"/>
          <w:b/>
          <w:sz w:val="20"/>
          <w:szCs w:val="20"/>
        </w:rPr>
      </w:pPr>
    </w:p>
    <w:p w:rsidR="00E70204" w:rsidRPr="00445BA8" w:rsidRDefault="00E70204" w:rsidP="00E70204">
      <w:pPr>
        <w:spacing w:line="360" w:lineRule="auto"/>
        <w:jc w:val="both"/>
        <w:rPr>
          <w:rFonts w:asciiTheme="minorHAnsi" w:hAnsiTheme="minorHAnsi" w:cstheme="minorHAnsi"/>
          <w:b/>
          <w:sz w:val="20"/>
          <w:szCs w:val="20"/>
        </w:rPr>
      </w:pPr>
    </w:p>
    <w:p w:rsidR="00E70204" w:rsidRDefault="00E70204" w:rsidP="00E70204">
      <w:pPr>
        <w:spacing w:line="360" w:lineRule="auto"/>
        <w:jc w:val="both"/>
        <w:rPr>
          <w:b/>
        </w:rPr>
      </w:pPr>
    </w:p>
    <w:p w:rsidR="00F358E4" w:rsidRDefault="00F358E4" w:rsidP="00E70204">
      <w:pPr>
        <w:spacing w:line="360" w:lineRule="auto"/>
        <w:jc w:val="both"/>
        <w:rPr>
          <w:b/>
        </w:rPr>
      </w:pPr>
    </w:p>
    <w:p w:rsidR="00E505C3" w:rsidRDefault="00E505C3" w:rsidP="00E70204">
      <w:pPr>
        <w:spacing w:line="360" w:lineRule="auto"/>
        <w:jc w:val="both"/>
        <w:rPr>
          <w:b/>
        </w:rPr>
      </w:pPr>
    </w:p>
    <w:p w:rsidR="00E505C3" w:rsidRDefault="00E505C3" w:rsidP="00E70204">
      <w:pPr>
        <w:spacing w:line="360" w:lineRule="auto"/>
        <w:jc w:val="both"/>
        <w:rPr>
          <w:b/>
        </w:rPr>
      </w:pPr>
    </w:p>
    <w:p w:rsidR="00E70204" w:rsidRDefault="001F4DB3" w:rsidP="00E70204">
      <w:pPr>
        <w:spacing w:line="360" w:lineRule="auto"/>
        <w:jc w:val="both"/>
        <w:rPr>
          <w:b/>
        </w:rPr>
      </w:pPr>
      <w:r>
        <w:rPr>
          <w:b/>
        </w:rPr>
        <w:t>Диаграмма 8</w:t>
      </w:r>
      <w:r w:rsidR="00E70204">
        <w:rPr>
          <w:b/>
        </w:rPr>
        <w:t>.1.1</w:t>
      </w:r>
    </w:p>
    <w:p w:rsidR="00E70204" w:rsidRDefault="00982A49" w:rsidP="00E70204">
      <w:pPr>
        <w:spacing w:line="360" w:lineRule="auto"/>
        <w:jc w:val="both"/>
      </w:pPr>
      <w:r>
        <w:rPr>
          <w:b/>
          <w:noProof/>
        </w:rPr>
        <w:drawing>
          <wp:inline distT="0" distB="0" distL="0" distR="0">
            <wp:extent cx="5133975" cy="2971800"/>
            <wp:effectExtent l="0" t="0" r="0" b="0"/>
            <wp:docPr id="70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33975" cy="2971800"/>
                    </a:xfrm>
                    <a:prstGeom prst="rect">
                      <a:avLst/>
                    </a:prstGeom>
                    <a:noFill/>
                    <a:ln>
                      <a:noFill/>
                    </a:ln>
                  </pic:spPr>
                </pic:pic>
              </a:graphicData>
            </a:graphic>
          </wp:inline>
        </w:drawing>
      </w:r>
    </w:p>
    <w:p w:rsidR="00E70204" w:rsidRPr="005D72DC" w:rsidRDefault="00E70204" w:rsidP="00E70204">
      <w:pPr>
        <w:spacing w:after="200" w:line="276" w:lineRule="auto"/>
        <w:jc w:val="both"/>
      </w:pPr>
      <w:r>
        <w:t xml:space="preserve">Таблица </w:t>
      </w:r>
      <w:r w:rsidR="001F4DB3">
        <w:t>8</w:t>
      </w:r>
      <w:r>
        <w:t>.1.2 и д</w:t>
      </w:r>
      <w:r w:rsidRPr="0045381E">
        <w:t xml:space="preserve">иаграмма </w:t>
      </w:r>
      <w:r w:rsidR="001F4DB3">
        <w:t>8</w:t>
      </w:r>
      <w:r w:rsidRPr="0045381E">
        <w:t>.1.2</w:t>
      </w:r>
      <w:r w:rsidRPr="005D72DC">
        <w:t xml:space="preserve"> демонстриру</w:t>
      </w:r>
      <w:r>
        <w:t>ю</w:t>
      </w:r>
      <w:r w:rsidRPr="005D72DC">
        <w:t xml:space="preserve">т движение численности преподавательского состава и изменения количества ставок в филиалах за 3 последних учебных года. </w:t>
      </w:r>
    </w:p>
    <w:p w:rsidR="00E70204" w:rsidRPr="004F4F46" w:rsidRDefault="00E70204" w:rsidP="00E70204">
      <w:pPr>
        <w:rPr>
          <w:b/>
        </w:rPr>
      </w:pPr>
      <w:r>
        <w:rPr>
          <w:b/>
        </w:rPr>
        <w:t>Таблица 11.1.2</w:t>
      </w:r>
    </w:p>
    <w:tbl>
      <w:tblPr>
        <w:tblW w:w="4477" w:type="dxa"/>
        <w:tblInd w:w="103" w:type="dxa"/>
        <w:tblLook w:val="04A0" w:firstRow="1" w:lastRow="0" w:firstColumn="1" w:lastColumn="0" w:noHBand="0" w:noVBand="1"/>
      </w:tblPr>
      <w:tblGrid>
        <w:gridCol w:w="1057"/>
        <w:gridCol w:w="1596"/>
        <w:gridCol w:w="960"/>
        <w:gridCol w:w="960"/>
      </w:tblGrid>
      <w:tr w:rsidR="00E70204" w:rsidRPr="001F4DB3" w:rsidTr="001F4DB3">
        <w:trPr>
          <w:trHeight w:val="300"/>
        </w:trPr>
        <w:tc>
          <w:tcPr>
            <w:tcW w:w="9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 </w:t>
            </w:r>
            <w:r w:rsidR="001F4DB3">
              <w:rPr>
                <w:rFonts w:cs="Calibri"/>
                <w:color w:val="000000"/>
                <w:szCs w:val="20"/>
              </w:rPr>
              <w:t>Филиал</w:t>
            </w:r>
          </w:p>
        </w:tc>
        <w:tc>
          <w:tcPr>
            <w:tcW w:w="1596" w:type="dxa"/>
            <w:tcBorders>
              <w:top w:val="single" w:sz="4" w:space="0" w:color="auto"/>
              <w:left w:val="nil"/>
              <w:bottom w:val="single" w:sz="4" w:space="0" w:color="auto"/>
              <w:right w:val="single" w:sz="4" w:space="0" w:color="auto"/>
            </w:tcBorders>
            <w:shd w:val="clear" w:color="000000" w:fill="FFFFFF"/>
            <w:noWrap/>
            <w:vAlign w:val="bottom"/>
            <w:hideMark/>
          </w:tcPr>
          <w:p w:rsidR="00E70204" w:rsidRPr="001F4DB3" w:rsidRDefault="001F4DB3" w:rsidP="00E70204">
            <w:pPr>
              <w:jc w:val="center"/>
              <w:rPr>
                <w:rFonts w:cs="Calibri"/>
                <w:color w:val="000000"/>
                <w:szCs w:val="20"/>
              </w:rPr>
            </w:pPr>
            <w:r>
              <w:rPr>
                <w:rFonts w:cs="Calibri"/>
                <w:color w:val="000000"/>
                <w:szCs w:val="20"/>
              </w:rPr>
              <w:t>Учебный год</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Люди</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Ставки</w:t>
            </w:r>
          </w:p>
        </w:tc>
      </w:tr>
      <w:tr w:rsidR="00E70204" w:rsidRPr="001F4DB3" w:rsidTr="001F4DB3">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С-Пб</w:t>
            </w:r>
          </w:p>
        </w:tc>
        <w:tc>
          <w:tcPr>
            <w:tcW w:w="1596" w:type="dxa"/>
            <w:tcBorders>
              <w:top w:val="nil"/>
              <w:left w:val="nil"/>
              <w:bottom w:val="single" w:sz="4" w:space="0" w:color="auto"/>
              <w:right w:val="single" w:sz="4" w:space="0" w:color="auto"/>
            </w:tcBorders>
            <w:shd w:val="clear" w:color="000000" w:fill="FFFFFF"/>
            <w:vAlign w:val="center"/>
            <w:hideMark/>
          </w:tcPr>
          <w:p w:rsidR="00E70204" w:rsidRPr="001F4DB3" w:rsidRDefault="00E70204" w:rsidP="00E70204">
            <w:pPr>
              <w:jc w:val="center"/>
              <w:rPr>
                <w:rFonts w:cs="Calibri"/>
                <w:color w:val="000000"/>
                <w:szCs w:val="20"/>
              </w:rPr>
            </w:pPr>
            <w:r w:rsidRPr="001F4DB3">
              <w:rPr>
                <w:rFonts w:cs="Calibri"/>
                <w:color w:val="000000"/>
                <w:szCs w:val="20"/>
              </w:rPr>
              <w:t>2010-11</w:t>
            </w:r>
          </w:p>
        </w:tc>
        <w:tc>
          <w:tcPr>
            <w:tcW w:w="960" w:type="dxa"/>
            <w:tcBorders>
              <w:top w:val="nil"/>
              <w:left w:val="nil"/>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336</w:t>
            </w:r>
          </w:p>
        </w:tc>
        <w:tc>
          <w:tcPr>
            <w:tcW w:w="960" w:type="dxa"/>
            <w:tcBorders>
              <w:top w:val="nil"/>
              <w:left w:val="nil"/>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216</w:t>
            </w:r>
          </w:p>
        </w:tc>
      </w:tr>
      <w:tr w:rsidR="00E70204" w:rsidRPr="001F4DB3" w:rsidTr="001F4DB3">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 </w:t>
            </w:r>
          </w:p>
        </w:tc>
        <w:tc>
          <w:tcPr>
            <w:tcW w:w="1596" w:type="dxa"/>
            <w:tcBorders>
              <w:top w:val="nil"/>
              <w:left w:val="nil"/>
              <w:bottom w:val="single" w:sz="4" w:space="0" w:color="auto"/>
              <w:right w:val="single" w:sz="4" w:space="0" w:color="auto"/>
            </w:tcBorders>
            <w:shd w:val="clear" w:color="000000" w:fill="FFFFFF"/>
            <w:vAlign w:val="center"/>
            <w:hideMark/>
          </w:tcPr>
          <w:p w:rsidR="00E70204" w:rsidRPr="001F4DB3" w:rsidRDefault="00E70204" w:rsidP="00E70204">
            <w:pPr>
              <w:jc w:val="center"/>
              <w:rPr>
                <w:rFonts w:cs="Calibri"/>
                <w:color w:val="000000"/>
                <w:szCs w:val="20"/>
              </w:rPr>
            </w:pPr>
            <w:r w:rsidRPr="001F4DB3">
              <w:rPr>
                <w:rFonts w:cs="Calibri"/>
                <w:color w:val="000000"/>
                <w:szCs w:val="20"/>
              </w:rPr>
              <w:t>2011-12</w:t>
            </w:r>
          </w:p>
        </w:tc>
        <w:tc>
          <w:tcPr>
            <w:tcW w:w="960" w:type="dxa"/>
            <w:tcBorders>
              <w:top w:val="nil"/>
              <w:left w:val="nil"/>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337</w:t>
            </w:r>
          </w:p>
        </w:tc>
        <w:tc>
          <w:tcPr>
            <w:tcW w:w="960" w:type="dxa"/>
            <w:tcBorders>
              <w:top w:val="nil"/>
              <w:left w:val="nil"/>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258</w:t>
            </w:r>
          </w:p>
        </w:tc>
      </w:tr>
      <w:tr w:rsidR="00E70204" w:rsidRPr="001F4DB3" w:rsidTr="001F4DB3">
        <w:trPr>
          <w:trHeight w:val="315"/>
        </w:trPr>
        <w:tc>
          <w:tcPr>
            <w:tcW w:w="961" w:type="dxa"/>
            <w:tcBorders>
              <w:top w:val="single" w:sz="4" w:space="0" w:color="auto"/>
              <w:left w:val="single" w:sz="4" w:space="0" w:color="auto"/>
              <w:bottom w:val="nil"/>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 </w:t>
            </w:r>
          </w:p>
        </w:tc>
        <w:tc>
          <w:tcPr>
            <w:tcW w:w="1596" w:type="dxa"/>
            <w:tcBorders>
              <w:top w:val="single" w:sz="4" w:space="0" w:color="auto"/>
              <w:left w:val="nil"/>
              <w:bottom w:val="nil"/>
              <w:right w:val="single" w:sz="4" w:space="0" w:color="auto"/>
            </w:tcBorders>
            <w:shd w:val="clear" w:color="000000" w:fill="FFFFFF"/>
            <w:vAlign w:val="center"/>
            <w:hideMark/>
          </w:tcPr>
          <w:p w:rsidR="00E70204" w:rsidRPr="001F4DB3" w:rsidRDefault="00E70204" w:rsidP="00E70204">
            <w:pPr>
              <w:jc w:val="center"/>
              <w:rPr>
                <w:rFonts w:cs="Calibri"/>
                <w:color w:val="000000"/>
                <w:szCs w:val="20"/>
              </w:rPr>
            </w:pPr>
            <w:r w:rsidRPr="001F4DB3">
              <w:rPr>
                <w:rFonts w:cs="Calibri"/>
                <w:color w:val="000000"/>
                <w:szCs w:val="20"/>
              </w:rPr>
              <w:t>2012-13</w:t>
            </w:r>
          </w:p>
        </w:tc>
        <w:tc>
          <w:tcPr>
            <w:tcW w:w="960" w:type="dxa"/>
            <w:tcBorders>
              <w:top w:val="single" w:sz="4" w:space="0" w:color="auto"/>
              <w:left w:val="nil"/>
              <w:bottom w:val="nil"/>
              <w:right w:val="single" w:sz="4" w:space="0" w:color="auto"/>
            </w:tcBorders>
            <w:shd w:val="clear" w:color="000000" w:fill="FFFFFF"/>
            <w:noWrap/>
            <w:vAlign w:val="bottom"/>
            <w:hideMark/>
          </w:tcPr>
          <w:p w:rsidR="00E70204" w:rsidRPr="001F4DB3" w:rsidRDefault="00E70204" w:rsidP="00E70204">
            <w:pPr>
              <w:jc w:val="center"/>
              <w:rPr>
                <w:rFonts w:cs="Calibri"/>
                <w:b/>
                <w:bCs/>
                <w:color w:val="000000"/>
                <w:szCs w:val="20"/>
              </w:rPr>
            </w:pPr>
            <w:r w:rsidRPr="001F4DB3">
              <w:rPr>
                <w:rFonts w:cs="Calibri"/>
                <w:b/>
                <w:bCs/>
                <w:color w:val="000000"/>
                <w:szCs w:val="20"/>
              </w:rPr>
              <w:t>313</w:t>
            </w:r>
          </w:p>
        </w:tc>
        <w:tc>
          <w:tcPr>
            <w:tcW w:w="960" w:type="dxa"/>
            <w:tcBorders>
              <w:top w:val="single" w:sz="4" w:space="0" w:color="auto"/>
              <w:left w:val="nil"/>
              <w:bottom w:val="nil"/>
              <w:right w:val="single" w:sz="4" w:space="0" w:color="auto"/>
            </w:tcBorders>
            <w:shd w:val="clear" w:color="000000" w:fill="FFFFFF"/>
            <w:noWrap/>
            <w:vAlign w:val="bottom"/>
            <w:hideMark/>
          </w:tcPr>
          <w:p w:rsidR="00E70204" w:rsidRPr="001F4DB3" w:rsidRDefault="00E70204" w:rsidP="00E70204">
            <w:pPr>
              <w:jc w:val="center"/>
              <w:rPr>
                <w:rFonts w:cs="Calibri"/>
                <w:b/>
                <w:bCs/>
                <w:color w:val="000000"/>
                <w:szCs w:val="20"/>
              </w:rPr>
            </w:pPr>
            <w:r w:rsidRPr="001F4DB3">
              <w:rPr>
                <w:rFonts w:cs="Calibri"/>
                <w:b/>
                <w:bCs/>
                <w:color w:val="000000"/>
                <w:szCs w:val="20"/>
              </w:rPr>
              <w:t>246</w:t>
            </w:r>
          </w:p>
        </w:tc>
      </w:tr>
      <w:tr w:rsidR="00E70204" w:rsidRPr="001F4DB3" w:rsidTr="001F4DB3">
        <w:trPr>
          <w:trHeight w:val="300"/>
        </w:trPr>
        <w:tc>
          <w:tcPr>
            <w:tcW w:w="961"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proofErr w:type="spellStart"/>
            <w:r w:rsidRPr="001F4DB3">
              <w:rPr>
                <w:rFonts w:cs="Calibri"/>
                <w:color w:val="000000"/>
                <w:szCs w:val="20"/>
              </w:rPr>
              <w:t>Н.Новг</w:t>
            </w:r>
            <w:proofErr w:type="spellEnd"/>
            <w:r w:rsidRPr="001F4DB3">
              <w:rPr>
                <w:rFonts w:cs="Calibri"/>
                <w:color w:val="000000"/>
                <w:szCs w:val="20"/>
              </w:rPr>
              <w:t>.</w:t>
            </w:r>
          </w:p>
        </w:tc>
        <w:tc>
          <w:tcPr>
            <w:tcW w:w="1596" w:type="dxa"/>
            <w:tcBorders>
              <w:top w:val="single" w:sz="8" w:space="0" w:color="auto"/>
              <w:left w:val="nil"/>
              <w:bottom w:val="single" w:sz="4" w:space="0" w:color="auto"/>
              <w:right w:val="single" w:sz="4" w:space="0" w:color="auto"/>
            </w:tcBorders>
            <w:shd w:val="clear" w:color="000000" w:fill="FFFFFF"/>
            <w:vAlign w:val="center"/>
            <w:hideMark/>
          </w:tcPr>
          <w:p w:rsidR="00E70204" w:rsidRPr="001F4DB3" w:rsidRDefault="00E70204" w:rsidP="00E70204">
            <w:pPr>
              <w:jc w:val="center"/>
              <w:rPr>
                <w:rFonts w:cs="Calibri"/>
                <w:color w:val="000000"/>
                <w:szCs w:val="20"/>
              </w:rPr>
            </w:pPr>
            <w:r w:rsidRPr="001F4DB3">
              <w:rPr>
                <w:rFonts w:cs="Calibri"/>
                <w:color w:val="000000"/>
                <w:szCs w:val="20"/>
              </w:rPr>
              <w:t>2010-11</w:t>
            </w:r>
          </w:p>
        </w:tc>
        <w:tc>
          <w:tcPr>
            <w:tcW w:w="960" w:type="dxa"/>
            <w:tcBorders>
              <w:top w:val="single" w:sz="8" w:space="0" w:color="auto"/>
              <w:left w:val="nil"/>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325</w:t>
            </w:r>
          </w:p>
        </w:tc>
        <w:tc>
          <w:tcPr>
            <w:tcW w:w="960" w:type="dxa"/>
            <w:tcBorders>
              <w:top w:val="single" w:sz="8" w:space="0" w:color="auto"/>
              <w:left w:val="nil"/>
              <w:bottom w:val="single" w:sz="4" w:space="0" w:color="auto"/>
              <w:right w:val="single" w:sz="8"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263</w:t>
            </w:r>
          </w:p>
        </w:tc>
      </w:tr>
      <w:tr w:rsidR="00E70204" w:rsidRPr="001F4DB3" w:rsidTr="001F4DB3">
        <w:trPr>
          <w:trHeight w:val="300"/>
        </w:trPr>
        <w:tc>
          <w:tcPr>
            <w:tcW w:w="961" w:type="dxa"/>
            <w:tcBorders>
              <w:top w:val="nil"/>
              <w:left w:val="single" w:sz="8" w:space="0" w:color="auto"/>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 </w:t>
            </w:r>
          </w:p>
        </w:tc>
        <w:tc>
          <w:tcPr>
            <w:tcW w:w="15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0204" w:rsidRPr="001F4DB3" w:rsidRDefault="00E70204" w:rsidP="00E70204">
            <w:pPr>
              <w:jc w:val="center"/>
              <w:rPr>
                <w:rFonts w:cs="Calibri"/>
                <w:color w:val="000000"/>
                <w:szCs w:val="20"/>
              </w:rPr>
            </w:pPr>
            <w:r w:rsidRPr="001F4DB3">
              <w:rPr>
                <w:rFonts w:cs="Calibri"/>
                <w:color w:val="000000"/>
                <w:szCs w:val="20"/>
              </w:rPr>
              <w:t>2011-12</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E70204" w:rsidRPr="001F4DB3" w:rsidRDefault="00E70204" w:rsidP="00E70204">
            <w:pPr>
              <w:jc w:val="center"/>
              <w:rPr>
                <w:rFonts w:cs="Calibri"/>
                <w:color w:val="000000"/>
                <w:szCs w:val="20"/>
              </w:rPr>
            </w:pPr>
            <w:r w:rsidRPr="001F4DB3">
              <w:rPr>
                <w:rFonts w:cs="Calibri"/>
                <w:color w:val="000000"/>
                <w:szCs w:val="20"/>
              </w:rPr>
              <w:t>335</w:t>
            </w:r>
          </w:p>
        </w:tc>
        <w:tc>
          <w:tcPr>
            <w:tcW w:w="960" w:type="dxa"/>
            <w:tcBorders>
              <w:top w:val="nil"/>
              <w:left w:val="single" w:sz="4" w:space="0" w:color="auto"/>
              <w:bottom w:val="single" w:sz="4" w:space="0" w:color="auto"/>
              <w:right w:val="single" w:sz="8" w:space="0" w:color="auto"/>
            </w:tcBorders>
            <w:shd w:val="clear" w:color="000000" w:fill="FFFFFF"/>
            <w:noWrap/>
            <w:vAlign w:val="center"/>
            <w:hideMark/>
          </w:tcPr>
          <w:p w:rsidR="00E70204" w:rsidRPr="001F4DB3" w:rsidRDefault="00E70204" w:rsidP="00E70204">
            <w:pPr>
              <w:jc w:val="center"/>
              <w:rPr>
                <w:rFonts w:cs="Calibri"/>
                <w:color w:val="000000"/>
                <w:szCs w:val="20"/>
              </w:rPr>
            </w:pPr>
            <w:r w:rsidRPr="001F4DB3">
              <w:rPr>
                <w:rFonts w:cs="Calibri"/>
                <w:color w:val="000000"/>
                <w:szCs w:val="20"/>
              </w:rPr>
              <w:t>279</w:t>
            </w:r>
          </w:p>
        </w:tc>
      </w:tr>
      <w:tr w:rsidR="00E70204" w:rsidRPr="001F4DB3" w:rsidTr="001F4DB3">
        <w:trPr>
          <w:trHeight w:val="315"/>
        </w:trPr>
        <w:tc>
          <w:tcPr>
            <w:tcW w:w="9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 </w:t>
            </w:r>
          </w:p>
        </w:tc>
        <w:tc>
          <w:tcPr>
            <w:tcW w:w="1596" w:type="dxa"/>
            <w:tcBorders>
              <w:top w:val="single" w:sz="4" w:space="0" w:color="auto"/>
              <w:left w:val="nil"/>
              <w:bottom w:val="single" w:sz="4" w:space="0" w:color="auto"/>
              <w:right w:val="single" w:sz="4" w:space="0" w:color="auto"/>
            </w:tcBorders>
            <w:shd w:val="clear" w:color="000000" w:fill="FFFFFF"/>
            <w:vAlign w:val="center"/>
            <w:hideMark/>
          </w:tcPr>
          <w:p w:rsidR="00E70204" w:rsidRPr="001F4DB3" w:rsidRDefault="00E70204" w:rsidP="00E70204">
            <w:pPr>
              <w:jc w:val="center"/>
              <w:rPr>
                <w:rFonts w:cs="Calibri"/>
                <w:color w:val="000000"/>
                <w:szCs w:val="20"/>
              </w:rPr>
            </w:pPr>
            <w:r w:rsidRPr="001F4DB3">
              <w:rPr>
                <w:rFonts w:cs="Calibri"/>
                <w:color w:val="000000"/>
                <w:szCs w:val="20"/>
              </w:rPr>
              <w:t>2012-13</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331</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249</w:t>
            </w:r>
          </w:p>
        </w:tc>
      </w:tr>
      <w:tr w:rsidR="00E70204" w:rsidRPr="001F4DB3" w:rsidTr="001F4DB3">
        <w:trPr>
          <w:trHeight w:val="300"/>
        </w:trPr>
        <w:tc>
          <w:tcPr>
            <w:tcW w:w="9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Пермь</w:t>
            </w:r>
          </w:p>
        </w:tc>
        <w:tc>
          <w:tcPr>
            <w:tcW w:w="1596" w:type="dxa"/>
            <w:tcBorders>
              <w:top w:val="single" w:sz="4" w:space="0" w:color="auto"/>
              <w:left w:val="nil"/>
              <w:bottom w:val="single" w:sz="4" w:space="0" w:color="auto"/>
              <w:right w:val="single" w:sz="4" w:space="0" w:color="auto"/>
            </w:tcBorders>
            <w:shd w:val="clear" w:color="000000" w:fill="FFFFFF"/>
            <w:vAlign w:val="center"/>
            <w:hideMark/>
          </w:tcPr>
          <w:p w:rsidR="00E70204" w:rsidRPr="001F4DB3" w:rsidRDefault="00E70204" w:rsidP="00E70204">
            <w:pPr>
              <w:jc w:val="center"/>
              <w:rPr>
                <w:rFonts w:cs="Calibri"/>
                <w:color w:val="000000"/>
                <w:szCs w:val="20"/>
              </w:rPr>
            </w:pPr>
            <w:r w:rsidRPr="001F4DB3">
              <w:rPr>
                <w:rFonts w:cs="Calibri"/>
                <w:color w:val="000000"/>
                <w:szCs w:val="20"/>
              </w:rPr>
              <w:t>2010-11</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163</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139</w:t>
            </w:r>
          </w:p>
        </w:tc>
      </w:tr>
      <w:tr w:rsidR="00E70204" w:rsidRPr="001F4DB3" w:rsidTr="001F4DB3">
        <w:trPr>
          <w:trHeight w:val="300"/>
        </w:trPr>
        <w:tc>
          <w:tcPr>
            <w:tcW w:w="9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 </w:t>
            </w:r>
          </w:p>
        </w:tc>
        <w:tc>
          <w:tcPr>
            <w:tcW w:w="1596" w:type="dxa"/>
            <w:tcBorders>
              <w:top w:val="single" w:sz="4" w:space="0" w:color="auto"/>
              <w:left w:val="nil"/>
              <w:bottom w:val="single" w:sz="4" w:space="0" w:color="auto"/>
              <w:right w:val="single" w:sz="4" w:space="0" w:color="auto"/>
            </w:tcBorders>
            <w:shd w:val="clear" w:color="000000" w:fill="FFFFFF"/>
            <w:vAlign w:val="center"/>
            <w:hideMark/>
          </w:tcPr>
          <w:p w:rsidR="00E70204" w:rsidRPr="001F4DB3" w:rsidRDefault="00E70204" w:rsidP="00E70204">
            <w:pPr>
              <w:jc w:val="center"/>
              <w:rPr>
                <w:rFonts w:cs="Calibri"/>
                <w:color w:val="000000"/>
                <w:szCs w:val="20"/>
              </w:rPr>
            </w:pPr>
            <w:r w:rsidRPr="001F4DB3">
              <w:rPr>
                <w:rFonts w:cs="Calibri"/>
                <w:color w:val="000000"/>
                <w:szCs w:val="20"/>
              </w:rPr>
              <w:t>2011-12</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174</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135</w:t>
            </w:r>
          </w:p>
        </w:tc>
      </w:tr>
      <w:tr w:rsidR="00E70204" w:rsidRPr="001F4DB3" w:rsidTr="001F4DB3">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 </w:t>
            </w:r>
          </w:p>
        </w:tc>
        <w:tc>
          <w:tcPr>
            <w:tcW w:w="1596" w:type="dxa"/>
            <w:tcBorders>
              <w:top w:val="nil"/>
              <w:left w:val="nil"/>
              <w:bottom w:val="single" w:sz="4" w:space="0" w:color="auto"/>
              <w:right w:val="single" w:sz="4" w:space="0" w:color="auto"/>
            </w:tcBorders>
            <w:shd w:val="clear" w:color="000000" w:fill="FFFFFF"/>
            <w:vAlign w:val="center"/>
            <w:hideMark/>
          </w:tcPr>
          <w:p w:rsidR="00E70204" w:rsidRPr="001F4DB3" w:rsidRDefault="00E70204" w:rsidP="00E70204">
            <w:pPr>
              <w:jc w:val="center"/>
              <w:rPr>
                <w:rFonts w:cs="Calibri"/>
                <w:color w:val="000000"/>
                <w:szCs w:val="20"/>
              </w:rPr>
            </w:pPr>
            <w:r w:rsidRPr="001F4DB3">
              <w:rPr>
                <w:rFonts w:cs="Calibri"/>
                <w:color w:val="000000"/>
                <w:szCs w:val="20"/>
              </w:rPr>
              <w:t>2012-13</w:t>
            </w:r>
          </w:p>
        </w:tc>
        <w:tc>
          <w:tcPr>
            <w:tcW w:w="960" w:type="dxa"/>
            <w:tcBorders>
              <w:top w:val="nil"/>
              <w:left w:val="nil"/>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183</w:t>
            </w:r>
          </w:p>
        </w:tc>
        <w:tc>
          <w:tcPr>
            <w:tcW w:w="960" w:type="dxa"/>
            <w:tcBorders>
              <w:top w:val="nil"/>
              <w:left w:val="nil"/>
              <w:bottom w:val="single" w:sz="4" w:space="0" w:color="auto"/>
              <w:right w:val="single" w:sz="4" w:space="0" w:color="auto"/>
            </w:tcBorders>
            <w:shd w:val="clear" w:color="000000" w:fill="FFFFFF"/>
            <w:noWrap/>
            <w:vAlign w:val="bottom"/>
            <w:hideMark/>
          </w:tcPr>
          <w:p w:rsidR="00E70204" w:rsidRPr="001F4DB3" w:rsidRDefault="00E70204" w:rsidP="00E70204">
            <w:pPr>
              <w:jc w:val="center"/>
              <w:rPr>
                <w:rFonts w:cs="Calibri"/>
                <w:color w:val="000000"/>
                <w:szCs w:val="20"/>
              </w:rPr>
            </w:pPr>
            <w:r w:rsidRPr="001F4DB3">
              <w:rPr>
                <w:rFonts w:cs="Calibri"/>
                <w:color w:val="000000"/>
                <w:szCs w:val="20"/>
              </w:rPr>
              <w:t>136</w:t>
            </w:r>
          </w:p>
        </w:tc>
      </w:tr>
    </w:tbl>
    <w:p w:rsidR="00E505C3" w:rsidRDefault="00E505C3" w:rsidP="00E70204">
      <w:pPr>
        <w:rPr>
          <w:b/>
        </w:rPr>
      </w:pPr>
    </w:p>
    <w:p w:rsidR="00E70204" w:rsidRPr="004F4F46" w:rsidRDefault="001F4DB3" w:rsidP="00E70204">
      <w:pPr>
        <w:rPr>
          <w:b/>
        </w:rPr>
      </w:pPr>
      <w:r>
        <w:rPr>
          <w:b/>
        </w:rPr>
        <w:lastRenderedPageBreak/>
        <w:t>Диаграмма 8</w:t>
      </w:r>
      <w:r w:rsidR="00E70204" w:rsidRPr="0045381E">
        <w:rPr>
          <w:b/>
        </w:rPr>
        <w:t>.1.2</w:t>
      </w:r>
    </w:p>
    <w:p w:rsidR="00E70204" w:rsidRPr="004F4F46" w:rsidRDefault="00982A49" w:rsidP="00E70204">
      <w:pPr>
        <w:tabs>
          <w:tab w:val="left" w:pos="1064"/>
        </w:tabs>
      </w:pPr>
      <w:r>
        <w:rPr>
          <w:noProof/>
        </w:rPr>
        <w:drawing>
          <wp:inline distT="0" distB="0" distL="0" distR="0">
            <wp:extent cx="6172199" cy="3869872"/>
            <wp:effectExtent l="0" t="0" r="0" b="0"/>
            <wp:docPr id="70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97763" cy="3885900"/>
                    </a:xfrm>
                    <a:prstGeom prst="rect">
                      <a:avLst/>
                    </a:prstGeom>
                    <a:noFill/>
                    <a:ln>
                      <a:noFill/>
                    </a:ln>
                  </pic:spPr>
                </pic:pic>
              </a:graphicData>
            </a:graphic>
          </wp:inline>
        </w:drawing>
      </w:r>
    </w:p>
    <w:p w:rsidR="00E70204" w:rsidRPr="004F4F46" w:rsidRDefault="00E70204" w:rsidP="00E70204">
      <w:pPr>
        <w:jc w:val="both"/>
      </w:pPr>
    </w:p>
    <w:p w:rsidR="00E70204" w:rsidRPr="004F4F46" w:rsidRDefault="00E70204" w:rsidP="00E70204">
      <w:pPr>
        <w:spacing w:after="200" w:line="276" w:lineRule="auto"/>
        <w:jc w:val="both"/>
      </w:pPr>
      <w:r w:rsidRPr="004F4F46">
        <w:t>Прием ППС в 201</w:t>
      </w:r>
      <w:r>
        <w:t>2</w:t>
      </w:r>
      <w:r w:rsidRPr="004F4F46">
        <w:t>/201</w:t>
      </w:r>
      <w:r>
        <w:t>3</w:t>
      </w:r>
      <w:r w:rsidRPr="004F4F46">
        <w:t xml:space="preserve"> учебном году, как штатных, так и совместителей, проходил поэтапно, в соответствии с результатами выбора курсов по выбору и началом проведения занятий в соответствующем модуле.</w:t>
      </w:r>
    </w:p>
    <w:p w:rsidR="00F358E4" w:rsidRPr="00F358E4" w:rsidRDefault="00E70204" w:rsidP="00F358E4">
      <w:pPr>
        <w:spacing w:after="200" w:line="276" w:lineRule="auto"/>
        <w:jc w:val="both"/>
      </w:pPr>
      <w:r w:rsidRPr="004F4F46">
        <w:t xml:space="preserve">Характеристика профессорско-преподавательского состава по численности разных категорий в Москве и филиалах приведена в таблице </w:t>
      </w:r>
      <w:r w:rsidR="001F4DB3">
        <w:t>8</w:t>
      </w:r>
      <w:r>
        <w:t>.</w:t>
      </w:r>
      <w:r w:rsidRPr="004F4F46">
        <w:t>1.</w:t>
      </w:r>
      <w:r>
        <w:t xml:space="preserve">3, </w:t>
      </w:r>
      <w:r w:rsidR="001F4DB3">
        <w:t>на</w:t>
      </w:r>
      <w:r>
        <w:t xml:space="preserve"> диаграмме </w:t>
      </w:r>
      <w:r w:rsidR="001F4DB3">
        <w:t>8</w:t>
      </w:r>
      <w:r>
        <w:t>.1.3 показана доля штатных преподавателей в общем числе ППС.</w:t>
      </w:r>
      <w:r w:rsidRPr="004F4F46">
        <w:t xml:space="preserve"> </w:t>
      </w:r>
    </w:p>
    <w:p w:rsidR="00E70204" w:rsidRPr="004F4F46" w:rsidRDefault="00E70204" w:rsidP="00E70204">
      <w:pPr>
        <w:spacing w:before="240"/>
        <w:jc w:val="both"/>
        <w:rPr>
          <w:b/>
        </w:rPr>
      </w:pPr>
      <w:r w:rsidRPr="004F4F46">
        <w:rPr>
          <w:b/>
        </w:rPr>
        <w:t xml:space="preserve">Таблица </w:t>
      </w:r>
      <w:r w:rsidR="001F4DB3">
        <w:rPr>
          <w:b/>
        </w:rPr>
        <w:t>8</w:t>
      </w:r>
      <w:r w:rsidRPr="004F4F46">
        <w:rPr>
          <w:b/>
        </w:rPr>
        <w:t>.1.</w:t>
      </w:r>
      <w:r>
        <w:rPr>
          <w:b/>
        </w:rPr>
        <w:t>3</w:t>
      </w:r>
    </w:p>
    <w:p w:rsidR="00E70204" w:rsidRDefault="00982A49" w:rsidP="00E70204">
      <w:pPr>
        <w:spacing w:after="200" w:line="276" w:lineRule="auto"/>
        <w:jc w:val="both"/>
      </w:pPr>
      <w:bookmarkStart w:id="57" w:name="_MON_1444565928"/>
      <w:bookmarkStart w:id="58" w:name="_MON_1444565849"/>
      <w:bookmarkStart w:id="59" w:name="_MON_1444565890"/>
      <w:bookmarkEnd w:id="57"/>
      <w:bookmarkEnd w:id="58"/>
      <w:bookmarkEnd w:id="59"/>
      <w:r>
        <w:rPr>
          <w:noProof/>
        </w:rPr>
        <w:drawing>
          <wp:inline distT="0" distB="0" distL="0" distR="0">
            <wp:extent cx="5921476" cy="2383971"/>
            <wp:effectExtent l="0" t="0" r="3175" b="0"/>
            <wp:docPr id="70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8890" cy="2395008"/>
                    </a:xfrm>
                    <a:prstGeom prst="rect">
                      <a:avLst/>
                    </a:prstGeom>
                    <a:noFill/>
                    <a:ln>
                      <a:noFill/>
                    </a:ln>
                  </pic:spPr>
                </pic:pic>
              </a:graphicData>
            </a:graphic>
          </wp:inline>
        </w:drawing>
      </w:r>
    </w:p>
    <w:p w:rsidR="00E505C3" w:rsidRDefault="00E505C3" w:rsidP="00E70204">
      <w:pPr>
        <w:spacing w:before="240"/>
        <w:jc w:val="both"/>
        <w:rPr>
          <w:b/>
        </w:rPr>
      </w:pPr>
    </w:p>
    <w:p w:rsidR="00E505C3" w:rsidRDefault="00E505C3" w:rsidP="00E70204">
      <w:pPr>
        <w:spacing w:before="240"/>
        <w:jc w:val="both"/>
        <w:rPr>
          <w:b/>
        </w:rPr>
      </w:pPr>
    </w:p>
    <w:p w:rsidR="00E70204" w:rsidRPr="00684485" w:rsidRDefault="001F4DB3" w:rsidP="00E70204">
      <w:pPr>
        <w:spacing w:before="240"/>
        <w:jc w:val="both"/>
        <w:rPr>
          <w:b/>
        </w:rPr>
      </w:pPr>
      <w:r>
        <w:rPr>
          <w:b/>
        </w:rPr>
        <w:lastRenderedPageBreak/>
        <w:t>Диаграмма 8</w:t>
      </w:r>
      <w:r w:rsidR="00E70204" w:rsidRPr="00684485">
        <w:rPr>
          <w:b/>
        </w:rPr>
        <w:t>.1.3.</w:t>
      </w:r>
    </w:p>
    <w:p w:rsidR="00E70204" w:rsidRDefault="00E70204" w:rsidP="00E70204">
      <w:pPr>
        <w:spacing w:after="200" w:line="276" w:lineRule="auto"/>
        <w:jc w:val="both"/>
      </w:pPr>
      <w:r>
        <w:rPr>
          <w:noProof/>
        </w:rPr>
        <w:drawing>
          <wp:inline distT="0" distB="0" distL="0" distR="0">
            <wp:extent cx="5601335" cy="3475990"/>
            <wp:effectExtent l="0" t="0" r="12065" b="381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E70204" w:rsidRDefault="00E70204" w:rsidP="00E70204">
      <w:pPr>
        <w:spacing w:after="200" w:line="276" w:lineRule="auto"/>
        <w:jc w:val="both"/>
      </w:pPr>
      <w:r w:rsidRPr="00861A44">
        <w:t>Всего в НИУ ВШЭ в Москве в 2012/2013 учебном году работали:  510  (19%) докторов наук и профессоров – на 105 человек больше, чем в прошлом году, 1317 (49%) кандидатов наук, доцентов – рост на 309 человек, и преподавателей без ученой степени и звания  878  (32%) – рост на 166 человек.</w:t>
      </w:r>
      <w:r>
        <w:t xml:space="preserve"> </w:t>
      </w:r>
    </w:p>
    <w:p w:rsidR="00E70204" w:rsidRDefault="00E70204" w:rsidP="00E70204">
      <w:pPr>
        <w:spacing w:after="200" w:line="276" w:lineRule="auto"/>
        <w:jc w:val="both"/>
      </w:pPr>
      <w:r w:rsidRPr="00861A44">
        <w:t xml:space="preserve">Всего профессорско-преподавательский состав НИУ ВШЭ Москвы с учеными степенями и званиями составил 1827 человек (67,5%) (по отношению к общей численности это превышает лицензионный показатель на 7,5%). </w:t>
      </w:r>
      <w:r w:rsidRPr="004F4F46">
        <w:t xml:space="preserve"> </w:t>
      </w:r>
    </w:p>
    <w:p w:rsidR="00E70204" w:rsidRDefault="00E70204" w:rsidP="00E70204">
      <w:pPr>
        <w:spacing w:after="200" w:line="276" w:lineRule="auto"/>
        <w:jc w:val="both"/>
      </w:pPr>
      <w:r>
        <w:t>В т</w:t>
      </w:r>
      <w:r w:rsidRPr="00846BE8">
        <w:t>аблиц</w:t>
      </w:r>
      <w:r>
        <w:t>е</w:t>
      </w:r>
      <w:r w:rsidR="001F4DB3">
        <w:t xml:space="preserve"> 8</w:t>
      </w:r>
      <w:r w:rsidRPr="00846BE8">
        <w:t>.1.</w:t>
      </w:r>
      <w:r>
        <w:t>4</w:t>
      </w:r>
      <w:r w:rsidRPr="00846BE8">
        <w:t xml:space="preserve"> </w:t>
      </w:r>
      <w:r w:rsidR="001F4DB3">
        <w:t>и на диаграмме 8</w:t>
      </w:r>
      <w:r>
        <w:t>.1.4 показано р</w:t>
      </w:r>
      <w:r w:rsidRPr="00846BE8">
        <w:t xml:space="preserve">аспределение </w:t>
      </w:r>
      <w:r>
        <w:t xml:space="preserve">всех </w:t>
      </w:r>
      <w:r w:rsidRPr="00846BE8">
        <w:t>преподавателей</w:t>
      </w:r>
      <w:r>
        <w:t>, включая совместителей,</w:t>
      </w:r>
      <w:r w:rsidR="001F4DB3">
        <w:t xml:space="preserve"> по должностям в Москве и филиалах в 2012/13 учебном году</w:t>
      </w:r>
      <w:r>
        <w:t>.</w:t>
      </w:r>
    </w:p>
    <w:tbl>
      <w:tblPr>
        <w:tblW w:w="9380" w:type="dxa"/>
        <w:tblInd w:w="93" w:type="dxa"/>
        <w:tblLook w:val="04A0" w:firstRow="1" w:lastRow="0" w:firstColumn="1" w:lastColumn="0" w:noHBand="0" w:noVBand="1"/>
      </w:tblPr>
      <w:tblGrid>
        <w:gridCol w:w="2858"/>
        <w:gridCol w:w="815"/>
        <w:gridCol w:w="874"/>
        <w:gridCol w:w="737"/>
        <w:gridCol w:w="874"/>
        <w:gridCol w:w="737"/>
        <w:gridCol w:w="874"/>
        <w:gridCol w:w="737"/>
        <w:gridCol w:w="874"/>
      </w:tblGrid>
      <w:tr w:rsidR="001F4DB3" w:rsidRPr="00846BE8" w:rsidTr="001F4DB3">
        <w:trPr>
          <w:trHeight w:val="489"/>
        </w:trPr>
        <w:tc>
          <w:tcPr>
            <w:tcW w:w="2858" w:type="dxa"/>
            <w:tcBorders>
              <w:top w:val="nil"/>
              <w:left w:val="nil"/>
              <w:bottom w:val="nil"/>
              <w:right w:val="nil"/>
            </w:tcBorders>
            <w:shd w:val="clear" w:color="auto" w:fill="auto"/>
            <w:noWrap/>
            <w:vAlign w:val="bottom"/>
            <w:hideMark/>
          </w:tcPr>
          <w:p w:rsidR="00E70204" w:rsidRDefault="00E70204" w:rsidP="00E70204">
            <w:pPr>
              <w:jc w:val="center"/>
              <w:rPr>
                <w:rFonts w:cs="Calibri"/>
                <w:b/>
                <w:bCs/>
                <w:color w:val="000000"/>
              </w:rPr>
            </w:pPr>
            <w:r w:rsidRPr="00846BE8">
              <w:rPr>
                <w:rFonts w:cs="Calibri"/>
                <w:b/>
                <w:bCs/>
                <w:color w:val="000000"/>
              </w:rPr>
              <w:t xml:space="preserve">Таблица </w:t>
            </w:r>
            <w:r w:rsidR="001F4DB3">
              <w:rPr>
                <w:rFonts w:cs="Calibri"/>
                <w:b/>
                <w:bCs/>
                <w:color w:val="000000"/>
              </w:rPr>
              <w:t>8</w:t>
            </w:r>
            <w:r w:rsidRPr="00846BE8">
              <w:rPr>
                <w:rFonts w:cs="Calibri"/>
                <w:b/>
                <w:bCs/>
                <w:color w:val="000000"/>
              </w:rPr>
              <w:t>.1.</w:t>
            </w:r>
            <w:r>
              <w:rPr>
                <w:rFonts w:cs="Calibri"/>
                <w:b/>
                <w:bCs/>
                <w:color w:val="000000"/>
              </w:rPr>
              <w:t>4</w:t>
            </w:r>
          </w:p>
          <w:p w:rsidR="00E70204" w:rsidRPr="00846BE8" w:rsidRDefault="00E70204" w:rsidP="00E70204">
            <w:pPr>
              <w:jc w:val="center"/>
              <w:rPr>
                <w:rFonts w:cs="Calibri"/>
                <w:b/>
                <w:bCs/>
                <w:color w:val="000000"/>
              </w:rPr>
            </w:pPr>
          </w:p>
        </w:tc>
        <w:tc>
          <w:tcPr>
            <w:tcW w:w="815" w:type="dxa"/>
            <w:tcBorders>
              <w:top w:val="nil"/>
              <w:left w:val="nil"/>
              <w:bottom w:val="nil"/>
              <w:right w:val="nil"/>
            </w:tcBorders>
            <w:shd w:val="clear" w:color="auto" w:fill="auto"/>
            <w:noWrap/>
            <w:vAlign w:val="bottom"/>
            <w:hideMark/>
          </w:tcPr>
          <w:p w:rsidR="00E70204" w:rsidRPr="00846BE8" w:rsidRDefault="00E70204" w:rsidP="00E70204">
            <w:pPr>
              <w:jc w:val="center"/>
              <w:rPr>
                <w:rFonts w:cs="Calibri"/>
                <w:color w:val="000000"/>
                <w:sz w:val="20"/>
                <w:szCs w:val="20"/>
              </w:rPr>
            </w:pPr>
          </w:p>
        </w:tc>
        <w:tc>
          <w:tcPr>
            <w:tcW w:w="874" w:type="dxa"/>
            <w:tcBorders>
              <w:top w:val="nil"/>
              <w:left w:val="nil"/>
              <w:bottom w:val="nil"/>
              <w:right w:val="nil"/>
            </w:tcBorders>
            <w:shd w:val="clear" w:color="000000" w:fill="FFFFFF"/>
            <w:noWrap/>
            <w:vAlign w:val="bottom"/>
          </w:tcPr>
          <w:p w:rsidR="00E70204" w:rsidRPr="00846BE8" w:rsidRDefault="00E70204" w:rsidP="00E70204">
            <w:pPr>
              <w:jc w:val="center"/>
              <w:rPr>
                <w:rFonts w:cs="Calibri"/>
                <w:color w:val="000000"/>
                <w:sz w:val="20"/>
                <w:szCs w:val="20"/>
              </w:rPr>
            </w:pPr>
          </w:p>
        </w:tc>
        <w:tc>
          <w:tcPr>
            <w:tcW w:w="737" w:type="dxa"/>
            <w:tcBorders>
              <w:top w:val="nil"/>
              <w:left w:val="nil"/>
              <w:bottom w:val="nil"/>
              <w:right w:val="nil"/>
            </w:tcBorders>
            <w:shd w:val="clear" w:color="auto" w:fill="auto"/>
            <w:noWrap/>
            <w:vAlign w:val="bottom"/>
            <w:hideMark/>
          </w:tcPr>
          <w:p w:rsidR="00E70204" w:rsidRPr="00846BE8" w:rsidRDefault="00E70204" w:rsidP="00E70204">
            <w:pPr>
              <w:jc w:val="center"/>
              <w:rPr>
                <w:rFonts w:cs="Calibri"/>
                <w:color w:val="000000"/>
                <w:sz w:val="20"/>
                <w:szCs w:val="20"/>
              </w:rPr>
            </w:pPr>
          </w:p>
        </w:tc>
        <w:tc>
          <w:tcPr>
            <w:tcW w:w="874" w:type="dxa"/>
            <w:tcBorders>
              <w:top w:val="nil"/>
              <w:left w:val="nil"/>
              <w:bottom w:val="nil"/>
              <w:right w:val="nil"/>
            </w:tcBorders>
            <w:shd w:val="clear" w:color="auto" w:fill="auto"/>
            <w:noWrap/>
            <w:vAlign w:val="bottom"/>
            <w:hideMark/>
          </w:tcPr>
          <w:p w:rsidR="00E70204" w:rsidRPr="00846BE8" w:rsidRDefault="00E70204" w:rsidP="00E70204">
            <w:pPr>
              <w:jc w:val="center"/>
              <w:rPr>
                <w:rFonts w:cs="Calibri"/>
                <w:color w:val="000000"/>
                <w:sz w:val="20"/>
                <w:szCs w:val="20"/>
              </w:rPr>
            </w:pPr>
          </w:p>
        </w:tc>
        <w:tc>
          <w:tcPr>
            <w:tcW w:w="737" w:type="dxa"/>
            <w:tcBorders>
              <w:top w:val="nil"/>
              <w:left w:val="nil"/>
              <w:bottom w:val="nil"/>
              <w:right w:val="nil"/>
            </w:tcBorders>
            <w:shd w:val="clear" w:color="auto" w:fill="auto"/>
            <w:noWrap/>
            <w:vAlign w:val="bottom"/>
            <w:hideMark/>
          </w:tcPr>
          <w:p w:rsidR="00E70204" w:rsidRPr="00846BE8" w:rsidRDefault="00E70204" w:rsidP="00E70204">
            <w:pPr>
              <w:jc w:val="center"/>
              <w:rPr>
                <w:rFonts w:cs="Calibri"/>
                <w:color w:val="000000"/>
                <w:sz w:val="20"/>
                <w:szCs w:val="20"/>
              </w:rPr>
            </w:pPr>
          </w:p>
        </w:tc>
        <w:tc>
          <w:tcPr>
            <w:tcW w:w="874" w:type="dxa"/>
            <w:tcBorders>
              <w:top w:val="nil"/>
              <w:left w:val="nil"/>
              <w:bottom w:val="nil"/>
              <w:right w:val="nil"/>
            </w:tcBorders>
            <w:shd w:val="clear" w:color="auto" w:fill="auto"/>
            <w:noWrap/>
            <w:vAlign w:val="bottom"/>
            <w:hideMark/>
          </w:tcPr>
          <w:p w:rsidR="00E70204" w:rsidRPr="00846BE8" w:rsidRDefault="00E70204" w:rsidP="00E70204">
            <w:pPr>
              <w:jc w:val="center"/>
              <w:rPr>
                <w:rFonts w:cs="Calibri"/>
                <w:color w:val="000000"/>
                <w:sz w:val="20"/>
                <w:szCs w:val="20"/>
              </w:rPr>
            </w:pPr>
          </w:p>
        </w:tc>
        <w:tc>
          <w:tcPr>
            <w:tcW w:w="737" w:type="dxa"/>
            <w:tcBorders>
              <w:top w:val="nil"/>
              <w:left w:val="nil"/>
              <w:bottom w:val="nil"/>
              <w:right w:val="nil"/>
            </w:tcBorders>
            <w:shd w:val="clear" w:color="auto" w:fill="auto"/>
            <w:noWrap/>
            <w:vAlign w:val="bottom"/>
            <w:hideMark/>
          </w:tcPr>
          <w:p w:rsidR="00E70204" w:rsidRPr="00846BE8" w:rsidRDefault="00E70204" w:rsidP="00E70204">
            <w:pPr>
              <w:jc w:val="center"/>
              <w:rPr>
                <w:rFonts w:cs="Calibri"/>
                <w:color w:val="000000"/>
                <w:sz w:val="20"/>
                <w:szCs w:val="20"/>
              </w:rPr>
            </w:pPr>
          </w:p>
        </w:tc>
        <w:tc>
          <w:tcPr>
            <w:tcW w:w="874" w:type="dxa"/>
            <w:tcBorders>
              <w:top w:val="nil"/>
              <w:left w:val="nil"/>
              <w:bottom w:val="nil"/>
              <w:right w:val="nil"/>
            </w:tcBorders>
            <w:shd w:val="clear" w:color="auto" w:fill="auto"/>
            <w:noWrap/>
            <w:vAlign w:val="bottom"/>
            <w:hideMark/>
          </w:tcPr>
          <w:p w:rsidR="00E70204" w:rsidRPr="00846BE8" w:rsidRDefault="00E70204" w:rsidP="00E70204">
            <w:pPr>
              <w:rPr>
                <w:rFonts w:cs="Calibri"/>
                <w:color w:val="000000"/>
                <w:sz w:val="22"/>
                <w:szCs w:val="22"/>
              </w:rPr>
            </w:pPr>
          </w:p>
        </w:tc>
      </w:tr>
      <w:tr w:rsidR="001F4DB3" w:rsidRPr="00846BE8" w:rsidTr="001F4DB3">
        <w:trPr>
          <w:trHeight w:val="466"/>
        </w:trPr>
        <w:tc>
          <w:tcPr>
            <w:tcW w:w="2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0204" w:rsidRPr="00E161DC" w:rsidRDefault="001F4DB3" w:rsidP="00E70204">
            <w:pPr>
              <w:jc w:val="center"/>
              <w:rPr>
                <w:rFonts w:cs="Calibri"/>
                <w:color w:val="000000"/>
                <w:sz w:val="22"/>
                <w:szCs w:val="22"/>
              </w:rPr>
            </w:pPr>
            <w:r>
              <w:rPr>
                <w:rFonts w:cs="Calibri"/>
                <w:color w:val="000000"/>
                <w:sz w:val="22"/>
                <w:szCs w:val="22"/>
              </w:rPr>
              <w:t>Должность</w:t>
            </w:r>
          </w:p>
        </w:tc>
        <w:tc>
          <w:tcPr>
            <w:tcW w:w="1689" w:type="dxa"/>
            <w:gridSpan w:val="2"/>
            <w:tcBorders>
              <w:top w:val="single" w:sz="4" w:space="0" w:color="auto"/>
              <w:left w:val="nil"/>
              <w:bottom w:val="single" w:sz="4" w:space="0" w:color="auto"/>
              <w:right w:val="single" w:sz="4" w:space="0" w:color="auto"/>
            </w:tcBorders>
            <w:shd w:val="clear" w:color="000000" w:fill="FFFFFF"/>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Москва</w:t>
            </w:r>
          </w:p>
        </w:tc>
        <w:tc>
          <w:tcPr>
            <w:tcW w:w="1611" w:type="dxa"/>
            <w:gridSpan w:val="2"/>
            <w:tcBorders>
              <w:top w:val="single" w:sz="4" w:space="0" w:color="auto"/>
              <w:left w:val="nil"/>
              <w:bottom w:val="single" w:sz="4" w:space="0" w:color="auto"/>
              <w:right w:val="single" w:sz="4" w:space="0" w:color="auto"/>
            </w:tcBorders>
            <w:shd w:val="clear" w:color="000000" w:fill="FFFFFF"/>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С-Пб</w:t>
            </w:r>
          </w:p>
        </w:tc>
        <w:tc>
          <w:tcPr>
            <w:tcW w:w="1611" w:type="dxa"/>
            <w:gridSpan w:val="2"/>
            <w:tcBorders>
              <w:top w:val="single" w:sz="4" w:space="0" w:color="auto"/>
              <w:left w:val="nil"/>
              <w:bottom w:val="single" w:sz="4" w:space="0" w:color="auto"/>
              <w:right w:val="single" w:sz="4" w:space="0" w:color="auto"/>
            </w:tcBorders>
            <w:shd w:val="clear" w:color="000000" w:fill="FFFFFF"/>
            <w:vAlign w:val="bottom"/>
            <w:hideMark/>
          </w:tcPr>
          <w:p w:rsidR="00E70204" w:rsidRPr="00E161DC" w:rsidRDefault="00E70204" w:rsidP="00E70204">
            <w:pPr>
              <w:jc w:val="center"/>
              <w:rPr>
                <w:rFonts w:cs="Calibri"/>
                <w:color w:val="000000"/>
                <w:sz w:val="22"/>
                <w:szCs w:val="22"/>
              </w:rPr>
            </w:pPr>
            <w:proofErr w:type="spellStart"/>
            <w:r w:rsidRPr="00E161DC">
              <w:rPr>
                <w:rFonts w:cs="Calibri"/>
                <w:color w:val="000000"/>
                <w:sz w:val="22"/>
                <w:szCs w:val="22"/>
              </w:rPr>
              <w:t>Н.Новг</w:t>
            </w:r>
            <w:proofErr w:type="spellEnd"/>
            <w:r w:rsidRPr="00E161DC">
              <w:rPr>
                <w:rFonts w:cs="Calibri"/>
                <w:color w:val="000000"/>
                <w:sz w:val="22"/>
                <w:szCs w:val="22"/>
              </w:rPr>
              <w:t>.</w:t>
            </w:r>
          </w:p>
        </w:tc>
        <w:tc>
          <w:tcPr>
            <w:tcW w:w="1611" w:type="dxa"/>
            <w:gridSpan w:val="2"/>
            <w:tcBorders>
              <w:top w:val="single" w:sz="4" w:space="0" w:color="auto"/>
              <w:left w:val="nil"/>
              <w:bottom w:val="single" w:sz="4" w:space="0" w:color="auto"/>
              <w:right w:val="single" w:sz="4" w:space="0" w:color="auto"/>
            </w:tcBorders>
            <w:shd w:val="clear" w:color="000000" w:fill="FFFFFF"/>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Пермь</w:t>
            </w:r>
          </w:p>
        </w:tc>
      </w:tr>
      <w:tr w:rsidR="001F4DB3" w:rsidRPr="00846BE8" w:rsidTr="001F4DB3">
        <w:trPr>
          <w:trHeight w:val="466"/>
        </w:trPr>
        <w:tc>
          <w:tcPr>
            <w:tcW w:w="2858" w:type="dxa"/>
            <w:tcBorders>
              <w:top w:val="nil"/>
              <w:left w:val="single" w:sz="4" w:space="0" w:color="auto"/>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sz w:val="22"/>
                <w:szCs w:val="22"/>
              </w:rPr>
            </w:pPr>
            <w:r w:rsidRPr="00E161DC">
              <w:rPr>
                <w:rFonts w:cs="Calibri"/>
                <w:sz w:val="22"/>
                <w:szCs w:val="22"/>
              </w:rPr>
              <w:t>профессора</w:t>
            </w:r>
          </w:p>
        </w:tc>
        <w:tc>
          <w:tcPr>
            <w:tcW w:w="815"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729</w:t>
            </w:r>
          </w:p>
        </w:tc>
        <w:tc>
          <w:tcPr>
            <w:tcW w:w="874"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27%</w:t>
            </w:r>
          </w:p>
        </w:tc>
        <w:tc>
          <w:tcPr>
            <w:tcW w:w="737" w:type="dxa"/>
            <w:tcBorders>
              <w:top w:val="nil"/>
              <w:left w:val="nil"/>
              <w:bottom w:val="single" w:sz="4" w:space="0" w:color="auto"/>
              <w:right w:val="single" w:sz="4" w:space="0" w:color="auto"/>
            </w:tcBorders>
            <w:shd w:val="clear" w:color="000000" w:fill="FFFFFF"/>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65</w:t>
            </w:r>
          </w:p>
        </w:tc>
        <w:tc>
          <w:tcPr>
            <w:tcW w:w="874"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21%</w:t>
            </w:r>
          </w:p>
        </w:tc>
        <w:tc>
          <w:tcPr>
            <w:tcW w:w="737" w:type="dxa"/>
            <w:tcBorders>
              <w:top w:val="nil"/>
              <w:left w:val="nil"/>
              <w:bottom w:val="single" w:sz="4" w:space="0" w:color="auto"/>
              <w:right w:val="single" w:sz="4" w:space="0" w:color="auto"/>
            </w:tcBorders>
            <w:shd w:val="clear" w:color="000000" w:fill="FFFFFF"/>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46</w:t>
            </w:r>
          </w:p>
        </w:tc>
        <w:tc>
          <w:tcPr>
            <w:tcW w:w="874"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14%</w:t>
            </w:r>
          </w:p>
        </w:tc>
        <w:tc>
          <w:tcPr>
            <w:tcW w:w="737" w:type="dxa"/>
            <w:tcBorders>
              <w:top w:val="nil"/>
              <w:left w:val="nil"/>
              <w:bottom w:val="single" w:sz="4" w:space="0" w:color="auto"/>
              <w:right w:val="single" w:sz="4" w:space="0" w:color="auto"/>
            </w:tcBorders>
            <w:shd w:val="clear" w:color="000000" w:fill="FFFFFF"/>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15</w:t>
            </w:r>
          </w:p>
        </w:tc>
        <w:tc>
          <w:tcPr>
            <w:tcW w:w="874"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8%</w:t>
            </w:r>
          </w:p>
        </w:tc>
      </w:tr>
      <w:tr w:rsidR="001F4DB3" w:rsidRPr="00846BE8" w:rsidTr="001F4DB3">
        <w:trPr>
          <w:trHeight w:val="466"/>
        </w:trPr>
        <w:tc>
          <w:tcPr>
            <w:tcW w:w="2858" w:type="dxa"/>
            <w:tcBorders>
              <w:top w:val="nil"/>
              <w:left w:val="single" w:sz="4" w:space="0" w:color="auto"/>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sz w:val="22"/>
                <w:szCs w:val="22"/>
              </w:rPr>
            </w:pPr>
            <w:r w:rsidRPr="00E161DC">
              <w:rPr>
                <w:rFonts w:cs="Calibri"/>
                <w:sz w:val="22"/>
                <w:szCs w:val="22"/>
              </w:rPr>
              <w:t>доценты</w:t>
            </w:r>
          </w:p>
        </w:tc>
        <w:tc>
          <w:tcPr>
            <w:tcW w:w="815"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1105</w:t>
            </w:r>
          </w:p>
        </w:tc>
        <w:tc>
          <w:tcPr>
            <w:tcW w:w="874"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41%</w:t>
            </w:r>
          </w:p>
        </w:tc>
        <w:tc>
          <w:tcPr>
            <w:tcW w:w="737" w:type="dxa"/>
            <w:tcBorders>
              <w:top w:val="nil"/>
              <w:left w:val="nil"/>
              <w:bottom w:val="single" w:sz="4" w:space="0" w:color="auto"/>
              <w:right w:val="single" w:sz="4" w:space="0" w:color="auto"/>
            </w:tcBorders>
            <w:shd w:val="clear" w:color="000000" w:fill="FFFFFF"/>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129</w:t>
            </w:r>
          </w:p>
        </w:tc>
        <w:tc>
          <w:tcPr>
            <w:tcW w:w="874"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41%</w:t>
            </w:r>
          </w:p>
        </w:tc>
        <w:tc>
          <w:tcPr>
            <w:tcW w:w="737" w:type="dxa"/>
            <w:tcBorders>
              <w:top w:val="nil"/>
              <w:left w:val="nil"/>
              <w:bottom w:val="single" w:sz="4" w:space="0" w:color="auto"/>
              <w:right w:val="single" w:sz="4" w:space="0" w:color="auto"/>
            </w:tcBorders>
            <w:shd w:val="clear" w:color="000000" w:fill="FFFFFF"/>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155</w:t>
            </w:r>
          </w:p>
        </w:tc>
        <w:tc>
          <w:tcPr>
            <w:tcW w:w="874"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47%</w:t>
            </w:r>
          </w:p>
        </w:tc>
        <w:tc>
          <w:tcPr>
            <w:tcW w:w="737" w:type="dxa"/>
            <w:tcBorders>
              <w:top w:val="nil"/>
              <w:left w:val="nil"/>
              <w:bottom w:val="single" w:sz="4" w:space="0" w:color="auto"/>
              <w:right w:val="single" w:sz="4" w:space="0" w:color="auto"/>
            </w:tcBorders>
            <w:shd w:val="clear" w:color="000000" w:fill="FFFFFF"/>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97</w:t>
            </w:r>
          </w:p>
        </w:tc>
        <w:tc>
          <w:tcPr>
            <w:tcW w:w="874"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53%</w:t>
            </w:r>
          </w:p>
        </w:tc>
      </w:tr>
      <w:tr w:rsidR="001F4DB3" w:rsidRPr="00846BE8" w:rsidTr="001F4DB3">
        <w:trPr>
          <w:trHeight w:val="466"/>
        </w:trPr>
        <w:tc>
          <w:tcPr>
            <w:tcW w:w="2858" w:type="dxa"/>
            <w:tcBorders>
              <w:top w:val="nil"/>
              <w:left w:val="single" w:sz="4" w:space="0" w:color="auto"/>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sz w:val="22"/>
                <w:szCs w:val="22"/>
              </w:rPr>
            </w:pPr>
            <w:r w:rsidRPr="00E161DC">
              <w:rPr>
                <w:rFonts w:cs="Calibri"/>
                <w:sz w:val="22"/>
                <w:szCs w:val="22"/>
              </w:rPr>
              <w:t>старшие преподаватели</w:t>
            </w:r>
          </w:p>
        </w:tc>
        <w:tc>
          <w:tcPr>
            <w:tcW w:w="815"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464</w:t>
            </w:r>
          </w:p>
        </w:tc>
        <w:tc>
          <w:tcPr>
            <w:tcW w:w="874"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17%</w:t>
            </w:r>
          </w:p>
        </w:tc>
        <w:tc>
          <w:tcPr>
            <w:tcW w:w="737" w:type="dxa"/>
            <w:tcBorders>
              <w:top w:val="nil"/>
              <w:left w:val="nil"/>
              <w:bottom w:val="single" w:sz="4" w:space="0" w:color="auto"/>
              <w:right w:val="single" w:sz="4" w:space="0" w:color="auto"/>
            </w:tcBorders>
            <w:shd w:val="clear" w:color="000000" w:fill="FFFFFF"/>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81</w:t>
            </w:r>
          </w:p>
        </w:tc>
        <w:tc>
          <w:tcPr>
            <w:tcW w:w="874"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26%</w:t>
            </w:r>
          </w:p>
        </w:tc>
        <w:tc>
          <w:tcPr>
            <w:tcW w:w="737" w:type="dxa"/>
            <w:tcBorders>
              <w:top w:val="nil"/>
              <w:left w:val="nil"/>
              <w:bottom w:val="single" w:sz="4" w:space="0" w:color="auto"/>
              <w:right w:val="single" w:sz="4" w:space="0" w:color="auto"/>
            </w:tcBorders>
            <w:shd w:val="clear" w:color="000000" w:fill="FFFFFF"/>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77</w:t>
            </w:r>
          </w:p>
        </w:tc>
        <w:tc>
          <w:tcPr>
            <w:tcW w:w="874"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23%</w:t>
            </w:r>
          </w:p>
        </w:tc>
        <w:tc>
          <w:tcPr>
            <w:tcW w:w="737" w:type="dxa"/>
            <w:tcBorders>
              <w:top w:val="nil"/>
              <w:left w:val="nil"/>
              <w:bottom w:val="single" w:sz="4" w:space="0" w:color="auto"/>
              <w:right w:val="single" w:sz="4" w:space="0" w:color="auto"/>
            </w:tcBorders>
            <w:shd w:val="clear" w:color="000000" w:fill="FFFFFF"/>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40</w:t>
            </w:r>
          </w:p>
        </w:tc>
        <w:tc>
          <w:tcPr>
            <w:tcW w:w="874"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22%</w:t>
            </w:r>
          </w:p>
        </w:tc>
      </w:tr>
      <w:tr w:rsidR="001F4DB3" w:rsidRPr="00846BE8" w:rsidTr="001F4DB3">
        <w:trPr>
          <w:trHeight w:val="466"/>
        </w:trPr>
        <w:tc>
          <w:tcPr>
            <w:tcW w:w="2858" w:type="dxa"/>
            <w:tcBorders>
              <w:top w:val="nil"/>
              <w:left w:val="single" w:sz="4" w:space="0" w:color="auto"/>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sz w:val="22"/>
                <w:szCs w:val="22"/>
              </w:rPr>
            </w:pPr>
            <w:r w:rsidRPr="00E161DC">
              <w:rPr>
                <w:rFonts w:cs="Calibri"/>
                <w:sz w:val="22"/>
                <w:szCs w:val="22"/>
              </w:rPr>
              <w:t>преподаватели, асс.</w:t>
            </w:r>
          </w:p>
        </w:tc>
        <w:tc>
          <w:tcPr>
            <w:tcW w:w="815"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407</w:t>
            </w:r>
          </w:p>
        </w:tc>
        <w:tc>
          <w:tcPr>
            <w:tcW w:w="874"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15%</w:t>
            </w:r>
          </w:p>
        </w:tc>
        <w:tc>
          <w:tcPr>
            <w:tcW w:w="737" w:type="dxa"/>
            <w:tcBorders>
              <w:top w:val="nil"/>
              <w:left w:val="nil"/>
              <w:bottom w:val="single" w:sz="4" w:space="0" w:color="auto"/>
              <w:right w:val="single" w:sz="4" w:space="0" w:color="auto"/>
            </w:tcBorders>
            <w:shd w:val="clear" w:color="000000" w:fill="FFFFFF"/>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38</w:t>
            </w:r>
          </w:p>
        </w:tc>
        <w:tc>
          <w:tcPr>
            <w:tcW w:w="874"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12%</w:t>
            </w:r>
          </w:p>
        </w:tc>
        <w:tc>
          <w:tcPr>
            <w:tcW w:w="737" w:type="dxa"/>
            <w:tcBorders>
              <w:top w:val="nil"/>
              <w:left w:val="nil"/>
              <w:bottom w:val="single" w:sz="4" w:space="0" w:color="auto"/>
              <w:right w:val="single" w:sz="4" w:space="0" w:color="auto"/>
            </w:tcBorders>
            <w:shd w:val="clear" w:color="000000" w:fill="FFFFFF"/>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53</w:t>
            </w:r>
          </w:p>
        </w:tc>
        <w:tc>
          <w:tcPr>
            <w:tcW w:w="874"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16%</w:t>
            </w:r>
          </w:p>
        </w:tc>
        <w:tc>
          <w:tcPr>
            <w:tcW w:w="737" w:type="dxa"/>
            <w:tcBorders>
              <w:top w:val="nil"/>
              <w:left w:val="nil"/>
              <w:bottom w:val="single" w:sz="4" w:space="0" w:color="auto"/>
              <w:right w:val="single" w:sz="4" w:space="0" w:color="auto"/>
            </w:tcBorders>
            <w:shd w:val="clear" w:color="000000" w:fill="FFFFFF"/>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31</w:t>
            </w:r>
          </w:p>
        </w:tc>
        <w:tc>
          <w:tcPr>
            <w:tcW w:w="874"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17%</w:t>
            </w:r>
          </w:p>
        </w:tc>
      </w:tr>
      <w:tr w:rsidR="001F4DB3" w:rsidRPr="00846BE8" w:rsidTr="001F4DB3">
        <w:trPr>
          <w:trHeight w:val="466"/>
        </w:trPr>
        <w:tc>
          <w:tcPr>
            <w:tcW w:w="2858" w:type="dxa"/>
            <w:tcBorders>
              <w:top w:val="nil"/>
              <w:left w:val="single" w:sz="4" w:space="0" w:color="auto"/>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b/>
                <w:color w:val="000000"/>
                <w:sz w:val="22"/>
                <w:szCs w:val="22"/>
              </w:rPr>
            </w:pPr>
            <w:r w:rsidRPr="00E161DC">
              <w:rPr>
                <w:rFonts w:cs="Calibri"/>
                <w:b/>
                <w:color w:val="000000"/>
                <w:sz w:val="22"/>
                <w:szCs w:val="22"/>
              </w:rPr>
              <w:t>всего</w:t>
            </w:r>
          </w:p>
        </w:tc>
        <w:tc>
          <w:tcPr>
            <w:tcW w:w="815"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2705</w:t>
            </w:r>
          </w:p>
        </w:tc>
        <w:tc>
          <w:tcPr>
            <w:tcW w:w="874"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100%</w:t>
            </w:r>
          </w:p>
        </w:tc>
        <w:tc>
          <w:tcPr>
            <w:tcW w:w="737"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313</w:t>
            </w:r>
          </w:p>
        </w:tc>
        <w:tc>
          <w:tcPr>
            <w:tcW w:w="874"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100%</w:t>
            </w:r>
          </w:p>
        </w:tc>
        <w:tc>
          <w:tcPr>
            <w:tcW w:w="737"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331</w:t>
            </w:r>
          </w:p>
        </w:tc>
        <w:tc>
          <w:tcPr>
            <w:tcW w:w="874"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100%</w:t>
            </w:r>
          </w:p>
        </w:tc>
        <w:tc>
          <w:tcPr>
            <w:tcW w:w="737"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183</w:t>
            </w:r>
          </w:p>
        </w:tc>
        <w:tc>
          <w:tcPr>
            <w:tcW w:w="874" w:type="dxa"/>
            <w:tcBorders>
              <w:top w:val="nil"/>
              <w:left w:val="nil"/>
              <w:bottom w:val="single" w:sz="4" w:space="0" w:color="auto"/>
              <w:right w:val="single" w:sz="4" w:space="0" w:color="auto"/>
            </w:tcBorders>
            <w:shd w:val="clear" w:color="auto" w:fill="auto"/>
            <w:noWrap/>
            <w:vAlign w:val="bottom"/>
            <w:hideMark/>
          </w:tcPr>
          <w:p w:rsidR="00E70204" w:rsidRPr="00E161DC" w:rsidRDefault="00E70204" w:rsidP="00E70204">
            <w:pPr>
              <w:jc w:val="center"/>
              <w:rPr>
                <w:rFonts w:cs="Calibri"/>
                <w:color w:val="000000"/>
                <w:sz w:val="22"/>
                <w:szCs w:val="22"/>
              </w:rPr>
            </w:pPr>
            <w:r w:rsidRPr="00E161DC">
              <w:rPr>
                <w:rFonts w:cs="Calibri"/>
                <w:color w:val="000000"/>
                <w:sz w:val="22"/>
                <w:szCs w:val="22"/>
              </w:rPr>
              <w:t>100%</w:t>
            </w:r>
          </w:p>
        </w:tc>
      </w:tr>
    </w:tbl>
    <w:p w:rsidR="00E70204" w:rsidRPr="002224F3" w:rsidRDefault="00D27708" w:rsidP="00E70204">
      <w:pPr>
        <w:pStyle w:val="afe"/>
        <w:rPr>
          <w:rFonts w:asciiTheme="majorHAnsi" w:hAnsiTheme="majorHAnsi" w:cstheme="minorHAnsi"/>
        </w:rPr>
      </w:pPr>
      <w:r w:rsidRPr="002224F3">
        <w:rPr>
          <w:rFonts w:asciiTheme="majorHAnsi" w:hAnsiTheme="majorHAnsi" w:cstheme="minorHAnsi"/>
        </w:rPr>
        <w:lastRenderedPageBreak/>
        <w:t>Диаграмма 8</w:t>
      </w:r>
      <w:r w:rsidR="00E70204" w:rsidRPr="002224F3">
        <w:rPr>
          <w:rFonts w:asciiTheme="majorHAnsi" w:hAnsiTheme="majorHAnsi" w:cstheme="minorHAnsi"/>
        </w:rPr>
        <w:t xml:space="preserve">.1.4 </w:t>
      </w:r>
    </w:p>
    <w:p w:rsidR="00E70204" w:rsidRPr="004F4F46" w:rsidRDefault="007325D2" w:rsidP="00E70204">
      <w:pPr>
        <w:tabs>
          <w:tab w:val="left" w:pos="1064"/>
        </w:tabs>
      </w:pPr>
      <w:r w:rsidRPr="007325D2">
        <w:rPr>
          <w:noProof/>
        </w:rPr>
        <w:drawing>
          <wp:inline distT="0" distB="0" distL="0" distR="0">
            <wp:extent cx="3939540" cy="2415540"/>
            <wp:effectExtent l="0" t="0" r="22860" b="22860"/>
            <wp:docPr id="696" name="Диаграмма 6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E70204" w:rsidRDefault="00E70204" w:rsidP="00D27708">
      <w:pPr>
        <w:spacing w:after="200" w:line="276" w:lineRule="auto"/>
        <w:jc w:val="both"/>
      </w:pPr>
      <w:r w:rsidRPr="00846BE8">
        <w:t>Из диаграммы видно, что доля доцентов больше всего в Пермском филиале, а доля профессоров в Москве.</w:t>
      </w:r>
    </w:p>
    <w:p w:rsidR="00E70204" w:rsidRPr="00D27708" w:rsidRDefault="00E70204" w:rsidP="00D27708">
      <w:pPr>
        <w:spacing w:after="200" w:line="276" w:lineRule="auto"/>
        <w:jc w:val="both"/>
      </w:pPr>
      <w:r w:rsidRPr="00D27708">
        <w:t>Соотношение штатных преподавателей и совместителей с учеными степенями и без ученой степени представлено в таблице</w:t>
      </w:r>
      <w:r w:rsidR="00D27708" w:rsidRPr="00D27708">
        <w:t xml:space="preserve"> 8</w:t>
      </w:r>
      <w:r w:rsidRPr="00D27708">
        <w:t xml:space="preserve">.1.5 и </w:t>
      </w:r>
      <w:r w:rsidR="00D27708" w:rsidRPr="00D27708">
        <w:t>на диаграмме 8</w:t>
      </w:r>
      <w:r w:rsidRPr="00D27708">
        <w:t xml:space="preserve">.1.5.  Соотношение количества ППС с ученой степенью с общим количеством ППС стабильное. </w:t>
      </w:r>
    </w:p>
    <w:p w:rsidR="00E70204" w:rsidRDefault="00D27708" w:rsidP="00E70204">
      <w:pPr>
        <w:jc w:val="both"/>
        <w:rPr>
          <w:rFonts w:cs="Calibri"/>
          <w:b/>
          <w:color w:val="000000"/>
        </w:rPr>
      </w:pPr>
      <w:r>
        <w:rPr>
          <w:rFonts w:cs="Calibri"/>
          <w:b/>
          <w:color w:val="000000"/>
        </w:rPr>
        <w:t>Таблица 8</w:t>
      </w:r>
      <w:r w:rsidR="00E70204">
        <w:rPr>
          <w:rFonts w:cs="Calibri"/>
          <w:b/>
          <w:color w:val="000000"/>
        </w:rPr>
        <w:t>.1.5</w:t>
      </w:r>
    </w:p>
    <w:tbl>
      <w:tblPr>
        <w:tblW w:w="9300" w:type="dxa"/>
        <w:tblInd w:w="103" w:type="dxa"/>
        <w:tblLook w:val="04A0" w:firstRow="1" w:lastRow="0" w:firstColumn="1" w:lastColumn="0" w:noHBand="0" w:noVBand="1"/>
      </w:tblPr>
      <w:tblGrid>
        <w:gridCol w:w="1100"/>
        <w:gridCol w:w="992"/>
        <w:gridCol w:w="648"/>
        <w:gridCol w:w="992"/>
        <w:gridCol w:w="648"/>
        <w:gridCol w:w="992"/>
        <w:gridCol w:w="648"/>
        <w:gridCol w:w="992"/>
        <w:gridCol w:w="648"/>
        <w:gridCol w:w="992"/>
        <w:gridCol w:w="648"/>
      </w:tblGrid>
      <w:tr w:rsidR="00E70204" w:rsidRPr="00D27708" w:rsidTr="00E70204">
        <w:trPr>
          <w:trHeight w:val="255"/>
        </w:trPr>
        <w:tc>
          <w:tcPr>
            <w:tcW w:w="1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0204" w:rsidRPr="00D27708" w:rsidRDefault="00E70204" w:rsidP="00E70204">
            <w:pPr>
              <w:rPr>
                <w:rFonts w:cs="Calibri"/>
                <w:color w:val="000000"/>
                <w:szCs w:val="20"/>
              </w:rPr>
            </w:pPr>
            <w:r w:rsidRPr="00D27708">
              <w:rPr>
                <w:rFonts w:cs="Calibri"/>
                <w:color w:val="000000"/>
                <w:szCs w:val="20"/>
              </w:rPr>
              <w:t> </w:t>
            </w:r>
          </w:p>
        </w:tc>
        <w:tc>
          <w:tcPr>
            <w:tcW w:w="16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18"/>
              </w:rPr>
            </w:pPr>
            <w:r w:rsidRPr="00D27708">
              <w:rPr>
                <w:rFonts w:cs="Calibri"/>
                <w:color w:val="000000"/>
                <w:szCs w:val="18"/>
              </w:rPr>
              <w:t>2008-09</w:t>
            </w:r>
          </w:p>
        </w:tc>
        <w:tc>
          <w:tcPr>
            <w:tcW w:w="16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18"/>
              </w:rPr>
            </w:pPr>
            <w:r w:rsidRPr="00D27708">
              <w:rPr>
                <w:rFonts w:cs="Calibri"/>
                <w:color w:val="000000"/>
                <w:szCs w:val="18"/>
              </w:rPr>
              <w:t>2009-10</w:t>
            </w:r>
          </w:p>
        </w:tc>
        <w:tc>
          <w:tcPr>
            <w:tcW w:w="16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18"/>
              </w:rPr>
            </w:pPr>
            <w:r w:rsidRPr="00D27708">
              <w:rPr>
                <w:rFonts w:cs="Calibri"/>
                <w:color w:val="000000"/>
                <w:szCs w:val="18"/>
              </w:rPr>
              <w:t>2010-11</w:t>
            </w:r>
          </w:p>
        </w:tc>
        <w:tc>
          <w:tcPr>
            <w:tcW w:w="16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18"/>
              </w:rPr>
            </w:pPr>
            <w:r w:rsidRPr="00D27708">
              <w:rPr>
                <w:rFonts w:cs="Calibri"/>
                <w:color w:val="000000"/>
                <w:szCs w:val="18"/>
              </w:rPr>
              <w:t>2011-12</w:t>
            </w:r>
          </w:p>
        </w:tc>
        <w:tc>
          <w:tcPr>
            <w:tcW w:w="16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18"/>
              </w:rPr>
            </w:pPr>
            <w:r w:rsidRPr="00D27708">
              <w:rPr>
                <w:rFonts w:cs="Calibri"/>
                <w:color w:val="000000"/>
                <w:szCs w:val="18"/>
              </w:rPr>
              <w:t>2012-13</w:t>
            </w:r>
          </w:p>
        </w:tc>
      </w:tr>
      <w:tr w:rsidR="00E70204" w:rsidRPr="00D27708" w:rsidTr="00E70204">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rsidR="00E70204" w:rsidRPr="00D27708" w:rsidRDefault="00E70204" w:rsidP="00E70204">
            <w:pPr>
              <w:rPr>
                <w:rFonts w:cs="Calibri"/>
                <w:color w:val="000000"/>
                <w:szCs w:val="20"/>
              </w:rPr>
            </w:pPr>
            <w:r w:rsidRPr="00D27708">
              <w:rPr>
                <w:rFonts w:cs="Calibri"/>
                <w:color w:val="000000"/>
                <w:szCs w:val="20"/>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szCs w:val="20"/>
              </w:rPr>
            </w:pPr>
            <w:r w:rsidRPr="00D27708">
              <w:rPr>
                <w:rFonts w:cs="Calibri"/>
                <w:szCs w:val="20"/>
              </w:rPr>
              <w:t>совм.</w:t>
            </w:r>
          </w:p>
        </w:tc>
        <w:tc>
          <w:tcPr>
            <w:tcW w:w="648"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szCs w:val="20"/>
              </w:rPr>
            </w:pPr>
            <w:r w:rsidRPr="00D27708">
              <w:rPr>
                <w:rFonts w:cs="Calibri"/>
                <w:szCs w:val="20"/>
              </w:rPr>
              <w:t>шт.</w:t>
            </w:r>
          </w:p>
        </w:tc>
        <w:tc>
          <w:tcPr>
            <w:tcW w:w="992"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szCs w:val="20"/>
              </w:rPr>
            </w:pPr>
            <w:r w:rsidRPr="00D27708">
              <w:rPr>
                <w:rFonts w:cs="Calibri"/>
                <w:szCs w:val="20"/>
              </w:rPr>
              <w:t>совм.</w:t>
            </w:r>
          </w:p>
        </w:tc>
        <w:tc>
          <w:tcPr>
            <w:tcW w:w="648"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szCs w:val="20"/>
              </w:rPr>
            </w:pPr>
            <w:r w:rsidRPr="00D27708">
              <w:rPr>
                <w:rFonts w:cs="Calibri"/>
                <w:szCs w:val="20"/>
              </w:rPr>
              <w:t>шт.</w:t>
            </w:r>
          </w:p>
        </w:tc>
        <w:tc>
          <w:tcPr>
            <w:tcW w:w="992"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szCs w:val="20"/>
              </w:rPr>
            </w:pPr>
            <w:r w:rsidRPr="00D27708">
              <w:rPr>
                <w:rFonts w:cs="Calibri"/>
                <w:szCs w:val="20"/>
              </w:rPr>
              <w:t>совм.</w:t>
            </w:r>
          </w:p>
        </w:tc>
        <w:tc>
          <w:tcPr>
            <w:tcW w:w="648"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szCs w:val="20"/>
              </w:rPr>
            </w:pPr>
            <w:r w:rsidRPr="00D27708">
              <w:rPr>
                <w:rFonts w:cs="Calibri"/>
                <w:szCs w:val="20"/>
              </w:rPr>
              <w:t>шт.</w:t>
            </w:r>
          </w:p>
        </w:tc>
        <w:tc>
          <w:tcPr>
            <w:tcW w:w="992"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szCs w:val="20"/>
              </w:rPr>
            </w:pPr>
            <w:r w:rsidRPr="00D27708">
              <w:rPr>
                <w:rFonts w:cs="Calibri"/>
                <w:szCs w:val="20"/>
              </w:rPr>
              <w:t>совм.</w:t>
            </w:r>
          </w:p>
        </w:tc>
        <w:tc>
          <w:tcPr>
            <w:tcW w:w="648"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szCs w:val="20"/>
              </w:rPr>
            </w:pPr>
            <w:r w:rsidRPr="00D27708">
              <w:rPr>
                <w:rFonts w:cs="Calibri"/>
                <w:szCs w:val="20"/>
              </w:rPr>
              <w:t>шт.</w:t>
            </w:r>
          </w:p>
        </w:tc>
        <w:tc>
          <w:tcPr>
            <w:tcW w:w="992"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szCs w:val="20"/>
              </w:rPr>
            </w:pPr>
            <w:r w:rsidRPr="00D27708">
              <w:rPr>
                <w:rFonts w:cs="Calibri"/>
                <w:szCs w:val="20"/>
              </w:rPr>
              <w:t>совм.</w:t>
            </w:r>
          </w:p>
        </w:tc>
        <w:tc>
          <w:tcPr>
            <w:tcW w:w="648"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szCs w:val="20"/>
              </w:rPr>
            </w:pPr>
            <w:r w:rsidRPr="00D27708">
              <w:rPr>
                <w:rFonts w:cs="Calibri"/>
                <w:szCs w:val="20"/>
              </w:rPr>
              <w:t>шт.</w:t>
            </w:r>
          </w:p>
        </w:tc>
      </w:tr>
      <w:tr w:rsidR="00E70204" w:rsidRPr="00D27708" w:rsidTr="00E70204">
        <w:trPr>
          <w:trHeight w:val="255"/>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rsidR="00E70204" w:rsidRPr="00D27708" w:rsidRDefault="00E70204" w:rsidP="00E70204">
            <w:pPr>
              <w:rPr>
                <w:rFonts w:cs="Calibri"/>
                <w:color w:val="000000"/>
                <w:szCs w:val="20"/>
              </w:rPr>
            </w:pPr>
            <w:r w:rsidRPr="00D27708">
              <w:rPr>
                <w:rFonts w:cs="Calibri"/>
                <w:color w:val="000000"/>
                <w:szCs w:val="20"/>
              </w:rPr>
              <w:t>без уч. степ.</w:t>
            </w:r>
          </w:p>
        </w:tc>
        <w:tc>
          <w:tcPr>
            <w:tcW w:w="992"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253</w:t>
            </w:r>
          </w:p>
        </w:tc>
        <w:tc>
          <w:tcPr>
            <w:tcW w:w="648"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295</w:t>
            </w:r>
          </w:p>
        </w:tc>
        <w:tc>
          <w:tcPr>
            <w:tcW w:w="992"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256</w:t>
            </w:r>
          </w:p>
        </w:tc>
        <w:tc>
          <w:tcPr>
            <w:tcW w:w="648"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336</w:t>
            </w:r>
          </w:p>
        </w:tc>
        <w:tc>
          <w:tcPr>
            <w:tcW w:w="992"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294</w:t>
            </w:r>
          </w:p>
        </w:tc>
        <w:tc>
          <w:tcPr>
            <w:tcW w:w="648"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357</w:t>
            </w:r>
          </w:p>
        </w:tc>
        <w:tc>
          <w:tcPr>
            <w:tcW w:w="992"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314</w:t>
            </w:r>
          </w:p>
        </w:tc>
        <w:tc>
          <w:tcPr>
            <w:tcW w:w="648"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398</w:t>
            </w:r>
          </w:p>
        </w:tc>
        <w:tc>
          <w:tcPr>
            <w:tcW w:w="992"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340</w:t>
            </w:r>
          </w:p>
        </w:tc>
        <w:tc>
          <w:tcPr>
            <w:tcW w:w="648"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541</w:t>
            </w:r>
          </w:p>
        </w:tc>
      </w:tr>
      <w:tr w:rsidR="00E70204" w:rsidRPr="00D27708" w:rsidTr="00E70204">
        <w:trPr>
          <w:trHeight w:val="255"/>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rsidR="00E70204" w:rsidRPr="00D27708" w:rsidRDefault="00E70204" w:rsidP="00E70204">
            <w:pPr>
              <w:rPr>
                <w:rFonts w:cs="Calibri"/>
                <w:color w:val="000000"/>
                <w:szCs w:val="20"/>
              </w:rPr>
            </w:pPr>
            <w:r w:rsidRPr="00D27708">
              <w:rPr>
                <w:rFonts w:cs="Calibri"/>
                <w:color w:val="000000"/>
                <w:szCs w:val="20"/>
              </w:rPr>
              <w:t>канд. наук</w:t>
            </w:r>
          </w:p>
        </w:tc>
        <w:tc>
          <w:tcPr>
            <w:tcW w:w="992"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294</w:t>
            </w:r>
          </w:p>
        </w:tc>
        <w:tc>
          <w:tcPr>
            <w:tcW w:w="648"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374</w:t>
            </w:r>
          </w:p>
        </w:tc>
        <w:tc>
          <w:tcPr>
            <w:tcW w:w="992"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350</w:t>
            </w:r>
          </w:p>
        </w:tc>
        <w:tc>
          <w:tcPr>
            <w:tcW w:w="648"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406</w:t>
            </w:r>
          </w:p>
        </w:tc>
        <w:tc>
          <w:tcPr>
            <w:tcW w:w="992"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413</w:t>
            </w:r>
          </w:p>
        </w:tc>
        <w:tc>
          <w:tcPr>
            <w:tcW w:w="648"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487</w:t>
            </w:r>
          </w:p>
        </w:tc>
        <w:tc>
          <w:tcPr>
            <w:tcW w:w="992"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441</w:t>
            </w:r>
          </w:p>
        </w:tc>
        <w:tc>
          <w:tcPr>
            <w:tcW w:w="648"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567</w:t>
            </w:r>
          </w:p>
        </w:tc>
        <w:tc>
          <w:tcPr>
            <w:tcW w:w="992"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510</w:t>
            </w:r>
          </w:p>
        </w:tc>
        <w:tc>
          <w:tcPr>
            <w:tcW w:w="648"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805</w:t>
            </w:r>
          </w:p>
        </w:tc>
      </w:tr>
      <w:tr w:rsidR="00E70204" w:rsidRPr="00D27708" w:rsidTr="00E70204">
        <w:trPr>
          <w:trHeight w:val="255"/>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rsidR="00E70204" w:rsidRPr="00D27708" w:rsidRDefault="00E70204" w:rsidP="00E70204">
            <w:pPr>
              <w:rPr>
                <w:rFonts w:cs="Calibri"/>
                <w:color w:val="000000"/>
                <w:szCs w:val="20"/>
              </w:rPr>
            </w:pPr>
            <w:proofErr w:type="spellStart"/>
            <w:r w:rsidRPr="00D27708">
              <w:rPr>
                <w:rFonts w:cs="Calibri"/>
                <w:color w:val="000000"/>
                <w:szCs w:val="20"/>
              </w:rPr>
              <w:t>докт</w:t>
            </w:r>
            <w:proofErr w:type="spellEnd"/>
            <w:r w:rsidRPr="00D27708">
              <w:rPr>
                <w:rFonts w:cs="Calibri"/>
                <w:color w:val="000000"/>
                <w:szCs w:val="20"/>
              </w:rPr>
              <w:t>. наук</w:t>
            </w:r>
          </w:p>
        </w:tc>
        <w:tc>
          <w:tcPr>
            <w:tcW w:w="992"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143</w:t>
            </w:r>
          </w:p>
        </w:tc>
        <w:tc>
          <w:tcPr>
            <w:tcW w:w="648"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149</w:t>
            </w:r>
          </w:p>
        </w:tc>
        <w:tc>
          <w:tcPr>
            <w:tcW w:w="992"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154</w:t>
            </w:r>
          </w:p>
        </w:tc>
        <w:tc>
          <w:tcPr>
            <w:tcW w:w="648"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172</w:t>
            </w:r>
          </w:p>
        </w:tc>
        <w:tc>
          <w:tcPr>
            <w:tcW w:w="992"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169</w:t>
            </w:r>
          </w:p>
        </w:tc>
        <w:tc>
          <w:tcPr>
            <w:tcW w:w="648"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184</w:t>
            </w:r>
          </w:p>
        </w:tc>
        <w:tc>
          <w:tcPr>
            <w:tcW w:w="992"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199</w:t>
            </w:r>
          </w:p>
        </w:tc>
        <w:tc>
          <w:tcPr>
            <w:tcW w:w="648"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206</w:t>
            </w:r>
          </w:p>
        </w:tc>
        <w:tc>
          <w:tcPr>
            <w:tcW w:w="992"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227</w:t>
            </w:r>
          </w:p>
        </w:tc>
        <w:tc>
          <w:tcPr>
            <w:tcW w:w="648" w:type="dxa"/>
            <w:tcBorders>
              <w:top w:val="nil"/>
              <w:left w:val="nil"/>
              <w:bottom w:val="single" w:sz="4" w:space="0" w:color="auto"/>
              <w:right w:val="single" w:sz="4" w:space="0" w:color="auto"/>
            </w:tcBorders>
            <w:shd w:val="clear" w:color="000000" w:fill="FFFFFF"/>
            <w:noWrap/>
            <w:vAlign w:val="bottom"/>
            <w:hideMark/>
          </w:tcPr>
          <w:p w:rsidR="00E70204" w:rsidRPr="00D27708" w:rsidRDefault="00E70204" w:rsidP="00E70204">
            <w:pPr>
              <w:jc w:val="center"/>
              <w:rPr>
                <w:rFonts w:cs="Calibri"/>
                <w:color w:val="000000"/>
                <w:szCs w:val="20"/>
              </w:rPr>
            </w:pPr>
            <w:r w:rsidRPr="00D27708">
              <w:rPr>
                <w:rFonts w:cs="Calibri"/>
                <w:color w:val="000000"/>
                <w:szCs w:val="20"/>
              </w:rPr>
              <w:t>282</w:t>
            </w:r>
          </w:p>
        </w:tc>
      </w:tr>
    </w:tbl>
    <w:p w:rsidR="00E70204" w:rsidRDefault="00E70204" w:rsidP="00E70204">
      <w:pPr>
        <w:jc w:val="both"/>
        <w:rPr>
          <w:rFonts w:cs="Calibri"/>
          <w:b/>
          <w:color w:val="000000"/>
        </w:rPr>
      </w:pPr>
    </w:p>
    <w:p w:rsidR="00E70204" w:rsidRDefault="00D27708" w:rsidP="00E70204">
      <w:pPr>
        <w:jc w:val="both"/>
        <w:rPr>
          <w:rFonts w:cs="Calibri"/>
          <w:b/>
          <w:color w:val="000000"/>
        </w:rPr>
      </w:pPr>
      <w:r>
        <w:rPr>
          <w:rFonts w:cs="Calibri"/>
          <w:b/>
          <w:color w:val="000000"/>
        </w:rPr>
        <w:t>Диаграмма 8</w:t>
      </w:r>
      <w:r w:rsidR="00E70204" w:rsidRPr="00A31FBC">
        <w:rPr>
          <w:rFonts w:cs="Calibri"/>
          <w:b/>
          <w:color w:val="000000"/>
        </w:rPr>
        <w:t>.1.</w:t>
      </w:r>
      <w:r w:rsidR="00E70204">
        <w:rPr>
          <w:rFonts w:cs="Calibri"/>
          <w:b/>
          <w:color w:val="000000"/>
        </w:rPr>
        <w:t>5</w:t>
      </w:r>
    </w:p>
    <w:p w:rsidR="00E70204" w:rsidRPr="00D27708" w:rsidRDefault="00982A49" w:rsidP="00E70204">
      <w:pPr>
        <w:jc w:val="both"/>
        <w:rPr>
          <w:rFonts w:cs="Calibri"/>
          <w:b/>
          <w:color w:val="000000"/>
        </w:rPr>
      </w:pPr>
      <w:r>
        <w:rPr>
          <w:rFonts w:cs="Calibri"/>
          <w:b/>
          <w:noProof/>
          <w:color w:val="000000"/>
        </w:rPr>
        <w:drawing>
          <wp:inline distT="0" distB="0" distL="0" distR="0">
            <wp:extent cx="4747260" cy="2974646"/>
            <wp:effectExtent l="0" t="0" r="0" b="0"/>
            <wp:docPr id="7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52595" cy="2977989"/>
                    </a:xfrm>
                    <a:prstGeom prst="rect">
                      <a:avLst/>
                    </a:prstGeom>
                    <a:noFill/>
                    <a:ln>
                      <a:noFill/>
                    </a:ln>
                  </pic:spPr>
                </pic:pic>
              </a:graphicData>
            </a:graphic>
          </wp:inline>
        </w:drawing>
      </w:r>
    </w:p>
    <w:p w:rsidR="00E70204" w:rsidRPr="00D27708" w:rsidRDefault="00E70204" w:rsidP="00D27708">
      <w:pPr>
        <w:spacing w:after="200" w:line="276" w:lineRule="auto"/>
        <w:jc w:val="both"/>
      </w:pPr>
      <w:r w:rsidRPr="00D27708">
        <w:lastRenderedPageBreak/>
        <w:t xml:space="preserve">В таблице </w:t>
      </w:r>
      <w:r w:rsidR="00D27708" w:rsidRPr="00D27708">
        <w:t>8</w:t>
      </w:r>
      <w:r w:rsidRPr="00D27708">
        <w:t xml:space="preserve">.1.6 и на диаграмме </w:t>
      </w:r>
      <w:r w:rsidR="00D27708" w:rsidRPr="00D27708">
        <w:t>8</w:t>
      </w:r>
      <w:r w:rsidRPr="00D27708">
        <w:t xml:space="preserve">.1.6 представлено соотношение штатных преподавателей и совместителей в филиалах за последние 2 года. </w:t>
      </w:r>
    </w:p>
    <w:p w:rsidR="00E70204" w:rsidRPr="002224F3" w:rsidRDefault="00E70204" w:rsidP="002224F3">
      <w:pPr>
        <w:spacing w:after="200" w:line="276" w:lineRule="auto"/>
        <w:jc w:val="both"/>
      </w:pPr>
      <w:r w:rsidRPr="00D27708">
        <w:t>Количество ППС, как с учеными степенями, так и без них, в Перми остается практически неизменным, в Н. Новгороде уменьш</w:t>
      </w:r>
      <w:r w:rsidR="002224F3">
        <w:t>ается, а в С-Петербурге растет.</w:t>
      </w:r>
    </w:p>
    <w:p w:rsidR="00E70204" w:rsidRDefault="00D27708" w:rsidP="00D27708">
      <w:pPr>
        <w:spacing w:after="200" w:line="276" w:lineRule="auto"/>
        <w:jc w:val="both"/>
        <w:rPr>
          <w:rFonts w:cs="Calibri"/>
          <w:b/>
          <w:color w:val="000000"/>
        </w:rPr>
      </w:pPr>
      <w:r>
        <w:rPr>
          <w:rFonts w:cs="Calibri"/>
          <w:b/>
          <w:color w:val="000000"/>
        </w:rPr>
        <w:t>Таблица 8</w:t>
      </w:r>
      <w:r w:rsidR="00E70204">
        <w:rPr>
          <w:rFonts w:cs="Calibri"/>
          <w:b/>
          <w:color w:val="000000"/>
        </w:rPr>
        <w:t>.1.6</w:t>
      </w:r>
    </w:p>
    <w:tbl>
      <w:tblPr>
        <w:tblW w:w="9503" w:type="dxa"/>
        <w:tblInd w:w="103" w:type="dxa"/>
        <w:tblLayout w:type="fixed"/>
        <w:tblLook w:val="04A0" w:firstRow="1" w:lastRow="0" w:firstColumn="1" w:lastColumn="0" w:noHBand="0" w:noVBand="1"/>
      </w:tblPr>
      <w:tblGrid>
        <w:gridCol w:w="2598"/>
        <w:gridCol w:w="1040"/>
        <w:gridCol w:w="1612"/>
        <w:gridCol w:w="1701"/>
        <w:gridCol w:w="1276"/>
        <w:gridCol w:w="1276"/>
      </w:tblGrid>
      <w:tr w:rsidR="00D27708" w:rsidRPr="002224F3" w:rsidTr="00D27708">
        <w:trPr>
          <w:trHeight w:val="240"/>
        </w:trPr>
        <w:tc>
          <w:tcPr>
            <w:tcW w:w="2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0204" w:rsidRPr="002224F3" w:rsidRDefault="00E70204" w:rsidP="00E70204">
            <w:pPr>
              <w:rPr>
                <w:rFonts w:cs="Calibri"/>
                <w:sz w:val="22"/>
                <w:szCs w:val="20"/>
              </w:rPr>
            </w:pPr>
            <w:r w:rsidRPr="002224F3">
              <w:rPr>
                <w:rFonts w:cs="Calibri"/>
                <w:sz w:val="22"/>
                <w:szCs w:val="20"/>
              </w:rPr>
              <w:t> </w:t>
            </w:r>
            <w:r w:rsidR="00D27708" w:rsidRPr="002224F3">
              <w:rPr>
                <w:rFonts w:cs="Calibri"/>
                <w:sz w:val="22"/>
                <w:szCs w:val="20"/>
              </w:rPr>
              <w:t>Филиал</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E70204" w:rsidRPr="002224F3" w:rsidRDefault="00E70204" w:rsidP="00E70204">
            <w:pPr>
              <w:rPr>
                <w:rFonts w:cs="Calibri"/>
                <w:sz w:val="22"/>
                <w:szCs w:val="20"/>
              </w:rPr>
            </w:pPr>
            <w:r w:rsidRPr="002224F3">
              <w:rPr>
                <w:rFonts w:cs="Calibri"/>
                <w:sz w:val="22"/>
                <w:szCs w:val="20"/>
              </w:rPr>
              <w:t> </w:t>
            </w:r>
          </w:p>
        </w:tc>
        <w:tc>
          <w:tcPr>
            <w:tcW w:w="1612" w:type="dxa"/>
            <w:tcBorders>
              <w:top w:val="single" w:sz="4" w:space="0" w:color="auto"/>
              <w:left w:val="nil"/>
              <w:bottom w:val="single" w:sz="4" w:space="0" w:color="auto"/>
              <w:right w:val="single" w:sz="4" w:space="0" w:color="auto"/>
            </w:tcBorders>
            <w:shd w:val="clear" w:color="auto" w:fill="auto"/>
            <w:noWrap/>
            <w:vAlign w:val="bottom"/>
            <w:hideMark/>
          </w:tcPr>
          <w:p w:rsidR="00E70204" w:rsidRPr="002224F3" w:rsidRDefault="00E70204" w:rsidP="00E70204">
            <w:pPr>
              <w:rPr>
                <w:rFonts w:cs="Calibri"/>
                <w:sz w:val="22"/>
                <w:szCs w:val="20"/>
              </w:rPr>
            </w:pPr>
            <w:r w:rsidRPr="002224F3">
              <w:rPr>
                <w:rFonts w:cs="Calibri"/>
                <w:sz w:val="22"/>
                <w:szCs w:val="20"/>
              </w:rPr>
              <w:t> </w:t>
            </w:r>
            <w:r w:rsidR="00D27708" w:rsidRPr="002224F3">
              <w:rPr>
                <w:rFonts w:cs="Calibri"/>
                <w:sz w:val="22"/>
                <w:szCs w:val="20"/>
              </w:rPr>
              <w:t>Учебный год</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70204" w:rsidRPr="002224F3" w:rsidRDefault="00E70204" w:rsidP="00E70204">
            <w:pPr>
              <w:rPr>
                <w:rFonts w:cs="Calibri"/>
                <w:sz w:val="22"/>
                <w:szCs w:val="20"/>
              </w:rPr>
            </w:pPr>
            <w:r w:rsidRPr="002224F3">
              <w:rPr>
                <w:rFonts w:cs="Calibri"/>
                <w:sz w:val="22"/>
                <w:szCs w:val="20"/>
              </w:rPr>
              <w:t xml:space="preserve">Без </w:t>
            </w:r>
            <w:proofErr w:type="spellStart"/>
            <w:r w:rsidRPr="002224F3">
              <w:rPr>
                <w:rFonts w:cs="Calibri"/>
                <w:sz w:val="22"/>
                <w:szCs w:val="20"/>
              </w:rPr>
              <w:t>уч.степ</w:t>
            </w:r>
            <w:proofErr w:type="spellEnd"/>
            <w:r w:rsidRPr="002224F3">
              <w:rPr>
                <w:rFonts w:cs="Calibri"/>
                <w:sz w:val="22"/>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70204" w:rsidRPr="002224F3" w:rsidRDefault="00E70204" w:rsidP="00E70204">
            <w:pPr>
              <w:rPr>
                <w:rFonts w:cs="Calibri"/>
                <w:sz w:val="22"/>
                <w:szCs w:val="20"/>
              </w:rPr>
            </w:pPr>
            <w:proofErr w:type="spellStart"/>
            <w:r w:rsidRPr="002224F3">
              <w:rPr>
                <w:rFonts w:cs="Calibri"/>
                <w:sz w:val="22"/>
                <w:szCs w:val="20"/>
              </w:rPr>
              <w:t>Канд.наук</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70204" w:rsidRPr="002224F3" w:rsidRDefault="00E70204" w:rsidP="00E70204">
            <w:pPr>
              <w:rPr>
                <w:rFonts w:cs="Calibri"/>
                <w:sz w:val="22"/>
                <w:szCs w:val="20"/>
              </w:rPr>
            </w:pPr>
            <w:proofErr w:type="spellStart"/>
            <w:r w:rsidRPr="002224F3">
              <w:rPr>
                <w:rFonts w:cs="Calibri"/>
                <w:sz w:val="22"/>
                <w:szCs w:val="20"/>
              </w:rPr>
              <w:t>Докт.наук</w:t>
            </w:r>
            <w:proofErr w:type="spellEnd"/>
          </w:p>
        </w:tc>
      </w:tr>
      <w:tr w:rsidR="00D27708" w:rsidRPr="002224F3" w:rsidTr="00D27708">
        <w:trPr>
          <w:trHeight w:val="240"/>
        </w:trPr>
        <w:tc>
          <w:tcPr>
            <w:tcW w:w="259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E70204" w:rsidRPr="002224F3" w:rsidRDefault="00E70204" w:rsidP="00E70204">
            <w:pPr>
              <w:jc w:val="center"/>
              <w:rPr>
                <w:rFonts w:cs="Calibri"/>
                <w:sz w:val="22"/>
                <w:szCs w:val="20"/>
              </w:rPr>
            </w:pPr>
            <w:r w:rsidRPr="002224F3">
              <w:rPr>
                <w:rFonts w:cs="Calibri"/>
                <w:sz w:val="22"/>
                <w:szCs w:val="20"/>
              </w:rPr>
              <w:t xml:space="preserve">Пермь </w:t>
            </w:r>
          </w:p>
        </w:tc>
        <w:tc>
          <w:tcPr>
            <w:tcW w:w="10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70204" w:rsidRPr="002224F3" w:rsidRDefault="00E70204" w:rsidP="00E70204">
            <w:pPr>
              <w:jc w:val="center"/>
              <w:rPr>
                <w:rFonts w:cs="Calibri"/>
                <w:sz w:val="22"/>
                <w:szCs w:val="18"/>
              </w:rPr>
            </w:pPr>
            <w:r w:rsidRPr="002224F3">
              <w:rPr>
                <w:rFonts w:cs="Calibri"/>
                <w:sz w:val="22"/>
                <w:szCs w:val="18"/>
              </w:rPr>
              <w:t>совм.</w:t>
            </w:r>
          </w:p>
        </w:tc>
        <w:tc>
          <w:tcPr>
            <w:tcW w:w="1612"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rPr>
                <w:rFonts w:cs="Calibri"/>
                <w:sz w:val="22"/>
                <w:szCs w:val="20"/>
              </w:rPr>
            </w:pPr>
            <w:r w:rsidRPr="002224F3">
              <w:rPr>
                <w:rFonts w:cs="Calibri"/>
                <w:sz w:val="22"/>
                <w:szCs w:val="20"/>
              </w:rPr>
              <w:t>2011-12</w:t>
            </w:r>
          </w:p>
        </w:tc>
        <w:tc>
          <w:tcPr>
            <w:tcW w:w="1701"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color w:val="000000"/>
                <w:sz w:val="22"/>
                <w:szCs w:val="20"/>
              </w:rPr>
            </w:pPr>
            <w:r w:rsidRPr="002224F3">
              <w:rPr>
                <w:rFonts w:cs="Calibri"/>
                <w:color w:val="000000"/>
                <w:sz w:val="22"/>
                <w:szCs w:val="20"/>
              </w:rPr>
              <w:t>28</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color w:val="000000"/>
                <w:sz w:val="22"/>
                <w:szCs w:val="20"/>
              </w:rPr>
            </w:pPr>
            <w:r w:rsidRPr="002224F3">
              <w:rPr>
                <w:rFonts w:cs="Calibri"/>
                <w:color w:val="000000"/>
                <w:sz w:val="22"/>
                <w:szCs w:val="20"/>
              </w:rPr>
              <w:t>37</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color w:val="000000"/>
                <w:sz w:val="22"/>
                <w:szCs w:val="20"/>
              </w:rPr>
            </w:pPr>
            <w:r w:rsidRPr="002224F3">
              <w:rPr>
                <w:rFonts w:cs="Calibri"/>
                <w:color w:val="000000"/>
                <w:sz w:val="22"/>
                <w:szCs w:val="20"/>
              </w:rPr>
              <w:t>7</w:t>
            </w:r>
          </w:p>
        </w:tc>
      </w:tr>
      <w:tr w:rsidR="00D27708" w:rsidRPr="002224F3" w:rsidTr="00D27708">
        <w:trPr>
          <w:trHeight w:val="240"/>
        </w:trPr>
        <w:tc>
          <w:tcPr>
            <w:tcW w:w="2598" w:type="dxa"/>
            <w:vMerge/>
            <w:tcBorders>
              <w:top w:val="single" w:sz="4" w:space="0" w:color="auto"/>
              <w:left w:val="single" w:sz="4" w:space="0" w:color="auto"/>
              <w:bottom w:val="single" w:sz="4" w:space="0" w:color="000000"/>
              <w:right w:val="single" w:sz="4" w:space="0" w:color="auto"/>
            </w:tcBorders>
            <w:vAlign w:val="center"/>
            <w:hideMark/>
          </w:tcPr>
          <w:p w:rsidR="00E70204" w:rsidRPr="002224F3" w:rsidRDefault="00E70204" w:rsidP="00E70204">
            <w:pPr>
              <w:rPr>
                <w:rFonts w:cs="Calibri"/>
                <w:sz w:val="22"/>
                <w:szCs w:val="20"/>
              </w:rPr>
            </w:pPr>
          </w:p>
        </w:tc>
        <w:tc>
          <w:tcPr>
            <w:tcW w:w="1040" w:type="dxa"/>
            <w:vMerge/>
            <w:tcBorders>
              <w:top w:val="nil"/>
              <w:left w:val="single" w:sz="4" w:space="0" w:color="auto"/>
              <w:bottom w:val="single" w:sz="4" w:space="0" w:color="auto"/>
              <w:right w:val="single" w:sz="4" w:space="0" w:color="auto"/>
            </w:tcBorders>
            <w:vAlign w:val="center"/>
            <w:hideMark/>
          </w:tcPr>
          <w:p w:rsidR="00E70204" w:rsidRPr="002224F3" w:rsidRDefault="00E70204" w:rsidP="00E70204">
            <w:pPr>
              <w:rPr>
                <w:rFonts w:cs="Calibri"/>
                <w:sz w:val="22"/>
                <w:szCs w:val="18"/>
              </w:rPr>
            </w:pPr>
          </w:p>
        </w:tc>
        <w:tc>
          <w:tcPr>
            <w:tcW w:w="1612"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rPr>
                <w:rFonts w:cs="Calibri"/>
                <w:sz w:val="22"/>
                <w:szCs w:val="20"/>
              </w:rPr>
            </w:pPr>
            <w:r w:rsidRPr="002224F3">
              <w:rPr>
                <w:rFonts w:cs="Calibri"/>
                <w:sz w:val="22"/>
                <w:szCs w:val="20"/>
              </w:rPr>
              <w:t>2012-13</w:t>
            </w:r>
          </w:p>
        </w:tc>
        <w:tc>
          <w:tcPr>
            <w:tcW w:w="1701"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28</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37</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8</w:t>
            </w:r>
          </w:p>
        </w:tc>
      </w:tr>
      <w:tr w:rsidR="00D27708" w:rsidRPr="002224F3" w:rsidTr="00D27708">
        <w:trPr>
          <w:trHeight w:val="240"/>
        </w:trPr>
        <w:tc>
          <w:tcPr>
            <w:tcW w:w="2598" w:type="dxa"/>
            <w:vMerge/>
            <w:tcBorders>
              <w:top w:val="single" w:sz="4" w:space="0" w:color="auto"/>
              <w:left w:val="single" w:sz="4" w:space="0" w:color="auto"/>
              <w:bottom w:val="single" w:sz="4" w:space="0" w:color="000000"/>
              <w:right w:val="single" w:sz="4" w:space="0" w:color="auto"/>
            </w:tcBorders>
            <w:vAlign w:val="center"/>
            <w:hideMark/>
          </w:tcPr>
          <w:p w:rsidR="00E70204" w:rsidRPr="002224F3" w:rsidRDefault="00E70204" w:rsidP="00E70204">
            <w:pPr>
              <w:rPr>
                <w:rFonts w:cs="Calibri"/>
                <w:sz w:val="22"/>
                <w:szCs w:val="20"/>
              </w:rPr>
            </w:pPr>
          </w:p>
        </w:tc>
        <w:tc>
          <w:tcPr>
            <w:tcW w:w="10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70204" w:rsidRPr="002224F3" w:rsidRDefault="00E70204" w:rsidP="00E70204">
            <w:pPr>
              <w:jc w:val="center"/>
              <w:rPr>
                <w:rFonts w:cs="Calibri"/>
                <w:sz w:val="22"/>
                <w:szCs w:val="18"/>
              </w:rPr>
            </w:pPr>
            <w:r w:rsidRPr="002224F3">
              <w:rPr>
                <w:rFonts w:cs="Calibri"/>
                <w:sz w:val="22"/>
                <w:szCs w:val="18"/>
              </w:rPr>
              <w:t>шт.</w:t>
            </w:r>
          </w:p>
        </w:tc>
        <w:tc>
          <w:tcPr>
            <w:tcW w:w="1612"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rPr>
                <w:rFonts w:cs="Calibri"/>
                <w:sz w:val="22"/>
                <w:szCs w:val="20"/>
              </w:rPr>
            </w:pPr>
            <w:r w:rsidRPr="002224F3">
              <w:rPr>
                <w:rFonts w:cs="Calibri"/>
                <w:sz w:val="22"/>
                <w:szCs w:val="20"/>
              </w:rPr>
              <w:t>2011-12</w:t>
            </w:r>
          </w:p>
        </w:tc>
        <w:tc>
          <w:tcPr>
            <w:tcW w:w="1701"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47</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52</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3</w:t>
            </w:r>
          </w:p>
        </w:tc>
      </w:tr>
      <w:tr w:rsidR="00D27708" w:rsidRPr="002224F3" w:rsidTr="00D27708">
        <w:trPr>
          <w:trHeight w:val="240"/>
        </w:trPr>
        <w:tc>
          <w:tcPr>
            <w:tcW w:w="2598" w:type="dxa"/>
            <w:vMerge/>
            <w:tcBorders>
              <w:top w:val="single" w:sz="4" w:space="0" w:color="auto"/>
              <w:left w:val="single" w:sz="4" w:space="0" w:color="auto"/>
              <w:bottom w:val="single" w:sz="4" w:space="0" w:color="000000"/>
              <w:right w:val="single" w:sz="4" w:space="0" w:color="auto"/>
            </w:tcBorders>
            <w:vAlign w:val="center"/>
            <w:hideMark/>
          </w:tcPr>
          <w:p w:rsidR="00E70204" w:rsidRPr="002224F3" w:rsidRDefault="00E70204" w:rsidP="00E70204">
            <w:pPr>
              <w:rPr>
                <w:rFonts w:cs="Calibri"/>
                <w:sz w:val="22"/>
                <w:szCs w:val="20"/>
              </w:rPr>
            </w:pPr>
          </w:p>
        </w:tc>
        <w:tc>
          <w:tcPr>
            <w:tcW w:w="1040" w:type="dxa"/>
            <w:vMerge/>
            <w:tcBorders>
              <w:top w:val="nil"/>
              <w:left w:val="single" w:sz="4" w:space="0" w:color="auto"/>
              <w:bottom w:val="single" w:sz="4" w:space="0" w:color="auto"/>
              <w:right w:val="single" w:sz="4" w:space="0" w:color="auto"/>
            </w:tcBorders>
            <w:vAlign w:val="center"/>
            <w:hideMark/>
          </w:tcPr>
          <w:p w:rsidR="00E70204" w:rsidRPr="002224F3" w:rsidRDefault="00E70204" w:rsidP="00E70204">
            <w:pPr>
              <w:rPr>
                <w:rFonts w:cs="Calibri"/>
                <w:sz w:val="22"/>
                <w:szCs w:val="18"/>
              </w:rPr>
            </w:pPr>
          </w:p>
        </w:tc>
        <w:tc>
          <w:tcPr>
            <w:tcW w:w="1612"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rPr>
                <w:rFonts w:cs="Calibri"/>
                <w:sz w:val="22"/>
                <w:szCs w:val="20"/>
              </w:rPr>
            </w:pPr>
            <w:r w:rsidRPr="002224F3">
              <w:rPr>
                <w:rFonts w:cs="Calibri"/>
                <w:sz w:val="22"/>
                <w:szCs w:val="20"/>
              </w:rPr>
              <w:t>2012-13</w:t>
            </w:r>
          </w:p>
        </w:tc>
        <w:tc>
          <w:tcPr>
            <w:tcW w:w="1701"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47</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58</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5</w:t>
            </w:r>
          </w:p>
        </w:tc>
      </w:tr>
      <w:tr w:rsidR="00D27708" w:rsidRPr="002224F3" w:rsidTr="00D27708">
        <w:trPr>
          <w:trHeight w:val="240"/>
        </w:trPr>
        <w:tc>
          <w:tcPr>
            <w:tcW w:w="259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E70204" w:rsidRPr="002224F3" w:rsidRDefault="00E70204" w:rsidP="00E70204">
            <w:pPr>
              <w:jc w:val="center"/>
              <w:rPr>
                <w:rFonts w:cs="Calibri"/>
                <w:sz w:val="22"/>
                <w:szCs w:val="20"/>
              </w:rPr>
            </w:pPr>
            <w:proofErr w:type="spellStart"/>
            <w:r w:rsidRPr="002224F3">
              <w:rPr>
                <w:rFonts w:cs="Calibri"/>
                <w:sz w:val="22"/>
                <w:szCs w:val="20"/>
              </w:rPr>
              <w:t>Н.Новг</w:t>
            </w:r>
            <w:proofErr w:type="spellEnd"/>
            <w:r w:rsidRPr="002224F3">
              <w:rPr>
                <w:rFonts w:cs="Calibri"/>
                <w:sz w:val="22"/>
                <w:szCs w:val="20"/>
              </w:rPr>
              <w:t>.</w:t>
            </w:r>
          </w:p>
        </w:tc>
        <w:tc>
          <w:tcPr>
            <w:tcW w:w="10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70204" w:rsidRPr="002224F3" w:rsidRDefault="00E70204" w:rsidP="00E70204">
            <w:pPr>
              <w:jc w:val="center"/>
              <w:rPr>
                <w:rFonts w:cs="Calibri"/>
                <w:sz w:val="22"/>
                <w:szCs w:val="18"/>
              </w:rPr>
            </w:pPr>
            <w:r w:rsidRPr="002224F3">
              <w:rPr>
                <w:rFonts w:cs="Calibri"/>
                <w:sz w:val="22"/>
                <w:szCs w:val="18"/>
              </w:rPr>
              <w:t>совм.</w:t>
            </w:r>
          </w:p>
        </w:tc>
        <w:tc>
          <w:tcPr>
            <w:tcW w:w="1612"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rPr>
                <w:rFonts w:cs="Calibri"/>
                <w:sz w:val="22"/>
                <w:szCs w:val="20"/>
              </w:rPr>
            </w:pPr>
            <w:r w:rsidRPr="002224F3">
              <w:rPr>
                <w:rFonts w:cs="Calibri"/>
                <w:sz w:val="22"/>
                <w:szCs w:val="20"/>
              </w:rPr>
              <w:t>2011-12</w:t>
            </w:r>
          </w:p>
        </w:tc>
        <w:tc>
          <w:tcPr>
            <w:tcW w:w="1701"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46</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45</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18</w:t>
            </w:r>
          </w:p>
        </w:tc>
      </w:tr>
      <w:tr w:rsidR="00D27708" w:rsidRPr="002224F3" w:rsidTr="00D27708">
        <w:trPr>
          <w:trHeight w:val="240"/>
        </w:trPr>
        <w:tc>
          <w:tcPr>
            <w:tcW w:w="2598" w:type="dxa"/>
            <w:vMerge/>
            <w:tcBorders>
              <w:top w:val="single" w:sz="4" w:space="0" w:color="auto"/>
              <w:left w:val="single" w:sz="4" w:space="0" w:color="auto"/>
              <w:bottom w:val="single" w:sz="4" w:space="0" w:color="000000"/>
              <w:right w:val="single" w:sz="4" w:space="0" w:color="auto"/>
            </w:tcBorders>
            <w:vAlign w:val="center"/>
            <w:hideMark/>
          </w:tcPr>
          <w:p w:rsidR="00E70204" w:rsidRPr="002224F3" w:rsidRDefault="00E70204" w:rsidP="00E70204">
            <w:pPr>
              <w:rPr>
                <w:rFonts w:cs="Calibri"/>
                <w:sz w:val="22"/>
                <w:szCs w:val="20"/>
              </w:rPr>
            </w:pPr>
          </w:p>
        </w:tc>
        <w:tc>
          <w:tcPr>
            <w:tcW w:w="1040" w:type="dxa"/>
            <w:vMerge/>
            <w:tcBorders>
              <w:top w:val="nil"/>
              <w:left w:val="single" w:sz="4" w:space="0" w:color="auto"/>
              <w:bottom w:val="single" w:sz="4" w:space="0" w:color="auto"/>
              <w:right w:val="single" w:sz="4" w:space="0" w:color="auto"/>
            </w:tcBorders>
            <w:vAlign w:val="center"/>
            <w:hideMark/>
          </w:tcPr>
          <w:p w:rsidR="00E70204" w:rsidRPr="002224F3" w:rsidRDefault="00E70204" w:rsidP="00E70204">
            <w:pPr>
              <w:rPr>
                <w:rFonts w:cs="Calibri"/>
                <w:sz w:val="22"/>
                <w:szCs w:val="18"/>
              </w:rPr>
            </w:pPr>
          </w:p>
        </w:tc>
        <w:tc>
          <w:tcPr>
            <w:tcW w:w="1612"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rPr>
                <w:rFonts w:cs="Calibri"/>
                <w:sz w:val="22"/>
                <w:szCs w:val="20"/>
              </w:rPr>
            </w:pPr>
            <w:r w:rsidRPr="002224F3">
              <w:rPr>
                <w:rFonts w:cs="Calibri"/>
                <w:sz w:val="22"/>
                <w:szCs w:val="20"/>
              </w:rPr>
              <w:t>2012-13</w:t>
            </w:r>
          </w:p>
        </w:tc>
        <w:tc>
          <w:tcPr>
            <w:tcW w:w="1701"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47</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42</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16</w:t>
            </w:r>
          </w:p>
        </w:tc>
      </w:tr>
      <w:tr w:rsidR="00D27708" w:rsidRPr="002224F3" w:rsidTr="00D27708">
        <w:trPr>
          <w:trHeight w:val="240"/>
        </w:trPr>
        <w:tc>
          <w:tcPr>
            <w:tcW w:w="2598" w:type="dxa"/>
            <w:vMerge/>
            <w:tcBorders>
              <w:top w:val="single" w:sz="4" w:space="0" w:color="auto"/>
              <w:left w:val="single" w:sz="4" w:space="0" w:color="auto"/>
              <w:bottom w:val="single" w:sz="4" w:space="0" w:color="000000"/>
              <w:right w:val="single" w:sz="4" w:space="0" w:color="auto"/>
            </w:tcBorders>
            <w:vAlign w:val="center"/>
            <w:hideMark/>
          </w:tcPr>
          <w:p w:rsidR="00E70204" w:rsidRPr="002224F3" w:rsidRDefault="00E70204" w:rsidP="00E70204">
            <w:pPr>
              <w:rPr>
                <w:rFonts w:cs="Calibri"/>
                <w:sz w:val="22"/>
                <w:szCs w:val="20"/>
              </w:rPr>
            </w:pPr>
          </w:p>
        </w:tc>
        <w:tc>
          <w:tcPr>
            <w:tcW w:w="10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70204" w:rsidRPr="002224F3" w:rsidRDefault="00E70204" w:rsidP="00E70204">
            <w:pPr>
              <w:jc w:val="center"/>
              <w:rPr>
                <w:rFonts w:cs="Calibri"/>
                <w:sz w:val="22"/>
                <w:szCs w:val="18"/>
              </w:rPr>
            </w:pPr>
            <w:r w:rsidRPr="002224F3">
              <w:rPr>
                <w:rFonts w:cs="Calibri"/>
                <w:sz w:val="22"/>
                <w:szCs w:val="18"/>
              </w:rPr>
              <w:t>шт.</w:t>
            </w:r>
          </w:p>
        </w:tc>
        <w:tc>
          <w:tcPr>
            <w:tcW w:w="1612"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rPr>
                <w:rFonts w:cs="Calibri"/>
                <w:sz w:val="22"/>
                <w:szCs w:val="20"/>
              </w:rPr>
            </w:pPr>
            <w:r w:rsidRPr="002224F3">
              <w:rPr>
                <w:rFonts w:cs="Calibri"/>
                <w:sz w:val="22"/>
                <w:szCs w:val="20"/>
              </w:rPr>
              <w:t>2011-12</w:t>
            </w:r>
          </w:p>
        </w:tc>
        <w:tc>
          <w:tcPr>
            <w:tcW w:w="1701"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88</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118</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20</w:t>
            </w:r>
          </w:p>
        </w:tc>
      </w:tr>
      <w:tr w:rsidR="00D27708" w:rsidRPr="002224F3" w:rsidTr="00D27708">
        <w:trPr>
          <w:trHeight w:val="240"/>
        </w:trPr>
        <w:tc>
          <w:tcPr>
            <w:tcW w:w="2598" w:type="dxa"/>
            <w:vMerge/>
            <w:tcBorders>
              <w:top w:val="single" w:sz="4" w:space="0" w:color="auto"/>
              <w:left w:val="single" w:sz="4" w:space="0" w:color="auto"/>
              <w:bottom w:val="single" w:sz="4" w:space="0" w:color="000000"/>
              <w:right w:val="single" w:sz="4" w:space="0" w:color="auto"/>
            </w:tcBorders>
            <w:vAlign w:val="center"/>
            <w:hideMark/>
          </w:tcPr>
          <w:p w:rsidR="00E70204" w:rsidRPr="002224F3" w:rsidRDefault="00E70204" w:rsidP="00E70204">
            <w:pPr>
              <w:rPr>
                <w:rFonts w:cs="Calibri"/>
                <w:sz w:val="22"/>
                <w:szCs w:val="20"/>
              </w:rPr>
            </w:pPr>
          </w:p>
        </w:tc>
        <w:tc>
          <w:tcPr>
            <w:tcW w:w="1040" w:type="dxa"/>
            <w:vMerge/>
            <w:tcBorders>
              <w:top w:val="nil"/>
              <w:left w:val="single" w:sz="4" w:space="0" w:color="auto"/>
              <w:bottom w:val="single" w:sz="4" w:space="0" w:color="auto"/>
              <w:right w:val="single" w:sz="4" w:space="0" w:color="auto"/>
            </w:tcBorders>
            <w:vAlign w:val="center"/>
            <w:hideMark/>
          </w:tcPr>
          <w:p w:rsidR="00E70204" w:rsidRPr="002224F3" w:rsidRDefault="00E70204" w:rsidP="00E70204">
            <w:pPr>
              <w:rPr>
                <w:rFonts w:cs="Calibri"/>
                <w:sz w:val="22"/>
                <w:szCs w:val="18"/>
              </w:rPr>
            </w:pPr>
          </w:p>
        </w:tc>
        <w:tc>
          <w:tcPr>
            <w:tcW w:w="1612"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rPr>
                <w:rFonts w:cs="Calibri"/>
                <w:sz w:val="22"/>
                <w:szCs w:val="20"/>
              </w:rPr>
            </w:pPr>
            <w:r w:rsidRPr="002224F3">
              <w:rPr>
                <w:rFonts w:cs="Calibri"/>
                <w:sz w:val="22"/>
                <w:szCs w:val="20"/>
              </w:rPr>
              <w:t>2012-13</w:t>
            </w:r>
          </w:p>
        </w:tc>
        <w:tc>
          <w:tcPr>
            <w:tcW w:w="1701"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86</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114</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26</w:t>
            </w:r>
          </w:p>
        </w:tc>
      </w:tr>
      <w:tr w:rsidR="00D27708" w:rsidRPr="002224F3" w:rsidTr="00D27708">
        <w:trPr>
          <w:trHeight w:val="240"/>
        </w:trPr>
        <w:tc>
          <w:tcPr>
            <w:tcW w:w="259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E70204" w:rsidRPr="002224F3" w:rsidRDefault="00E70204" w:rsidP="00E70204">
            <w:pPr>
              <w:jc w:val="center"/>
              <w:rPr>
                <w:rFonts w:cs="Calibri"/>
                <w:sz w:val="22"/>
                <w:szCs w:val="20"/>
              </w:rPr>
            </w:pPr>
            <w:r w:rsidRPr="002224F3">
              <w:rPr>
                <w:rFonts w:cs="Calibri"/>
                <w:sz w:val="22"/>
                <w:szCs w:val="20"/>
              </w:rPr>
              <w:t>С-Пб</w:t>
            </w:r>
          </w:p>
        </w:tc>
        <w:tc>
          <w:tcPr>
            <w:tcW w:w="10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70204" w:rsidRPr="002224F3" w:rsidRDefault="00E70204" w:rsidP="00E70204">
            <w:pPr>
              <w:jc w:val="center"/>
              <w:rPr>
                <w:rFonts w:cs="Calibri"/>
                <w:sz w:val="22"/>
                <w:szCs w:val="18"/>
              </w:rPr>
            </w:pPr>
            <w:r w:rsidRPr="002224F3">
              <w:rPr>
                <w:rFonts w:cs="Calibri"/>
                <w:sz w:val="22"/>
                <w:szCs w:val="18"/>
              </w:rPr>
              <w:t>совм.</w:t>
            </w:r>
          </w:p>
        </w:tc>
        <w:tc>
          <w:tcPr>
            <w:tcW w:w="1612"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rPr>
                <w:rFonts w:cs="Calibri"/>
                <w:sz w:val="22"/>
                <w:szCs w:val="20"/>
              </w:rPr>
            </w:pPr>
            <w:r w:rsidRPr="002224F3">
              <w:rPr>
                <w:rFonts w:cs="Calibri"/>
                <w:sz w:val="22"/>
                <w:szCs w:val="20"/>
              </w:rPr>
              <w:t>2011-12</w:t>
            </w:r>
          </w:p>
        </w:tc>
        <w:tc>
          <w:tcPr>
            <w:tcW w:w="1701"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50</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60</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24</w:t>
            </w:r>
          </w:p>
        </w:tc>
      </w:tr>
      <w:tr w:rsidR="00D27708" w:rsidRPr="002224F3" w:rsidTr="00D27708">
        <w:trPr>
          <w:trHeight w:val="240"/>
        </w:trPr>
        <w:tc>
          <w:tcPr>
            <w:tcW w:w="2598" w:type="dxa"/>
            <w:vMerge/>
            <w:tcBorders>
              <w:top w:val="single" w:sz="4" w:space="0" w:color="auto"/>
              <w:left w:val="single" w:sz="4" w:space="0" w:color="auto"/>
              <w:bottom w:val="single" w:sz="4" w:space="0" w:color="000000"/>
              <w:right w:val="single" w:sz="4" w:space="0" w:color="auto"/>
            </w:tcBorders>
            <w:vAlign w:val="center"/>
            <w:hideMark/>
          </w:tcPr>
          <w:p w:rsidR="00E70204" w:rsidRPr="002224F3" w:rsidRDefault="00E70204" w:rsidP="00E70204">
            <w:pPr>
              <w:rPr>
                <w:rFonts w:cs="Calibri"/>
                <w:sz w:val="22"/>
                <w:szCs w:val="20"/>
              </w:rPr>
            </w:pPr>
          </w:p>
        </w:tc>
        <w:tc>
          <w:tcPr>
            <w:tcW w:w="1040" w:type="dxa"/>
            <w:vMerge/>
            <w:tcBorders>
              <w:top w:val="nil"/>
              <w:left w:val="single" w:sz="4" w:space="0" w:color="auto"/>
              <w:bottom w:val="single" w:sz="4" w:space="0" w:color="auto"/>
              <w:right w:val="single" w:sz="4" w:space="0" w:color="auto"/>
            </w:tcBorders>
            <w:vAlign w:val="center"/>
            <w:hideMark/>
          </w:tcPr>
          <w:p w:rsidR="00E70204" w:rsidRPr="002224F3" w:rsidRDefault="00E70204" w:rsidP="00E70204">
            <w:pPr>
              <w:rPr>
                <w:rFonts w:cs="Calibri"/>
                <w:sz w:val="22"/>
                <w:szCs w:val="18"/>
              </w:rPr>
            </w:pPr>
          </w:p>
        </w:tc>
        <w:tc>
          <w:tcPr>
            <w:tcW w:w="1612"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rPr>
                <w:rFonts w:cs="Calibri"/>
                <w:sz w:val="22"/>
                <w:szCs w:val="20"/>
              </w:rPr>
            </w:pPr>
            <w:r w:rsidRPr="002224F3">
              <w:rPr>
                <w:rFonts w:cs="Calibri"/>
                <w:sz w:val="22"/>
                <w:szCs w:val="20"/>
              </w:rPr>
              <w:t>2012-13</w:t>
            </w:r>
          </w:p>
        </w:tc>
        <w:tc>
          <w:tcPr>
            <w:tcW w:w="1701"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30</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36</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20</w:t>
            </w:r>
          </w:p>
        </w:tc>
      </w:tr>
      <w:tr w:rsidR="00D27708" w:rsidRPr="002224F3" w:rsidTr="00D27708">
        <w:trPr>
          <w:trHeight w:val="240"/>
        </w:trPr>
        <w:tc>
          <w:tcPr>
            <w:tcW w:w="2598" w:type="dxa"/>
            <w:vMerge/>
            <w:tcBorders>
              <w:top w:val="single" w:sz="4" w:space="0" w:color="auto"/>
              <w:left w:val="single" w:sz="4" w:space="0" w:color="auto"/>
              <w:bottom w:val="single" w:sz="4" w:space="0" w:color="000000"/>
              <w:right w:val="single" w:sz="4" w:space="0" w:color="auto"/>
            </w:tcBorders>
            <w:vAlign w:val="center"/>
            <w:hideMark/>
          </w:tcPr>
          <w:p w:rsidR="00E70204" w:rsidRPr="002224F3" w:rsidRDefault="00E70204" w:rsidP="00E70204">
            <w:pPr>
              <w:rPr>
                <w:rFonts w:cs="Calibri"/>
                <w:sz w:val="22"/>
                <w:szCs w:val="20"/>
              </w:rPr>
            </w:pPr>
          </w:p>
        </w:tc>
        <w:tc>
          <w:tcPr>
            <w:tcW w:w="10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70204" w:rsidRPr="002224F3" w:rsidRDefault="00E70204" w:rsidP="00E70204">
            <w:pPr>
              <w:jc w:val="center"/>
              <w:rPr>
                <w:rFonts w:cs="Calibri"/>
                <w:sz w:val="22"/>
                <w:szCs w:val="18"/>
              </w:rPr>
            </w:pPr>
            <w:r w:rsidRPr="002224F3">
              <w:rPr>
                <w:rFonts w:cs="Calibri"/>
                <w:sz w:val="22"/>
                <w:szCs w:val="18"/>
              </w:rPr>
              <w:t>шт.</w:t>
            </w:r>
          </w:p>
        </w:tc>
        <w:tc>
          <w:tcPr>
            <w:tcW w:w="1612"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rPr>
                <w:rFonts w:cs="Calibri"/>
                <w:sz w:val="22"/>
                <w:szCs w:val="20"/>
              </w:rPr>
            </w:pPr>
            <w:r w:rsidRPr="002224F3">
              <w:rPr>
                <w:rFonts w:cs="Calibri"/>
                <w:sz w:val="22"/>
                <w:szCs w:val="20"/>
              </w:rPr>
              <w:t>2011-12</w:t>
            </w:r>
          </w:p>
        </w:tc>
        <w:tc>
          <w:tcPr>
            <w:tcW w:w="1701"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81</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103</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19</w:t>
            </w:r>
          </w:p>
        </w:tc>
      </w:tr>
      <w:tr w:rsidR="00D27708" w:rsidRPr="002224F3" w:rsidTr="00D27708">
        <w:trPr>
          <w:trHeight w:val="240"/>
        </w:trPr>
        <w:tc>
          <w:tcPr>
            <w:tcW w:w="2598" w:type="dxa"/>
            <w:vMerge/>
            <w:tcBorders>
              <w:top w:val="single" w:sz="4" w:space="0" w:color="auto"/>
              <w:left w:val="single" w:sz="4" w:space="0" w:color="auto"/>
              <w:bottom w:val="single" w:sz="4" w:space="0" w:color="000000"/>
              <w:right w:val="single" w:sz="4" w:space="0" w:color="auto"/>
            </w:tcBorders>
            <w:vAlign w:val="center"/>
            <w:hideMark/>
          </w:tcPr>
          <w:p w:rsidR="00E70204" w:rsidRPr="002224F3" w:rsidRDefault="00E70204" w:rsidP="00E70204">
            <w:pPr>
              <w:rPr>
                <w:rFonts w:cs="Calibri"/>
                <w:sz w:val="22"/>
                <w:szCs w:val="20"/>
              </w:rPr>
            </w:pPr>
          </w:p>
        </w:tc>
        <w:tc>
          <w:tcPr>
            <w:tcW w:w="1040" w:type="dxa"/>
            <w:vMerge/>
            <w:tcBorders>
              <w:top w:val="nil"/>
              <w:left w:val="single" w:sz="4" w:space="0" w:color="auto"/>
              <w:bottom w:val="single" w:sz="4" w:space="0" w:color="auto"/>
              <w:right w:val="single" w:sz="4" w:space="0" w:color="auto"/>
            </w:tcBorders>
            <w:vAlign w:val="center"/>
            <w:hideMark/>
          </w:tcPr>
          <w:p w:rsidR="00E70204" w:rsidRPr="002224F3" w:rsidRDefault="00E70204" w:rsidP="00E70204">
            <w:pPr>
              <w:rPr>
                <w:rFonts w:cs="Calibri"/>
                <w:sz w:val="22"/>
                <w:szCs w:val="18"/>
              </w:rPr>
            </w:pPr>
          </w:p>
        </w:tc>
        <w:tc>
          <w:tcPr>
            <w:tcW w:w="1612"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rPr>
                <w:rFonts w:cs="Calibri"/>
                <w:sz w:val="22"/>
                <w:szCs w:val="20"/>
              </w:rPr>
            </w:pPr>
            <w:r w:rsidRPr="002224F3">
              <w:rPr>
                <w:rFonts w:cs="Calibri"/>
                <w:sz w:val="22"/>
                <w:szCs w:val="20"/>
              </w:rPr>
              <w:t>2012-13</w:t>
            </w:r>
          </w:p>
        </w:tc>
        <w:tc>
          <w:tcPr>
            <w:tcW w:w="1701"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88</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111</w:t>
            </w:r>
          </w:p>
        </w:tc>
        <w:tc>
          <w:tcPr>
            <w:tcW w:w="1276" w:type="dxa"/>
            <w:tcBorders>
              <w:top w:val="nil"/>
              <w:left w:val="nil"/>
              <w:bottom w:val="single" w:sz="4" w:space="0" w:color="auto"/>
              <w:right w:val="single" w:sz="4" w:space="0" w:color="auto"/>
            </w:tcBorders>
            <w:shd w:val="clear" w:color="000000" w:fill="FFFFFF"/>
            <w:noWrap/>
            <w:vAlign w:val="bottom"/>
            <w:hideMark/>
          </w:tcPr>
          <w:p w:rsidR="00E70204" w:rsidRPr="002224F3" w:rsidRDefault="00E70204" w:rsidP="00E70204">
            <w:pPr>
              <w:jc w:val="center"/>
              <w:rPr>
                <w:rFonts w:cs="Calibri"/>
                <w:sz w:val="22"/>
                <w:szCs w:val="20"/>
              </w:rPr>
            </w:pPr>
            <w:r w:rsidRPr="002224F3">
              <w:rPr>
                <w:rFonts w:cs="Calibri"/>
                <w:sz w:val="22"/>
                <w:szCs w:val="20"/>
              </w:rPr>
              <w:t>28</w:t>
            </w:r>
          </w:p>
        </w:tc>
      </w:tr>
    </w:tbl>
    <w:p w:rsidR="00E70204" w:rsidRDefault="00E70204" w:rsidP="00E70204">
      <w:pPr>
        <w:rPr>
          <w:rFonts w:cs="Calibri"/>
          <w:b/>
          <w:color w:val="000000"/>
        </w:rPr>
      </w:pPr>
    </w:p>
    <w:p w:rsidR="00E70204" w:rsidRDefault="00E70204" w:rsidP="00E70204">
      <w:pPr>
        <w:rPr>
          <w:rFonts w:cs="Calibri"/>
          <w:b/>
          <w:color w:val="000000"/>
        </w:rPr>
      </w:pPr>
      <w:r w:rsidRPr="00F70B58">
        <w:rPr>
          <w:rFonts w:cs="Calibri"/>
          <w:b/>
          <w:color w:val="000000"/>
        </w:rPr>
        <w:t>Ди</w:t>
      </w:r>
      <w:r w:rsidR="00D27708">
        <w:rPr>
          <w:rFonts w:cs="Calibri"/>
          <w:b/>
          <w:color w:val="000000"/>
        </w:rPr>
        <w:t>аграмма 8</w:t>
      </w:r>
      <w:r w:rsidRPr="00F70B58">
        <w:rPr>
          <w:rFonts w:cs="Calibri"/>
          <w:b/>
          <w:color w:val="000000"/>
        </w:rPr>
        <w:t>.1.</w:t>
      </w:r>
      <w:r w:rsidR="002224F3">
        <w:rPr>
          <w:rFonts w:cs="Calibri"/>
          <w:b/>
          <w:color w:val="000000"/>
        </w:rPr>
        <w:t>6</w:t>
      </w:r>
    </w:p>
    <w:p w:rsidR="00E70204" w:rsidRDefault="00982A49" w:rsidP="00E70204">
      <w:pPr>
        <w:rPr>
          <w:rFonts w:cs="Calibri"/>
          <w:b/>
          <w:color w:val="000000"/>
        </w:rPr>
      </w:pPr>
      <w:r>
        <w:rPr>
          <w:noProof/>
        </w:rPr>
        <w:drawing>
          <wp:inline distT="0" distB="0" distL="0" distR="0">
            <wp:extent cx="5597912" cy="3633261"/>
            <wp:effectExtent l="0" t="0" r="0" b="0"/>
            <wp:docPr id="70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00268" cy="3634790"/>
                    </a:xfrm>
                    <a:prstGeom prst="rect">
                      <a:avLst/>
                    </a:prstGeom>
                    <a:noFill/>
                    <a:ln>
                      <a:noFill/>
                    </a:ln>
                  </pic:spPr>
                </pic:pic>
              </a:graphicData>
            </a:graphic>
          </wp:inline>
        </w:drawing>
      </w:r>
    </w:p>
    <w:p w:rsidR="00E70204" w:rsidRDefault="00E70204" w:rsidP="00E70204">
      <w:pPr>
        <w:jc w:val="both"/>
        <w:rPr>
          <w:rFonts w:cs="Calibri"/>
          <w:b/>
          <w:color w:val="000000"/>
        </w:rPr>
      </w:pPr>
    </w:p>
    <w:p w:rsidR="00E70204" w:rsidRPr="00D27708" w:rsidRDefault="00E70204" w:rsidP="00D27708">
      <w:pPr>
        <w:spacing w:after="200" w:line="276" w:lineRule="auto"/>
        <w:jc w:val="both"/>
      </w:pPr>
      <w:r w:rsidRPr="00D27708">
        <w:t xml:space="preserve">Качественная характеристика профессорско-преподавательского состава по должностям представлена в таблице </w:t>
      </w:r>
      <w:r w:rsidR="00D27708">
        <w:t>8</w:t>
      </w:r>
      <w:r w:rsidRPr="00D27708">
        <w:t xml:space="preserve">.1.7  и на диаграмме </w:t>
      </w:r>
      <w:r w:rsidR="00D27708">
        <w:t>8</w:t>
      </w:r>
      <w:r w:rsidRPr="00D27708">
        <w:t>.1.7.</w:t>
      </w:r>
    </w:p>
    <w:p w:rsidR="00E70204" w:rsidRPr="00D27708" w:rsidRDefault="00E70204" w:rsidP="00D27708">
      <w:pPr>
        <w:spacing w:after="200" w:line="276" w:lineRule="auto"/>
        <w:jc w:val="both"/>
      </w:pPr>
      <w:r w:rsidRPr="00D27708">
        <w:t xml:space="preserve">Количество штатного профессорско-преподавательского состава НИУ ВШЭ по сравнению с предыдущим годом увеличилось на 457 человек (115 профессоров, 198 доцентов, 92 ст. </w:t>
      </w:r>
      <w:r w:rsidRPr="00D27708">
        <w:lastRenderedPageBreak/>
        <w:t>преподавателя, 52 преподавателя и ассистента). Рост штатного состава ППС произошел из-за вливания значительной части профессоров и доцентов из МИЭМ.</w:t>
      </w:r>
    </w:p>
    <w:tbl>
      <w:tblPr>
        <w:tblW w:w="8698" w:type="dxa"/>
        <w:tblInd w:w="108" w:type="dxa"/>
        <w:tblLook w:val="04A0" w:firstRow="1" w:lastRow="0" w:firstColumn="1" w:lastColumn="0" w:noHBand="0" w:noVBand="1"/>
      </w:tblPr>
      <w:tblGrid>
        <w:gridCol w:w="2916"/>
        <w:gridCol w:w="1049"/>
        <w:gridCol w:w="976"/>
        <w:gridCol w:w="1427"/>
        <w:gridCol w:w="976"/>
        <w:gridCol w:w="1427"/>
      </w:tblGrid>
      <w:tr w:rsidR="00E70204" w:rsidRPr="00CA16D6" w:rsidTr="00E70204">
        <w:trPr>
          <w:trHeight w:val="300"/>
        </w:trPr>
        <w:tc>
          <w:tcPr>
            <w:tcW w:w="2916" w:type="dxa"/>
            <w:tcBorders>
              <w:top w:val="nil"/>
              <w:left w:val="nil"/>
              <w:bottom w:val="nil"/>
              <w:right w:val="nil"/>
            </w:tcBorders>
            <w:shd w:val="clear" w:color="auto" w:fill="auto"/>
            <w:noWrap/>
            <w:vAlign w:val="center"/>
            <w:hideMark/>
          </w:tcPr>
          <w:p w:rsidR="00E70204" w:rsidRPr="00CA16D6" w:rsidRDefault="00D27708" w:rsidP="00E70204">
            <w:pPr>
              <w:jc w:val="both"/>
              <w:rPr>
                <w:rFonts w:cs="Calibri"/>
                <w:b/>
                <w:bCs/>
                <w:color w:val="000000"/>
              </w:rPr>
            </w:pPr>
            <w:r w:rsidRPr="00CA16D6">
              <w:rPr>
                <w:rFonts w:cs="Calibri"/>
                <w:b/>
                <w:bCs/>
                <w:color w:val="000000"/>
              </w:rPr>
              <w:t>Таблица 8</w:t>
            </w:r>
            <w:r w:rsidR="00E70204" w:rsidRPr="00CA16D6">
              <w:rPr>
                <w:rFonts w:cs="Calibri"/>
                <w:b/>
                <w:bCs/>
                <w:color w:val="000000"/>
              </w:rPr>
              <w:t>.1.7</w:t>
            </w:r>
          </w:p>
        </w:tc>
        <w:tc>
          <w:tcPr>
            <w:tcW w:w="976" w:type="dxa"/>
            <w:tcBorders>
              <w:top w:val="nil"/>
              <w:left w:val="nil"/>
              <w:bottom w:val="nil"/>
              <w:right w:val="nil"/>
            </w:tcBorders>
            <w:shd w:val="clear" w:color="auto" w:fill="auto"/>
            <w:noWrap/>
            <w:vAlign w:val="bottom"/>
            <w:hideMark/>
          </w:tcPr>
          <w:p w:rsidR="00E70204" w:rsidRPr="00CA16D6" w:rsidRDefault="00E70204" w:rsidP="00E70204">
            <w:pPr>
              <w:rPr>
                <w:rFonts w:cs="Calibri"/>
                <w:color w:val="000000"/>
              </w:rPr>
            </w:pPr>
          </w:p>
        </w:tc>
        <w:tc>
          <w:tcPr>
            <w:tcW w:w="976" w:type="dxa"/>
            <w:tcBorders>
              <w:top w:val="nil"/>
              <w:left w:val="nil"/>
              <w:bottom w:val="nil"/>
              <w:right w:val="nil"/>
            </w:tcBorders>
            <w:shd w:val="clear" w:color="auto" w:fill="auto"/>
            <w:noWrap/>
            <w:vAlign w:val="bottom"/>
            <w:hideMark/>
          </w:tcPr>
          <w:p w:rsidR="00E70204" w:rsidRPr="00CA16D6" w:rsidRDefault="00E70204" w:rsidP="00E70204">
            <w:pPr>
              <w:rPr>
                <w:rFonts w:cs="Calibri"/>
                <w:color w:val="000000"/>
              </w:rPr>
            </w:pPr>
          </w:p>
        </w:tc>
        <w:tc>
          <w:tcPr>
            <w:tcW w:w="1427" w:type="dxa"/>
            <w:tcBorders>
              <w:top w:val="nil"/>
              <w:left w:val="nil"/>
              <w:bottom w:val="nil"/>
              <w:right w:val="nil"/>
            </w:tcBorders>
            <w:shd w:val="clear" w:color="auto" w:fill="auto"/>
            <w:noWrap/>
            <w:vAlign w:val="bottom"/>
            <w:hideMark/>
          </w:tcPr>
          <w:p w:rsidR="00E70204" w:rsidRPr="00CA16D6" w:rsidRDefault="00E70204" w:rsidP="00E70204">
            <w:pPr>
              <w:rPr>
                <w:rFonts w:cs="Calibri"/>
                <w:color w:val="000000"/>
              </w:rPr>
            </w:pPr>
          </w:p>
        </w:tc>
        <w:tc>
          <w:tcPr>
            <w:tcW w:w="976" w:type="dxa"/>
            <w:tcBorders>
              <w:top w:val="nil"/>
              <w:left w:val="nil"/>
              <w:bottom w:val="nil"/>
              <w:right w:val="nil"/>
            </w:tcBorders>
            <w:shd w:val="clear" w:color="auto" w:fill="auto"/>
            <w:noWrap/>
            <w:vAlign w:val="bottom"/>
            <w:hideMark/>
          </w:tcPr>
          <w:p w:rsidR="00E70204" w:rsidRPr="00CA16D6" w:rsidRDefault="00E70204" w:rsidP="00E70204">
            <w:pPr>
              <w:rPr>
                <w:rFonts w:cs="Calibri"/>
                <w:color w:val="000000"/>
              </w:rPr>
            </w:pPr>
          </w:p>
        </w:tc>
        <w:tc>
          <w:tcPr>
            <w:tcW w:w="1427" w:type="dxa"/>
            <w:tcBorders>
              <w:top w:val="nil"/>
              <w:left w:val="nil"/>
              <w:bottom w:val="nil"/>
              <w:right w:val="nil"/>
            </w:tcBorders>
            <w:shd w:val="clear" w:color="auto" w:fill="auto"/>
            <w:noWrap/>
            <w:vAlign w:val="bottom"/>
            <w:hideMark/>
          </w:tcPr>
          <w:p w:rsidR="00E70204" w:rsidRPr="00CA16D6" w:rsidRDefault="00E70204" w:rsidP="00E70204">
            <w:pPr>
              <w:rPr>
                <w:rFonts w:cs="Calibri"/>
                <w:color w:val="000000"/>
              </w:rPr>
            </w:pPr>
          </w:p>
        </w:tc>
      </w:tr>
      <w:tr w:rsidR="00D27708" w:rsidRPr="00CA16D6" w:rsidTr="00D27708">
        <w:trPr>
          <w:trHeight w:val="678"/>
        </w:trPr>
        <w:tc>
          <w:tcPr>
            <w:tcW w:w="2916" w:type="dxa"/>
            <w:vMerge w:val="restart"/>
            <w:tcBorders>
              <w:top w:val="single" w:sz="4" w:space="0" w:color="auto"/>
              <w:left w:val="single" w:sz="4" w:space="0" w:color="auto"/>
              <w:right w:val="single" w:sz="4" w:space="0" w:color="auto"/>
            </w:tcBorders>
            <w:shd w:val="clear" w:color="auto" w:fill="auto"/>
            <w:vAlign w:val="center"/>
            <w:hideMark/>
          </w:tcPr>
          <w:p w:rsidR="00D27708" w:rsidRPr="00CA16D6" w:rsidRDefault="00D27708" w:rsidP="00E70204">
            <w:pPr>
              <w:jc w:val="center"/>
              <w:rPr>
                <w:rFonts w:cs="Calibri"/>
                <w:b/>
                <w:bCs/>
                <w:color w:val="000000"/>
              </w:rPr>
            </w:pPr>
            <w:r w:rsidRPr="00CA16D6">
              <w:rPr>
                <w:rFonts w:cs="Calibri"/>
                <w:b/>
                <w:bCs/>
                <w:color w:val="000000"/>
              </w:rPr>
              <w:t>Должности</w:t>
            </w:r>
          </w:p>
          <w:p w:rsidR="00D27708" w:rsidRPr="00CA16D6" w:rsidRDefault="00D27708" w:rsidP="00E70204">
            <w:pPr>
              <w:rPr>
                <w:rFonts w:cs="Calibri"/>
                <w:b/>
                <w:bCs/>
                <w:color w:val="000000"/>
              </w:rPr>
            </w:pPr>
            <w:r w:rsidRPr="00CA16D6">
              <w:rPr>
                <w:rFonts w:cs="Calibri"/>
                <w:color w:val="000000"/>
              </w:rPr>
              <w:t> </w:t>
            </w:r>
          </w:p>
        </w:tc>
        <w:tc>
          <w:tcPr>
            <w:tcW w:w="976" w:type="dxa"/>
            <w:vMerge w:val="restart"/>
            <w:tcBorders>
              <w:top w:val="single" w:sz="4" w:space="0" w:color="auto"/>
              <w:left w:val="nil"/>
              <w:right w:val="single" w:sz="4" w:space="0" w:color="auto"/>
            </w:tcBorders>
            <w:shd w:val="clear" w:color="auto" w:fill="auto"/>
            <w:vAlign w:val="center"/>
            <w:hideMark/>
          </w:tcPr>
          <w:p w:rsidR="00D27708" w:rsidRPr="00CA16D6" w:rsidRDefault="00D27708" w:rsidP="00E70204">
            <w:pPr>
              <w:jc w:val="center"/>
              <w:rPr>
                <w:rFonts w:cs="Calibri"/>
                <w:b/>
                <w:bCs/>
                <w:color w:val="000000"/>
              </w:rPr>
            </w:pPr>
            <w:r w:rsidRPr="00CA16D6">
              <w:rPr>
                <w:rFonts w:cs="Calibri"/>
                <w:b/>
                <w:bCs/>
                <w:color w:val="000000"/>
              </w:rPr>
              <w:t>Годы</w:t>
            </w:r>
          </w:p>
          <w:p w:rsidR="00D27708" w:rsidRPr="00CA16D6" w:rsidRDefault="00D27708" w:rsidP="00E70204">
            <w:pPr>
              <w:jc w:val="center"/>
              <w:rPr>
                <w:rFonts w:cs="Calibri"/>
                <w:b/>
                <w:bCs/>
                <w:color w:val="000000"/>
              </w:rPr>
            </w:pPr>
            <w:r w:rsidRPr="00CA16D6">
              <w:rPr>
                <w:rFonts w:cs="Calibri"/>
                <w:color w:val="000000"/>
              </w:rPr>
              <w:t> </w:t>
            </w:r>
          </w:p>
        </w:tc>
        <w:tc>
          <w:tcPr>
            <w:tcW w:w="2403" w:type="dxa"/>
            <w:gridSpan w:val="2"/>
            <w:tcBorders>
              <w:top w:val="single" w:sz="4" w:space="0" w:color="auto"/>
              <w:left w:val="nil"/>
              <w:bottom w:val="single" w:sz="4" w:space="0" w:color="auto"/>
              <w:right w:val="single" w:sz="4" w:space="0" w:color="auto"/>
            </w:tcBorders>
            <w:shd w:val="clear" w:color="auto" w:fill="auto"/>
            <w:vAlign w:val="center"/>
            <w:hideMark/>
          </w:tcPr>
          <w:p w:rsidR="00D27708" w:rsidRPr="00CA16D6" w:rsidRDefault="00D27708" w:rsidP="00E70204">
            <w:pPr>
              <w:jc w:val="center"/>
              <w:rPr>
                <w:rFonts w:cs="Calibri"/>
                <w:b/>
                <w:bCs/>
                <w:color w:val="000000"/>
              </w:rPr>
            </w:pPr>
            <w:r w:rsidRPr="00CA16D6">
              <w:rPr>
                <w:rFonts w:cs="Calibri"/>
                <w:b/>
                <w:bCs/>
                <w:color w:val="000000"/>
              </w:rPr>
              <w:t>Штатный состав ППС (Москва)</w:t>
            </w:r>
          </w:p>
        </w:tc>
        <w:tc>
          <w:tcPr>
            <w:tcW w:w="2403" w:type="dxa"/>
            <w:gridSpan w:val="2"/>
            <w:tcBorders>
              <w:top w:val="single" w:sz="4" w:space="0" w:color="auto"/>
              <w:left w:val="nil"/>
              <w:bottom w:val="single" w:sz="4" w:space="0" w:color="auto"/>
              <w:right w:val="single" w:sz="4" w:space="0" w:color="auto"/>
            </w:tcBorders>
            <w:shd w:val="clear" w:color="auto" w:fill="auto"/>
            <w:vAlign w:val="center"/>
            <w:hideMark/>
          </w:tcPr>
          <w:p w:rsidR="00D27708" w:rsidRPr="00CA16D6" w:rsidRDefault="00D27708" w:rsidP="00E70204">
            <w:pPr>
              <w:jc w:val="center"/>
              <w:rPr>
                <w:rFonts w:cs="Calibri"/>
                <w:b/>
                <w:bCs/>
                <w:color w:val="000000"/>
              </w:rPr>
            </w:pPr>
            <w:r w:rsidRPr="00CA16D6">
              <w:rPr>
                <w:rFonts w:cs="Calibri"/>
                <w:b/>
                <w:bCs/>
                <w:color w:val="000000"/>
              </w:rPr>
              <w:t>Штатные и совместители (Москва)</w:t>
            </w:r>
          </w:p>
        </w:tc>
      </w:tr>
      <w:tr w:rsidR="00D27708" w:rsidRPr="00CA16D6" w:rsidTr="00D27708">
        <w:trPr>
          <w:trHeight w:val="958"/>
        </w:trPr>
        <w:tc>
          <w:tcPr>
            <w:tcW w:w="2916" w:type="dxa"/>
            <w:vMerge/>
            <w:tcBorders>
              <w:left w:val="single" w:sz="4" w:space="0" w:color="auto"/>
              <w:bottom w:val="single" w:sz="4" w:space="0" w:color="auto"/>
              <w:right w:val="single" w:sz="4" w:space="0" w:color="auto"/>
            </w:tcBorders>
            <w:shd w:val="clear" w:color="auto" w:fill="auto"/>
            <w:vAlign w:val="center"/>
            <w:hideMark/>
          </w:tcPr>
          <w:p w:rsidR="00D27708" w:rsidRPr="00CA16D6" w:rsidRDefault="00D27708" w:rsidP="00E70204">
            <w:pPr>
              <w:rPr>
                <w:rFonts w:cs="Calibri"/>
                <w:color w:val="000000"/>
              </w:rPr>
            </w:pPr>
          </w:p>
        </w:tc>
        <w:tc>
          <w:tcPr>
            <w:tcW w:w="976" w:type="dxa"/>
            <w:vMerge/>
            <w:tcBorders>
              <w:left w:val="nil"/>
              <w:bottom w:val="single" w:sz="4" w:space="0" w:color="auto"/>
              <w:right w:val="single" w:sz="4" w:space="0" w:color="auto"/>
            </w:tcBorders>
            <w:shd w:val="clear" w:color="auto" w:fill="auto"/>
            <w:vAlign w:val="center"/>
            <w:hideMark/>
          </w:tcPr>
          <w:p w:rsidR="00D27708" w:rsidRPr="00CA16D6" w:rsidRDefault="00D27708" w:rsidP="00E70204">
            <w:pPr>
              <w:jc w:val="center"/>
              <w:rPr>
                <w:rFonts w:cs="Calibri"/>
                <w:color w:val="000000"/>
              </w:rPr>
            </w:pPr>
          </w:p>
        </w:tc>
        <w:tc>
          <w:tcPr>
            <w:tcW w:w="976" w:type="dxa"/>
            <w:tcBorders>
              <w:top w:val="nil"/>
              <w:left w:val="nil"/>
              <w:bottom w:val="single" w:sz="4" w:space="0" w:color="auto"/>
              <w:right w:val="single" w:sz="4" w:space="0" w:color="auto"/>
            </w:tcBorders>
            <w:shd w:val="clear" w:color="auto" w:fill="auto"/>
            <w:vAlign w:val="center"/>
            <w:hideMark/>
          </w:tcPr>
          <w:p w:rsidR="00D27708" w:rsidRPr="00CA16D6" w:rsidRDefault="00D27708" w:rsidP="00E70204">
            <w:pPr>
              <w:jc w:val="center"/>
              <w:rPr>
                <w:rFonts w:cs="Calibri"/>
                <w:color w:val="000000"/>
              </w:rPr>
            </w:pPr>
            <w:r w:rsidRPr="00CA16D6">
              <w:rPr>
                <w:rFonts w:cs="Calibri"/>
                <w:color w:val="000000"/>
              </w:rPr>
              <w:t>чел.</w:t>
            </w:r>
          </w:p>
        </w:tc>
        <w:tc>
          <w:tcPr>
            <w:tcW w:w="1427" w:type="dxa"/>
            <w:tcBorders>
              <w:top w:val="nil"/>
              <w:left w:val="nil"/>
              <w:bottom w:val="single" w:sz="4" w:space="0" w:color="auto"/>
              <w:right w:val="single" w:sz="4" w:space="0" w:color="auto"/>
            </w:tcBorders>
            <w:shd w:val="clear" w:color="auto" w:fill="auto"/>
            <w:vAlign w:val="center"/>
            <w:hideMark/>
          </w:tcPr>
          <w:p w:rsidR="00D27708" w:rsidRPr="00CA16D6" w:rsidRDefault="00CA16D6" w:rsidP="00E70204">
            <w:pPr>
              <w:jc w:val="center"/>
              <w:rPr>
                <w:rFonts w:cs="Calibri"/>
                <w:color w:val="000000"/>
              </w:rPr>
            </w:pPr>
            <w:r w:rsidRPr="00CA16D6">
              <w:rPr>
                <w:rFonts w:cs="Calibri"/>
                <w:color w:val="000000"/>
              </w:rPr>
              <w:t>% остепенен</w:t>
            </w:r>
            <w:r w:rsidR="00D27708" w:rsidRPr="00CA16D6">
              <w:rPr>
                <w:rFonts w:cs="Calibri"/>
                <w:color w:val="000000"/>
              </w:rPr>
              <w:t xml:space="preserve"> от общего кол-ва</w:t>
            </w:r>
          </w:p>
        </w:tc>
        <w:tc>
          <w:tcPr>
            <w:tcW w:w="976" w:type="dxa"/>
            <w:tcBorders>
              <w:top w:val="nil"/>
              <w:left w:val="nil"/>
              <w:bottom w:val="single" w:sz="4" w:space="0" w:color="auto"/>
              <w:right w:val="single" w:sz="4" w:space="0" w:color="auto"/>
            </w:tcBorders>
            <w:shd w:val="clear" w:color="auto" w:fill="auto"/>
            <w:vAlign w:val="center"/>
            <w:hideMark/>
          </w:tcPr>
          <w:p w:rsidR="00D27708" w:rsidRPr="00CA16D6" w:rsidRDefault="00D27708" w:rsidP="00E70204">
            <w:pPr>
              <w:jc w:val="center"/>
              <w:rPr>
                <w:rFonts w:cs="Calibri"/>
                <w:color w:val="000000"/>
              </w:rPr>
            </w:pPr>
            <w:r w:rsidRPr="00CA16D6">
              <w:rPr>
                <w:rFonts w:cs="Calibri"/>
                <w:color w:val="000000"/>
              </w:rPr>
              <w:t>чел.</w:t>
            </w:r>
          </w:p>
        </w:tc>
        <w:tc>
          <w:tcPr>
            <w:tcW w:w="1427" w:type="dxa"/>
            <w:tcBorders>
              <w:top w:val="nil"/>
              <w:left w:val="nil"/>
              <w:bottom w:val="single" w:sz="4" w:space="0" w:color="auto"/>
              <w:right w:val="single" w:sz="4" w:space="0" w:color="auto"/>
            </w:tcBorders>
            <w:shd w:val="clear" w:color="auto" w:fill="auto"/>
            <w:vAlign w:val="center"/>
            <w:hideMark/>
          </w:tcPr>
          <w:p w:rsidR="00D27708" w:rsidRPr="00CA16D6" w:rsidRDefault="00CA16D6" w:rsidP="00E70204">
            <w:pPr>
              <w:jc w:val="center"/>
              <w:rPr>
                <w:rFonts w:cs="Calibri"/>
                <w:color w:val="000000"/>
              </w:rPr>
            </w:pPr>
            <w:r w:rsidRPr="00CA16D6">
              <w:rPr>
                <w:rFonts w:cs="Calibri"/>
                <w:color w:val="000000"/>
              </w:rPr>
              <w:t>% остепенен</w:t>
            </w:r>
            <w:r w:rsidR="00D27708" w:rsidRPr="00CA16D6">
              <w:rPr>
                <w:rFonts w:cs="Calibri"/>
                <w:color w:val="000000"/>
              </w:rPr>
              <w:t xml:space="preserve"> от общего кол-ва</w:t>
            </w:r>
          </w:p>
        </w:tc>
      </w:tr>
      <w:tr w:rsidR="00E70204" w:rsidRPr="00CA16D6" w:rsidTr="00E70204">
        <w:trPr>
          <w:trHeight w:val="300"/>
        </w:trPr>
        <w:tc>
          <w:tcPr>
            <w:tcW w:w="2916" w:type="dxa"/>
            <w:vMerge w:val="restart"/>
            <w:tcBorders>
              <w:top w:val="nil"/>
              <w:left w:val="single" w:sz="4" w:space="0" w:color="auto"/>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профессора</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2011/12</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279</w:t>
            </w:r>
          </w:p>
        </w:tc>
        <w:tc>
          <w:tcPr>
            <w:tcW w:w="1427"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99%</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578</w:t>
            </w:r>
          </w:p>
        </w:tc>
        <w:tc>
          <w:tcPr>
            <w:tcW w:w="1427"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97%</w:t>
            </w:r>
          </w:p>
        </w:tc>
      </w:tr>
      <w:tr w:rsidR="00E70204" w:rsidRPr="00CA16D6" w:rsidTr="00E70204">
        <w:trPr>
          <w:trHeight w:val="300"/>
        </w:trPr>
        <w:tc>
          <w:tcPr>
            <w:tcW w:w="2916" w:type="dxa"/>
            <w:vMerge/>
            <w:tcBorders>
              <w:top w:val="nil"/>
              <w:left w:val="single" w:sz="4" w:space="0" w:color="auto"/>
              <w:bottom w:val="single" w:sz="4" w:space="0" w:color="auto"/>
              <w:right w:val="single" w:sz="4" w:space="0" w:color="auto"/>
            </w:tcBorders>
            <w:vAlign w:val="center"/>
            <w:hideMark/>
          </w:tcPr>
          <w:p w:rsidR="00E70204" w:rsidRPr="00CA16D6" w:rsidRDefault="00E70204" w:rsidP="00E70204">
            <w:pPr>
              <w:rPr>
                <w:rFonts w:cs="Calibri"/>
                <w:color w:val="000000"/>
              </w:rPr>
            </w:pP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2012/13</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394</w:t>
            </w:r>
          </w:p>
        </w:tc>
        <w:tc>
          <w:tcPr>
            <w:tcW w:w="1427"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99%</w:t>
            </w:r>
          </w:p>
        </w:tc>
        <w:tc>
          <w:tcPr>
            <w:tcW w:w="976" w:type="dxa"/>
            <w:tcBorders>
              <w:top w:val="nil"/>
              <w:left w:val="nil"/>
              <w:bottom w:val="single" w:sz="4" w:space="0" w:color="auto"/>
              <w:right w:val="single" w:sz="4" w:space="0" w:color="auto"/>
            </w:tcBorders>
            <w:shd w:val="clear" w:color="auto" w:fill="auto"/>
            <w:noWrap/>
            <w:vAlign w:val="center"/>
            <w:hideMark/>
          </w:tcPr>
          <w:p w:rsidR="00E70204" w:rsidRPr="00CA16D6" w:rsidRDefault="00E70204" w:rsidP="00E70204">
            <w:pPr>
              <w:jc w:val="center"/>
              <w:rPr>
                <w:rFonts w:cs="Calibri"/>
                <w:color w:val="000000"/>
              </w:rPr>
            </w:pPr>
            <w:r w:rsidRPr="00CA16D6">
              <w:rPr>
                <w:rFonts w:cs="Calibri"/>
                <w:color w:val="000000"/>
              </w:rPr>
              <w:t>730</w:t>
            </w:r>
          </w:p>
        </w:tc>
        <w:tc>
          <w:tcPr>
            <w:tcW w:w="1427"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98%</w:t>
            </w:r>
          </w:p>
        </w:tc>
      </w:tr>
      <w:tr w:rsidR="00E70204" w:rsidRPr="00CA16D6" w:rsidTr="00E70204">
        <w:trPr>
          <w:trHeight w:val="300"/>
        </w:trPr>
        <w:tc>
          <w:tcPr>
            <w:tcW w:w="2916" w:type="dxa"/>
            <w:vMerge w:val="restart"/>
            <w:tcBorders>
              <w:top w:val="nil"/>
              <w:left w:val="single" w:sz="4" w:space="0" w:color="auto"/>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доценты</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2011/12</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490</w:t>
            </w:r>
          </w:p>
        </w:tc>
        <w:tc>
          <w:tcPr>
            <w:tcW w:w="1427"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91%</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848</w:t>
            </w:r>
          </w:p>
        </w:tc>
        <w:tc>
          <w:tcPr>
            <w:tcW w:w="1427"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92%</w:t>
            </w:r>
          </w:p>
        </w:tc>
      </w:tr>
      <w:tr w:rsidR="00E70204" w:rsidRPr="00CA16D6" w:rsidTr="00E70204">
        <w:trPr>
          <w:trHeight w:val="300"/>
        </w:trPr>
        <w:tc>
          <w:tcPr>
            <w:tcW w:w="2916" w:type="dxa"/>
            <w:vMerge/>
            <w:tcBorders>
              <w:top w:val="nil"/>
              <w:left w:val="single" w:sz="4" w:space="0" w:color="auto"/>
              <w:bottom w:val="single" w:sz="4" w:space="0" w:color="auto"/>
              <w:right w:val="single" w:sz="4" w:space="0" w:color="auto"/>
            </w:tcBorders>
            <w:vAlign w:val="center"/>
            <w:hideMark/>
          </w:tcPr>
          <w:p w:rsidR="00E70204" w:rsidRPr="00CA16D6" w:rsidRDefault="00E70204" w:rsidP="00E70204">
            <w:pPr>
              <w:rPr>
                <w:rFonts w:cs="Calibri"/>
                <w:color w:val="000000"/>
              </w:rPr>
            </w:pP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2012/13</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688</w:t>
            </w:r>
          </w:p>
        </w:tc>
        <w:tc>
          <w:tcPr>
            <w:tcW w:w="1427"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93%</w:t>
            </w:r>
          </w:p>
        </w:tc>
        <w:tc>
          <w:tcPr>
            <w:tcW w:w="976" w:type="dxa"/>
            <w:tcBorders>
              <w:top w:val="nil"/>
              <w:left w:val="nil"/>
              <w:bottom w:val="single" w:sz="4" w:space="0" w:color="auto"/>
              <w:right w:val="single" w:sz="4" w:space="0" w:color="auto"/>
            </w:tcBorders>
            <w:shd w:val="clear" w:color="auto" w:fill="auto"/>
            <w:noWrap/>
            <w:vAlign w:val="center"/>
            <w:hideMark/>
          </w:tcPr>
          <w:p w:rsidR="00E70204" w:rsidRPr="00CA16D6" w:rsidRDefault="00E70204" w:rsidP="00E70204">
            <w:pPr>
              <w:jc w:val="center"/>
              <w:rPr>
                <w:rFonts w:cs="Calibri"/>
                <w:color w:val="000000"/>
              </w:rPr>
            </w:pPr>
            <w:r w:rsidRPr="00CA16D6">
              <w:rPr>
                <w:rFonts w:cs="Calibri"/>
                <w:color w:val="000000"/>
              </w:rPr>
              <w:t>1105</w:t>
            </w:r>
          </w:p>
        </w:tc>
        <w:tc>
          <w:tcPr>
            <w:tcW w:w="1427"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92%</w:t>
            </w:r>
          </w:p>
        </w:tc>
      </w:tr>
      <w:tr w:rsidR="00E70204" w:rsidRPr="00CA16D6" w:rsidTr="00E70204">
        <w:trPr>
          <w:trHeight w:val="300"/>
        </w:trPr>
        <w:tc>
          <w:tcPr>
            <w:tcW w:w="2916" w:type="dxa"/>
            <w:vMerge w:val="restart"/>
            <w:tcBorders>
              <w:top w:val="nil"/>
              <w:left w:val="single" w:sz="4" w:space="0" w:color="auto"/>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старшие преподаватели</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2011/12</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245</w:t>
            </w:r>
          </w:p>
        </w:tc>
        <w:tc>
          <w:tcPr>
            <w:tcW w:w="1427"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16%</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354</w:t>
            </w:r>
          </w:p>
        </w:tc>
        <w:tc>
          <w:tcPr>
            <w:tcW w:w="1427"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19%</w:t>
            </w:r>
          </w:p>
        </w:tc>
      </w:tr>
      <w:tr w:rsidR="00E70204" w:rsidRPr="00CA16D6" w:rsidTr="00E70204">
        <w:trPr>
          <w:trHeight w:val="300"/>
        </w:trPr>
        <w:tc>
          <w:tcPr>
            <w:tcW w:w="2916" w:type="dxa"/>
            <w:vMerge/>
            <w:tcBorders>
              <w:top w:val="nil"/>
              <w:left w:val="single" w:sz="4" w:space="0" w:color="auto"/>
              <w:bottom w:val="single" w:sz="4" w:space="0" w:color="auto"/>
              <w:right w:val="single" w:sz="4" w:space="0" w:color="auto"/>
            </w:tcBorders>
            <w:vAlign w:val="center"/>
            <w:hideMark/>
          </w:tcPr>
          <w:p w:rsidR="00E70204" w:rsidRPr="00CA16D6" w:rsidRDefault="00E70204" w:rsidP="00E70204">
            <w:pPr>
              <w:rPr>
                <w:rFonts w:cs="Calibri"/>
                <w:color w:val="000000"/>
              </w:rPr>
            </w:pP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2012/13</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337</w:t>
            </w:r>
          </w:p>
        </w:tc>
        <w:tc>
          <w:tcPr>
            <w:tcW w:w="1427"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14,5%</w:t>
            </w:r>
          </w:p>
        </w:tc>
        <w:tc>
          <w:tcPr>
            <w:tcW w:w="976" w:type="dxa"/>
            <w:tcBorders>
              <w:top w:val="nil"/>
              <w:left w:val="nil"/>
              <w:bottom w:val="single" w:sz="4" w:space="0" w:color="auto"/>
              <w:right w:val="single" w:sz="4" w:space="0" w:color="auto"/>
            </w:tcBorders>
            <w:shd w:val="clear" w:color="auto" w:fill="auto"/>
            <w:noWrap/>
            <w:vAlign w:val="center"/>
            <w:hideMark/>
          </w:tcPr>
          <w:p w:rsidR="00E70204" w:rsidRPr="00CA16D6" w:rsidRDefault="00E70204" w:rsidP="00E70204">
            <w:pPr>
              <w:jc w:val="center"/>
              <w:rPr>
                <w:rFonts w:cs="Calibri"/>
                <w:color w:val="000000"/>
              </w:rPr>
            </w:pPr>
            <w:r w:rsidRPr="00CA16D6">
              <w:rPr>
                <w:rFonts w:cs="Calibri"/>
                <w:color w:val="000000"/>
              </w:rPr>
              <w:t>464</w:t>
            </w:r>
          </w:p>
        </w:tc>
        <w:tc>
          <w:tcPr>
            <w:tcW w:w="1427"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16%</w:t>
            </w:r>
          </w:p>
        </w:tc>
      </w:tr>
      <w:tr w:rsidR="00E70204" w:rsidRPr="00CA16D6" w:rsidTr="00E70204">
        <w:trPr>
          <w:trHeight w:val="300"/>
        </w:trPr>
        <w:tc>
          <w:tcPr>
            <w:tcW w:w="2916" w:type="dxa"/>
            <w:vMerge w:val="restart"/>
            <w:tcBorders>
              <w:top w:val="nil"/>
              <w:left w:val="single" w:sz="4" w:space="0" w:color="auto"/>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 xml:space="preserve">преподаватели, ассистенты </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2011/12</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157</w:t>
            </w:r>
          </w:p>
        </w:tc>
        <w:tc>
          <w:tcPr>
            <w:tcW w:w="1427"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6%</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345</w:t>
            </w:r>
          </w:p>
        </w:tc>
        <w:tc>
          <w:tcPr>
            <w:tcW w:w="1427"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5%</w:t>
            </w:r>
          </w:p>
        </w:tc>
      </w:tr>
      <w:tr w:rsidR="00E70204" w:rsidRPr="00CA16D6" w:rsidTr="00E70204">
        <w:trPr>
          <w:trHeight w:val="300"/>
        </w:trPr>
        <w:tc>
          <w:tcPr>
            <w:tcW w:w="2916" w:type="dxa"/>
            <w:vMerge/>
            <w:tcBorders>
              <w:top w:val="nil"/>
              <w:left w:val="single" w:sz="4" w:space="0" w:color="auto"/>
              <w:bottom w:val="single" w:sz="4" w:space="0" w:color="auto"/>
              <w:right w:val="single" w:sz="4" w:space="0" w:color="auto"/>
            </w:tcBorders>
            <w:vAlign w:val="center"/>
            <w:hideMark/>
          </w:tcPr>
          <w:p w:rsidR="00E70204" w:rsidRPr="00CA16D6" w:rsidRDefault="00E70204" w:rsidP="00E70204">
            <w:pPr>
              <w:rPr>
                <w:rFonts w:cs="Calibri"/>
                <w:color w:val="000000"/>
              </w:rPr>
            </w:pP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2012/13</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209</w:t>
            </w:r>
          </w:p>
        </w:tc>
        <w:tc>
          <w:tcPr>
            <w:tcW w:w="1427"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4%</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406</w:t>
            </w:r>
          </w:p>
        </w:tc>
        <w:tc>
          <w:tcPr>
            <w:tcW w:w="1427"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color w:val="000000"/>
              </w:rPr>
            </w:pPr>
            <w:r w:rsidRPr="00CA16D6">
              <w:rPr>
                <w:rFonts w:cs="Calibri"/>
                <w:color w:val="000000"/>
              </w:rPr>
              <w:t>5%</w:t>
            </w:r>
          </w:p>
        </w:tc>
      </w:tr>
      <w:tr w:rsidR="00E70204" w:rsidRPr="00CA16D6" w:rsidTr="00E70204">
        <w:trPr>
          <w:trHeight w:val="300"/>
        </w:trPr>
        <w:tc>
          <w:tcPr>
            <w:tcW w:w="2916" w:type="dxa"/>
            <w:vMerge w:val="restart"/>
            <w:tcBorders>
              <w:top w:val="nil"/>
              <w:left w:val="single" w:sz="4" w:space="0" w:color="auto"/>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b/>
                <w:bCs/>
                <w:color w:val="000000"/>
              </w:rPr>
            </w:pPr>
            <w:r w:rsidRPr="00CA16D6">
              <w:rPr>
                <w:rFonts w:cs="Calibri"/>
                <w:b/>
                <w:bCs/>
                <w:color w:val="000000"/>
              </w:rPr>
              <w:t>Итого ППС</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b/>
                <w:bCs/>
                <w:color w:val="000000"/>
              </w:rPr>
            </w:pPr>
            <w:r w:rsidRPr="00CA16D6">
              <w:rPr>
                <w:rFonts w:cs="Calibri"/>
                <w:b/>
                <w:bCs/>
                <w:color w:val="000000"/>
              </w:rPr>
              <w:t>2011/12</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b/>
                <w:bCs/>
                <w:color w:val="000000"/>
              </w:rPr>
            </w:pPr>
            <w:r w:rsidRPr="00CA16D6">
              <w:rPr>
                <w:rFonts w:cs="Calibri"/>
                <w:b/>
                <w:bCs/>
                <w:color w:val="000000"/>
              </w:rPr>
              <w:t>1171</w:t>
            </w:r>
          </w:p>
        </w:tc>
        <w:tc>
          <w:tcPr>
            <w:tcW w:w="1427"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b/>
                <w:bCs/>
                <w:color w:val="000000"/>
              </w:rPr>
            </w:pPr>
            <w:r w:rsidRPr="00CA16D6">
              <w:rPr>
                <w:rFonts w:cs="Calibri"/>
                <w:b/>
                <w:bCs/>
                <w:color w:val="000000"/>
              </w:rPr>
              <w:t>66,5%</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b/>
                <w:bCs/>
                <w:color w:val="000000"/>
              </w:rPr>
            </w:pPr>
            <w:r w:rsidRPr="00CA16D6">
              <w:rPr>
                <w:rFonts w:cs="Calibri"/>
                <w:b/>
                <w:bCs/>
                <w:color w:val="000000"/>
              </w:rPr>
              <w:t>2125</w:t>
            </w:r>
          </w:p>
        </w:tc>
        <w:tc>
          <w:tcPr>
            <w:tcW w:w="1427"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b/>
                <w:bCs/>
                <w:color w:val="000000"/>
              </w:rPr>
            </w:pPr>
            <w:r w:rsidRPr="00CA16D6">
              <w:rPr>
                <w:rFonts w:cs="Calibri"/>
                <w:b/>
                <w:bCs/>
                <w:color w:val="000000"/>
              </w:rPr>
              <w:t>66,5%</w:t>
            </w:r>
          </w:p>
        </w:tc>
      </w:tr>
      <w:tr w:rsidR="00E70204" w:rsidRPr="00CA16D6" w:rsidTr="00E70204">
        <w:trPr>
          <w:trHeight w:val="300"/>
        </w:trPr>
        <w:tc>
          <w:tcPr>
            <w:tcW w:w="2916" w:type="dxa"/>
            <w:vMerge/>
            <w:tcBorders>
              <w:top w:val="nil"/>
              <w:left w:val="single" w:sz="4" w:space="0" w:color="auto"/>
              <w:bottom w:val="single" w:sz="4" w:space="0" w:color="auto"/>
              <w:right w:val="single" w:sz="4" w:space="0" w:color="auto"/>
            </w:tcBorders>
            <w:vAlign w:val="center"/>
            <w:hideMark/>
          </w:tcPr>
          <w:p w:rsidR="00E70204" w:rsidRPr="00CA16D6" w:rsidRDefault="00E70204" w:rsidP="00E70204">
            <w:pPr>
              <w:rPr>
                <w:rFonts w:cs="Calibri"/>
                <w:b/>
                <w:bCs/>
                <w:color w:val="000000"/>
              </w:rPr>
            </w:pP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b/>
                <w:bCs/>
                <w:color w:val="000000"/>
              </w:rPr>
            </w:pPr>
            <w:r w:rsidRPr="00CA16D6">
              <w:rPr>
                <w:rFonts w:cs="Calibri"/>
                <w:b/>
                <w:bCs/>
                <w:color w:val="000000"/>
              </w:rPr>
              <w:t>2012/13</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b/>
                <w:bCs/>
                <w:color w:val="000000"/>
              </w:rPr>
            </w:pPr>
            <w:r w:rsidRPr="00CA16D6">
              <w:rPr>
                <w:rFonts w:cs="Calibri"/>
                <w:b/>
                <w:bCs/>
                <w:color w:val="000000"/>
              </w:rPr>
              <w:t>1628</w:t>
            </w:r>
          </w:p>
        </w:tc>
        <w:tc>
          <w:tcPr>
            <w:tcW w:w="1427"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b/>
                <w:bCs/>
                <w:color w:val="000000"/>
              </w:rPr>
            </w:pPr>
            <w:r w:rsidRPr="00CA16D6">
              <w:rPr>
                <w:rFonts w:cs="Calibri"/>
                <w:b/>
                <w:bCs/>
                <w:color w:val="000000"/>
              </w:rPr>
              <w:t>66,7%</w:t>
            </w:r>
          </w:p>
        </w:tc>
        <w:tc>
          <w:tcPr>
            <w:tcW w:w="976"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b/>
                <w:bCs/>
                <w:color w:val="000000"/>
              </w:rPr>
            </w:pPr>
            <w:r w:rsidRPr="00CA16D6">
              <w:rPr>
                <w:rFonts w:cs="Calibri"/>
                <w:b/>
                <w:bCs/>
                <w:color w:val="000000"/>
              </w:rPr>
              <w:t>2705</w:t>
            </w:r>
          </w:p>
        </w:tc>
        <w:tc>
          <w:tcPr>
            <w:tcW w:w="1427" w:type="dxa"/>
            <w:tcBorders>
              <w:top w:val="nil"/>
              <w:left w:val="nil"/>
              <w:bottom w:val="single" w:sz="4" w:space="0" w:color="auto"/>
              <w:right w:val="single" w:sz="4" w:space="0" w:color="auto"/>
            </w:tcBorders>
            <w:shd w:val="clear" w:color="auto" w:fill="auto"/>
            <w:vAlign w:val="center"/>
            <w:hideMark/>
          </w:tcPr>
          <w:p w:rsidR="00E70204" w:rsidRPr="00CA16D6" w:rsidRDefault="00E70204" w:rsidP="00E70204">
            <w:pPr>
              <w:jc w:val="center"/>
              <w:rPr>
                <w:rFonts w:cs="Calibri"/>
                <w:b/>
                <w:bCs/>
                <w:color w:val="000000"/>
              </w:rPr>
            </w:pPr>
            <w:r w:rsidRPr="00CA16D6">
              <w:rPr>
                <w:rFonts w:cs="Calibri"/>
                <w:b/>
                <w:bCs/>
                <w:color w:val="000000"/>
              </w:rPr>
              <w:t>67,5%</w:t>
            </w:r>
          </w:p>
        </w:tc>
      </w:tr>
    </w:tbl>
    <w:p w:rsidR="00E70204" w:rsidRDefault="00E70204" w:rsidP="00E70204">
      <w:pPr>
        <w:rPr>
          <w:rFonts w:asciiTheme="minorHAnsi" w:hAnsiTheme="minorHAnsi" w:cstheme="minorHAnsi"/>
          <w:b/>
          <w:bCs/>
          <w:lang w:eastAsia="en-US"/>
        </w:rPr>
      </w:pPr>
    </w:p>
    <w:p w:rsidR="00E70204" w:rsidRPr="002224F3" w:rsidRDefault="00E70204" w:rsidP="00E70204">
      <w:pPr>
        <w:rPr>
          <w:rFonts w:asciiTheme="majorHAnsi" w:hAnsiTheme="majorHAnsi" w:cstheme="minorHAnsi"/>
        </w:rPr>
      </w:pPr>
      <w:r w:rsidRPr="002224F3">
        <w:rPr>
          <w:rFonts w:asciiTheme="majorHAnsi" w:hAnsiTheme="majorHAnsi" w:cstheme="minorHAnsi"/>
          <w:b/>
          <w:bCs/>
          <w:lang w:eastAsia="en-US"/>
        </w:rPr>
        <w:t xml:space="preserve">Диаграмма </w:t>
      </w:r>
      <w:r w:rsidR="00D27708" w:rsidRPr="002224F3">
        <w:rPr>
          <w:rFonts w:asciiTheme="majorHAnsi" w:hAnsiTheme="majorHAnsi" w:cstheme="minorHAnsi"/>
          <w:b/>
          <w:bCs/>
          <w:lang w:eastAsia="en-US"/>
        </w:rPr>
        <w:t>8</w:t>
      </w:r>
      <w:r w:rsidRPr="002224F3">
        <w:rPr>
          <w:rFonts w:asciiTheme="majorHAnsi" w:hAnsiTheme="majorHAnsi" w:cstheme="minorHAnsi"/>
          <w:b/>
          <w:bCs/>
          <w:lang w:eastAsia="en-US"/>
        </w:rPr>
        <w:t>.1.7</w:t>
      </w:r>
    </w:p>
    <w:p w:rsidR="00E70204" w:rsidRPr="004F4F46" w:rsidRDefault="00E70204" w:rsidP="00E70204">
      <w:r>
        <w:rPr>
          <w:noProof/>
        </w:rPr>
        <w:drawing>
          <wp:inline distT="0" distB="0" distL="0" distR="0">
            <wp:extent cx="5819775" cy="2369276"/>
            <wp:effectExtent l="0" t="0" r="0"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E70204" w:rsidRPr="004F4F46" w:rsidRDefault="00E70204" w:rsidP="00E70204">
      <w:pPr>
        <w:spacing w:after="120"/>
        <w:jc w:val="both"/>
      </w:pPr>
    </w:p>
    <w:p w:rsidR="00E70204" w:rsidRPr="00E86387" w:rsidRDefault="00D27708" w:rsidP="00E70204">
      <w:pPr>
        <w:spacing w:after="200" w:line="276" w:lineRule="auto"/>
        <w:jc w:val="both"/>
      </w:pPr>
      <w:r>
        <w:t>В таблице 8</w:t>
      </w:r>
      <w:r w:rsidR="00E70204">
        <w:t xml:space="preserve">.1.8 и в </w:t>
      </w:r>
      <w:r>
        <w:t xml:space="preserve"> диаграмме 8</w:t>
      </w:r>
      <w:r w:rsidR="00E70204" w:rsidRPr="00F004C3">
        <w:t>.1.</w:t>
      </w:r>
      <w:r w:rsidR="00E70204">
        <w:t>8</w:t>
      </w:r>
      <w:r w:rsidR="00E70204" w:rsidRPr="00F004C3">
        <w:t xml:space="preserve"> представлено гендерное соотношение преподавателей за два последних учебных года в Москве и филиалах. </w:t>
      </w:r>
      <w:r w:rsidR="00E70204">
        <w:t>В</w:t>
      </w:r>
      <w:r w:rsidR="00E70204" w:rsidRPr="00F004C3">
        <w:t xml:space="preserve"> Москве</w:t>
      </w:r>
      <w:r w:rsidR="00E70204">
        <w:t xml:space="preserve"> в этом году</w:t>
      </w:r>
      <w:r w:rsidR="00E70204" w:rsidRPr="00F004C3">
        <w:t xml:space="preserve"> </w:t>
      </w:r>
      <w:r w:rsidR="00E70204">
        <w:t>отмечаем</w:t>
      </w:r>
      <w:r w:rsidR="00E70204" w:rsidRPr="00F004C3">
        <w:t xml:space="preserve"> превышение преподавателей</w:t>
      </w:r>
      <w:r w:rsidR="00E70204">
        <w:t>-</w:t>
      </w:r>
      <w:r w:rsidR="00E70204" w:rsidRPr="00F004C3">
        <w:t>мужчин на 199 человек</w:t>
      </w:r>
      <w:r w:rsidR="00E70204">
        <w:t>,</w:t>
      </w:r>
      <w:r w:rsidR="00E70204" w:rsidRPr="00F004C3">
        <w:t xml:space="preserve"> обусловлен</w:t>
      </w:r>
      <w:r w:rsidR="00E70204">
        <w:t>н</w:t>
      </w:r>
      <w:r w:rsidR="00E70204" w:rsidRPr="00F004C3">
        <w:t>о</w:t>
      </w:r>
      <w:r w:rsidR="00E70204">
        <w:t>е</w:t>
      </w:r>
      <w:r w:rsidR="00E70204" w:rsidRPr="00F004C3">
        <w:t xml:space="preserve"> присоединением МИЭМ, </w:t>
      </w:r>
      <w:r w:rsidR="00E70204">
        <w:t xml:space="preserve">а </w:t>
      </w:r>
      <w:r w:rsidR="00E70204" w:rsidRPr="00F004C3">
        <w:t>в филиалах, особенно в Перми, наблюдается явное преобладание преподавателей-женщин.</w:t>
      </w:r>
    </w:p>
    <w:p w:rsidR="00E70204" w:rsidRPr="00BE66F7" w:rsidRDefault="00D27708" w:rsidP="00E70204">
      <w:pPr>
        <w:spacing w:after="200" w:line="276" w:lineRule="auto"/>
        <w:rPr>
          <w:b/>
        </w:rPr>
      </w:pPr>
      <w:r>
        <w:rPr>
          <w:b/>
        </w:rPr>
        <w:t>Таблица 8</w:t>
      </w:r>
      <w:r w:rsidR="00E70204" w:rsidRPr="00BE66F7">
        <w:rPr>
          <w:b/>
        </w:rPr>
        <w:t>.1.8</w:t>
      </w:r>
      <w:r w:rsidR="00982A49">
        <w:rPr>
          <w:b/>
          <w:noProof/>
        </w:rPr>
        <w:drawing>
          <wp:inline distT="0" distB="0" distL="0" distR="0">
            <wp:extent cx="5810250" cy="742950"/>
            <wp:effectExtent l="0" t="0" r="0" b="0"/>
            <wp:docPr id="7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810250" cy="742950"/>
                    </a:xfrm>
                    <a:prstGeom prst="rect">
                      <a:avLst/>
                    </a:prstGeom>
                    <a:noFill/>
                    <a:ln>
                      <a:noFill/>
                    </a:ln>
                  </pic:spPr>
                </pic:pic>
              </a:graphicData>
            </a:graphic>
          </wp:inline>
        </w:drawing>
      </w:r>
    </w:p>
    <w:p w:rsidR="00E70204" w:rsidRDefault="00D27708" w:rsidP="00E70204">
      <w:pPr>
        <w:spacing w:after="200" w:line="276" w:lineRule="auto"/>
        <w:rPr>
          <w:b/>
        </w:rPr>
      </w:pPr>
      <w:r>
        <w:rPr>
          <w:b/>
        </w:rPr>
        <w:lastRenderedPageBreak/>
        <w:t>Диаграмма 8</w:t>
      </w:r>
      <w:r w:rsidR="00E70204" w:rsidRPr="00F004C3">
        <w:rPr>
          <w:b/>
        </w:rPr>
        <w:t>.1.</w:t>
      </w:r>
      <w:r w:rsidR="00E70204">
        <w:rPr>
          <w:b/>
        </w:rPr>
        <w:t>8</w:t>
      </w:r>
      <w:bookmarkStart w:id="60" w:name="_MON_1444726260"/>
      <w:bookmarkEnd w:id="60"/>
      <w:r w:rsidR="00982A49">
        <w:rPr>
          <w:b/>
          <w:noProof/>
        </w:rPr>
        <w:drawing>
          <wp:inline distT="0" distB="0" distL="0" distR="0">
            <wp:extent cx="5895975" cy="2981325"/>
            <wp:effectExtent l="0" t="0" r="9525" b="9525"/>
            <wp:docPr id="70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895975" cy="2981325"/>
                    </a:xfrm>
                    <a:prstGeom prst="rect">
                      <a:avLst/>
                    </a:prstGeom>
                    <a:noFill/>
                    <a:ln>
                      <a:noFill/>
                    </a:ln>
                  </pic:spPr>
                </pic:pic>
              </a:graphicData>
            </a:graphic>
          </wp:inline>
        </w:drawing>
      </w:r>
      <w:r w:rsidR="00E70204" w:rsidRPr="004D1622">
        <w:rPr>
          <w:b/>
        </w:rPr>
        <w:t xml:space="preserve"> </w:t>
      </w:r>
      <w:r w:rsidR="00E70204">
        <w:rPr>
          <w:b/>
        </w:rPr>
        <w:t xml:space="preserve"> </w:t>
      </w:r>
    </w:p>
    <w:p w:rsidR="00E70204" w:rsidRPr="00D27708" w:rsidRDefault="00E70204" w:rsidP="00D27708">
      <w:pPr>
        <w:spacing w:after="200" w:line="276" w:lineRule="auto"/>
        <w:jc w:val="both"/>
      </w:pPr>
      <w:r w:rsidRPr="00D27708">
        <w:t xml:space="preserve">Распределение всех преподавателей по возрасту (штатных и совместителей), работавших в НИУ ВШЭ (Москва и филиалы) в 2012/2013 учебном году, представлено </w:t>
      </w:r>
      <w:r w:rsidR="00D27708">
        <w:t>на диаграмме 8</w:t>
      </w:r>
      <w:r w:rsidRPr="00D27708">
        <w:t>.1.9. Для сравнения там же изображена кривая распределения по возрасту в 2011/2012 учебном году. Наибольший процент ППС от 30 до 40 лет приходится на долю Санкт-Петербургского филиала.</w:t>
      </w:r>
    </w:p>
    <w:p w:rsidR="00E70204" w:rsidRPr="003A7EFD" w:rsidRDefault="00D27708" w:rsidP="00E70204">
      <w:pPr>
        <w:pStyle w:val="afe"/>
        <w:jc w:val="left"/>
        <w:rPr>
          <w:rFonts w:asciiTheme="minorHAnsi" w:hAnsiTheme="minorHAnsi" w:cstheme="minorHAnsi"/>
        </w:rPr>
      </w:pPr>
      <w:r w:rsidRPr="002224F3">
        <w:rPr>
          <w:rFonts w:asciiTheme="majorHAnsi" w:hAnsiTheme="majorHAnsi" w:cstheme="minorHAnsi"/>
        </w:rPr>
        <w:t>Диаграмма 8</w:t>
      </w:r>
      <w:r w:rsidR="00E70204" w:rsidRPr="002224F3">
        <w:rPr>
          <w:rFonts w:asciiTheme="majorHAnsi" w:hAnsiTheme="majorHAnsi" w:cstheme="minorHAnsi"/>
        </w:rPr>
        <w:t>.1.9</w:t>
      </w:r>
      <w:bookmarkStart w:id="61" w:name="_MON_1444567125"/>
      <w:bookmarkStart w:id="62" w:name="_MON_1444567112"/>
      <w:bookmarkEnd w:id="61"/>
      <w:bookmarkEnd w:id="62"/>
      <w:r w:rsidR="00982A49">
        <w:rPr>
          <w:rFonts w:asciiTheme="minorHAnsi" w:hAnsiTheme="minorHAnsi" w:cstheme="minorHAnsi"/>
          <w:noProof/>
          <w:lang w:eastAsia="ru-RU"/>
        </w:rPr>
        <w:drawing>
          <wp:inline distT="0" distB="0" distL="0" distR="0">
            <wp:extent cx="5267325" cy="3333750"/>
            <wp:effectExtent l="0" t="0" r="0" b="0"/>
            <wp:docPr id="70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267325" cy="3333750"/>
                    </a:xfrm>
                    <a:prstGeom prst="rect">
                      <a:avLst/>
                    </a:prstGeom>
                    <a:noFill/>
                    <a:ln>
                      <a:noFill/>
                    </a:ln>
                  </pic:spPr>
                </pic:pic>
              </a:graphicData>
            </a:graphic>
          </wp:inline>
        </w:drawing>
      </w:r>
    </w:p>
    <w:p w:rsidR="00E70204" w:rsidRPr="00D27708" w:rsidRDefault="00CA16D6" w:rsidP="00D27708">
      <w:pPr>
        <w:spacing w:after="200" w:line="276" w:lineRule="auto"/>
        <w:jc w:val="both"/>
      </w:pPr>
      <w:r>
        <w:t>Н</w:t>
      </w:r>
      <w:r w:rsidR="00E70204" w:rsidRPr="00D27708">
        <w:t xml:space="preserve">а </w:t>
      </w:r>
      <w:r w:rsidR="00D27708">
        <w:t>диаграмме 8</w:t>
      </w:r>
      <w:r w:rsidR="00E70204" w:rsidRPr="00D27708">
        <w:t>.1.10 представлены данные о распределении штатного ППС по возрасту и должностям Москвы и филиалов.</w:t>
      </w:r>
    </w:p>
    <w:p w:rsidR="00E70204" w:rsidRPr="00CA16D6" w:rsidRDefault="00D27708" w:rsidP="00CA16D6">
      <w:pPr>
        <w:pStyle w:val="afe"/>
        <w:tabs>
          <w:tab w:val="center" w:pos="4677"/>
        </w:tabs>
        <w:spacing w:before="240"/>
        <w:jc w:val="left"/>
        <w:rPr>
          <w:rFonts w:asciiTheme="minorHAnsi" w:hAnsiTheme="minorHAnsi" w:cstheme="minorHAnsi"/>
        </w:rPr>
      </w:pPr>
      <w:r w:rsidRPr="002224F3">
        <w:rPr>
          <w:rFonts w:asciiTheme="majorHAnsi" w:hAnsiTheme="majorHAnsi" w:cstheme="minorHAnsi"/>
        </w:rPr>
        <w:lastRenderedPageBreak/>
        <w:t>Диаграмма 8</w:t>
      </w:r>
      <w:r w:rsidR="00E70204" w:rsidRPr="002224F3">
        <w:rPr>
          <w:rFonts w:asciiTheme="majorHAnsi" w:hAnsiTheme="majorHAnsi" w:cstheme="minorHAnsi"/>
        </w:rPr>
        <w:t>.1.10</w:t>
      </w:r>
      <w:r w:rsidR="00982A49">
        <w:rPr>
          <w:rFonts w:asciiTheme="minorHAnsi" w:hAnsiTheme="minorHAnsi" w:cstheme="minorHAnsi"/>
          <w:noProof/>
          <w:lang w:eastAsia="ru-RU"/>
        </w:rPr>
        <w:drawing>
          <wp:inline distT="0" distB="0" distL="0" distR="0">
            <wp:extent cx="5133975" cy="3114675"/>
            <wp:effectExtent l="0" t="0" r="9525" b="9525"/>
            <wp:docPr id="70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133975" cy="3114675"/>
                    </a:xfrm>
                    <a:prstGeom prst="rect">
                      <a:avLst/>
                    </a:prstGeom>
                    <a:noFill/>
                    <a:ln>
                      <a:noFill/>
                    </a:ln>
                  </pic:spPr>
                </pic:pic>
              </a:graphicData>
            </a:graphic>
          </wp:inline>
        </w:drawing>
      </w:r>
      <w:r w:rsidR="00E70204" w:rsidRPr="00442295">
        <w:rPr>
          <w:rFonts w:asciiTheme="minorHAnsi" w:hAnsiTheme="minorHAnsi" w:cstheme="minorHAnsi"/>
        </w:rPr>
        <w:t xml:space="preserve"> </w:t>
      </w:r>
    </w:p>
    <w:p w:rsidR="00E70204" w:rsidRDefault="00CA16D6" w:rsidP="00E70204">
      <w:pPr>
        <w:spacing w:after="200" w:line="276" w:lineRule="auto"/>
        <w:jc w:val="both"/>
      </w:pPr>
      <w:r>
        <w:t>Н</w:t>
      </w:r>
      <w:r w:rsidR="008F31A5">
        <w:t>а</w:t>
      </w:r>
      <w:r w:rsidR="00E70204">
        <w:t xml:space="preserve"> </w:t>
      </w:r>
      <w:r w:rsidR="00E70204" w:rsidRPr="004F4F46">
        <w:t xml:space="preserve">диаграмме </w:t>
      </w:r>
      <w:r w:rsidR="008F31A5">
        <w:t>8</w:t>
      </w:r>
      <w:r w:rsidR="00E70204" w:rsidRPr="004F4F46">
        <w:t>.1.1</w:t>
      </w:r>
      <w:r w:rsidR="00E70204">
        <w:t xml:space="preserve">1 </w:t>
      </w:r>
      <w:r w:rsidR="00E70204" w:rsidRPr="004F4F46">
        <w:t>показано сравнение профилей ППС «возраст-должности» по Москве за 2 последних года.</w:t>
      </w:r>
      <w:r w:rsidR="00E70204">
        <w:t xml:space="preserve"> </w:t>
      </w:r>
      <w:r w:rsidR="00E70204" w:rsidRPr="006424A4">
        <w:t>Графики демонстрируют наличие двух возрастных пиков среди доцентов (30-39 и 50-59), и по сравнению с прошлым годом возник пик у профессоров (60-69), что</w:t>
      </w:r>
      <w:r w:rsidR="00E70204">
        <w:t xml:space="preserve">, </w:t>
      </w:r>
      <w:r w:rsidR="00E70204" w:rsidRPr="006424A4">
        <w:t xml:space="preserve"> по-видимому, связано с присоединением МИЭМ.</w:t>
      </w:r>
    </w:p>
    <w:p w:rsidR="00E70204" w:rsidRPr="00E76476" w:rsidRDefault="008F31A5" w:rsidP="00E70204">
      <w:pPr>
        <w:pStyle w:val="afe"/>
        <w:jc w:val="left"/>
        <w:rPr>
          <w:rFonts w:asciiTheme="minorHAnsi" w:hAnsiTheme="minorHAnsi" w:cstheme="minorHAnsi"/>
        </w:rPr>
      </w:pPr>
      <w:r w:rsidRPr="002224F3">
        <w:rPr>
          <w:rFonts w:asciiTheme="majorHAnsi" w:hAnsiTheme="majorHAnsi" w:cstheme="minorHAnsi"/>
        </w:rPr>
        <w:t>Диаграмма 8</w:t>
      </w:r>
      <w:r w:rsidR="00E70204" w:rsidRPr="002224F3">
        <w:rPr>
          <w:rFonts w:asciiTheme="majorHAnsi" w:hAnsiTheme="majorHAnsi" w:cstheme="minorHAnsi"/>
        </w:rPr>
        <w:t>.1.11</w:t>
      </w:r>
      <w:r w:rsidR="00982A49">
        <w:rPr>
          <w:rFonts w:asciiTheme="minorHAnsi" w:hAnsiTheme="minorHAnsi" w:cstheme="minorHAnsi"/>
          <w:noProof/>
          <w:lang w:eastAsia="ru-RU"/>
        </w:rPr>
        <w:drawing>
          <wp:inline distT="0" distB="0" distL="0" distR="0">
            <wp:extent cx="4924425" cy="3305175"/>
            <wp:effectExtent l="0" t="0" r="9525" b="9525"/>
            <wp:docPr id="69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924425" cy="3305175"/>
                    </a:xfrm>
                    <a:prstGeom prst="rect">
                      <a:avLst/>
                    </a:prstGeom>
                    <a:noFill/>
                    <a:ln>
                      <a:noFill/>
                    </a:ln>
                  </pic:spPr>
                </pic:pic>
              </a:graphicData>
            </a:graphic>
          </wp:inline>
        </w:drawing>
      </w:r>
    </w:p>
    <w:p w:rsidR="00E70204" w:rsidRPr="00D27708" w:rsidRDefault="008F31A5" w:rsidP="00D27708">
      <w:pPr>
        <w:spacing w:after="200" w:line="276" w:lineRule="auto"/>
        <w:jc w:val="both"/>
      </w:pPr>
      <w:r>
        <w:t>В таблице 8.1.12 и на диаграмме 8</w:t>
      </w:r>
      <w:r w:rsidR="00E70204" w:rsidRPr="00D27708">
        <w:t>.1.12 представлен средний возраст штатных преподавателей в Москве и в филиалах в сравнении за два года. Общий средний возраст по Москве вместе с филиалами составляет 43 года.</w:t>
      </w:r>
    </w:p>
    <w:p w:rsidR="00E70204" w:rsidRDefault="008F31A5" w:rsidP="00E70204">
      <w:pPr>
        <w:pStyle w:val="afe"/>
        <w:rPr>
          <w:rFonts w:asciiTheme="minorHAnsi" w:hAnsiTheme="minorHAnsi" w:cstheme="minorHAnsi"/>
        </w:rPr>
      </w:pPr>
      <w:r>
        <w:rPr>
          <w:rFonts w:asciiTheme="minorHAnsi" w:hAnsiTheme="minorHAnsi" w:cstheme="minorHAnsi"/>
        </w:rPr>
        <w:lastRenderedPageBreak/>
        <w:t>Таблица 8</w:t>
      </w:r>
      <w:r w:rsidR="00E70204" w:rsidRPr="006C172F">
        <w:rPr>
          <w:rFonts w:asciiTheme="minorHAnsi" w:hAnsiTheme="minorHAnsi" w:cstheme="minorHAnsi"/>
        </w:rPr>
        <w:t>.1.12</w:t>
      </w:r>
    </w:p>
    <w:tbl>
      <w:tblPr>
        <w:tblpPr w:leftFromText="180" w:rightFromText="180" w:vertAnchor="text" w:horzAnchor="page" w:tblpX="2548" w:tblpY="76"/>
        <w:tblOverlap w:val="never"/>
        <w:tblW w:w="6691" w:type="dxa"/>
        <w:tblLook w:val="04A0" w:firstRow="1" w:lastRow="0" w:firstColumn="1" w:lastColumn="0" w:noHBand="0" w:noVBand="1"/>
      </w:tblPr>
      <w:tblGrid>
        <w:gridCol w:w="2660"/>
        <w:gridCol w:w="991"/>
        <w:gridCol w:w="960"/>
        <w:gridCol w:w="1120"/>
        <w:gridCol w:w="960"/>
      </w:tblGrid>
      <w:tr w:rsidR="00E70204" w:rsidRPr="00CA16D6" w:rsidTr="00CA16D6">
        <w:trPr>
          <w:trHeight w:val="30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0204" w:rsidRPr="00CA16D6" w:rsidRDefault="00E70204" w:rsidP="00E70204">
            <w:pPr>
              <w:jc w:val="center"/>
              <w:rPr>
                <w:rFonts w:cs="Calibri"/>
                <w:color w:val="000000"/>
              </w:rPr>
            </w:pPr>
            <w:r w:rsidRPr="00CA16D6">
              <w:rPr>
                <w:rFonts w:cs="Calibri"/>
                <w:color w:val="000000"/>
              </w:rPr>
              <w:t>Уч. год </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rsidR="00E70204" w:rsidRPr="00CA16D6" w:rsidRDefault="00E70204" w:rsidP="00E70204">
            <w:pPr>
              <w:jc w:val="center"/>
              <w:rPr>
                <w:rFonts w:cs="Calibri"/>
                <w:color w:val="000000"/>
              </w:rPr>
            </w:pPr>
            <w:r w:rsidRPr="00CA16D6">
              <w:rPr>
                <w:rFonts w:cs="Calibri"/>
                <w:color w:val="000000"/>
              </w:rPr>
              <w:t>Москва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70204" w:rsidRPr="00CA16D6" w:rsidRDefault="00E70204" w:rsidP="00E70204">
            <w:pPr>
              <w:jc w:val="center"/>
              <w:rPr>
                <w:rFonts w:cs="Calibri"/>
                <w:color w:val="000000"/>
              </w:rPr>
            </w:pPr>
            <w:r w:rsidRPr="00CA16D6">
              <w:rPr>
                <w:rFonts w:cs="Calibri"/>
                <w:color w:val="000000"/>
              </w:rPr>
              <w:t>С-Пб</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E70204" w:rsidRPr="00CA16D6" w:rsidRDefault="00E70204" w:rsidP="00E70204">
            <w:pPr>
              <w:jc w:val="center"/>
              <w:rPr>
                <w:rFonts w:cs="Calibri"/>
                <w:color w:val="000000"/>
              </w:rPr>
            </w:pPr>
            <w:proofErr w:type="spellStart"/>
            <w:r w:rsidRPr="00CA16D6">
              <w:rPr>
                <w:rFonts w:cs="Calibri"/>
                <w:color w:val="000000"/>
              </w:rPr>
              <w:t>Н.Новг</w:t>
            </w:r>
            <w:proofErr w:type="spellEnd"/>
            <w:r w:rsidRPr="00CA16D6">
              <w:rPr>
                <w:rFonts w:cs="Calibri"/>
                <w:color w:val="000000"/>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70204" w:rsidRPr="00CA16D6" w:rsidRDefault="00E70204" w:rsidP="00E70204">
            <w:pPr>
              <w:jc w:val="center"/>
              <w:rPr>
                <w:rFonts w:cs="Calibri"/>
                <w:color w:val="000000"/>
              </w:rPr>
            </w:pPr>
            <w:r w:rsidRPr="00CA16D6">
              <w:rPr>
                <w:rFonts w:cs="Calibri"/>
                <w:color w:val="000000"/>
              </w:rPr>
              <w:t>Пермь</w:t>
            </w:r>
          </w:p>
        </w:tc>
      </w:tr>
      <w:tr w:rsidR="00E70204" w:rsidRPr="00CA16D6" w:rsidTr="00CA16D6">
        <w:trPr>
          <w:trHeight w:val="30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E70204" w:rsidRPr="00CA16D6" w:rsidRDefault="00E70204" w:rsidP="00E70204">
            <w:pPr>
              <w:jc w:val="center"/>
              <w:rPr>
                <w:rFonts w:cs="Calibri"/>
                <w:color w:val="000000"/>
              </w:rPr>
            </w:pPr>
            <w:r w:rsidRPr="00CA16D6">
              <w:rPr>
                <w:rFonts w:cs="Calibri"/>
                <w:color w:val="000000"/>
              </w:rPr>
              <w:t>2012-13</w:t>
            </w:r>
          </w:p>
        </w:tc>
        <w:tc>
          <w:tcPr>
            <w:tcW w:w="991" w:type="dxa"/>
            <w:tcBorders>
              <w:top w:val="nil"/>
              <w:left w:val="nil"/>
              <w:bottom w:val="single" w:sz="4" w:space="0" w:color="auto"/>
              <w:right w:val="single" w:sz="4" w:space="0" w:color="auto"/>
            </w:tcBorders>
            <w:shd w:val="clear" w:color="auto" w:fill="auto"/>
            <w:noWrap/>
            <w:vAlign w:val="bottom"/>
            <w:hideMark/>
          </w:tcPr>
          <w:p w:rsidR="00E70204" w:rsidRPr="00CA16D6" w:rsidRDefault="00E70204" w:rsidP="00E70204">
            <w:pPr>
              <w:jc w:val="center"/>
              <w:rPr>
                <w:rFonts w:cs="Calibri"/>
                <w:color w:val="000000"/>
              </w:rPr>
            </w:pPr>
            <w:r w:rsidRPr="00CA16D6">
              <w:rPr>
                <w:rFonts w:cs="Calibri"/>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E70204" w:rsidRPr="00CA16D6" w:rsidRDefault="00E70204" w:rsidP="00E70204">
            <w:pPr>
              <w:jc w:val="center"/>
              <w:rPr>
                <w:rFonts w:cs="Calibri"/>
                <w:color w:val="000000"/>
              </w:rPr>
            </w:pPr>
            <w:r w:rsidRPr="00CA16D6">
              <w:rPr>
                <w:rFonts w:cs="Calibri"/>
                <w:color w:val="000000"/>
              </w:rPr>
              <w:t>42</w:t>
            </w:r>
          </w:p>
        </w:tc>
        <w:tc>
          <w:tcPr>
            <w:tcW w:w="1120" w:type="dxa"/>
            <w:tcBorders>
              <w:top w:val="nil"/>
              <w:left w:val="nil"/>
              <w:bottom w:val="single" w:sz="4" w:space="0" w:color="auto"/>
              <w:right w:val="single" w:sz="4" w:space="0" w:color="auto"/>
            </w:tcBorders>
            <w:shd w:val="clear" w:color="auto" w:fill="auto"/>
            <w:noWrap/>
            <w:vAlign w:val="bottom"/>
            <w:hideMark/>
          </w:tcPr>
          <w:p w:rsidR="00E70204" w:rsidRPr="00CA16D6" w:rsidRDefault="00E70204" w:rsidP="00E70204">
            <w:pPr>
              <w:jc w:val="center"/>
              <w:rPr>
                <w:rFonts w:cs="Calibri"/>
                <w:color w:val="000000"/>
              </w:rPr>
            </w:pPr>
            <w:r w:rsidRPr="00CA16D6">
              <w:rPr>
                <w:rFonts w:cs="Calibri"/>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E70204" w:rsidRPr="00CA16D6" w:rsidRDefault="00E70204" w:rsidP="00E70204">
            <w:pPr>
              <w:jc w:val="center"/>
              <w:rPr>
                <w:rFonts w:cs="Calibri"/>
                <w:color w:val="000000"/>
              </w:rPr>
            </w:pPr>
            <w:r w:rsidRPr="00CA16D6">
              <w:rPr>
                <w:rFonts w:cs="Calibri"/>
                <w:color w:val="000000"/>
              </w:rPr>
              <w:t>42</w:t>
            </w:r>
          </w:p>
        </w:tc>
      </w:tr>
      <w:tr w:rsidR="00E70204" w:rsidRPr="00CA16D6" w:rsidTr="00CA16D6">
        <w:trPr>
          <w:trHeight w:val="30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E70204" w:rsidRPr="00CA16D6" w:rsidRDefault="00E70204" w:rsidP="00E70204">
            <w:pPr>
              <w:jc w:val="center"/>
              <w:rPr>
                <w:rFonts w:cs="Calibri"/>
                <w:color w:val="000000"/>
              </w:rPr>
            </w:pPr>
            <w:r w:rsidRPr="00CA16D6">
              <w:rPr>
                <w:rFonts w:cs="Calibri"/>
                <w:color w:val="000000"/>
              </w:rPr>
              <w:t>2011-12</w:t>
            </w:r>
          </w:p>
        </w:tc>
        <w:tc>
          <w:tcPr>
            <w:tcW w:w="991" w:type="dxa"/>
            <w:tcBorders>
              <w:top w:val="nil"/>
              <w:left w:val="nil"/>
              <w:bottom w:val="single" w:sz="4" w:space="0" w:color="auto"/>
              <w:right w:val="single" w:sz="4" w:space="0" w:color="auto"/>
            </w:tcBorders>
            <w:shd w:val="clear" w:color="auto" w:fill="auto"/>
            <w:noWrap/>
            <w:vAlign w:val="bottom"/>
            <w:hideMark/>
          </w:tcPr>
          <w:p w:rsidR="00E70204" w:rsidRPr="00CA16D6" w:rsidRDefault="00E70204" w:rsidP="00E70204">
            <w:pPr>
              <w:jc w:val="center"/>
              <w:rPr>
                <w:rFonts w:cs="Calibri"/>
                <w:color w:val="000000"/>
              </w:rPr>
            </w:pPr>
            <w:r w:rsidRPr="00CA16D6">
              <w:rPr>
                <w:rFonts w:cs="Calibri"/>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E70204" w:rsidRPr="00CA16D6" w:rsidRDefault="00E70204" w:rsidP="00E70204">
            <w:pPr>
              <w:jc w:val="center"/>
              <w:rPr>
                <w:rFonts w:cs="Calibri"/>
                <w:color w:val="000000"/>
              </w:rPr>
            </w:pPr>
            <w:r w:rsidRPr="00CA16D6">
              <w:rPr>
                <w:rFonts w:cs="Calibri"/>
                <w:color w:val="000000"/>
              </w:rPr>
              <w:t>42</w:t>
            </w:r>
          </w:p>
        </w:tc>
        <w:tc>
          <w:tcPr>
            <w:tcW w:w="1120" w:type="dxa"/>
            <w:tcBorders>
              <w:top w:val="nil"/>
              <w:left w:val="nil"/>
              <w:bottom w:val="single" w:sz="4" w:space="0" w:color="auto"/>
              <w:right w:val="single" w:sz="4" w:space="0" w:color="auto"/>
            </w:tcBorders>
            <w:shd w:val="clear" w:color="auto" w:fill="auto"/>
            <w:noWrap/>
            <w:vAlign w:val="bottom"/>
            <w:hideMark/>
          </w:tcPr>
          <w:p w:rsidR="00E70204" w:rsidRPr="00CA16D6" w:rsidRDefault="00E70204" w:rsidP="00E70204">
            <w:pPr>
              <w:jc w:val="center"/>
              <w:rPr>
                <w:rFonts w:cs="Calibri"/>
                <w:color w:val="000000"/>
              </w:rPr>
            </w:pPr>
            <w:r w:rsidRPr="00CA16D6">
              <w:rPr>
                <w:rFonts w:cs="Calibri"/>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E70204" w:rsidRPr="00CA16D6" w:rsidRDefault="00E70204" w:rsidP="00E70204">
            <w:pPr>
              <w:jc w:val="center"/>
              <w:rPr>
                <w:rFonts w:cs="Calibri"/>
                <w:color w:val="000000"/>
              </w:rPr>
            </w:pPr>
            <w:r w:rsidRPr="00CA16D6">
              <w:rPr>
                <w:rFonts w:cs="Calibri"/>
                <w:color w:val="000000"/>
              </w:rPr>
              <w:t>41</w:t>
            </w:r>
          </w:p>
        </w:tc>
      </w:tr>
    </w:tbl>
    <w:p w:rsidR="00CA16D6" w:rsidRDefault="00CA16D6" w:rsidP="00E70204">
      <w:pPr>
        <w:pStyle w:val="afe"/>
        <w:rPr>
          <w:rFonts w:asciiTheme="minorHAnsi" w:hAnsiTheme="minorHAnsi" w:cstheme="minorHAnsi"/>
        </w:rPr>
      </w:pPr>
    </w:p>
    <w:p w:rsidR="00E70204" w:rsidRDefault="008F31A5" w:rsidP="00E70204">
      <w:pPr>
        <w:pStyle w:val="afe"/>
        <w:rPr>
          <w:rFonts w:asciiTheme="minorHAnsi" w:hAnsiTheme="minorHAnsi" w:cstheme="minorHAnsi"/>
        </w:rPr>
      </w:pPr>
      <w:r>
        <w:rPr>
          <w:rFonts w:asciiTheme="minorHAnsi" w:hAnsiTheme="minorHAnsi" w:cstheme="minorHAnsi"/>
        </w:rPr>
        <w:t>Диаграмма 8</w:t>
      </w:r>
      <w:r w:rsidR="00E70204" w:rsidRPr="00AD3454">
        <w:rPr>
          <w:rFonts w:asciiTheme="minorHAnsi" w:hAnsiTheme="minorHAnsi" w:cstheme="minorHAnsi"/>
        </w:rPr>
        <w:t>.1.1</w:t>
      </w:r>
      <w:r w:rsidR="00E70204">
        <w:rPr>
          <w:rFonts w:asciiTheme="minorHAnsi" w:hAnsiTheme="minorHAnsi" w:cstheme="minorHAnsi"/>
        </w:rPr>
        <w:t>2</w:t>
      </w:r>
    </w:p>
    <w:p w:rsidR="00E70204" w:rsidRPr="00AD3454" w:rsidRDefault="00982A49" w:rsidP="00E70204">
      <w:pPr>
        <w:pStyle w:val="afe"/>
        <w:rPr>
          <w:rFonts w:asciiTheme="minorHAnsi" w:hAnsiTheme="minorHAnsi" w:cstheme="minorHAnsi"/>
        </w:rPr>
      </w:pPr>
      <w:r>
        <w:rPr>
          <w:rFonts w:asciiTheme="minorHAnsi" w:hAnsiTheme="minorHAnsi" w:cstheme="minorHAnsi"/>
          <w:noProof/>
          <w:lang w:eastAsia="ru-RU"/>
        </w:rPr>
        <w:drawing>
          <wp:inline distT="0" distB="0" distL="0" distR="0">
            <wp:extent cx="3657600" cy="2486025"/>
            <wp:effectExtent l="0" t="0" r="0" b="9525"/>
            <wp:docPr id="69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657600" cy="2486025"/>
                    </a:xfrm>
                    <a:prstGeom prst="rect">
                      <a:avLst/>
                    </a:prstGeom>
                    <a:noFill/>
                    <a:ln>
                      <a:noFill/>
                    </a:ln>
                  </pic:spPr>
                </pic:pic>
              </a:graphicData>
            </a:graphic>
          </wp:inline>
        </w:drawing>
      </w:r>
    </w:p>
    <w:p w:rsidR="00E70204" w:rsidRDefault="00E70204" w:rsidP="00D27708">
      <w:pPr>
        <w:spacing w:after="200" w:line="276" w:lineRule="auto"/>
        <w:jc w:val="both"/>
      </w:pPr>
      <w:r w:rsidRPr="005A4E7A">
        <w:t>Динамика соотношения количества студентов на одного преподавателя представлена  в расчете на одну ставку ППС и на одного шта</w:t>
      </w:r>
      <w:r w:rsidR="008F31A5">
        <w:t>тного преподавателя в таблице 8</w:t>
      </w:r>
      <w:r w:rsidRPr="005A4E7A">
        <w:t>.1.</w:t>
      </w:r>
      <w:r>
        <w:t>1</w:t>
      </w:r>
      <w:r w:rsidR="008F31A5">
        <w:t>3 и в диаграммах 8</w:t>
      </w:r>
      <w:r w:rsidRPr="005A4E7A">
        <w:t>.1.1</w:t>
      </w:r>
      <w:r>
        <w:t>3а</w:t>
      </w:r>
      <w:r w:rsidR="008F31A5">
        <w:t xml:space="preserve"> и 8</w:t>
      </w:r>
      <w:r w:rsidRPr="005A4E7A">
        <w:t>.1.13</w:t>
      </w:r>
      <w:r>
        <w:t>б</w:t>
      </w:r>
      <w:r w:rsidRPr="005A4E7A">
        <w:t>.</w:t>
      </w:r>
    </w:p>
    <w:tbl>
      <w:tblPr>
        <w:tblW w:w="9292" w:type="dxa"/>
        <w:tblInd w:w="108" w:type="dxa"/>
        <w:tblLook w:val="04A0" w:firstRow="1" w:lastRow="0" w:firstColumn="1" w:lastColumn="0" w:noHBand="0" w:noVBand="1"/>
      </w:tblPr>
      <w:tblGrid>
        <w:gridCol w:w="222"/>
        <w:gridCol w:w="1714"/>
        <w:gridCol w:w="2236"/>
        <w:gridCol w:w="1216"/>
        <w:gridCol w:w="976"/>
        <w:gridCol w:w="976"/>
        <w:gridCol w:w="976"/>
        <w:gridCol w:w="976"/>
      </w:tblGrid>
      <w:tr w:rsidR="00E70204" w:rsidRPr="005A4E7A" w:rsidTr="00E70204">
        <w:trPr>
          <w:trHeight w:val="315"/>
        </w:trPr>
        <w:tc>
          <w:tcPr>
            <w:tcW w:w="1936" w:type="dxa"/>
            <w:gridSpan w:val="2"/>
            <w:tcBorders>
              <w:top w:val="nil"/>
              <w:left w:val="nil"/>
              <w:bottom w:val="nil"/>
              <w:right w:val="nil"/>
            </w:tcBorders>
            <w:shd w:val="clear" w:color="auto" w:fill="auto"/>
            <w:noWrap/>
            <w:vAlign w:val="bottom"/>
            <w:hideMark/>
          </w:tcPr>
          <w:p w:rsidR="00E70204" w:rsidRPr="005A4E7A" w:rsidRDefault="008F31A5" w:rsidP="00E70204">
            <w:pPr>
              <w:rPr>
                <w:rFonts w:cs="Calibri"/>
                <w:b/>
                <w:bCs/>
                <w:color w:val="000000"/>
              </w:rPr>
            </w:pPr>
            <w:r>
              <w:rPr>
                <w:rFonts w:cs="Calibri"/>
                <w:b/>
                <w:bCs/>
                <w:color w:val="000000"/>
              </w:rPr>
              <w:t>Таблица 8</w:t>
            </w:r>
            <w:r w:rsidR="00E70204" w:rsidRPr="005A4E7A">
              <w:rPr>
                <w:rFonts w:cs="Calibri"/>
                <w:b/>
                <w:bCs/>
                <w:color w:val="000000"/>
              </w:rPr>
              <w:t>.1.</w:t>
            </w:r>
            <w:r w:rsidR="00E70204">
              <w:rPr>
                <w:rFonts w:cs="Calibri"/>
                <w:b/>
                <w:bCs/>
                <w:color w:val="000000"/>
              </w:rPr>
              <w:t>1</w:t>
            </w:r>
            <w:r w:rsidR="00E70204" w:rsidRPr="005A4E7A">
              <w:rPr>
                <w:rFonts w:cs="Calibri"/>
                <w:b/>
                <w:bCs/>
                <w:color w:val="000000"/>
              </w:rPr>
              <w:t>3</w:t>
            </w:r>
          </w:p>
        </w:tc>
        <w:tc>
          <w:tcPr>
            <w:tcW w:w="2236" w:type="dxa"/>
            <w:tcBorders>
              <w:top w:val="nil"/>
              <w:left w:val="nil"/>
              <w:bottom w:val="nil"/>
              <w:right w:val="nil"/>
            </w:tcBorders>
            <w:shd w:val="clear" w:color="auto" w:fill="auto"/>
            <w:noWrap/>
            <w:vAlign w:val="bottom"/>
            <w:hideMark/>
          </w:tcPr>
          <w:p w:rsidR="00E70204" w:rsidRPr="005A4E7A" w:rsidRDefault="00E70204" w:rsidP="00E70204">
            <w:pPr>
              <w:rPr>
                <w:rFonts w:cs="Calibri"/>
                <w:color w:val="000000"/>
                <w:sz w:val="22"/>
                <w:szCs w:val="22"/>
              </w:rPr>
            </w:pPr>
          </w:p>
        </w:tc>
        <w:tc>
          <w:tcPr>
            <w:tcW w:w="1216" w:type="dxa"/>
            <w:tcBorders>
              <w:top w:val="nil"/>
              <w:left w:val="nil"/>
              <w:bottom w:val="single" w:sz="4" w:space="0" w:color="auto"/>
              <w:right w:val="nil"/>
            </w:tcBorders>
            <w:shd w:val="clear" w:color="auto" w:fill="auto"/>
            <w:noWrap/>
            <w:vAlign w:val="bottom"/>
            <w:hideMark/>
          </w:tcPr>
          <w:p w:rsidR="00E70204" w:rsidRPr="005A4E7A" w:rsidRDefault="00E70204" w:rsidP="00E70204">
            <w:pPr>
              <w:rPr>
                <w:rFonts w:cs="Calibri"/>
                <w:color w:val="000000"/>
                <w:sz w:val="22"/>
                <w:szCs w:val="22"/>
              </w:rPr>
            </w:pPr>
          </w:p>
        </w:tc>
        <w:tc>
          <w:tcPr>
            <w:tcW w:w="976" w:type="dxa"/>
            <w:tcBorders>
              <w:top w:val="nil"/>
              <w:left w:val="nil"/>
              <w:bottom w:val="single" w:sz="4" w:space="0" w:color="auto"/>
              <w:right w:val="nil"/>
            </w:tcBorders>
            <w:shd w:val="clear" w:color="auto" w:fill="auto"/>
            <w:noWrap/>
            <w:vAlign w:val="bottom"/>
            <w:hideMark/>
          </w:tcPr>
          <w:p w:rsidR="00E70204" w:rsidRPr="005A4E7A" w:rsidRDefault="00E70204" w:rsidP="00E70204">
            <w:pPr>
              <w:rPr>
                <w:rFonts w:cs="Calibri"/>
                <w:color w:val="000000"/>
                <w:sz w:val="22"/>
                <w:szCs w:val="22"/>
              </w:rPr>
            </w:pPr>
          </w:p>
        </w:tc>
        <w:tc>
          <w:tcPr>
            <w:tcW w:w="976" w:type="dxa"/>
            <w:tcBorders>
              <w:top w:val="nil"/>
              <w:left w:val="nil"/>
              <w:bottom w:val="single" w:sz="4" w:space="0" w:color="auto"/>
              <w:right w:val="nil"/>
            </w:tcBorders>
            <w:shd w:val="clear" w:color="auto" w:fill="auto"/>
            <w:noWrap/>
            <w:vAlign w:val="bottom"/>
            <w:hideMark/>
          </w:tcPr>
          <w:p w:rsidR="00E70204" w:rsidRPr="005A4E7A" w:rsidRDefault="00E70204" w:rsidP="00E70204">
            <w:pPr>
              <w:rPr>
                <w:rFonts w:cs="Calibri"/>
                <w:color w:val="000000"/>
                <w:sz w:val="22"/>
                <w:szCs w:val="22"/>
              </w:rPr>
            </w:pPr>
          </w:p>
        </w:tc>
        <w:tc>
          <w:tcPr>
            <w:tcW w:w="976" w:type="dxa"/>
            <w:tcBorders>
              <w:top w:val="nil"/>
              <w:left w:val="nil"/>
              <w:bottom w:val="single" w:sz="4" w:space="0" w:color="auto"/>
              <w:right w:val="nil"/>
            </w:tcBorders>
            <w:shd w:val="clear" w:color="auto" w:fill="auto"/>
            <w:noWrap/>
            <w:vAlign w:val="bottom"/>
            <w:hideMark/>
          </w:tcPr>
          <w:p w:rsidR="00E70204" w:rsidRPr="005A4E7A" w:rsidRDefault="00E70204" w:rsidP="00E70204">
            <w:pPr>
              <w:rPr>
                <w:rFonts w:cs="Calibri"/>
                <w:color w:val="000000"/>
                <w:sz w:val="22"/>
                <w:szCs w:val="22"/>
              </w:rPr>
            </w:pPr>
          </w:p>
        </w:tc>
        <w:tc>
          <w:tcPr>
            <w:tcW w:w="976" w:type="dxa"/>
            <w:tcBorders>
              <w:top w:val="nil"/>
              <w:left w:val="nil"/>
              <w:bottom w:val="single" w:sz="4" w:space="0" w:color="auto"/>
              <w:right w:val="nil"/>
            </w:tcBorders>
            <w:shd w:val="clear" w:color="auto" w:fill="auto"/>
            <w:noWrap/>
            <w:vAlign w:val="bottom"/>
            <w:hideMark/>
          </w:tcPr>
          <w:p w:rsidR="00E70204" w:rsidRPr="005A4E7A" w:rsidRDefault="00E70204" w:rsidP="00E70204">
            <w:pPr>
              <w:rPr>
                <w:rFonts w:cs="Calibri"/>
                <w:color w:val="000000"/>
                <w:sz w:val="22"/>
                <w:szCs w:val="22"/>
              </w:rPr>
            </w:pPr>
          </w:p>
        </w:tc>
      </w:tr>
      <w:tr w:rsidR="00E70204" w:rsidRPr="005A4E7A" w:rsidTr="00E70204">
        <w:trPr>
          <w:trHeight w:val="300"/>
        </w:trPr>
        <w:tc>
          <w:tcPr>
            <w:tcW w:w="26" w:type="dxa"/>
            <w:tcBorders>
              <w:top w:val="nil"/>
              <w:left w:val="nil"/>
              <w:bottom w:val="nil"/>
              <w:right w:val="nil"/>
            </w:tcBorders>
            <w:shd w:val="clear" w:color="auto" w:fill="auto"/>
            <w:noWrap/>
            <w:vAlign w:val="bottom"/>
            <w:hideMark/>
          </w:tcPr>
          <w:p w:rsidR="00E70204" w:rsidRPr="005A4E7A" w:rsidRDefault="00E70204" w:rsidP="00E70204">
            <w:pPr>
              <w:jc w:val="center"/>
              <w:rPr>
                <w:rFonts w:cs="Calibri"/>
                <w:color w:val="000000"/>
                <w:sz w:val="22"/>
                <w:szCs w:val="22"/>
              </w:rPr>
            </w:pPr>
          </w:p>
        </w:tc>
        <w:tc>
          <w:tcPr>
            <w:tcW w:w="1910" w:type="dxa"/>
            <w:tcBorders>
              <w:top w:val="single" w:sz="4" w:space="0" w:color="auto"/>
              <w:left w:val="single" w:sz="4" w:space="0" w:color="auto"/>
              <w:bottom w:val="single" w:sz="4" w:space="0" w:color="auto"/>
              <w:right w:val="nil"/>
            </w:tcBorders>
            <w:shd w:val="clear" w:color="auto" w:fill="auto"/>
            <w:vAlign w:val="center"/>
            <w:hideMark/>
          </w:tcPr>
          <w:p w:rsidR="00E70204" w:rsidRPr="005A4E7A" w:rsidRDefault="00E70204" w:rsidP="00E70204">
            <w:pPr>
              <w:jc w:val="center"/>
              <w:rPr>
                <w:rFonts w:cs="Calibri"/>
                <w:b/>
                <w:bCs/>
                <w:color w:val="000000"/>
                <w:sz w:val="20"/>
                <w:szCs w:val="20"/>
              </w:rPr>
            </w:pPr>
          </w:p>
        </w:tc>
        <w:tc>
          <w:tcPr>
            <w:tcW w:w="2236" w:type="dxa"/>
            <w:tcBorders>
              <w:top w:val="single" w:sz="4" w:space="0" w:color="auto"/>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p>
        </w:tc>
        <w:tc>
          <w:tcPr>
            <w:tcW w:w="121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2008-09</w:t>
            </w:r>
          </w:p>
        </w:tc>
        <w:tc>
          <w:tcPr>
            <w:tcW w:w="976" w:type="dxa"/>
            <w:tcBorders>
              <w:top w:val="single" w:sz="4" w:space="0" w:color="auto"/>
              <w:left w:val="nil"/>
              <w:bottom w:val="single" w:sz="4" w:space="0" w:color="auto"/>
              <w:right w:val="single" w:sz="4" w:space="0" w:color="auto"/>
            </w:tcBorders>
            <w:shd w:val="clear" w:color="000000" w:fill="FFFFFF" w:themeFill="background1"/>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2009-10</w:t>
            </w:r>
          </w:p>
        </w:tc>
        <w:tc>
          <w:tcPr>
            <w:tcW w:w="976" w:type="dxa"/>
            <w:tcBorders>
              <w:top w:val="single" w:sz="4" w:space="0" w:color="auto"/>
              <w:left w:val="nil"/>
              <w:bottom w:val="single" w:sz="4" w:space="0" w:color="auto"/>
              <w:right w:val="single" w:sz="4" w:space="0" w:color="auto"/>
            </w:tcBorders>
            <w:shd w:val="clear" w:color="000000" w:fill="FFFFFF" w:themeFill="background1"/>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2010-11</w:t>
            </w:r>
          </w:p>
        </w:tc>
        <w:tc>
          <w:tcPr>
            <w:tcW w:w="976" w:type="dxa"/>
            <w:tcBorders>
              <w:top w:val="single" w:sz="4" w:space="0" w:color="auto"/>
              <w:left w:val="nil"/>
              <w:bottom w:val="single" w:sz="4" w:space="0" w:color="auto"/>
              <w:right w:val="single" w:sz="4" w:space="0" w:color="auto"/>
            </w:tcBorders>
            <w:shd w:val="clear" w:color="000000" w:fill="FFFFFF" w:themeFill="background1"/>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2011-12</w:t>
            </w:r>
          </w:p>
        </w:tc>
        <w:tc>
          <w:tcPr>
            <w:tcW w:w="976" w:type="dxa"/>
            <w:tcBorders>
              <w:top w:val="single" w:sz="4" w:space="0" w:color="auto"/>
              <w:left w:val="nil"/>
              <w:bottom w:val="single" w:sz="4" w:space="0" w:color="auto"/>
              <w:right w:val="single" w:sz="4" w:space="0" w:color="auto"/>
            </w:tcBorders>
            <w:shd w:val="clear" w:color="000000" w:fill="FFFFFF" w:themeFill="background1"/>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2012-13</w:t>
            </w:r>
          </w:p>
        </w:tc>
      </w:tr>
      <w:tr w:rsidR="00E70204" w:rsidRPr="005A4E7A" w:rsidTr="00E70204">
        <w:trPr>
          <w:trHeight w:val="315"/>
        </w:trPr>
        <w:tc>
          <w:tcPr>
            <w:tcW w:w="26" w:type="dxa"/>
            <w:tcBorders>
              <w:top w:val="nil"/>
              <w:left w:val="nil"/>
              <w:bottom w:val="nil"/>
              <w:right w:val="nil"/>
            </w:tcBorders>
            <w:shd w:val="clear" w:color="auto" w:fill="auto"/>
            <w:noWrap/>
            <w:vAlign w:val="bottom"/>
            <w:hideMark/>
          </w:tcPr>
          <w:p w:rsidR="00E70204" w:rsidRPr="005A4E7A" w:rsidRDefault="00E70204" w:rsidP="00E70204">
            <w:pPr>
              <w:jc w:val="center"/>
              <w:rPr>
                <w:rFonts w:cs="Calibri"/>
                <w:color w:val="000000"/>
                <w:sz w:val="22"/>
                <w:szCs w:val="22"/>
              </w:rPr>
            </w:pPr>
          </w:p>
        </w:tc>
        <w:tc>
          <w:tcPr>
            <w:tcW w:w="1910" w:type="dxa"/>
            <w:vMerge w:val="restart"/>
            <w:tcBorders>
              <w:top w:val="nil"/>
              <w:left w:val="single" w:sz="4" w:space="0" w:color="auto"/>
              <w:bottom w:val="single" w:sz="4" w:space="0" w:color="000000"/>
              <w:right w:val="single" w:sz="4" w:space="0" w:color="auto"/>
            </w:tcBorders>
            <w:shd w:val="clear" w:color="auto" w:fill="auto"/>
            <w:vAlign w:val="center"/>
            <w:hideMark/>
          </w:tcPr>
          <w:p w:rsidR="00E70204" w:rsidRPr="005A4E7A" w:rsidRDefault="00E70204" w:rsidP="00E70204">
            <w:pPr>
              <w:jc w:val="center"/>
              <w:rPr>
                <w:rFonts w:cs="Calibri"/>
                <w:b/>
                <w:bCs/>
                <w:color w:val="000000"/>
                <w:sz w:val="20"/>
                <w:szCs w:val="20"/>
              </w:rPr>
            </w:pPr>
            <w:r w:rsidRPr="005A4E7A">
              <w:rPr>
                <w:rFonts w:cs="Calibri"/>
                <w:b/>
                <w:bCs/>
                <w:color w:val="000000"/>
                <w:sz w:val="20"/>
                <w:szCs w:val="20"/>
              </w:rPr>
              <w:t>Москва</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Ставки ППС</w:t>
            </w:r>
          </w:p>
        </w:tc>
        <w:tc>
          <w:tcPr>
            <w:tcW w:w="121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1028</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1243</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1398</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1580</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2104</w:t>
            </w:r>
          </w:p>
        </w:tc>
      </w:tr>
      <w:tr w:rsidR="00E70204" w:rsidRPr="005A4E7A" w:rsidTr="00E70204">
        <w:trPr>
          <w:trHeight w:val="315"/>
        </w:trPr>
        <w:tc>
          <w:tcPr>
            <w:tcW w:w="26" w:type="dxa"/>
            <w:tcBorders>
              <w:top w:val="nil"/>
              <w:left w:val="nil"/>
              <w:bottom w:val="nil"/>
              <w:right w:val="nil"/>
            </w:tcBorders>
            <w:shd w:val="clear" w:color="auto" w:fill="auto"/>
            <w:noWrap/>
            <w:vAlign w:val="bottom"/>
            <w:hideMark/>
          </w:tcPr>
          <w:p w:rsidR="00E70204" w:rsidRPr="005A4E7A" w:rsidRDefault="00E70204" w:rsidP="00E70204">
            <w:pPr>
              <w:jc w:val="center"/>
              <w:rPr>
                <w:rFonts w:cs="Calibri"/>
                <w:color w:val="000000"/>
                <w:sz w:val="22"/>
                <w:szCs w:val="22"/>
              </w:rPr>
            </w:pPr>
          </w:p>
        </w:tc>
        <w:tc>
          <w:tcPr>
            <w:tcW w:w="1910" w:type="dxa"/>
            <w:vMerge/>
            <w:tcBorders>
              <w:top w:val="nil"/>
              <w:left w:val="single" w:sz="4" w:space="0" w:color="auto"/>
              <w:bottom w:val="single" w:sz="4" w:space="0" w:color="000000"/>
              <w:right w:val="single" w:sz="4" w:space="0" w:color="auto"/>
            </w:tcBorders>
            <w:vAlign w:val="center"/>
            <w:hideMark/>
          </w:tcPr>
          <w:p w:rsidR="00E70204" w:rsidRPr="005A4E7A" w:rsidRDefault="00E70204" w:rsidP="00E70204">
            <w:pPr>
              <w:jc w:val="center"/>
              <w:rPr>
                <w:rFonts w:cs="Calibri"/>
                <w:b/>
                <w:bCs/>
                <w:color w:val="000000"/>
                <w:sz w:val="20"/>
                <w:szCs w:val="20"/>
              </w:rPr>
            </w:pPr>
          </w:p>
        </w:tc>
        <w:tc>
          <w:tcPr>
            <w:tcW w:w="2236" w:type="dxa"/>
            <w:tcBorders>
              <w:top w:val="nil"/>
              <w:left w:val="single" w:sz="4" w:space="0" w:color="auto"/>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Штатные ППС</w:t>
            </w:r>
          </w:p>
        </w:tc>
        <w:tc>
          <w:tcPr>
            <w:tcW w:w="121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1508</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1674</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1904</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2125</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2705</w:t>
            </w:r>
          </w:p>
        </w:tc>
      </w:tr>
      <w:tr w:rsidR="00E70204" w:rsidRPr="005A4E7A" w:rsidTr="00E70204">
        <w:trPr>
          <w:trHeight w:val="315"/>
        </w:trPr>
        <w:tc>
          <w:tcPr>
            <w:tcW w:w="26" w:type="dxa"/>
            <w:tcBorders>
              <w:top w:val="nil"/>
              <w:left w:val="nil"/>
              <w:bottom w:val="nil"/>
              <w:right w:val="nil"/>
            </w:tcBorders>
            <w:shd w:val="clear" w:color="auto" w:fill="auto"/>
            <w:noWrap/>
            <w:vAlign w:val="bottom"/>
            <w:hideMark/>
          </w:tcPr>
          <w:p w:rsidR="00E70204" w:rsidRPr="005A4E7A" w:rsidRDefault="00E70204" w:rsidP="00E70204">
            <w:pPr>
              <w:jc w:val="center"/>
              <w:rPr>
                <w:rFonts w:cs="Calibri"/>
                <w:color w:val="000000"/>
                <w:sz w:val="22"/>
                <w:szCs w:val="22"/>
              </w:rPr>
            </w:pPr>
          </w:p>
        </w:tc>
        <w:tc>
          <w:tcPr>
            <w:tcW w:w="1910" w:type="dxa"/>
            <w:vMerge/>
            <w:tcBorders>
              <w:top w:val="nil"/>
              <w:left w:val="single" w:sz="4" w:space="0" w:color="auto"/>
              <w:bottom w:val="single" w:sz="4" w:space="0" w:color="000000"/>
              <w:right w:val="single" w:sz="4" w:space="0" w:color="auto"/>
            </w:tcBorders>
            <w:vAlign w:val="center"/>
            <w:hideMark/>
          </w:tcPr>
          <w:p w:rsidR="00E70204" w:rsidRPr="005A4E7A" w:rsidRDefault="00E70204" w:rsidP="00E70204">
            <w:pPr>
              <w:jc w:val="center"/>
              <w:rPr>
                <w:rFonts w:cs="Calibri"/>
                <w:b/>
                <w:bCs/>
                <w:color w:val="000000"/>
                <w:sz w:val="20"/>
                <w:szCs w:val="20"/>
              </w:rPr>
            </w:pPr>
          </w:p>
        </w:tc>
        <w:tc>
          <w:tcPr>
            <w:tcW w:w="2236" w:type="dxa"/>
            <w:tcBorders>
              <w:top w:val="nil"/>
              <w:left w:val="single" w:sz="4" w:space="0" w:color="auto"/>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Студенты-очники</w:t>
            </w:r>
          </w:p>
        </w:tc>
        <w:tc>
          <w:tcPr>
            <w:tcW w:w="121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10123</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11375</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12109</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14919</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17467</w:t>
            </w:r>
          </w:p>
        </w:tc>
      </w:tr>
      <w:tr w:rsidR="00E70204" w:rsidRPr="005A4E7A" w:rsidTr="00E70204">
        <w:trPr>
          <w:trHeight w:val="255"/>
        </w:trPr>
        <w:tc>
          <w:tcPr>
            <w:tcW w:w="26" w:type="dxa"/>
            <w:tcBorders>
              <w:top w:val="nil"/>
              <w:left w:val="nil"/>
              <w:bottom w:val="nil"/>
              <w:right w:val="nil"/>
            </w:tcBorders>
            <w:shd w:val="clear" w:color="auto" w:fill="auto"/>
            <w:noWrap/>
            <w:vAlign w:val="bottom"/>
            <w:hideMark/>
          </w:tcPr>
          <w:p w:rsidR="00E70204" w:rsidRPr="005A4E7A" w:rsidRDefault="00E70204" w:rsidP="00E70204">
            <w:pPr>
              <w:jc w:val="center"/>
              <w:rPr>
                <w:rFonts w:cs="Calibri"/>
                <w:color w:val="000000"/>
                <w:sz w:val="22"/>
                <w:szCs w:val="22"/>
              </w:rPr>
            </w:pPr>
          </w:p>
        </w:tc>
        <w:tc>
          <w:tcPr>
            <w:tcW w:w="1910" w:type="dxa"/>
            <w:vMerge/>
            <w:tcBorders>
              <w:top w:val="nil"/>
              <w:left w:val="single" w:sz="4" w:space="0" w:color="auto"/>
              <w:bottom w:val="single" w:sz="4" w:space="0" w:color="000000"/>
              <w:right w:val="single" w:sz="4" w:space="0" w:color="auto"/>
            </w:tcBorders>
            <w:vAlign w:val="center"/>
            <w:hideMark/>
          </w:tcPr>
          <w:p w:rsidR="00E70204" w:rsidRPr="005A4E7A" w:rsidRDefault="00E70204" w:rsidP="00E70204">
            <w:pPr>
              <w:jc w:val="center"/>
              <w:rPr>
                <w:rFonts w:cs="Calibri"/>
                <w:b/>
                <w:bCs/>
                <w:color w:val="000000"/>
                <w:sz w:val="20"/>
                <w:szCs w:val="20"/>
              </w:rPr>
            </w:pPr>
          </w:p>
        </w:tc>
        <w:tc>
          <w:tcPr>
            <w:tcW w:w="2236" w:type="dxa"/>
            <w:tcBorders>
              <w:top w:val="nil"/>
              <w:left w:val="single" w:sz="4" w:space="0" w:color="auto"/>
              <w:bottom w:val="single" w:sz="4" w:space="0" w:color="auto"/>
              <w:right w:val="single" w:sz="4" w:space="0" w:color="auto"/>
            </w:tcBorders>
            <w:shd w:val="clear" w:color="000000" w:fill="D9D9D9"/>
            <w:noWrap/>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 xml:space="preserve">Кол-во </w:t>
            </w:r>
            <w:proofErr w:type="spellStart"/>
            <w:r w:rsidRPr="005A4E7A">
              <w:rPr>
                <w:rFonts w:cs="Calibri"/>
                <w:color w:val="000000"/>
                <w:sz w:val="20"/>
                <w:szCs w:val="20"/>
              </w:rPr>
              <w:t>студ.на</w:t>
            </w:r>
            <w:proofErr w:type="spellEnd"/>
            <w:r w:rsidRPr="005A4E7A">
              <w:rPr>
                <w:rFonts w:cs="Calibri"/>
                <w:color w:val="000000"/>
                <w:sz w:val="20"/>
                <w:szCs w:val="20"/>
              </w:rPr>
              <w:t xml:space="preserve"> 1 ставку</w:t>
            </w:r>
          </w:p>
        </w:tc>
        <w:tc>
          <w:tcPr>
            <w:tcW w:w="121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9,85</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9,15</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8,66</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9,44</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8,30</w:t>
            </w:r>
          </w:p>
        </w:tc>
      </w:tr>
      <w:tr w:rsidR="00E70204" w:rsidRPr="005A4E7A" w:rsidTr="00E70204">
        <w:trPr>
          <w:trHeight w:val="255"/>
        </w:trPr>
        <w:tc>
          <w:tcPr>
            <w:tcW w:w="26" w:type="dxa"/>
            <w:tcBorders>
              <w:top w:val="nil"/>
              <w:left w:val="nil"/>
              <w:bottom w:val="nil"/>
              <w:right w:val="nil"/>
            </w:tcBorders>
            <w:shd w:val="clear" w:color="auto" w:fill="auto"/>
            <w:noWrap/>
            <w:vAlign w:val="bottom"/>
            <w:hideMark/>
          </w:tcPr>
          <w:p w:rsidR="00E70204" w:rsidRPr="005A4E7A" w:rsidRDefault="00E70204" w:rsidP="00E70204">
            <w:pPr>
              <w:jc w:val="center"/>
              <w:rPr>
                <w:rFonts w:cs="Calibri"/>
                <w:color w:val="000000"/>
                <w:sz w:val="22"/>
                <w:szCs w:val="22"/>
              </w:rPr>
            </w:pPr>
          </w:p>
        </w:tc>
        <w:tc>
          <w:tcPr>
            <w:tcW w:w="1910" w:type="dxa"/>
            <w:vMerge/>
            <w:tcBorders>
              <w:top w:val="nil"/>
              <w:left w:val="single" w:sz="4" w:space="0" w:color="auto"/>
              <w:bottom w:val="single" w:sz="4" w:space="0" w:color="000000"/>
              <w:right w:val="single" w:sz="4" w:space="0" w:color="auto"/>
            </w:tcBorders>
            <w:vAlign w:val="center"/>
            <w:hideMark/>
          </w:tcPr>
          <w:p w:rsidR="00E70204" w:rsidRPr="005A4E7A" w:rsidRDefault="00E70204" w:rsidP="00E70204">
            <w:pPr>
              <w:jc w:val="center"/>
              <w:rPr>
                <w:rFonts w:cs="Calibri"/>
                <w:b/>
                <w:bCs/>
                <w:color w:val="000000"/>
                <w:sz w:val="20"/>
                <w:szCs w:val="20"/>
              </w:rPr>
            </w:pPr>
          </w:p>
        </w:tc>
        <w:tc>
          <w:tcPr>
            <w:tcW w:w="2236" w:type="dxa"/>
            <w:tcBorders>
              <w:top w:val="nil"/>
              <w:left w:val="single" w:sz="4" w:space="0" w:color="auto"/>
              <w:bottom w:val="single" w:sz="4" w:space="0" w:color="auto"/>
              <w:right w:val="single" w:sz="4" w:space="0" w:color="auto"/>
            </w:tcBorders>
            <w:shd w:val="clear" w:color="000000" w:fill="D9D9D9"/>
            <w:noWrap/>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 xml:space="preserve">Кол-во </w:t>
            </w:r>
            <w:proofErr w:type="spellStart"/>
            <w:r w:rsidRPr="005A4E7A">
              <w:rPr>
                <w:rFonts w:cs="Calibri"/>
                <w:color w:val="000000"/>
                <w:sz w:val="20"/>
                <w:szCs w:val="20"/>
              </w:rPr>
              <w:t>студ.на</w:t>
            </w:r>
            <w:proofErr w:type="spellEnd"/>
            <w:r w:rsidRPr="005A4E7A">
              <w:rPr>
                <w:rFonts w:cs="Calibri"/>
                <w:color w:val="000000"/>
                <w:sz w:val="20"/>
                <w:szCs w:val="20"/>
              </w:rPr>
              <w:t xml:space="preserve"> 1 ППС шт.</w:t>
            </w:r>
          </w:p>
        </w:tc>
        <w:tc>
          <w:tcPr>
            <w:tcW w:w="121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6,71</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6,80</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6,36</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7,02</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6,46</w:t>
            </w:r>
          </w:p>
        </w:tc>
      </w:tr>
      <w:tr w:rsidR="00E70204" w:rsidRPr="005A4E7A" w:rsidTr="00E70204">
        <w:trPr>
          <w:trHeight w:val="255"/>
        </w:trPr>
        <w:tc>
          <w:tcPr>
            <w:tcW w:w="26" w:type="dxa"/>
            <w:tcBorders>
              <w:top w:val="nil"/>
              <w:left w:val="nil"/>
              <w:bottom w:val="nil"/>
              <w:right w:val="nil"/>
            </w:tcBorders>
            <w:shd w:val="clear" w:color="auto" w:fill="auto"/>
            <w:noWrap/>
            <w:vAlign w:val="bottom"/>
            <w:hideMark/>
          </w:tcPr>
          <w:p w:rsidR="00E70204" w:rsidRPr="005A4E7A" w:rsidRDefault="00E70204" w:rsidP="00E70204">
            <w:pPr>
              <w:jc w:val="center"/>
              <w:rPr>
                <w:rFonts w:cs="Calibri"/>
                <w:color w:val="000000"/>
                <w:sz w:val="22"/>
                <w:szCs w:val="22"/>
              </w:rPr>
            </w:pPr>
          </w:p>
        </w:tc>
        <w:tc>
          <w:tcPr>
            <w:tcW w:w="1910" w:type="dxa"/>
            <w:vMerge w:val="restart"/>
            <w:tcBorders>
              <w:top w:val="nil"/>
              <w:left w:val="single" w:sz="4" w:space="0" w:color="auto"/>
              <w:bottom w:val="single" w:sz="4" w:space="0" w:color="000000"/>
              <w:right w:val="single" w:sz="4" w:space="0" w:color="auto"/>
            </w:tcBorders>
            <w:shd w:val="clear" w:color="auto" w:fill="auto"/>
            <w:vAlign w:val="center"/>
            <w:hideMark/>
          </w:tcPr>
          <w:p w:rsidR="00E70204" w:rsidRPr="005A4E7A" w:rsidRDefault="00E70204" w:rsidP="00E70204">
            <w:pPr>
              <w:jc w:val="center"/>
              <w:rPr>
                <w:rFonts w:cs="Calibri"/>
                <w:b/>
                <w:bCs/>
                <w:color w:val="000000"/>
                <w:sz w:val="20"/>
                <w:szCs w:val="20"/>
              </w:rPr>
            </w:pPr>
            <w:r w:rsidRPr="005A4E7A">
              <w:rPr>
                <w:rFonts w:cs="Calibri"/>
                <w:b/>
                <w:bCs/>
                <w:color w:val="000000"/>
                <w:sz w:val="20"/>
                <w:szCs w:val="20"/>
              </w:rPr>
              <w:t>С-Пб</w:t>
            </w:r>
          </w:p>
        </w:tc>
        <w:tc>
          <w:tcPr>
            <w:tcW w:w="2236" w:type="dxa"/>
            <w:tcBorders>
              <w:top w:val="nil"/>
              <w:left w:val="single" w:sz="4" w:space="0" w:color="auto"/>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Ставки ППС</w:t>
            </w:r>
          </w:p>
        </w:tc>
        <w:tc>
          <w:tcPr>
            <w:tcW w:w="121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199</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203</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216</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258</w:t>
            </w:r>
          </w:p>
        </w:tc>
        <w:tc>
          <w:tcPr>
            <w:tcW w:w="976" w:type="dxa"/>
            <w:tcBorders>
              <w:top w:val="nil"/>
              <w:left w:val="nil"/>
              <w:bottom w:val="single" w:sz="4" w:space="0" w:color="auto"/>
              <w:right w:val="single" w:sz="4" w:space="0" w:color="auto"/>
            </w:tcBorders>
            <w:shd w:val="clear" w:color="000000" w:fill="FFFFFF"/>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246</w:t>
            </w:r>
          </w:p>
        </w:tc>
      </w:tr>
      <w:tr w:rsidR="00E70204" w:rsidRPr="005A4E7A" w:rsidTr="00E70204">
        <w:trPr>
          <w:trHeight w:val="255"/>
        </w:trPr>
        <w:tc>
          <w:tcPr>
            <w:tcW w:w="26" w:type="dxa"/>
            <w:tcBorders>
              <w:top w:val="nil"/>
              <w:left w:val="nil"/>
              <w:bottom w:val="nil"/>
              <w:right w:val="nil"/>
            </w:tcBorders>
            <w:shd w:val="clear" w:color="auto" w:fill="auto"/>
            <w:noWrap/>
            <w:vAlign w:val="bottom"/>
            <w:hideMark/>
          </w:tcPr>
          <w:p w:rsidR="00E70204" w:rsidRPr="005A4E7A" w:rsidRDefault="00E70204" w:rsidP="00E70204">
            <w:pPr>
              <w:jc w:val="center"/>
              <w:rPr>
                <w:rFonts w:cs="Calibri"/>
                <w:color w:val="000000"/>
                <w:sz w:val="22"/>
                <w:szCs w:val="22"/>
              </w:rPr>
            </w:pPr>
          </w:p>
        </w:tc>
        <w:tc>
          <w:tcPr>
            <w:tcW w:w="1910" w:type="dxa"/>
            <w:vMerge/>
            <w:tcBorders>
              <w:top w:val="nil"/>
              <w:left w:val="single" w:sz="4" w:space="0" w:color="auto"/>
              <w:bottom w:val="single" w:sz="4" w:space="0" w:color="000000"/>
              <w:right w:val="single" w:sz="4" w:space="0" w:color="auto"/>
            </w:tcBorders>
            <w:vAlign w:val="center"/>
            <w:hideMark/>
          </w:tcPr>
          <w:p w:rsidR="00E70204" w:rsidRPr="005A4E7A" w:rsidRDefault="00E70204" w:rsidP="00E70204">
            <w:pPr>
              <w:jc w:val="center"/>
              <w:rPr>
                <w:rFonts w:cs="Calibri"/>
                <w:b/>
                <w:bCs/>
                <w:color w:val="000000"/>
                <w:sz w:val="20"/>
                <w:szCs w:val="20"/>
              </w:rPr>
            </w:pPr>
          </w:p>
        </w:tc>
        <w:tc>
          <w:tcPr>
            <w:tcW w:w="2236" w:type="dxa"/>
            <w:tcBorders>
              <w:top w:val="nil"/>
              <w:left w:val="single" w:sz="4" w:space="0" w:color="auto"/>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Штатные ППС</w:t>
            </w:r>
          </w:p>
        </w:tc>
        <w:tc>
          <w:tcPr>
            <w:tcW w:w="1216" w:type="dxa"/>
            <w:tcBorders>
              <w:top w:val="nil"/>
              <w:left w:val="nil"/>
              <w:bottom w:val="single" w:sz="4" w:space="0" w:color="auto"/>
              <w:right w:val="single" w:sz="4" w:space="0" w:color="auto"/>
            </w:tcBorders>
            <w:shd w:val="clear" w:color="000000" w:fill="FFFFFF"/>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201</w:t>
            </w:r>
          </w:p>
        </w:tc>
        <w:tc>
          <w:tcPr>
            <w:tcW w:w="976" w:type="dxa"/>
            <w:tcBorders>
              <w:top w:val="nil"/>
              <w:left w:val="nil"/>
              <w:bottom w:val="single" w:sz="4" w:space="0" w:color="auto"/>
              <w:right w:val="single" w:sz="4" w:space="0" w:color="auto"/>
            </w:tcBorders>
            <w:shd w:val="clear" w:color="000000" w:fill="FFFFFF"/>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151</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184</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203</w:t>
            </w:r>
          </w:p>
        </w:tc>
        <w:tc>
          <w:tcPr>
            <w:tcW w:w="976" w:type="dxa"/>
            <w:tcBorders>
              <w:top w:val="nil"/>
              <w:left w:val="nil"/>
              <w:bottom w:val="single" w:sz="4" w:space="0" w:color="auto"/>
              <w:right w:val="single" w:sz="4" w:space="0" w:color="auto"/>
            </w:tcBorders>
            <w:shd w:val="clear" w:color="000000" w:fill="FFFFFF"/>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227</w:t>
            </w:r>
          </w:p>
        </w:tc>
      </w:tr>
      <w:tr w:rsidR="00E70204" w:rsidRPr="005A4E7A" w:rsidTr="00E70204">
        <w:trPr>
          <w:trHeight w:val="315"/>
        </w:trPr>
        <w:tc>
          <w:tcPr>
            <w:tcW w:w="26" w:type="dxa"/>
            <w:tcBorders>
              <w:top w:val="nil"/>
              <w:left w:val="nil"/>
              <w:bottom w:val="nil"/>
              <w:right w:val="nil"/>
            </w:tcBorders>
            <w:shd w:val="clear" w:color="auto" w:fill="auto"/>
            <w:noWrap/>
            <w:vAlign w:val="bottom"/>
            <w:hideMark/>
          </w:tcPr>
          <w:p w:rsidR="00E70204" w:rsidRPr="005A4E7A" w:rsidRDefault="00E70204" w:rsidP="00E70204">
            <w:pPr>
              <w:jc w:val="center"/>
              <w:rPr>
                <w:rFonts w:cs="Calibri"/>
                <w:color w:val="000000"/>
                <w:sz w:val="22"/>
                <w:szCs w:val="22"/>
              </w:rPr>
            </w:pPr>
          </w:p>
        </w:tc>
        <w:tc>
          <w:tcPr>
            <w:tcW w:w="1910" w:type="dxa"/>
            <w:vMerge/>
            <w:tcBorders>
              <w:top w:val="nil"/>
              <w:left w:val="single" w:sz="4" w:space="0" w:color="auto"/>
              <w:bottom w:val="single" w:sz="4" w:space="0" w:color="000000"/>
              <w:right w:val="single" w:sz="4" w:space="0" w:color="auto"/>
            </w:tcBorders>
            <w:vAlign w:val="center"/>
            <w:hideMark/>
          </w:tcPr>
          <w:p w:rsidR="00E70204" w:rsidRPr="005A4E7A" w:rsidRDefault="00E70204" w:rsidP="00E70204">
            <w:pPr>
              <w:jc w:val="center"/>
              <w:rPr>
                <w:rFonts w:cs="Calibri"/>
                <w:b/>
                <w:bCs/>
                <w:color w:val="000000"/>
                <w:sz w:val="20"/>
                <w:szCs w:val="20"/>
              </w:rPr>
            </w:pPr>
          </w:p>
        </w:tc>
        <w:tc>
          <w:tcPr>
            <w:tcW w:w="2236" w:type="dxa"/>
            <w:tcBorders>
              <w:top w:val="nil"/>
              <w:left w:val="single" w:sz="4" w:space="0" w:color="auto"/>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Студенты-очники</w:t>
            </w:r>
          </w:p>
        </w:tc>
        <w:tc>
          <w:tcPr>
            <w:tcW w:w="1216" w:type="dxa"/>
            <w:tcBorders>
              <w:top w:val="nil"/>
              <w:left w:val="nil"/>
              <w:bottom w:val="single" w:sz="4" w:space="0" w:color="auto"/>
              <w:right w:val="single" w:sz="4" w:space="0" w:color="auto"/>
            </w:tcBorders>
            <w:shd w:val="clear" w:color="000000" w:fill="FFFFFF"/>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1417</w:t>
            </w:r>
          </w:p>
        </w:tc>
        <w:tc>
          <w:tcPr>
            <w:tcW w:w="976" w:type="dxa"/>
            <w:tcBorders>
              <w:top w:val="nil"/>
              <w:left w:val="nil"/>
              <w:bottom w:val="single" w:sz="4" w:space="0" w:color="auto"/>
              <w:right w:val="single" w:sz="4" w:space="0" w:color="auto"/>
            </w:tcBorders>
            <w:shd w:val="clear" w:color="000000" w:fill="FFFFFF"/>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1613</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1809</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1967</w:t>
            </w:r>
          </w:p>
        </w:tc>
        <w:tc>
          <w:tcPr>
            <w:tcW w:w="976" w:type="dxa"/>
            <w:tcBorders>
              <w:top w:val="nil"/>
              <w:left w:val="nil"/>
              <w:bottom w:val="single" w:sz="4" w:space="0" w:color="auto"/>
              <w:right w:val="single" w:sz="4" w:space="0" w:color="auto"/>
            </w:tcBorders>
            <w:shd w:val="clear" w:color="000000" w:fill="FFFFFF"/>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2428</w:t>
            </w:r>
          </w:p>
        </w:tc>
      </w:tr>
      <w:tr w:rsidR="00E70204" w:rsidRPr="005A4E7A" w:rsidTr="00E70204">
        <w:trPr>
          <w:trHeight w:val="315"/>
        </w:trPr>
        <w:tc>
          <w:tcPr>
            <w:tcW w:w="26" w:type="dxa"/>
            <w:tcBorders>
              <w:top w:val="nil"/>
              <w:left w:val="nil"/>
              <w:bottom w:val="nil"/>
              <w:right w:val="nil"/>
            </w:tcBorders>
            <w:shd w:val="clear" w:color="auto" w:fill="auto"/>
            <w:noWrap/>
            <w:vAlign w:val="bottom"/>
            <w:hideMark/>
          </w:tcPr>
          <w:p w:rsidR="00E70204" w:rsidRPr="005A4E7A" w:rsidRDefault="00E70204" w:rsidP="00E70204">
            <w:pPr>
              <w:jc w:val="center"/>
              <w:rPr>
                <w:rFonts w:cs="Calibri"/>
                <w:color w:val="000000"/>
                <w:sz w:val="22"/>
                <w:szCs w:val="22"/>
              </w:rPr>
            </w:pPr>
          </w:p>
        </w:tc>
        <w:tc>
          <w:tcPr>
            <w:tcW w:w="1910" w:type="dxa"/>
            <w:vMerge/>
            <w:tcBorders>
              <w:top w:val="nil"/>
              <w:left w:val="single" w:sz="4" w:space="0" w:color="auto"/>
              <w:bottom w:val="single" w:sz="4" w:space="0" w:color="000000"/>
              <w:right w:val="single" w:sz="4" w:space="0" w:color="auto"/>
            </w:tcBorders>
            <w:vAlign w:val="center"/>
            <w:hideMark/>
          </w:tcPr>
          <w:p w:rsidR="00E70204" w:rsidRPr="005A4E7A" w:rsidRDefault="00E70204" w:rsidP="00E70204">
            <w:pPr>
              <w:jc w:val="center"/>
              <w:rPr>
                <w:rFonts w:cs="Calibri"/>
                <w:b/>
                <w:bCs/>
                <w:color w:val="000000"/>
                <w:sz w:val="20"/>
                <w:szCs w:val="20"/>
              </w:rPr>
            </w:pPr>
          </w:p>
        </w:tc>
        <w:tc>
          <w:tcPr>
            <w:tcW w:w="2236" w:type="dxa"/>
            <w:tcBorders>
              <w:top w:val="nil"/>
              <w:left w:val="single" w:sz="4" w:space="0" w:color="auto"/>
              <w:bottom w:val="single" w:sz="4" w:space="0" w:color="auto"/>
              <w:right w:val="single" w:sz="4" w:space="0" w:color="auto"/>
            </w:tcBorders>
            <w:shd w:val="clear" w:color="000000" w:fill="D9D9D9"/>
            <w:noWrap/>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 xml:space="preserve">Кол-во </w:t>
            </w:r>
            <w:proofErr w:type="spellStart"/>
            <w:r w:rsidRPr="005A4E7A">
              <w:rPr>
                <w:rFonts w:cs="Calibri"/>
                <w:color w:val="000000"/>
                <w:sz w:val="20"/>
                <w:szCs w:val="20"/>
              </w:rPr>
              <w:t>студ.на</w:t>
            </w:r>
            <w:proofErr w:type="spellEnd"/>
            <w:r w:rsidRPr="005A4E7A">
              <w:rPr>
                <w:rFonts w:cs="Calibri"/>
                <w:color w:val="000000"/>
                <w:sz w:val="20"/>
                <w:szCs w:val="20"/>
              </w:rPr>
              <w:t xml:space="preserve"> 1 ставку</w:t>
            </w:r>
          </w:p>
        </w:tc>
        <w:tc>
          <w:tcPr>
            <w:tcW w:w="121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7,12</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7,95</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8,38</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7,62</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9,87</w:t>
            </w:r>
          </w:p>
        </w:tc>
      </w:tr>
      <w:tr w:rsidR="00E70204" w:rsidRPr="005A4E7A" w:rsidTr="00E70204">
        <w:trPr>
          <w:trHeight w:val="315"/>
        </w:trPr>
        <w:tc>
          <w:tcPr>
            <w:tcW w:w="26" w:type="dxa"/>
            <w:tcBorders>
              <w:top w:val="nil"/>
              <w:left w:val="nil"/>
              <w:bottom w:val="nil"/>
              <w:right w:val="nil"/>
            </w:tcBorders>
            <w:shd w:val="clear" w:color="auto" w:fill="auto"/>
            <w:noWrap/>
            <w:vAlign w:val="bottom"/>
            <w:hideMark/>
          </w:tcPr>
          <w:p w:rsidR="00E70204" w:rsidRPr="005A4E7A" w:rsidRDefault="00E70204" w:rsidP="00E70204">
            <w:pPr>
              <w:jc w:val="center"/>
              <w:rPr>
                <w:rFonts w:cs="Calibri"/>
                <w:color w:val="000000"/>
                <w:sz w:val="22"/>
                <w:szCs w:val="22"/>
              </w:rPr>
            </w:pPr>
          </w:p>
        </w:tc>
        <w:tc>
          <w:tcPr>
            <w:tcW w:w="1910" w:type="dxa"/>
            <w:vMerge/>
            <w:tcBorders>
              <w:top w:val="nil"/>
              <w:left w:val="single" w:sz="4" w:space="0" w:color="auto"/>
              <w:bottom w:val="single" w:sz="4" w:space="0" w:color="000000"/>
              <w:right w:val="single" w:sz="4" w:space="0" w:color="auto"/>
            </w:tcBorders>
            <w:vAlign w:val="center"/>
            <w:hideMark/>
          </w:tcPr>
          <w:p w:rsidR="00E70204" w:rsidRPr="005A4E7A" w:rsidRDefault="00E70204" w:rsidP="00E70204">
            <w:pPr>
              <w:jc w:val="center"/>
              <w:rPr>
                <w:rFonts w:cs="Calibri"/>
                <w:b/>
                <w:bCs/>
                <w:color w:val="000000"/>
                <w:sz w:val="20"/>
                <w:szCs w:val="20"/>
              </w:rPr>
            </w:pPr>
          </w:p>
        </w:tc>
        <w:tc>
          <w:tcPr>
            <w:tcW w:w="2236" w:type="dxa"/>
            <w:tcBorders>
              <w:top w:val="nil"/>
              <w:left w:val="single" w:sz="4" w:space="0" w:color="auto"/>
              <w:bottom w:val="single" w:sz="4" w:space="0" w:color="auto"/>
              <w:right w:val="single" w:sz="4" w:space="0" w:color="auto"/>
            </w:tcBorders>
            <w:shd w:val="clear" w:color="000000" w:fill="D9D9D9"/>
            <w:noWrap/>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 xml:space="preserve">Кол-во </w:t>
            </w:r>
            <w:proofErr w:type="spellStart"/>
            <w:r w:rsidRPr="005A4E7A">
              <w:rPr>
                <w:rFonts w:cs="Calibri"/>
                <w:color w:val="000000"/>
                <w:sz w:val="20"/>
                <w:szCs w:val="20"/>
              </w:rPr>
              <w:t>студ.на</w:t>
            </w:r>
            <w:proofErr w:type="spellEnd"/>
            <w:r w:rsidRPr="005A4E7A">
              <w:rPr>
                <w:rFonts w:cs="Calibri"/>
                <w:color w:val="000000"/>
                <w:sz w:val="20"/>
                <w:szCs w:val="20"/>
              </w:rPr>
              <w:t xml:space="preserve"> 1 ППС шт.</w:t>
            </w:r>
          </w:p>
        </w:tc>
        <w:tc>
          <w:tcPr>
            <w:tcW w:w="121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7,05</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10,68</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9,83</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9,69</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10,70</w:t>
            </w:r>
          </w:p>
        </w:tc>
      </w:tr>
      <w:tr w:rsidR="00E70204" w:rsidRPr="005A4E7A" w:rsidTr="00E70204">
        <w:trPr>
          <w:trHeight w:val="300"/>
        </w:trPr>
        <w:tc>
          <w:tcPr>
            <w:tcW w:w="26" w:type="dxa"/>
            <w:tcBorders>
              <w:top w:val="nil"/>
              <w:left w:val="nil"/>
              <w:bottom w:val="nil"/>
              <w:right w:val="nil"/>
            </w:tcBorders>
            <w:shd w:val="clear" w:color="auto" w:fill="auto"/>
            <w:noWrap/>
            <w:vAlign w:val="bottom"/>
            <w:hideMark/>
          </w:tcPr>
          <w:p w:rsidR="00E70204" w:rsidRPr="005A4E7A" w:rsidRDefault="00E70204" w:rsidP="00E70204">
            <w:pPr>
              <w:jc w:val="center"/>
              <w:rPr>
                <w:rFonts w:cs="Calibri"/>
                <w:color w:val="000000"/>
                <w:sz w:val="22"/>
                <w:szCs w:val="22"/>
              </w:rPr>
            </w:pPr>
          </w:p>
        </w:tc>
        <w:tc>
          <w:tcPr>
            <w:tcW w:w="1910" w:type="dxa"/>
            <w:vMerge w:val="restart"/>
            <w:tcBorders>
              <w:top w:val="nil"/>
              <w:left w:val="single" w:sz="4" w:space="0" w:color="auto"/>
              <w:bottom w:val="single" w:sz="4" w:space="0" w:color="000000"/>
              <w:right w:val="single" w:sz="4" w:space="0" w:color="auto"/>
            </w:tcBorders>
            <w:shd w:val="clear" w:color="auto" w:fill="auto"/>
            <w:vAlign w:val="center"/>
            <w:hideMark/>
          </w:tcPr>
          <w:p w:rsidR="00E70204" w:rsidRPr="005A4E7A" w:rsidRDefault="00E70204" w:rsidP="00E70204">
            <w:pPr>
              <w:jc w:val="center"/>
              <w:rPr>
                <w:rFonts w:cs="Calibri"/>
                <w:b/>
                <w:bCs/>
                <w:color w:val="000000"/>
                <w:sz w:val="20"/>
                <w:szCs w:val="20"/>
              </w:rPr>
            </w:pPr>
            <w:proofErr w:type="spellStart"/>
            <w:r w:rsidRPr="005A4E7A">
              <w:rPr>
                <w:rFonts w:cs="Calibri"/>
                <w:b/>
                <w:bCs/>
                <w:color w:val="000000"/>
                <w:sz w:val="20"/>
                <w:szCs w:val="20"/>
              </w:rPr>
              <w:t>Н.Новг</w:t>
            </w:r>
            <w:proofErr w:type="spellEnd"/>
            <w:r w:rsidRPr="005A4E7A">
              <w:rPr>
                <w:rFonts w:cs="Calibri"/>
                <w:b/>
                <w:bCs/>
                <w:color w:val="000000"/>
                <w:sz w:val="20"/>
                <w:szCs w:val="20"/>
              </w:rPr>
              <w:t>.</w:t>
            </w:r>
          </w:p>
        </w:tc>
        <w:tc>
          <w:tcPr>
            <w:tcW w:w="2236" w:type="dxa"/>
            <w:tcBorders>
              <w:top w:val="nil"/>
              <w:left w:val="single" w:sz="4" w:space="0" w:color="auto"/>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Ставки ППС</w:t>
            </w:r>
          </w:p>
        </w:tc>
        <w:tc>
          <w:tcPr>
            <w:tcW w:w="121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198</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220</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263</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279</w:t>
            </w:r>
          </w:p>
        </w:tc>
        <w:tc>
          <w:tcPr>
            <w:tcW w:w="976" w:type="dxa"/>
            <w:tcBorders>
              <w:top w:val="nil"/>
              <w:left w:val="nil"/>
              <w:bottom w:val="single" w:sz="4" w:space="0" w:color="auto"/>
              <w:right w:val="single" w:sz="4" w:space="0" w:color="auto"/>
            </w:tcBorders>
            <w:shd w:val="clear" w:color="000000" w:fill="FFFFFF"/>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249</w:t>
            </w:r>
          </w:p>
        </w:tc>
      </w:tr>
      <w:tr w:rsidR="00E70204" w:rsidRPr="005A4E7A" w:rsidTr="00E70204">
        <w:trPr>
          <w:trHeight w:val="300"/>
        </w:trPr>
        <w:tc>
          <w:tcPr>
            <w:tcW w:w="26" w:type="dxa"/>
            <w:tcBorders>
              <w:top w:val="nil"/>
              <w:left w:val="nil"/>
              <w:bottom w:val="nil"/>
              <w:right w:val="nil"/>
            </w:tcBorders>
            <w:shd w:val="clear" w:color="auto" w:fill="auto"/>
            <w:noWrap/>
            <w:vAlign w:val="bottom"/>
            <w:hideMark/>
          </w:tcPr>
          <w:p w:rsidR="00E70204" w:rsidRPr="005A4E7A" w:rsidRDefault="00E70204" w:rsidP="00E70204">
            <w:pPr>
              <w:jc w:val="center"/>
              <w:rPr>
                <w:rFonts w:cs="Calibri"/>
                <w:color w:val="000000"/>
                <w:sz w:val="22"/>
                <w:szCs w:val="22"/>
              </w:rPr>
            </w:pPr>
          </w:p>
        </w:tc>
        <w:tc>
          <w:tcPr>
            <w:tcW w:w="1910" w:type="dxa"/>
            <w:vMerge/>
            <w:tcBorders>
              <w:top w:val="nil"/>
              <w:left w:val="single" w:sz="4" w:space="0" w:color="auto"/>
              <w:bottom w:val="single" w:sz="4" w:space="0" w:color="000000"/>
              <w:right w:val="single" w:sz="4" w:space="0" w:color="auto"/>
            </w:tcBorders>
            <w:vAlign w:val="center"/>
            <w:hideMark/>
          </w:tcPr>
          <w:p w:rsidR="00E70204" w:rsidRPr="005A4E7A" w:rsidRDefault="00E70204" w:rsidP="00E70204">
            <w:pPr>
              <w:jc w:val="center"/>
              <w:rPr>
                <w:rFonts w:cs="Calibri"/>
                <w:b/>
                <w:bCs/>
                <w:color w:val="000000"/>
                <w:sz w:val="20"/>
                <w:szCs w:val="20"/>
              </w:rPr>
            </w:pPr>
          </w:p>
        </w:tc>
        <w:tc>
          <w:tcPr>
            <w:tcW w:w="2236" w:type="dxa"/>
            <w:tcBorders>
              <w:top w:val="nil"/>
              <w:left w:val="single" w:sz="4" w:space="0" w:color="auto"/>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Штатные ППС</w:t>
            </w:r>
          </w:p>
        </w:tc>
        <w:tc>
          <w:tcPr>
            <w:tcW w:w="1216" w:type="dxa"/>
            <w:tcBorders>
              <w:top w:val="nil"/>
              <w:left w:val="nil"/>
              <w:bottom w:val="single" w:sz="4" w:space="0" w:color="auto"/>
              <w:right w:val="single" w:sz="4" w:space="0" w:color="auto"/>
            </w:tcBorders>
            <w:shd w:val="clear" w:color="000000" w:fill="FFFFFF"/>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180</w:t>
            </w:r>
          </w:p>
        </w:tc>
        <w:tc>
          <w:tcPr>
            <w:tcW w:w="976" w:type="dxa"/>
            <w:tcBorders>
              <w:top w:val="nil"/>
              <w:left w:val="nil"/>
              <w:bottom w:val="single" w:sz="4" w:space="0" w:color="auto"/>
              <w:right w:val="single" w:sz="4" w:space="0" w:color="auto"/>
            </w:tcBorders>
            <w:shd w:val="clear" w:color="000000" w:fill="FFFFFF"/>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198</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211</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226</w:t>
            </w:r>
          </w:p>
        </w:tc>
        <w:tc>
          <w:tcPr>
            <w:tcW w:w="976" w:type="dxa"/>
            <w:tcBorders>
              <w:top w:val="nil"/>
              <w:left w:val="nil"/>
              <w:bottom w:val="single" w:sz="4" w:space="0" w:color="auto"/>
              <w:right w:val="single" w:sz="4" w:space="0" w:color="auto"/>
            </w:tcBorders>
            <w:shd w:val="clear" w:color="000000" w:fill="FFFFFF"/>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226</w:t>
            </w:r>
          </w:p>
        </w:tc>
      </w:tr>
      <w:tr w:rsidR="00E70204" w:rsidRPr="005A4E7A" w:rsidTr="00E70204">
        <w:trPr>
          <w:trHeight w:val="300"/>
        </w:trPr>
        <w:tc>
          <w:tcPr>
            <w:tcW w:w="26" w:type="dxa"/>
            <w:tcBorders>
              <w:top w:val="nil"/>
              <w:left w:val="nil"/>
              <w:bottom w:val="nil"/>
              <w:right w:val="nil"/>
            </w:tcBorders>
            <w:shd w:val="clear" w:color="auto" w:fill="auto"/>
            <w:noWrap/>
            <w:vAlign w:val="bottom"/>
            <w:hideMark/>
          </w:tcPr>
          <w:p w:rsidR="00E70204" w:rsidRPr="005A4E7A" w:rsidRDefault="00E70204" w:rsidP="00E70204">
            <w:pPr>
              <w:jc w:val="center"/>
              <w:rPr>
                <w:rFonts w:cs="Calibri"/>
                <w:color w:val="000000"/>
                <w:sz w:val="22"/>
                <w:szCs w:val="22"/>
              </w:rPr>
            </w:pPr>
          </w:p>
        </w:tc>
        <w:tc>
          <w:tcPr>
            <w:tcW w:w="1910" w:type="dxa"/>
            <w:vMerge/>
            <w:tcBorders>
              <w:top w:val="nil"/>
              <w:left w:val="single" w:sz="4" w:space="0" w:color="auto"/>
              <w:bottom w:val="single" w:sz="4" w:space="0" w:color="000000"/>
              <w:right w:val="single" w:sz="4" w:space="0" w:color="auto"/>
            </w:tcBorders>
            <w:vAlign w:val="center"/>
            <w:hideMark/>
          </w:tcPr>
          <w:p w:rsidR="00E70204" w:rsidRPr="005A4E7A" w:rsidRDefault="00E70204" w:rsidP="00E70204">
            <w:pPr>
              <w:jc w:val="center"/>
              <w:rPr>
                <w:rFonts w:cs="Calibri"/>
                <w:b/>
                <w:bCs/>
                <w:color w:val="000000"/>
                <w:sz w:val="20"/>
                <w:szCs w:val="20"/>
              </w:rPr>
            </w:pPr>
          </w:p>
        </w:tc>
        <w:tc>
          <w:tcPr>
            <w:tcW w:w="2236" w:type="dxa"/>
            <w:tcBorders>
              <w:top w:val="nil"/>
              <w:left w:val="single" w:sz="4" w:space="0" w:color="auto"/>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Студенты-очники</w:t>
            </w:r>
          </w:p>
        </w:tc>
        <w:tc>
          <w:tcPr>
            <w:tcW w:w="1216" w:type="dxa"/>
            <w:tcBorders>
              <w:top w:val="nil"/>
              <w:left w:val="nil"/>
              <w:bottom w:val="single" w:sz="4" w:space="0" w:color="auto"/>
              <w:right w:val="single" w:sz="4" w:space="0" w:color="auto"/>
            </w:tcBorders>
            <w:shd w:val="clear" w:color="000000" w:fill="FFFFFF"/>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1763</w:t>
            </w:r>
          </w:p>
        </w:tc>
        <w:tc>
          <w:tcPr>
            <w:tcW w:w="976" w:type="dxa"/>
            <w:tcBorders>
              <w:top w:val="nil"/>
              <w:left w:val="nil"/>
              <w:bottom w:val="single" w:sz="4" w:space="0" w:color="auto"/>
              <w:right w:val="single" w:sz="4" w:space="0" w:color="auto"/>
            </w:tcBorders>
            <w:shd w:val="clear" w:color="000000" w:fill="FFFFFF"/>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2026</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2162</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2183</w:t>
            </w:r>
          </w:p>
        </w:tc>
        <w:tc>
          <w:tcPr>
            <w:tcW w:w="976" w:type="dxa"/>
            <w:tcBorders>
              <w:top w:val="nil"/>
              <w:left w:val="nil"/>
              <w:bottom w:val="single" w:sz="4" w:space="0" w:color="auto"/>
              <w:right w:val="single" w:sz="4" w:space="0" w:color="auto"/>
            </w:tcBorders>
            <w:shd w:val="clear" w:color="000000" w:fill="FFFFFF"/>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2220</w:t>
            </w:r>
          </w:p>
        </w:tc>
      </w:tr>
      <w:tr w:rsidR="00E70204" w:rsidRPr="005A4E7A" w:rsidTr="00E70204">
        <w:trPr>
          <w:trHeight w:val="300"/>
        </w:trPr>
        <w:tc>
          <w:tcPr>
            <w:tcW w:w="26" w:type="dxa"/>
            <w:tcBorders>
              <w:top w:val="nil"/>
              <w:left w:val="nil"/>
              <w:bottom w:val="nil"/>
              <w:right w:val="nil"/>
            </w:tcBorders>
            <w:shd w:val="clear" w:color="auto" w:fill="auto"/>
            <w:noWrap/>
            <w:vAlign w:val="bottom"/>
            <w:hideMark/>
          </w:tcPr>
          <w:p w:rsidR="00E70204" w:rsidRPr="005A4E7A" w:rsidRDefault="00E70204" w:rsidP="00E70204">
            <w:pPr>
              <w:jc w:val="center"/>
              <w:rPr>
                <w:rFonts w:cs="Calibri"/>
                <w:color w:val="000000"/>
                <w:sz w:val="22"/>
                <w:szCs w:val="22"/>
              </w:rPr>
            </w:pPr>
          </w:p>
        </w:tc>
        <w:tc>
          <w:tcPr>
            <w:tcW w:w="1910" w:type="dxa"/>
            <w:vMerge/>
            <w:tcBorders>
              <w:top w:val="nil"/>
              <w:left w:val="single" w:sz="4" w:space="0" w:color="auto"/>
              <w:bottom w:val="single" w:sz="4" w:space="0" w:color="000000"/>
              <w:right w:val="single" w:sz="4" w:space="0" w:color="auto"/>
            </w:tcBorders>
            <w:vAlign w:val="center"/>
            <w:hideMark/>
          </w:tcPr>
          <w:p w:rsidR="00E70204" w:rsidRPr="005A4E7A" w:rsidRDefault="00E70204" w:rsidP="00E70204">
            <w:pPr>
              <w:jc w:val="center"/>
              <w:rPr>
                <w:rFonts w:cs="Calibri"/>
                <w:b/>
                <w:bCs/>
                <w:color w:val="000000"/>
                <w:sz w:val="20"/>
                <w:szCs w:val="20"/>
              </w:rPr>
            </w:pPr>
          </w:p>
        </w:tc>
        <w:tc>
          <w:tcPr>
            <w:tcW w:w="2236" w:type="dxa"/>
            <w:tcBorders>
              <w:top w:val="nil"/>
              <w:left w:val="single" w:sz="4" w:space="0" w:color="auto"/>
              <w:bottom w:val="single" w:sz="4" w:space="0" w:color="auto"/>
              <w:right w:val="single" w:sz="4" w:space="0" w:color="auto"/>
            </w:tcBorders>
            <w:shd w:val="clear" w:color="000000" w:fill="D9D9D9"/>
            <w:noWrap/>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 xml:space="preserve">Кол-во </w:t>
            </w:r>
            <w:proofErr w:type="spellStart"/>
            <w:r w:rsidRPr="005A4E7A">
              <w:rPr>
                <w:rFonts w:cs="Calibri"/>
                <w:color w:val="000000"/>
                <w:sz w:val="20"/>
                <w:szCs w:val="20"/>
              </w:rPr>
              <w:t>студ.на</w:t>
            </w:r>
            <w:proofErr w:type="spellEnd"/>
            <w:r w:rsidRPr="005A4E7A">
              <w:rPr>
                <w:rFonts w:cs="Calibri"/>
                <w:color w:val="000000"/>
                <w:sz w:val="20"/>
                <w:szCs w:val="20"/>
              </w:rPr>
              <w:t xml:space="preserve"> 1 ставку</w:t>
            </w:r>
          </w:p>
        </w:tc>
        <w:tc>
          <w:tcPr>
            <w:tcW w:w="121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8,90</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9,21</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8,22</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7,82</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8,92</w:t>
            </w:r>
          </w:p>
        </w:tc>
      </w:tr>
      <w:tr w:rsidR="00E70204" w:rsidRPr="005A4E7A" w:rsidTr="00E70204">
        <w:trPr>
          <w:trHeight w:val="300"/>
        </w:trPr>
        <w:tc>
          <w:tcPr>
            <w:tcW w:w="26" w:type="dxa"/>
            <w:tcBorders>
              <w:top w:val="nil"/>
              <w:left w:val="nil"/>
              <w:bottom w:val="nil"/>
              <w:right w:val="nil"/>
            </w:tcBorders>
            <w:shd w:val="clear" w:color="auto" w:fill="auto"/>
            <w:noWrap/>
            <w:vAlign w:val="bottom"/>
            <w:hideMark/>
          </w:tcPr>
          <w:p w:rsidR="00E70204" w:rsidRPr="005A4E7A" w:rsidRDefault="00E70204" w:rsidP="00E70204">
            <w:pPr>
              <w:jc w:val="center"/>
              <w:rPr>
                <w:rFonts w:cs="Calibri"/>
                <w:color w:val="000000"/>
                <w:sz w:val="22"/>
                <w:szCs w:val="22"/>
              </w:rPr>
            </w:pPr>
          </w:p>
        </w:tc>
        <w:tc>
          <w:tcPr>
            <w:tcW w:w="1910" w:type="dxa"/>
            <w:vMerge/>
            <w:tcBorders>
              <w:top w:val="nil"/>
              <w:left w:val="single" w:sz="4" w:space="0" w:color="auto"/>
              <w:bottom w:val="single" w:sz="4" w:space="0" w:color="000000"/>
              <w:right w:val="single" w:sz="4" w:space="0" w:color="auto"/>
            </w:tcBorders>
            <w:vAlign w:val="center"/>
            <w:hideMark/>
          </w:tcPr>
          <w:p w:rsidR="00E70204" w:rsidRPr="005A4E7A" w:rsidRDefault="00E70204" w:rsidP="00E70204">
            <w:pPr>
              <w:jc w:val="center"/>
              <w:rPr>
                <w:rFonts w:cs="Calibri"/>
                <w:b/>
                <w:bCs/>
                <w:color w:val="000000"/>
                <w:sz w:val="20"/>
                <w:szCs w:val="20"/>
              </w:rPr>
            </w:pPr>
          </w:p>
        </w:tc>
        <w:tc>
          <w:tcPr>
            <w:tcW w:w="2236" w:type="dxa"/>
            <w:tcBorders>
              <w:top w:val="nil"/>
              <w:left w:val="single" w:sz="4" w:space="0" w:color="auto"/>
              <w:bottom w:val="single" w:sz="4" w:space="0" w:color="auto"/>
              <w:right w:val="single" w:sz="4" w:space="0" w:color="auto"/>
            </w:tcBorders>
            <w:shd w:val="clear" w:color="000000" w:fill="D9D9D9"/>
            <w:noWrap/>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 xml:space="preserve">Кол-во </w:t>
            </w:r>
            <w:proofErr w:type="spellStart"/>
            <w:r w:rsidRPr="005A4E7A">
              <w:rPr>
                <w:rFonts w:cs="Calibri"/>
                <w:color w:val="000000"/>
                <w:sz w:val="20"/>
                <w:szCs w:val="20"/>
              </w:rPr>
              <w:t>студ.на</w:t>
            </w:r>
            <w:proofErr w:type="spellEnd"/>
            <w:r w:rsidRPr="005A4E7A">
              <w:rPr>
                <w:rFonts w:cs="Calibri"/>
                <w:color w:val="000000"/>
                <w:sz w:val="20"/>
                <w:szCs w:val="20"/>
              </w:rPr>
              <w:t xml:space="preserve"> 1 ППС шт.</w:t>
            </w:r>
          </w:p>
        </w:tc>
        <w:tc>
          <w:tcPr>
            <w:tcW w:w="121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9,79</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10,23</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10,25</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9,66</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9,82</w:t>
            </w:r>
          </w:p>
        </w:tc>
      </w:tr>
      <w:tr w:rsidR="00E70204" w:rsidRPr="005A4E7A" w:rsidTr="00E70204">
        <w:trPr>
          <w:trHeight w:val="315"/>
        </w:trPr>
        <w:tc>
          <w:tcPr>
            <w:tcW w:w="26" w:type="dxa"/>
            <w:tcBorders>
              <w:top w:val="nil"/>
              <w:left w:val="nil"/>
              <w:bottom w:val="nil"/>
              <w:right w:val="nil"/>
            </w:tcBorders>
            <w:shd w:val="clear" w:color="auto" w:fill="auto"/>
            <w:noWrap/>
            <w:vAlign w:val="bottom"/>
            <w:hideMark/>
          </w:tcPr>
          <w:p w:rsidR="00E70204" w:rsidRPr="005A4E7A" w:rsidRDefault="00E70204" w:rsidP="00E70204">
            <w:pPr>
              <w:jc w:val="center"/>
              <w:rPr>
                <w:rFonts w:cs="Calibri"/>
                <w:color w:val="000000"/>
                <w:sz w:val="22"/>
                <w:szCs w:val="22"/>
              </w:rPr>
            </w:pPr>
          </w:p>
        </w:tc>
        <w:tc>
          <w:tcPr>
            <w:tcW w:w="1910" w:type="dxa"/>
            <w:vMerge w:val="restart"/>
            <w:tcBorders>
              <w:top w:val="nil"/>
              <w:left w:val="single" w:sz="4" w:space="0" w:color="auto"/>
              <w:bottom w:val="single" w:sz="4" w:space="0" w:color="000000"/>
              <w:right w:val="single" w:sz="4" w:space="0" w:color="auto"/>
            </w:tcBorders>
            <w:shd w:val="clear" w:color="auto" w:fill="auto"/>
            <w:vAlign w:val="center"/>
            <w:hideMark/>
          </w:tcPr>
          <w:p w:rsidR="00E70204" w:rsidRPr="005A4E7A" w:rsidRDefault="00E70204" w:rsidP="00E70204">
            <w:pPr>
              <w:jc w:val="center"/>
              <w:rPr>
                <w:rFonts w:cs="Calibri"/>
                <w:b/>
                <w:bCs/>
                <w:color w:val="000000"/>
                <w:sz w:val="20"/>
                <w:szCs w:val="20"/>
              </w:rPr>
            </w:pPr>
            <w:r w:rsidRPr="005A4E7A">
              <w:rPr>
                <w:rFonts w:cs="Calibri"/>
                <w:b/>
                <w:bCs/>
                <w:color w:val="000000"/>
                <w:sz w:val="20"/>
                <w:szCs w:val="20"/>
              </w:rPr>
              <w:t>Пермь</w:t>
            </w:r>
          </w:p>
        </w:tc>
        <w:tc>
          <w:tcPr>
            <w:tcW w:w="2236" w:type="dxa"/>
            <w:tcBorders>
              <w:top w:val="nil"/>
              <w:left w:val="single" w:sz="4" w:space="0" w:color="auto"/>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Ставки ППС</w:t>
            </w:r>
          </w:p>
        </w:tc>
        <w:tc>
          <w:tcPr>
            <w:tcW w:w="121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89</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102</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139</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135</w:t>
            </w:r>
          </w:p>
        </w:tc>
        <w:tc>
          <w:tcPr>
            <w:tcW w:w="976" w:type="dxa"/>
            <w:tcBorders>
              <w:top w:val="nil"/>
              <w:left w:val="nil"/>
              <w:bottom w:val="single" w:sz="4" w:space="0" w:color="auto"/>
              <w:right w:val="single" w:sz="4" w:space="0" w:color="auto"/>
            </w:tcBorders>
            <w:shd w:val="clear" w:color="000000" w:fill="FFFFFF"/>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136</w:t>
            </w:r>
          </w:p>
        </w:tc>
      </w:tr>
      <w:tr w:rsidR="00E70204" w:rsidRPr="005A4E7A" w:rsidTr="00E70204">
        <w:trPr>
          <w:trHeight w:val="300"/>
        </w:trPr>
        <w:tc>
          <w:tcPr>
            <w:tcW w:w="26" w:type="dxa"/>
            <w:tcBorders>
              <w:top w:val="nil"/>
              <w:left w:val="nil"/>
              <w:bottom w:val="nil"/>
              <w:right w:val="nil"/>
            </w:tcBorders>
            <w:shd w:val="clear" w:color="auto" w:fill="auto"/>
            <w:noWrap/>
            <w:vAlign w:val="bottom"/>
            <w:hideMark/>
          </w:tcPr>
          <w:p w:rsidR="00E70204" w:rsidRPr="005A4E7A" w:rsidRDefault="00E70204" w:rsidP="00E70204">
            <w:pPr>
              <w:jc w:val="center"/>
              <w:rPr>
                <w:rFonts w:cs="Calibri"/>
                <w:color w:val="000000"/>
                <w:sz w:val="22"/>
                <w:szCs w:val="22"/>
              </w:rPr>
            </w:pPr>
          </w:p>
        </w:tc>
        <w:tc>
          <w:tcPr>
            <w:tcW w:w="1910" w:type="dxa"/>
            <w:vMerge/>
            <w:tcBorders>
              <w:top w:val="nil"/>
              <w:left w:val="single" w:sz="4" w:space="0" w:color="auto"/>
              <w:bottom w:val="single" w:sz="4" w:space="0" w:color="000000"/>
              <w:right w:val="single" w:sz="4" w:space="0" w:color="auto"/>
            </w:tcBorders>
            <w:vAlign w:val="center"/>
            <w:hideMark/>
          </w:tcPr>
          <w:p w:rsidR="00E70204" w:rsidRPr="005A4E7A" w:rsidRDefault="00E70204" w:rsidP="00E70204">
            <w:pPr>
              <w:jc w:val="center"/>
              <w:rPr>
                <w:rFonts w:cs="Calibri"/>
                <w:b/>
                <w:bCs/>
                <w:color w:val="000000"/>
                <w:sz w:val="20"/>
                <w:szCs w:val="20"/>
              </w:rPr>
            </w:pPr>
          </w:p>
        </w:tc>
        <w:tc>
          <w:tcPr>
            <w:tcW w:w="2236" w:type="dxa"/>
            <w:tcBorders>
              <w:top w:val="nil"/>
              <w:left w:val="single" w:sz="4" w:space="0" w:color="auto"/>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Штатные ППС</w:t>
            </w:r>
          </w:p>
        </w:tc>
        <w:tc>
          <w:tcPr>
            <w:tcW w:w="1216" w:type="dxa"/>
            <w:tcBorders>
              <w:top w:val="nil"/>
              <w:left w:val="nil"/>
              <w:bottom w:val="single" w:sz="4" w:space="0" w:color="auto"/>
              <w:right w:val="single" w:sz="4" w:space="0" w:color="auto"/>
            </w:tcBorders>
            <w:shd w:val="clear" w:color="000000" w:fill="FFFFFF"/>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104</w:t>
            </w:r>
          </w:p>
        </w:tc>
        <w:tc>
          <w:tcPr>
            <w:tcW w:w="976" w:type="dxa"/>
            <w:tcBorders>
              <w:top w:val="nil"/>
              <w:left w:val="nil"/>
              <w:bottom w:val="single" w:sz="4" w:space="0" w:color="auto"/>
              <w:right w:val="single" w:sz="4" w:space="0" w:color="auto"/>
            </w:tcBorders>
            <w:shd w:val="clear" w:color="000000" w:fill="FFFFFF"/>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88</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93</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1</w:t>
            </w:r>
            <w:r>
              <w:rPr>
                <w:rFonts w:cs="Calibri"/>
                <w:color w:val="000000"/>
                <w:sz w:val="20"/>
                <w:szCs w:val="20"/>
              </w:rPr>
              <w:t>02</w:t>
            </w:r>
          </w:p>
        </w:tc>
        <w:tc>
          <w:tcPr>
            <w:tcW w:w="976" w:type="dxa"/>
            <w:tcBorders>
              <w:top w:val="nil"/>
              <w:left w:val="nil"/>
              <w:bottom w:val="single" w:sz="4" w:space="0" w:color="auto"/>
              <w:right w:val="single" w:sz="4" w:space="0" w:color="auto"/>
            </w:tcBorders>
            <w:shd w:val="clear" w:color="000000" w:fill="FFFFFF"/>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110</w:t>
            </w:r>
          </w:p>
        </w:tc>
      </w:tr>
      <w:tr w:rsidR="00E70204" w:rsidRPr="005A4E7A" w:rsidTr="00E70204">
        <w:trPr>
          <w:trHeight w:val="300"/>
        </w:trPr>
        <w:tc>
          <w:tcPr>
            <w:tcW w:w="26" w:type="dxa"/>
            <w:tcBorders>
              <w:top w:val="nil"/>
              <w:left w:val="nil"/>
              <w:bottom w:val="nil"/>
              <w:right w:val="nil"/>
            </w:tcBorders>
            <w:shd w:val="clear" w:color="auto" w:fill="auto"/>
            <w:noWrap/>
            <w:vAlign w:val="bottom"/>
            <w:hideMark/>
          </w:tcPr>
          <w:p w:rsidR="00E70204" w:rsidRPr="005A4E7A" w:rsidRDefault="00E70204" w:rsidP="00E70204">
            <w:pPr>
              <w:jc w:val="center"/>
              <w:rPr>
                <w:rFonts w:cs="Calibri"/>
                <w:color w:val="000000"/>
                <w:sz w:val="22"/>
                <w:szCs w:val="22"/>
              </w:rPr>
            </w:pPr>
          </w:p>
        </w:tc>
        <w:tc>
          <w:tcPr>
            <w:tcW w:w="1910" w:type="dxa"/>
            <w:vMerge/>
            <w:tcBorders>
              <w:top w:val="nil"/>
              <w:left w:val="single" w:sz="4" w:space="0" w:color="auto"/>
              <w:bottom w:val="single" w:sz="4" w:space="0" w:color="000000"/>
              <w:right w:val="single" w:sz="4" w:space="0" w:color="auto"/>
            </w:tcBorders>
            <w:vAlign w:val="center"/>
            <w:hideMark/>
          </w:tcPr>
          <w:p w:rsidR="00E70204" w:rsidRPr="005A4E7A" w:rsidRDefault="00E70204" w:rsidP="00E70204">
            <w:pPr>
              <w:jc w:val="center"/>
              <w:rPr>
                <w:rFonts w:cs="Calibri"/>
                <w:b/>
                <w:bCs/>
                <w:color w:val="000000"/>
                <w:sz w:val="20"/>
                <w:szCs w:val="20"/>
              </w:rPr>
            </w:pPr>
          </w:p>
        </w:tc>
        <w:tc>
          <w:tcPr>
            <w:tcW w:w="2236" w:type="dxa"/>
            <w:tcBorders>
              <w:top w:val="nil"/>
              <w:left w:val="single" w:sz="4" w:space="0" w:color="auto"/>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Студенты-очники</w:t>
            </w:r>
          </w:p>
        </w:tc>
        <w:tc>
          <w:tcPr>
            <w:tcW w:w="121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1002</w:t>
            </w:r>
          </w:p>
        </w:tc>
        <w:tc>
          <w:tcPr>
            <w:tcW w:w="976" w:type="dxa"/>
            <w:tcBorders>
              <w:top w:val="nil"/>
              <w:left w:val="nil"/>
              <w:bottom w:val="single" w:sz="4" w:space="0" w:color="auto"/>
              <w:right w:val="single" w:sz="4" w:space="0" w:color="auto"/>
            </w:tcBorders>
            <w:shd w:val="clear" w:color="000000" w:fill="FFFFFF"/>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1063</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1097</w:t>
            </w:r>
          </w:p>
        </w:tc>
        <w:tc>
          <w:tcPr>
            <w:tcW w:w="976" w:type="dxa"/>
            <w:tcBorders>
              <w:top w:val="nil"/>
              <w:left w:val="nil"/>
              <w:bottom w:val="single" w:sz="4" w:space="0" w:color="auto"/>
              <w:right w:val="single" w:sz="4" w:space="0" w:color="auto"/>
            </w:tcBorders>
            <w:shd w:val="clear" w:color="auto" w:fill="auto"/>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1147</w:t>
            </w:r>
          </w:p>
        </w:tc>
        <w:tc>
          <w:tcPr>
            <w:tcW w:w="976" w:type="dxa"/>
            <w:tcBorders>
              <w:top w:val="nil"/>
              <w:left w:val="nil"/>
              <w:bottom w:val="single" w:sz="4" w:space="0" w:color="auto"/>
              <w:right w:val="single" w:sz="4" w:space="0" w:color="auto"/>
            </w:tcBorders>
            <w:shd w:val="clear" w:color="000000" w:fill="FFFFFF"/>
            <w:vAlign w:val="center"/>
            <w:hideMark/>
          </w:tcPr>
          <w:p w:rsidR="00E70204" w:rsidRPr="005A4E7A" w:rsidRDefault="00E70204" w:rsidP="00E70204">
            <w:pPr>
              <w:jc w:val="center"/>
              <w:rPr>
                <w:rFonts w:cs="Calibri"/>
                <w:color w:val="000000"/>
                <w:sz w:val="20"/>
                <w:szCs w:val="20"/>
              </w:rPr>
            </w:pPr>
            <w:r>
              <w:rPr>
                <w:rFonts w:cs="Calibri"/>
                <w:color w:val="000000"/>
                <w:sz w:val="20"/>
                <w:szCs w:val="20"/>
              </w:rPr>
              <w:t>1258</w:t>
            </w:r>
          </w:p>
        </w:tc>
      </w:tr>
      <w:tr w:rsidR="00E70204" w:rsidRPr="005A4E7A" w:rsidTr="00E70204">
        <w:trPr>
          <w:trHeight w:val="300"/>
        </w:trPr>
        <w:tc>
          <w:tcPr>
            <w:tcW w:w="26" w:type="dxa"/>
            <w:tcBorders>
              <w:top w:val="nil"/>
              <w:left w:val="nil"/>
              <w:bottom w:val="nil"/>
              <w:right w:val="nil"/>
            </w:tcBorders>
            <w:shd w:val="clear" w:color="auto" w:fill="auto"/>
            <w:noWrap/>
            <w:vAlign w:val="bottom"/>
            <w:hideMark/>
          </w:tcPr>
          <w:p w:rsidR="00E70204" w:rsidRPr="005A4E7A" w:rsidRDefault="00E70204" w:rsidP="00E70204">
            <w:pPr>
              <w:jc w:val="center"/>
              <w:rPr>
                <w:rFonts w:cs="Calibri"/>
                <w:color w:val="000000"/>
                <w:sz w:val="22"/>
                <w:szCs w:val="22"/>
              </w:rPr>
            </w:pPr>
          </w:p>
        </w:tc>
        <w:tc>
          <w:tcPr>
            <w:tcW w:w="1910" w:type="dxa"/>
            <w:vMerge/>
            <w:tcBorders>
              <w:top w:val="nil"/>
              <w:left w:val="single" w:sz="4" w:space="0" w:color="auto"/>
              <w:bottom w:val="single" w:sz="4" w:space="0" w:color="000000"/>
              <w:right w:val="single" w:sz="4" w:space="0" w:color="auto"/>
            </w:tcBorders>
            <w:vAlign w:val="center"/>
            <w:hideMark/>
          </w:tcPr>
          <w:p w:rsidR="00E70204" w:rsidRPr="005A4E7A" w:rsidRDefault="00E70204" w:rsidP="00E70204">
            <w:pPr>
              <w:jc w:val="center"/>
              <w:rPr>
                <w:rFonts w:cs="Calibri"/>
                <w:b/>
                <w:bCs/>
                <w:color w:val="000000"/>
                <w:sz w:val="20"/>
                <w:szCs w:val="20"/>
              </w:rPr>
            </w:pPr>
          </w:p>
        </w:tc>
        <w:tc>
          <w:tcPr>
            <w:tcW w:w="2236" w:type="dxa"/>
            <w:tcBorders>
              <w:top w:val="nil"/>
              <w:left w:val="single" w:sz="4" w:space="0" w:color="auto"/>
              <w:bottom w:val="single" w:sz="4" w:space="0" w:color="auto"/>
              <w:right w:val="single" w:sz="4" w:space="0" w:color="auto"/>
            </w:tcBorders>
            <w:shd w:val="clear" w:color="000000" w:fill="D9D9D9"/>
            <w:noWrap/>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 xml:space="preserve">Кол-во </w:t>
            </w:r>
            <w:proofErr w:type="spellStart"/>
            <w:r w:rsidRPr="005A4E7A">
              <w:rPr>
                <w:rFonts w:cs="Calibri"/>
                <w:color w:val="000000"/>
                <w:sz w:val="20"/>
                <w:szCs w:val="20"/>
              </w:rPr>
              <w:t>студ.на</w:t>
            </w:r>
            <w:proofErr w:type="spellEnd"/>
            <w:r w:rsidRPr="005A4E7A">
              <w:rPr>
                <w:rFonts w:cs="Calibri"/>
                <w:color w:val="000000"/>
                <w:sz w:val="20"/>
                <w:szCs w:val="20"/>
              </w:rPr>
              <w:t xml:space="preserve"> 1 ставку</w:t>
            </w:r>
          </w:p>
        </w:tc>
        <w:tc>
          <w:tcPr>
            <w:tcW w:w="121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11,26</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10,42</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7,89</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8,50</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9,25</w:t>
            </w:r>
          </w:p>
        </w:tc>
      </w:tr>
      <w:tr w:rsidR="00E70204" w:rsidRPr="005A4E7A" w:rsidTr="00E70204">
        <w:trPr>
          <w:trHeight w:val="300"/>
        </w:trPr>
        <w:tc>
          <w:tcPr>
            <w:tcW w:w="26" w:type="dxa"/>
            <w:tcBorders>
              <w:top w:val="nil"/>
              <w:left w:val="nil"/>
              <w:bottom w:val="nil"/>
              <w:right w:val="nil"/>
            </w:tcBorders>
            <w:shd w:val="clear" w:color="auto" w:fill="auto"/>
            <w:noWrap/>
            <w:vAlign w:val="bottom"/>
            <w:hideMark/>
          </w:tcPr>
          <w:p w:rsidR="00E70204" w:rsidRPr="005A4E7A" w:rsidRDefault="00E70204" w:rsidP="00E70204">
            <w:pPr>
              <w:jc w:val="center"/>
              <w:rPr>
                <w:rFonts w:cs="Calibri"/>
                <w:color w:val="000000"/>
                <w:sz w:val="22"/>
                <w:szCs w:val="22"/>
              </w:rPr>
            </w:pPr>
          </w:p>
        </w:tc>
        <w:tc>
          <w:tcPr>
            <w:tcW w:w="1910" w:type="dxa"/>
            <w:vMerge/>
            <w:tcBorders>
              <w:top w:val="nil"/>
              <w:left w:val="single" w:sz="4" w:space="0" w:color="auto"/>
              <w:bottom w:val="single" w:sz="4" w:space="0" w:color="000000"/>
              <w:right w:val="single" w:sz="4" w:space="0" w:color="auto"/>
            </w:tcBorders>
            <w:vAlign w:val="center"/>
            <w:hideMark/>
          </w:tcPr>
          <w:p w:rsidR="00E70204" w:rsidRPr="005A4E7A" w:rsidRDefault="00E70204" w:rsidP="00E70204">
            <w:pPr>
              <w:jc w:val="center"/>
              <w:rPr>
                <w:rFonts w:cs="Calibri"/>
                <w:b/>
                <w:bCs/>
                <w:color w:val="000000"/>
                <w:sz w:val="20"/>
                <w:szCs w:val="20"/>
              </w:rPr>
            </w:pPr>
          </w:p>
        </w:tc>
        <w:tc>
          <w:tcPr>
            <w:tcW w:w="2236" w:type="dxa"/>
            <w:tcBorders>
              <w:top w:val="nil"/>
              <w:left w:val="single" w:sz="4" w:space="0" w:color="auto"/>
              <w:bottom w:val="single" w:sz="4" w:space="0" w:color="auto"/>
              <w:right w:val="single" w:sz="4" w:space="0" w:color="auto"/>
            </w:tcBorders>
            <w:shd w:val="clear" w:color="000000" w:fill="D9D9D9"/>
            <w:noWrap/>
            <w:vAlign w:val="center"/>
            <w:hideMark/>
          </w:tcPr>
          <w:p w:rsidR="00E70204" w:rsidRPr="005A4E7A" w:rsidRDefault="004D16D1" w:rsidP="00E70204">
            <w:pPr>
              <w:jc w:val="center"/>
              <w:rPr>
                <w:rFonts w:cs="Calibri"/>
                <w:color w:val="000000"/>
                <w:sz w:val="20"/>
                <w:szCs w:val="20"/>
              </w:rPr>
            </w:pPr>
            <w:r>
              <w:rPr>
                <w:rFonts w:cs="Calibri"/>
                <w:color w:val="000000"/>
                <w:sz w:val="20"/>
                <w:szCs w:val="20"/>
              </w:rPr>
              <w:t xml:space="preserve">Кол-во </w:t>
            </w:r>
            <w:proofErr w:type="spellStart"/>
            <w:r>
              <w:rPr>
                <w:rFonts w:cs="Calibri"/>
                <w:color w:val="000000"/>
                <w:sz w:val="20"/>
                <w:szCs w:val="20"/>
              </w:rPr>
              <w:t>студ.на</w:t>
            </w:r>
            <w:proofErr w:type="spellEnd"/>
            <w:r>
              <w:rPr>
                <w:rFonts w:cs="Calibri"/>
                <w:color w:val="000000"/>
                <w:sz w:val="20"/>
                <w:szCs w:val="20"/>
              </w:rPr>
              <w:t xml:space="preserve"> 1 П</w:t>
            </w:r>
          </w:p>
        </w:tc>
        <w:tc>
          <w:tcPr>
            <w:tcW w:w="121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9,63</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12,08</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11,80</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11,25</w:t>
            </w:r>
          </w:p>
        </w:tc>
        <w:tc>
          <w:tcPr>
            <w:tcW w:w="976" w:type="dxa"/>
            <w:tcBorders>
              <w:top w:val="nil"/>
              <w:left w:val="nil"/>
              <w:bottom w:val="single" w:sz="4" w:space="0" w:color="auto"/>
              <w:right w:val="single" w:sz="4" w:space="0" w:color="auto"/>
            </w:tcBorders>
            <w:shd w:val="clear" w:color="000000" w:fill="D9D9D9"/>
            <w:vAlign w:val="center"/>
            <w:hideMark/>
          </w:tcPr>
          <w:p w:rsidR="00E70204" w:rsidRPr="005A4E7A" w:rsidRDefault="00E70204" w:rsidP="00E70204">
            <w:pPr>
              <w:jc w:val="center"/>
              <w:rPr>
                <w:rFonts w:cs="Calibri"/>
                <w:color w:val="000000"/>
                <w:sz w:val="20"/>
                <w:szCs w:val="20"/>
              </w:rPr>
            </w:pPr>
            <w:r w:rsidRPr="005A4E7A">
              <w:rPr>
                <w:rFonts w:cs="Calibri"/>
                <w:color w:val="000000"/>
                <w:sz w:val="20"/>
                <w:szCs w:val="20"/>
              </w:rPr>
              <w:t>11,44</w:t>
            </w:r>
          </w:p>
        </w:tc>
      </w:tr>
    </w:tbl>
    <w:p w:rsidR="00E70204" w:rsidRDefault="00E70204" w:rsidP="00E70204">
      <w:pPr>
        <w:jc w:val="both"/>
      </w:pPr>
      <w:r>
        <w:lastRenderedPageBreak/>
        <w:tab/>
      </w:r>
    </w:p>
    <w:p w:rsidR="00E70204" w:rsidRDefault="00E70204" w:rsidP="00E70204">
      <w:pPr>
        <w:jc w:val="both"/>
      </w:pPr>
    </w:p>
    <w:p w:rsidR="00E70204" w:rsidRPr="005A4E7A" w:rsidRDefault="008F31A5" w:rsidP="00E70204">
      <w:pPr>
        <w:jc w:val="both"/>
        <w:rPr>
          <w:rFonts w:cs="Calibri"/>
          <w:b/>
          <w:bCs/>
          <w:color w:val="000000"/>
        </w:rPr>
      </w:pPr>
      <w:r>
        <w:rPr>
          <w:rFonts w:cs="Calibri"/>
          <w:b/>
          <w:bCs/>
          <w:color w:val="000000"/>
        </w:rPr>
        <w:t>Диаграмма 8</w:t>
      </w:r>
      <w:r w:rsidR="00E70204" w:rsidRPr="005A4E7A">
        <w:rPr>
          <w:rFonts w:cs="Calibri"/>
          <w:b/>
          <w:bCs/>
          <w:color w:val="000000"/>
        </w:rPr>
        <w:t>.1.1</w:t>
      </w:r>
      <w:r w:rsidR="00E70204">
        <w:rPr>
          <w:rFonts w:cs="Calibri"/>
          <w:b/>
          <w:bCs/>
          <w:color w:val="000000"/>
        </w:rPr>
        <w:t>3а</w:t>
      </w:r>
      <w:r w:rsidR="00E70204" w:rsidRPr="005A4E7A">
        <w:rPr>
          <w:rFonts w:cs="Calibri"/>
          <w:b/>
          <w:bCs/>
          <w:color w:val="000000"/>
        </w:rPr>
        <w:t xml:space="preserve"> </w:t>
      </w:r>
      <w:r w:rsidR="00E70204">
        <w:rPr>
          <w:rFonts w:cs="Calibri"/>
          <w:b/>
          <w:bCs/>
          <w:color w:val="000000"/>
        </w:rPr>
        <w:tab/>
      </w:r>
      <w:r w:rsidR="00E70204">
        <w:rPr>
          <w:rFonts w:cs="Calibri"/>
          <w:b/>
          <w:bCs/>
          <w:color w:val="000000"/>
        </w:rPr>
        <w:tab/>
      </w:r>
      <w:r w:rsidR="00E70204">
        <w:rPr>
          <w:rFonts w:cs="Calibri"/>
          <w:b/>
          <w:bCs/>
          <w:color w:val="000000"/>
        </w:rPr>
        <w:tab/>
      </w:r>
      <w:r w:rsidR="00E70204">
        <w:rPr>
          <w:rFonts w:cs="Calibri"/>
          <w:b/>
          <w:bCs/>
          <w:color w:val="000000"/>
        </w:rPr>
        <w:tab/>
      </w:r>
      <w:r w:rsidR="00E70204">
        <w:rPr>
          <w:rFonts w:cs="Calibri"/>
          <w:b/>
          <w:bCs/>
          <w:color w:val="000000"/>
        </w:rPr>
        <w:tab/>
      </w:r>
      <w:r>
        <w:rPr>
          <w:rFonts w:cs="Calibri"/>
          <w:b/>
          <w:bCs/>
          <w:color w:val="000000"/>
        </w:rPr>
        <w:t>Диаграмма 8</w:t>
      </w:r>
      <w:r w:rsidR="00E70204" w:rsidRPr="005A4E7A">
        <w:rPr>
          <w:rFonts w:cs="Calibri"/>
          <w:b/>
          <w:bCs/>
          <w:color w:val="000000"/>
        </w:rPr>
        <w:t>.1.1</w:t>
      </w:r>
      <w:r w:rsidR="00E70204">
        <w:rPr>
          <w:rFonts w:cs="Calibri"/>
          <w:b/>
          <w:bCs/>
          <w:color w:val="000000"/>
        </w:rPr>
        <w:t>3б</w:t>
      </w:r>
      <w:r w:rsidR="00E70204" w:rsidRPr="005A4E7A">
        <w:rPr>
          <w:rFonts w:cs="Calibri"/>
          <w:b/>
          <w:bCs/>
          <w:color w:val="000000"/>
        </w:rPr>
        <w:t xml:space="preserve"> </w:t>
      </w:r>
    </w:p>
    <w:p w:rsidR="005005BC" w:rsidRDefault="00982A49" w:rsidP="00FD7CDC">
      <w:pPr>
        <w:spacing w:before="240" w:line="360" w:lineRule="auto"/>
        <w:jc w:val="both"/>
      </w:pPr>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125730</wp:posOffset>
            </wp:positionV>
            <wp:extent cx="2940050" cy="3045460"/>
            <wp:effectExtent l="0" t="0" r="0" b="0"/>
            <wp:wrapSquare wrapText="right"/>
            <wp:docPr id="71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40050" cy="3045460"/>
                    </a:xfrm>
                    <a:prstGeom prst="rect">
                      <a:avLst/>
                    </a:prstGeom>
                    <a:noFill/>
                  </pic:spPr>
                </pic:pic>
              </a:graphicData>
            </a:graphic>
          </wp:anchor>
        </w:drawing>
      </w:r>
      <w:r>
        <w:rPr>
          <w:noProof/>
        </w:rPr>
        <w:drawing>
          <wp:inline distT="0" distB="0" distL="0" distR="0">
            <wp:extent cx="2876550" cy="3000375"/>
            <wp:effectExtent l="0" t="0" r="0" b="9525"/>
            <wp:docPr id="69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876550" cy="3000375"/>
                    </a:xfrm>
                    <a:prstGeom prst="rect">
                      <a:avLst/>
                    </a:prstGeom>
                    <a:noFill/>
                    <a:ln>
                      <a:noFill/>
                    </a:ln>
                  </pic:spPr>
                </pic:pic>
              </a:graphicData>
            </a:graphic>
          </wp:inline>
        </w:drawing>
      </w:r>
    </w:p>
    <w:p w:rsidR="005005BC" w:rsidRDefault="005005BC" w:rsidP="005005BC">
      <w:pPr>
        <w:pStyle w:val="2"/>
        <w:numPr>
          <w:ilvl w:val="1"/>
          <w:numId w:val="1"/>
        </w:numPr>
      </w:pPr>
      <w:bookmarkStart w:id="63" w:name="_Toc374030075"/>
      <w:r>
        <w:t>Анализ выполнения аудиторной нагрузки  по категориям преподавателей</w:t>
      </w:r>
      <w:bookmarkEnd w:id="63"/>
      <w:r>
        <w:t xml:space="preserve">  </w:t>
      </w:r>
    </w:p>
    <w:p w:rsidR="005F0EC4" w:rsidRDefault="005F0EC4" w:rsidP="005F0EC4"/>
    <w:p w:rsidR="00A6788C" w:rsidRPr="00342E83" w:rsidRDefault="00A6788C" w:rsidP="00A6788C">
      <w:pPr>
        <w:spacing w:after="200" w:line="276" w:lineRule="auto"/>
        <w:jc w:val="both"/>
      </w:pPr>
      <w:r w:rsidRPr="00342E83">
        <w:t>Расчет объема учебной работы кафедр должен производиться на основе расчетов, сделанных кафедрами по утвержденным рабочим учебным планам. В связи с присоединением кафедр МИЭМ расчет ППС вуза был сформирован, когда учебный год уже начался. К сроку сдачи расчетов годовой нагрузки и индивидуальных планов учебных нагрузок на 2012-2013 учебный год кафедры старались своевременно сдать нагрузки, уже традиционно кафедра государственных финансов и базовые кафедры факультетов бизнес-информатики, экономики и социологии не сдали их вовсе. Все чаще количество часов в индивидуальных нагрузках не соответствовало нормативам, в том числе и нормативам по аудиторной нагрузке, часто в индивидуальных планах не был</w:t>
      </w:r>
      <w:r>
        <w:t>о</w:t>
      </w:r>
      <w:r w:rsidRPr="00342E83">
        <w:t xml:space="preserve"> точн</w:t>
      </w:r>
      <w:r>
        <w:t>ой</w:t>
      </w:r>
      <w:r w:rsidRPr="00342E83">
        <w:t xml:space="preserve"> информаци</w:t>
      </w:r>
      <w:r>
        <w:t>и</w:t>
      </w:r>
      <w:r w:rsidRPr="00342E83">
        <w:t xml:space="preserve"> о выборе курсов по выбору и факультативов. Четверть всего профессорско-преподавательского состава кафедр МИЭМ работало на неполной рабочей неделе.</w:t>
      </w:r>
    </w:p>
    <w:p w:rsidR="00A6788C" w:rsidRPr="00342E83" w:rsidRDefault="00A6788C" w:rsidP="00A6788C">
      <w:pPr>
        <w:spacing w:after="200" w:line="276" w:lineRule="auto"/>
        <w:jc w:val="both"/>
      </w:pPr>
      <w:r w:rsidRPr="00342E83">
        <w:t>Сведения о составе ППС и их нагрузке постоянно обновлялись по мере кадровых перестановок на кафедрах: приеме и увольнении преподавателей, изменения их должности, размера ставки, режима полной и неполной рабочей недели, и были использованы для оценки выполнения годовой нагрузки ППС кафедр и расчета численности ППС кафедр на следующий учебный год.</w:t>
      </w:r>
    </w:p>
    <w:p w:rsidR="00A6788C" w:rsidRPr="00342E83" w:rsidRDefault="00A6788C" w:rsidP="00A6788C">
      <w:pPr>
        <w:spacing w:after="200" w:line="276" w:lineRule="auto"/>
        <w:jc w:val="both"/>
      </w:pPr>
      <w:r w:rsidRPr="00342E83">
        <w:t xml:space="preserve">Отчеты по учебной работе кафедр за 2012-2013 учебный год уже четвертый год собирались в электронном виде через портал. В основном все кафедры подключились к вводу отчетной информации и своевременно «отправили» отчеты, за исключением факультета математики, кафедры архитектуры программных систем, анализа данных и </w:t>
      </w:r>
      <w:r w:rsidRPr="00342E83">
        <w:lastRenderedPageBreak/>
        <w:t>искусственного интеллекта, базовой кафедры «Эрнст энд Янг» факультета экономики, базовых кафедр факультетов бизнес-информатики и социологии.</w:t>
      </w:r>
    </w:p>
    <w:p w:rsidR="00A6788C" w:rsidRDefault="00A6788C" w:rsidP="00A6788C">
      <w:pPr>
        <w:spacing w:after="200" w:line="276" w:lineRule="auto"/>
        <w:jc w:val="both"/>
      </w:pPr>
      <w:r w:rsidRPr="00342E83">
        <w:t xml:space="preserve">Анализ итоговой информации показал, что кафедры выполнили фактически нагрузку на 102%. Отчитались за выполнение нагрузки в 2012/2013 учебном году 2686 человек (включая тех, кто уволился в течение учебного года), у </w:t>
      </w:r>
      <w:r w:rsidRPr="006B251A">
        <w:t>109 человек не было нагрузки в прошлом учебном году.</w:t>
      </w:r>
      <w:r w:rsidRPr="00342E83">
        <w:t xml:space="preserve"> Привлечен на договорных условиях дополнительно 101 преподаватель. Не отчитал</w:t>
      </w:r>
      <w:r>
        <w:t>ся</w:t>
      </w:r>
      <w:r w:rsidRPr="00342E83">
        <w:t xml:space="preserve"> за выполнение учебной нагрузки </w:t>
      </w:r>
      <w:r w:rsidRPr="00A6788C">
        <w:t>факультет математики</w:t>
      </w:r>
      <w:r w:rsidRPr="00342E83">
        <w:t xml:space="preserve"> (60 преподавателей).</w:t>
      </w:r>
    </w:p>
    <w:p w:rsidR="00A6788C" w:rsidRDefault="00A6788C" w:rsidP="00A6788C">
      <w:pPr>
        <w:spacing w:after="200" w:line="276" w:lineRule="auto"/>
        <w:jc w:val="both"/>
      </w:pPr>
      <w:r>
        <w:t>Анализ выполнения нагрузки показывает, что ни в Москве, ни в филиалах нет отклонений от плана более чем на 2 процента.</w:t>
      </w:r>
    </w:p>
    <w:p w:rsidR="0099612A" w:rsidRPr="0099612A" w:rsidRDefault="0099612A" w:rsidP="00A6788C">
      <w:pPr>
        <w:spacing w:after="200" w:line="276" w:lineRule="auto"/>
        <w:jc w:val="both"/>
        <w:rPr>
          <w:b/>
        </w:rPr>
      </w:pPr>
      <w:r w:rsidRPr="0099612A">
        <w:rPr>
          <w:b/>
        </w:rPr>
        <w:t>Диаграмма 8.2.1</w:t>
      </w:r>
    </w:p>
    <w:p w:rsidR="00A6788C" w:rsidRDefault="00982A49" w:rsidP="00A6788C">
      <w:pPr>
        <w:spacing w:after="200" w:line="276" w:lineRule="auto"/>
        <w:jc w:val="both"/>
        <w:rPr>
          <w:b/>
        </w:rPr>
      </w:pPr>
      <w:r>
        <w:rPr>
          <w:b/>
          <w:noProof/>
        </w:rPr>
        <w:drawing>
          <wp:inline distT="0" distB="0" distL="0" distR="0">
            <wp:extent cx="3053443" cy="2495196"/>
            <wp:effectExtent l="0" t="0" r="0" b="635"/>
            <wp:docPr id="69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68906" cy="2507832"/>
                    </a:xfrm>
                    <a:prstGeom prst="rect">
                      <a:avLst/>
                    </a:prstGeom>
                    <a:noFill/>
                    <a:ln>
                      <a:noFill/>
                    </a:ln>
                  </pic:spPr>
                </pic:pic>
              </a:graphicData>
            </a:graphic>
          </wp:inline>
        </w:drawing>
      </w:r>
    </w:p>
    <w:p w:rsidR="0099612A" w:rsidRPr="00346428" w:rsidRDefault="0099612A" w:rsidP="00346428">
      <w:pPr>
        <w:spacing w:after="200" w:line="276" w:lineRule="auto"/>
        <w:jc w:val="both"/>
      </w:pPr>
      <w:r w:rsidRPr="00F032D5">
        <w:t xml:space="preserve">На следующей диаграмме </w:t>
      </w:r>
      <w:r>
        <w:t>8.2.2</w:t>
      </w:r>
      <w:r w:rsidRPr="00F032D5">
        <w:t xml:space="preserve"> показано соотношение выполненной учебной нагрузки ППС по видам деятельности за 2012/2013 учебный год (Москва), где </w:t>
      </w:r>
      <w:r>
        <w:t xml:space="preserve">немного больше </w:t>
      </w:r>
      <w:r w:rsidRPr="00F032D5">
        <w:t>половин</w:t>
      </w:r>
      <w:r>
        <w:t>ы</w:t>
      </w:r>
      <w:r w:rsidRPr="00F032D5">
        <w:t xml:space="preserve"> всей учебной нагрузки </w:t>
      </w:r>
      <w:r>
        <w:t xml:space="preserve">(54,4%) </w:t>
      </w:r>
      <w:r w:rsidRPr="00F032D5">
        <w:t>составляет аудиторная нагрузка. В сравнении с прошлым учебным годом это соотношение не изменилось.</w:t>
      </w:r>
    </w:p>
    <w:p w:rsidR="0099612A" w:rsidRDefault="00A955AC" w:rsidP="0099612A">
      <w:pPr>
        <w:jc w:val="both"/>
        <w:rPr>
          <w:b/>
        </w:rPr>
      </w:pPr>
      <w:r>
        <w:rPr>
          <w:b/>
        </w:rPr>
        <w:t>Диаграмма 8.2.2</w:t>
      </w:r>
      <w:r w:rsidR="0099612A">
        <w:rPr>
          <w:b/>
        </w:rPr>
        <w:t xml:space="preserve"> </w:t>
      </w:r>
    </w:p>
    <w:p w:rsidR="0058078F" w:rsidRDefault="00982A49" w:rsidP="0058078F">
      <w:pPr>
        <w:jc w:val="both"/>
        <w:rPr>
          <w:b/>
        </w:rPr>
      </w:pPr>
      <w:r>
        <w:rPr>
          <w:b/>
          <w:noProof/>
        </w:rPr>
        <w:drawing>
          <wp:inline distT="0" distB="0" distL="0" distR="0">
            <wp:extent cx="4156508" cy="2391324"/>
            <wp:effectExtent l="0" t="0" r="0" b="9525"/>
            <wp:docPr id="69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55661" cy="2390837"/>
                    </a:xfrm>
                    <a:prstGeom prst="rect">
                      <a:avLst/>
                    </a:prstGeom>
                    <a:noFill/>
                    <a:ln>
                      <a:noFill/>
                    </a:ln>
                  </pic:spPr>
                </pic:pic>
              </a:graphicData>
            </a:graphic>
          </wp:inline>
        </w:drawing>
      </w:r>
    </w:p>
    <w:p w:rsidR="0099612A" w:rsidRPr="0058078F" w:rsidRDefault="00A955AC" w:rsidP="0058078F">
      <w:pPr>
        <w:spacing w:after="200" w:line="276" w:lineRule="auto"/>
        <w:jc w:val="both"/>
      </w:pPr>
      <w:r w:rsidRPr="0058078F">
        <w:lastRenderedPageBreak/>
        <w:t>На диаграмме 8.2.3</w:t>
      </w:r>
      <w:r w:rsidR="0099612A" w:rsidRPr="0058078F">
        <w:t xml:space="preserve"> видно, что ассистенты выполнили 2,5 % всей годовой учебной нагрузки, преподаватели -</w:t>
      </w:r>
      <w:r w:rsidRPr="0058078F">
        <w:t xml:space="preserve"> </w:t>
      </w:r>
      <w:r w:rsidR="0099612A" w:rsidRPr="0058078F">
        <w:t xml:space="preserve">11 %, старшие преподаватели -22 %, доценты 41 %, профессора -23,5 %. </w:t>
      </w:r>
    </w:p>
    <w:p w:rsidR="0099612A" w:rsidRPr="006F24F4" w:rsidRDefault="00A955AC" w:rsidP="006F24F4">
      <w:pPr>
        <w:jc w:val="both"/>
        <w:rPr>
          <w:b/>
        </w:rPr>
      </w:pPr>
      <w:r w:rsidRPr="006F24F4">
        <w:rPr>
          <w:b/>
        </w:rPr>
        <w:t>Диаграмма 8</w:t>
      </w:r>
      <w:r w:rsidR="0099612A" w:rsidRPr="006F24F4">
        <w:rPr>
          <w:b/>
        </w:rPr>
        <w:t>.2.</w:t>
      </w:r>
      <w:r w:rsidRPr="006F24F4">
        <w:rPr>
          <w:b/>
        </w:rPr>
        <w:t>3</w:t>
      </w:r>
      <w:r w:rsidR="0099612A" w:rsidRPr="006F24F4">
        <w:rPr>
          <w:b/>
        </w:rPr>
        <w:t xml:space="preserve">  </w:t>
      </w:r>
    </w:p>
    <w:p w:rsidR="0099612A" w:rsidRPr="00D26CBB" w:rsidRDefault="00982A49" w:rsidP="0099612A">
      <w:pPr>
        <w:pStyle w:val="afe"/>
        <w:rPr>
          <w:color w:val="FF0000"/>
        </w:rPr>
      </w:pPr>
      <w:r>
        <w:rPr>
          <w:noProof/>
          <w:lang w:eastAsia="ru-RU"/>
        </w:rPr>
        <w:drawing>
          <wp:inline distT="0" distB="0" distL="0" distR="0">
            <wp:extent cx="5013392" cy="2854036"/>
            <wp:effectExtent l="0" t="0" r="0" b="0"/>
            <wp:docPr id="69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024623" cy="2860430"/>
                    </a:xfrm>
                    <a:prstGeom prst="rect">
                      <a:avLst/>
                    </a:prstGeom>
                    <a:noFill/>
                    <a:ln>
                      <a:noFill/>
                    </a:ln>
                  </pic:spPr>
                </pic:pic>
              </a:graphicData>
            </a:graphic>
          </wp:inline>
        </w:drawing>
      </w:r>
    </w:p>
    <w:p w:rsidR="0099612A" w:rsidRPr="00A955AC" w:rsidRDefault="0099612A" w:rsidP="00A955AC">
      <w:pPr>
        <w:spacing w:after="200" w:line="276" w:lineRule="auto"/>
        <w:jc w:val="both"/>
      </w:pPr>
      <w:r>
        <w:t>В</w:t>
      </w:r>
      <w:r w:rsidRPr="004F4F46">
        <w:t>ыполнение аудиторной нагрузки преподавателями НИУ ВШЭ Москвы</w:t>
      </w:r>
      <w:r>
        <w:t xml:space="preserve"> показано</w:t>
      </w:r>
      <w:r w:rsidR="00A955AC">
        <w:t xml:space="preserve"> на</w:t>
      </w:r>
      <w:r>
        <w:t xml:space="preserve"> </w:t>
      </w:r>
      <w:r w:rsidR="00A955AC">
        <w:t>диаграмме 8.2.4</w:t>
      </w:r>
      <w:r w:rsidRPr="0077439E">
        <w:t>. Для анализа использовались данные о персональной фактической нагрузке за отчетный учебный год. Отметим, что 1</w:t>
      </w:r>
      <w:r w:rsidR="003F559D">
        <w:t>13</w:t>
      </w:r>
      <w:r w:rsidRPr="0077439E">
        <w:t xml:space="preserve"> человек имеют нулевую аудиторную нагрузку, из них: </w:t>
      </w:r>
      <w:r w:rsidR="003F559D">
        <w:t>27 профессоров, 45 доцентов, 15 старших преподавателей, 18</w:t>
      </w:r>
      <w:r w:rsidRPr="0077439E">
        <w:t xml:space="preserve"> преподавателей, </w:t>
      </w:r>
      <w:r w:rsidR="003F559D">
        <w:t>8</w:t>
      </w:r>
      <w:r w:rsidRPr="0077439E">
        <w:t xml:space="preserve"> ассистентов.</w:t>
      </w:r>
    </w:p>
    <w:p w:rsidR="0099612A" w:rsidRDefault="00A955AC" w:rsidP="0099612A">
      <w:pPr>
        <w:jc w:val="both"/>
        <w:rPr>
          <w:b/>
        </w:rPr>
      </w:pPr>
      <w:r>
        <w:rPr>
          <w:b/>
        </w:rPr>
        <w:t>Диаграмма 8.2.4</w:t>
      </w:r>
      <w:r w:rsidR="0099612A">
        <w:rPr>
          <w:b/>
        </w:rPr>
        <w:t xml:space="preserve"> </w:t>
      </w:r>
    </w:p>
    <w:p w:rsidR="0099612A" w:rsidRDefault="003F559D" w:rsidP="0099612A">
      <w:r>
        <w:rPr>
          <w:noProof/>
        </w:rPr>
        <w:drawing>
          <wp:inline distT="0" distB="0" distL="0" distR="0" wp14:anchorId="4977D945" wp14:editId="7723EEC4">
            <wp:extent cx="4932218" cy="3186545"/>
            <wp:effectExtent l="0" t="0" r="20955" b="13970"/>
            <wp:docPr id="722" name="Диаграмма 7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346428" w:rsidRPr="0058078F" w:rsidRDefault="0099612A" w:rsidP="0099612A">
      <w:pPr>
        <w:spacing w:after="200" w:line="276" w:lineRule="auto"/>
        <w:jc w:val="both"/>
      </w:pPr>
      <w:r>
        <w:t>Р</w:t>
      </w:r>
      <w:r w:rsidRPr="004F4F46">
        <w:t>аспределени</w:t>
      </w:r>
      <w:r>
        <w:t>е</w:t>
      </w:r>
      <w:r w:rsidRPr="004F4F46">
        <w:t xml:space="preserve"> </w:t>
      </w:r>
      <w:r>
        <w:t xml:space="preserve">фактической </w:t>
      </w:r>
      <w:r w:rsidRPr="004F4F46">
        <w:t>аудиторной</w:t>
      </w:r>
      <w:r>
        <w:t xml:space="preserve"> (голосовой)</w:t>
      </w:r>
      <w:r w:rsidRPr="004F4F46">
        <w:t xml:space="preserve"> нагрузки</w:t>
      </w:r>
      <w:r>
        <w:t>, выполняемой преподавателями,</w:t>
      </w:r>
      <w:r w:rsidRPr="004F4F46">
        <w:t xml:space="preserve"> по разным должностям ППС представ</w:t>
      </w:r>
      <w:r>
        <w:t>лено</w:t>
      </w:r>
      <w:r w:rsidRPr="004F4F46">
        <w:t xml:space="preserve"> в </w:t>
      </w:r>
      <w:r>
        <w:t xml:space="preserve">таблице </w:t>
      </w:r>
      <w:r w:rsidR="00A955AC">
        <w:t>8.2.5</w:t>
      </w:r>
      <w:r>
        <w:t xml:space="preserve"> и в </w:t>
      </w:r>
      <w:r w:rsidRPr="004F4F46">
        <w:t xml:space="preserve">диаграмме </w:t>
      </w:r>
      <w:r w:rsidR="00A955AC">
        <w:t>8.2.5</w:t>
      </w:r>
      <w:r>
        <w:t>.</w:t>
      </w:r>
    </w:p>
    <w:p w:rsidR="008E15E7" w:rsidRPr="008E15E7" w:rsidRDefault="008E15E7" w:rsidP="0099612A">
      <w:pPr>
        <w:spacing w:after="200" w:line="276" w:lineRule="auto"/>
        <w:jc w:val="both"/>
        <w:rPr>
          <w:b/>
        </w:rPr>
      </w:pPr>
      <w:r w:rsidRPr="008E15E7">
        <w:rPr>
          <w:b/>
        </w:rPr>
        <w:lastRenderedPageBreak/>
        <w:t xml:space="preserve">Таблица 8.2.5 </w:t>
      </w:r>
      <w:r w:rsidRPr="008E15E7">
        <w:rPr>
          <w:b/>
          <w:bCs/>
          <w:color w:val="000000"/>
        </w:rPr>
        <w:t>Фактическая аудиторная нагрузка по должностям, 2012-13</w:t>
      </w:r>
    </w:p>
    <w:tbl>
      <w:tblPr>
        <w:tblW w:w="9229" w:type="dxa"/>
        <w:tblInd w:w="93" w:type="dxa"/>
        <w:tblLook w:val="04A0" w:firstRow="1" w:lastRow="0" w:firstColumn="1" w:lastColumn="0" w:noHBand="0" w:noVBand="1"/>
      </w:tblPr>
      <w:tblGrid>
        <w:gridCol w:w="2142"/>
        <w:gridCol w:w="1275"/>
        <w:gridCol w:w="1134"/>
        <w:gridCol w:w="1276"/>
        <w:gridCol w:w="1134"/>
        <w:gridCol w:w="992"/>
        <w:gridCol w:w="1276"/>
      </w:tblGrid>
      <w:tr w:rsidR="008E15E7" w:rsidRPr="002224F3" w:rsidTr="006F24F4">
        <w:trPr>
          <w:trHeight w:val="28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5E7" w:rsidRPr="002224F3" w:rsidRDefault="008E15E7" w:rsidP="008E15E7">
            <w:pPr>
              <w:rPr>
                <w:rFonts w:asciiTheme="majorHAnsi" w:hAnsiTheme="majorHAnsi"/>
                <w:color w:val="000000"/>
                <w:sz w:val="20"/>
                <w:szCs w:val="20"/>
              </w:rPr>
            </w:pPr>
            <w:r w:rsidRPr="002224F3">
              <w:rPr>
                <w:rFonts w:asciiTheme="majorHAnsi" w:hAnsiTheme="majorHAnsi"/>
                <w:color w:val="000000"/>
                <w:sz w:val="20"/>
                <w:szCs w:val="20"/>
              </w:rPr>
              <w:t>Доля ставки</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часы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проф.</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доц.</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proofErr w:type="spellStart"/>
            <w:r w:rsidRPr="002224F3">
              <w:rPr>
                <w:rFonts w:asciiTheme="majorHAnsi" w:hAnsiTheme="majorHAnsi"/>
                <w:color w:val="000000"/>
                <w:sz w:val="20"/>
                <w:szCs w:val="20"/>
              </w:rPr>
              <w:t>ст.преп</w:t>
            </w:r>
            <w:proofErr w:type="spellEnd"/>
            <w:r w:rsidRPr="002224F3">
              <w:rPr>
                <w:rFonts w:asciiTheme="majorHAnsi" w:hAnsiTheme="majorHAnsi"/>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преп., асс.</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Всего преп. 2109</w:t>
            </w:r>
          </w:p>
        </w:tc>
      </w:tr>
      <w:tr w:rsidR="008E15E7" w:rsidRPr="002224F3" w:rsidTr="006F24F4">
        <w:trPr>
          <w:trHeight w:val="280"/>
        </w:trPr>
        <w:tc>
          <w:tcPr>
            <w:tcW w:w="2142" w:type="dxa"/>
            <w:vMerge w:val="restart"/>
            <w:tcBorders>
              <w:top w:val="nil"/>
              <w:left w:val="single" w:sz="4" w:space="0" w:color="auto"/>
              <w:bottom w:val="single" w:sz="4" w:space="0" w:color="auto"/>
              <w:right w:val="single" w:sz="4" w:space="0" w:color="auto"/>
            </w:tcBorders>
            <w:shd w:val="clear" w:color="auto" w:fill="auto"/>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 xml:space="preserve">Ставка 1 (0,7-1) </w:t>
            </w:r>
          </w:p>
        </w:tc>
        <w:tc>
          <w:tcPr>
            <w:tcW w:w="1275"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0-100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54</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9</w:t>
            </w:r>
          </w:p>
        </w:tc>
        <w:tc>
          <w:tcPr>
            <w:tcW w:w="992"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166</w:t>
            </w:r>
          </w:p>
        </w:tc>
      </w:tr>
      <w:tr w:rsidR="008E15E7" w:rsidRPr="002224F3" w:rsidTr="006F24F4">
        <w:trPr>
          <w:trHeight w:val="280"/>
        </w:trPr>
        <w:tc>
          <w:tcPr>
            <w:tcW w:w="2142" w:type="dxa"/>
            <w:vMerge/>
            <w:tcBorders>
              <w:top w:val="nil"/>
              <w:left w:val="single" w:sz="4" w:space="0" w:color="auto"/>
              <w:bottom w:val="single" w:sz="4" w:space="0" w:color="auto"/>
              <w:right w:val="single" w:sz="4" w:space="0" w:color="auto"/>
            </w:tcBorders>
            <w:vAlign w:val="center"/>
            <w:hideMark/>
          </w:tcPr>
          <w:p w:rsidR="008E15E7" w:rsidRPr="002224F3" w:rsidRDefault="008E15E7" w:rsidP="008E15E7">
            <w:pPr>
              <w:rPr>
                <w:rFonts w:asciiTheme="majorHAnsi" w:hAnsiTheme="majorHAnsi"/>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100-200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122</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131</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28</w:t>
            </w:r>
          </w:p>
        </w:tc>
        <w:tc>
          <w:tcPr>
            <w:tcW w:w="992"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24</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305</w:t>
            </w:r>
          </w:p>
        </w:tc>
      </w:tr>
      <w:tr w:rsidR="008E15E7" w:rsidRPr="002224F3" w:rsidTr="006F24F4">
        <w:trPr>
          <w:trHeight w:val="280"/>
        </w:trPr>
        <w:tc>
          <w:tcPr>
            <w:tcW w:w="2142" w:type="dxa"/>
            <w:vMerge/>
            <w:tcBorders>
              <w:top w:val="nil"/>
              <w:left w:val="single" w:sz="4" w:space="0" w:color="auto"/>
              <w:bottom w:val="single" w:sz="4" w:space="0" w:color="auto"/>
              <w:right w:val="single" w:sz="4" w:space="0" w:color="auto"/>
            </w:tcBorders>
            <w:vAlign w:val="center"/>
            <w:hideMark/>
          </w:tcPr>
          <w:p w:rsidR="008E15E7" w:rsidRPr="002224F3" w:rsidRDefault="008E15E7" w:rsidP="008E15E7">
            <w:pPr>
              <w:rPr>
                <w:rFonts w:asciiTheme="majorHAnsi" w:hAnsiTheme="majorHAnsi"/>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200-300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89</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163</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53</w:t>
            </w:r>
          </w:p>
        </w:tc>
        <w:tc>
          <w:tcPr>
            <w:tcW w:w="992"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25</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330</w:t>
            </w:r>
          </w:p>
        </w:tc>
      </w:tr>
      <w:tr w:rsidR="008E15E7" w:rsidRPr="002224F3" w:rsidTr="006F24F4">
        <w:trPr>
          <w:trHeight w:val="280"/>
        </w:trPr>
        <w:tc>
          <w:tcPr>
            <w:tcW w:w="2142" w:type="dxa"/>
            <w:vMerge/>
            <w:tcBorders>
              <w:top w:val="nil"/>
              <w:left w:val="single" w:sz="4" w:space="0" w:color="auto"/>
              <w:bottom w:val="single" w:sz="4" w:space="0" w:color="auto"/>
              <w:right w:val="single" w:sz="4" w:space="0" w:color="auto"/>
            </w:tcBorders>
            <w:vAlign w:val="center"/>
            <w:hideMark/>
          </w:tcPr>
          <w:p w:rsidR="008E15E7" w:rsidRPr="002224F3" w:rsidRDefault="008E15E7" w:rsidP="008E15E7">
            <w:pPr>
              <w:rPr>
                <w:rFonts w:asciiTheme="majorHAnsi" w:hAnsiTheme="majorHAnsi"/>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300-400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44</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127</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75</w:t>
            </w:r>
          </w:p>
        </w:tc>
        <w:tc>
          <w:tcPr>
            <w:tcW w:w="992"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42</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288</w:t>
            </w:r>
          </w:p>
        </w:tc>
      </w:tr>
      <w:tr w:rsidR="008E15E7" w:rsidRPr="002224F3" w:rsidTr="006F24F4">
        <w:trPr>
          <w:trHeight w:val="280"/>
        </w:trPr>
        <w:tc>
          <w:tcPr>
            <w:tcW w:w="2142" w:type="dxa"/>
            <w:vMerge/>
            <w:tcBorders>
              <w:top w:val="nil"/>
              <w:left w:val="single" w:sz="4" w:space="0" w:color="auto"/>
              <w:bottom w:val="single" w:sz="4" w:space="0" w:color="auto"/>
              <w:right w:val="single" w:sz="4" w:space="0" w:color="auto"/>
            </w:tcBorders>
            <w:vAlign w:val="center"/>
            <w:hideMark/>
          </w:tcPr>
          <w:p w:rsidR="008E15E7" w:rsidRPr="002224F3" w:rsidRDefault="008E15E7" w:rsidP="008E15E7">
            <w:pPr>
              <w:rPr>
                <w:rFonts w:asciiTheme="majorHAnsi" w:hAnsiTheme="majorHAnsi"/>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400-500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69</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61</w:t>
            </w:r>
          </w:p>
        </w:tc>
        <w:tc>
          <w:tcPr>
            <w:tcW w:w="992"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40</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187</w:t>
            </w:r>
          </w:p>
        </w:tc>
      </w:tr>
      <w:tr w:rsidR="008E15E7" w:rsidRPr="002224F3" w:rsidTr="006F24F4">
        <w:trPr>
          <w:trHeight w:val="280"/>
        </w:trPr>
        <w:tc>
          <w:tcPr>
            <w:tcW w:w="2142" w:type="dxa"/>
            <w:vMerge/>
            <w:tcBorders>
              <w:top w:val="nil"/>
              <w:left w:val="single" w:sz="4" w:space="0" w:color="auto"/>
              <w:bottom w:val="single" w:sz="4" w:space="0" w:color="auto"/>
              <w:right w:val="single" w:sz="4" w:space="0" w:color="auto"/>
            </w:tcBorders>
            <w:vAlign w:val="center"/>
            <w:hideMark/>
          </w:tcPr>
          <w:p w:rsidR="008E15E7" w:rsidRPr="002224F3" w:rsidRDefault="008E15E7" w:rsidP="008E15E7">
            <w:pPr>
              <w:rPr>
                <w:rFonts w:asciiTheme="majorHAnsi" w:hAnsiTheme="majorHAnsi"/>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500-600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33</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36</w:t>
            </w:r>
          </w:p>
        </w:tc>
        <w:tc>
          <w:tcPr>
            <w:tcW w:w="992"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93</w:t>
            </w:r>
          </w:p>
        </w:tc>
      </w:tr>
      <w:tr w:rsidR="008E15E7" w:rsidRPr="002224F3" w:rsidTr="006F24F4">
        <w:trPr>
          <w:trHeight w:val="280"/>
        </w:trPr>
        <w:tc>
          <w:tcPr>
            <w:tcW w:w="2142" w:type="dxa"/>
            <w:vMerge/>
            <w:tcBorders>
              <w:top w:val="nil"/>
              <w:left w:val="single" w:sz="4" w:space="0" w:color="auto"/>
              <w:bottom w:val="single" w:sz="4" w:space="0" w:color="auto"/>
              <w:right w:val="single" w:sz="4" w:space="0" w:color="auto"/>
            </w:tcBorders>
            <w:vAlign w:val="center"/>
            <w:hideMark/>
          </w:tcPr>
          <w:p w:rsidR="008E15E7" w:rsidRPr="002224F3" w:rsidRDefault="008E15E7" w:rsidP="008E15E7">
            <w:pPr>
              <w:rPr>
                <w:rFonts w:asciiTheme="majorHAnsi" w:hAnsiTheme="majorHAnsi"/>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&gt; 600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22</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40</w:t>
            </w:r>
          </w:p>
        </w:tc>
        <w:tc>
          <w:tcPr>
            <w:tcW w:w="992"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21</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83</w:t>
            </w:r>
          </w:p>
        </w:tc>
      </w:tr>
      <w:tr w:rsidR="008E15E7" w:rsidRPr="002224F3" w:rsidTr="006F24F4">
        <w:trPr>
          <w:trHeight w:val="280"/>
        </w:trPr>
        <w:tc>
          <w:tcPr>
            <w:tcW w:w="2142" w:type="dxa"/>
            <w:vMerge w:val="restart"/>
            <w:tcBorders>
              <w:top w:val="nil"/>
              <w:left w:val="single" w:sz="4" w:space="0" w:color="auto"/>
              <w:bottom w:val="single" w:sz="4" w:space="0" w:color="auto"/>
              <w:right w:val="single" w:sz="4" w:space="0" w:color="auto"/>
            </w:tcBorders>
            <w:shd w:val="clear" w:color="auto" w:fill="auto"/>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Ставка 0,5 (0,4-0,65)</w:t>
            </w:r>
          </w:p>
        </w:tc>
        <w:tc>
          <w:tcPr>
            <w:tcW w:w="1275"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0-100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178</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85</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38</w:t>
            </w:r>
          </w:p>
        </w:tc>
        <w:tc>
          <w:tcPr>
            <w:tcW w:w="992"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323</w:t>
            </w:r>
          </w:p>
        </w:tc>
      </w:tr>
      <w:tr w:rsidR="008E15E7" w:rsidRPr="002224F3" w:rsidTr="006F24F4">
        <w:trPr>
          <w:trHeight w:val="280"/>
        </w:trPr>
        <w:tc>
          <w:tcPr>
            <w:tcW w:w="2142" w:type="dxa"/>
            <w:vMerge/>
            <w:tcBorders>
              <w:top w:val="nil"/>
              <w:left w:val="single" w:sz="4" w:space="0" w:color="auto"/>
              <w:bottom w:val="single" w:sz="4" w:space="0" w:color="auto"/>
              <w:right w:val="single" w:sz="4" w:space="0" w:color="auto"/>
            </w:tcBorders>
            <w:vAlign w:val="center"/>
            <w:hideMark/>
          </w:tcPr>
          <w:p w:rsidR="008E15E7" w:rsidRPr="002224F3" w:rsidRDefault="008E15E7" w:rsidP="008E15E7">
            <w:pPr>
              <w:rPr>
                <w:rFonts w:asciiTheme="majorHAnsi" w:hAnsiTheme="majorHAnsi"/>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100-200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98</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39</w:t>
            </w:r>
          </w:p>
        </w:tc>
        <w:tc>
          <w:tcPr>
            <w:tcW w:w="992"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36</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199</w:t>
            </w:r>
          </w:p>
        </w:tc>
      </w:tr>
      <w:tr w:rsidR="008E15E7" w:rsidRPr="002224F3" w:rsidTr="006F24F4">
        <w:trPr>
          <w:trHeight w:val="280"/>
        </w:trPr>
        <w:tc>
          <w:tcPr>
            <w:tcW w:w="2142" w:type="dxa"/>
            <w:vMerge/>
            <w:tcBorders>
              <w:top w:val="nil"/>
              <w:left w:val="single" w:sz="4" w:space="0" w:color="auto"/>
              <w:bottom w:val="single" w:sz="4" w:space="0" w:color="auto"/>
              <w:right w:val="single" w:sz="4" w:space="0" w:color="auto"/>
            </w:tcBorders>
            <w:vAlign w:val="center"/>
            <w:hideMark/>
          </w:tcPr>
          <w:p w:rsidR="008E15E7" w:rsidRPr="002224F3" w:rsidRDefault="008E15E7" w:rsidP="008E15E7">
            <w:pPr>
              <w:rPr>
                <w:rFonts w:asciiTheme="majorHAnsi" w:hAnsiTheme="majorHAnsi"/>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200-300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47</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16</w:t>
            </w:r>
          </w:p>
        </w:tc>
        <w:tc>
          <w:tcPr>
            <w:tcW w:w="992"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28</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95</w:t>
            </w:r>
          </w:p>
        </w:tc>
      </w:tr>
      <w:tr w:rsidR="008E15E7" w:rsidRPr="002224F3" w:rsidTr="006F24F4">
        <w:trPr>
          <w:trHeight w:val="280"/>
        </w:trPr>
        <w:tc>
          <w:tcPr>
            <w:tcW w:w="2142" w:type="dxa"/>
            <w:vMerge/>
            <w:tcBorders>
              <w:top w:val="nil"/>
              <w:left w:val="single" w:sz="4" w:space="0" w:color="auto"/>
              <w:bottom w:val="single" w:sz="4" w:space="0" w:color="auto"/>
              <w:right w:val="single" w:sz="4" w:space="0" w:color="auto"/>
            </w:tcBorders>
            <w:vAlign w:val="center"/>
            <w:hideMark/>
          </w:tcPr>
          <w:p w:rsidR="008E15E7" w:rsidRPr="002224F3" w:rsidRDefault="008E15E7" w:rsidP="008E15E7">
            <w:pPr>
              <w:rPr>
                <w:rFonts w:asciiTheme="majorHAnsi" w:hAnsiTheme="majorHAnsi"/>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300-400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8</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9</w:t>
            </w:r>
          </w:p>
        </w:tc>
        <w:tc>
          <w:tcPr>
            <w:tcW w:w="992"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7</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25</w:t>
            </w:r>
          </w:p>
        </w:tc>
      </w:tr>
      <w:tr w:rsidR="008E15E7" w:rsidRPr="002224F3" w:rsidTr="006F24F4">
        <w:trPr>
          <w:trHeight w:val="280"/>
        </w:trPr>
        <w:tc>
          <w:tcPr>
            <w:tcW w:w="2142" w:type="dxa"/>
            <w:vMerge/>
            <w:tcBorders>
              <w:top w:val="nil"/>
              <w:left w:val="single" w:sz="4" w:space="0" w:color="auto"/>
              <w:bottom w:val="single" w:sz="4" w:space="0" w:color="auto"/>
              <w:right w:val="single" w:sz="4" w:space="0" w:color="auto"/>
            </w:tcBorders>
            <w:vAlign w:val="center"/>
            <w:hideMark/>
          </w:tcPr>
          <w:p w:rsidR="008E15E7" w:rsidRPr="002224F3" w:rsidRDefault="008E15E7" w:rsidP="008E15E7">
            <w:pPr>
              <w:rPr>
                <w:rFonts w:asciiTheme="majorHAnsi" w:hAnsiTheme="majorHAnsi"/>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400-500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9</w:t>
            </w:r>
          </w:p>
        </w:tc>
      </w:tr>
      <w:tr w:rsidR="008E15E7" w:rsidRPr="002224F3" w:rsidTr="006F24F4">
        <w:trPr>
          <w:trHeight w:val="280"/>
        </w:trPr>
        <w:tc>
          <w:tcPr>
            <w:tcW w:w="2142" w:type="dxa"/>
            <w:vMerge/>
            <w:tcBorders>
              <w:top w:val="nil"/>
              <w:left w:val="single" w:sz="4" w:space="0" w:color="auto"/>
              <w:bottom w:val="single" w:sz="4" w:space="0" w:color="auto"/>
              <w:right w:val="single" w:sz="4" w:space="0" w:color="auto"/>
            </w:tcBorders>
            <w:vAlign w:val="center"/>
            <w:hideMark/>
          </w:tcPr>
          <w:p w:rsidR="008E15E7" w:rsidRPr="002224F3" w:rsidRDefault="008E15E7" w:rsidP="008E15E7">
            <w:pPr>
              <w:rPr>
                <w:rFonts w:asciiTheme="majorHAnsi" w:hAnsiTheme="majorHAnsi"/>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500-600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0</w:t>
            </w:r>
          </w:p>
        </w:tc>
      </w:tr>
      <w:tr w:rsidR="008E15E7" w:rsidRPr="002224F3" w:rsidTr="006F24F4">
        <w:trPr>
          <w:trHeight w:val="280"/>
        </w:trPr>
        <w:tc>
          <w:tcPr>
            <w:tcW w:w="2142" w:type="dxa"/>
            <w:vMerge/>
            <w:tcBorders>
              <w:top w:val="nil"/>
              <w:left w:val="single" w:sz="4" w:space="0" w:color="auto"/>
              <w:bottom w:val="single" w:sz="4" w:space="0" w:color="auto"/>
              <w:right w:val="single" w:sz="4" w:space="0" w:color="auto"/>
            </w:tcBorders>
            <w:vAlign w:val="center"/>
            <w:hideMark/>
          </w:tcPr>
          <w:p w:rsidR="008E15E7" w:rsidRPr="002224F3" w:rsidRDefault="008E15E7" w:rsidP="008E15E7">
            <w:pPr>
              <w:rPr>
                <w:rFonts w:asciiTheme="majorHAnsi" w:hAnsiTheme="majorHAnsi"/>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&gt; 600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0</w:t>
            </w:r>
          </w:p>
        </w:tc>
      </w:tr>
      <w:tr w:rsidR="008E15E7" w:rsidRPr="002224F3" w:rsidTr="006F24F4">
        <w:trPr>
          <w:trHeight w:val="280"/>
        </w:trPr>
        <w:tc>
          <w:tcPr>
            <w:tcW w:w="2142" w:type="dxa"/>
            <w:vMerge w:val="restart"/>
            <w:tcBorders>
              <w:top w:val="single" w:sz="4" w:space="0" w:color="auto"/>
              <w:left w:val="single" w:sz="4" w:space="0" w:color="auto"/>
              <w:bottom w:val="nil"/>
              <w:right w:val="single" w:sz="4" w:space="0" w:color="auto"/>
            </w:tcBorders>
            <w:shd w:val="clear" w:color="auto" w:fill="auto"/>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Ставка 0,25 ( 0,1-0,35)</w:t>
            </w:r>
          </w:p>
        </w:tc>
        <w:tc>
          <w:tcPr>
            <w:tcW w:w="1275"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0-100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168</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221</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61</w:t>
            </w:r>
          </w:p>
        </w:tc>
        <w:tc>
          <w:tcPr>
            <w:tcW w:w="992"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90</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540</w:t>
            </w:r>
          </w:p>
        </w:tc>
      </w:tr>
      <w:tr w:rsidR="008E15E7" w:rsidRPr="002224F3" w:rsidTr="006F24F4">
        <w:trPr>
          <w:trHeight w:val="280"/>
        </w:trPr>
        <w:tc>
          <w:tcPr>
            <w:tcW w:w="2142" w:type="dxa"/>
            <w:vMerge/>
            <w:tcBorders>
              <w:top w:val="single" w:sz="4" w:space="0" w:color="auto"/>
              <w:left w:val="single" w:sz="4" w:space="0" w:color="auto"/>
              <w:bottom w:val="nil"/>
              <w:right w:val="single" w:sz="4" w:space="0" w:color="auto"/>
            </w:tcBorders>
            <w:vAlign w:val="center"/>
            <w:hideMark/>
          </w:tcPr>
          <w:p w:rsidR="008E15E7" w:rsidRPr="002224F3" w:rsidRDefault="008E15E7" w:rsidP="008E15E7">
            <w:pPr>
              <w:rPr>
                <w:rFonts w:asciiTheme="majorHAnsi" w:hAnsiTheme="majorHAnsi"/>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100-200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6</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14</w:t>
            </w:r>
          </w:p>
        </w:tc>
        <w:tc>
          <w:tcPr>
            <w:tcW w:w="992"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33</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78</w:t>
            </w:r>
          </w:p>
        </w:tc>
      </w:tr>
      <w:tr w:rsidR="008E15E7" w:rsidRPr="002224F3" w:rsidTr="006F24F4">
        <w:trPr>
          <w:trHeight w:val="280"/>
        </w:trPr>
        <w:tc>
          <w:tcPr>
            <w:tcW w:w="2142" w:type="dxa"/>
            <w:vMerge/>
            <w:tcBorders>
              <w:top w:val="single" w:sz="4" w:space="0" w:color="auto"/>
              <w:left w:val="single" w:sz="4" w:space="0" w:color="auto"/>
              <w:bottom w:val="nil"/>
              <w:right w:val="single" w:sz="4" w:space="0" w:color="auto"/>
            </w:tcBorders>
            <w:vAlign w:val="center"/>
            <w:hideMark/>
          </w:tcPr>
          <w:p w:rsidR="008E15E7" w:rsidRPr="002224F3" w:rsidRDefault="008E15E7" w:rsidP="008E15E7">
            <w:pPr>
              <w:rPr>
                <w:rFonts w:asciiTheme="majorHAnsi" w:hAnsiTheme="majorHAnsi"/>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200-300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3</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7</w:t>
            </w:r>
          </w:p>
        </w:tc>
      </w:tr>
      <w:tr w:rsidR="008E15E7" w:rsidRPr="002224F3" w:rsidTr="006F24F4">
        <w:trPr>
          <w:trHeight w:val="280"/>
        </w:trPr>
        <w:tc>
          <w:tcPr>
            <w:tcW w:w="2142" w:type="dxa"/>
            <w:vMerge/>
            <w:tcBorders>
              <w:top w:val="single" w:sz="4" w:space="0" w:color="auto"/>
              <w:left w:val="single" w:sz="4" w:space="0" w:color="auto"/>
              <w:bottom w:val="nil"/>
              <w:right w:val="single" w:sz="4" w:space="0" w:color="auto"/>
            </w:tcBorders>
            <w:vAlign w:val="center"/>
            <w:hideMark/>
          </w:tcPr>
          <w:p w:rsidR="008E15E7" w:rsidRPr="002224F3" w:rsidRDefault="008E15E7" w:rsidP="008E15E7">
            <w:pPr>
              <w:rPr>
                <w:rFonts w:asciiTheme="majorHAnsi" w:hAnsiTheme="majorHAnsi"/>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300-400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w:t>
            </w:r>
          </w:p>
        </w:tc>
      </w:tr>
      <w:tr w:rsidR="008E15E7" w:rsidRPr="002224F3" w:rsidTr="006F24F4">
        <w:trPr>
          <w:trHeight w:val="28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8E15E7" w:rsidRPr="002224F3" w:rsidRDefault="008E15E7" w:rsidP="008E15E7">
            <w:pPr>
              <w:rPr>
                <w:rFonts w:asciiTheme="majorHAnsi" w:hAnsiTheme="majorHAnsi"/>
                <w:color w:val="000000"/>
                <w:sz w:val="20"/>
                <w:szCs w:val="20"/>
              </w:rPr>
            </w:pPr>
            <w:r w:rsidRPr="002224F3">
              <w:rPr>
                <w:rFonts w:asciiTheme="majorHAnsi" w:hAnsiTheme="majorHAnsi"/>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&gt;400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rsidR="008E15E7" w:rsidRPr="002224F3" w:rsidRDefault="008E15E7" w:rsidP="008E15E7">
            <w:pPr>
              <w:jc w:val="center"/>
              <w:rPr>
                <w:rFonts w:asciiTheme="majorHAnsi" w:hAnsiTheme="majorHAnsi"/>
                <w:color w:val="000000"/>
                <w:sz w:val="20"/>
                <w:szCs w:val="20"/>
              </w:rPr>
            </w:pPr>
            <w:r w:rsidRPr="002224F3">
              <w:rPr>
                <w:rFonts w:asciiTheme="majorHAnsi" w:hAnsiTheme="majorHAnsi"/>
                <w:color w:val="000000"/>
                <w:sz w:val="20"/>
                <w:szCs w:val="20"/>
              </w:rPr>
              <w:t>1</w:t>
            </w:r>
          </w:p>
        </w:tc>
      </w:tr>
    </w:tbl>
    <w:p w:rsidR="00AE4BD4" w:rsidRDefault="00AE4BD4" w:rsidP="00A6788C">
      <w:pPr>
        <w:spacing w:after="200" w:line="276" w:lineRule="auto"/>
        <w:jc w:val="both"/>
        <w:rPr>
          <w:b/>
        </w:rPr>
      </w:pPr>
    </w:p>
    <w:p w:rsidR="00A6788C" w:rsidRDefault="008E15E7" w:rsidP="00A6788C">
      <w:pPr>
        <w:spacing w:after="200" w:line="276" w:lineRule="auto"/>
        <w:jc w:val="both"/>
        <w:rPr>
          <w:b/>
        </w:rPr>
      </w:pPr>
      <w:r w:rsidRPr="008E15E7">
        <w:rPr>
          <w:b/>
        </w:rPr>
        <w:t>Диаграмма 8.2.5 Распределение фактической голосовой аудиторной нагрузки у работников на полную ставку по должностям в 2012-13 учебном году</w:t>
      </w:r>
    </w:p>
    <w:p w:rsidR="002E5BCB" w:rsidRPr="008E15E7" w:rsidRDefault="002E5BCB" w:rsidP="00A6788C">
      <w:pPr>
        <w:spacing w:after="200" w:line="276" w:lineRule="auto"/>
        <w:jc w:val="both"/>
        <w:rPr>
          <w:b/>
        </w:rPr>
      </w:pPr>
      <w:r>
        <w:rPr>
          <w:noProof/>
        </w:rPr>
        <w:drawing>
          <wp:inline distT="0" distB="0" distL="0" distR="0">
            <wp:extent cx="5989320" cy="3863340"/>
            <wp:effectExtent l="0" t="0" r="11430" b="22860"/>
            <wp:docPr id="458" name="Диаграмма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58078F" w:rsidRPr="002224F3" w:rsidRDefault="002C353D" w:rsidP="002C353D">
      <w:pPr>
        <w:spacing w:after="200" w:line="276" w:lineRule="auto"/>
        <w:jc w:val="both"/>
      </w:pPr>
      <w:r>
        <w:lastRenderedPageBreak/>
        <w:t>Для сравнения распределения преподавателей по количеству нагрузки в завершившемся и в предыдущем учебном году приведем две диаграммы, указывая распределение процента преподавателей от общего числа в каждом конкретном учебном году.</w:t>
      </w:r>
    </w:p>
    <w:p w:rsidR="002C353D" w:rsidRPr="002C353D" w:rsidRDefault="002C353D" w:rsidP="002C353D">
      <w:pPr>
        <w:spacing w:after="200" w:line="276" w:lineRule="auto"/>
        <w:jc w:val="both"/>
        <w:rPr>
          <w:b/>
        </w:rPr>
      </w:pPr>
      <w:r w:rsidRPr="002C353D">
        <w:rPr>
          <w:b/>
        </w:rPr>
        <w:t>Диаграмма 8.2.6 Распределение преподавателей по должностям и фактической аудиторной нагрузке (в процентах от общей численности ППС</w:t>
      </w:r>
      <w:proofErr w:type="gramStart"/>
      <w:r w:rsidRPr="002C353D">
        <w:rPr>
          <w:b/>
        </w:rPr>
        <w:t xml:space="preserve"> )</w:t>
      </w:r>
      <w:proofErr w:type="gramEnd"/>
      <w:r w:rsidRPr="002C353D">
        <w:rPr>
          <w:b/>
        </w:rPr>
        <w:t xml:space="preserve"> в 2011/12 учебном году</w:t>
      </w:r>
    </w:p>
    <w:p w:rsidR="002C353D" w:rsidRDefault="002C353D" w:rsidP="002C353D">
      <w:pPr>
        <w:spacing w:after="200" w:line="276" w:lineRule="auto"/>
        <w:jc w:val="both"/>
      </w:pPr>
      <w:r>
        <w:rPr>
          <w:noProof/>
        </w:rPr>
        <w:drawing>
          <wp:inline distT="0" distB="0" distL="0" distR="0">
            <wp:extent cx="5056909" cy="3214255"/>
            <wp:effectExtent l="0" t="0" r="10795" b="24765"/>
            <wp:docPr id="459" name="Диаграмма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F57ADF" w:rsidRPr="002C353D" w:rsidRDefault="00F57ADF" w:rsidP="00F57ADF">
      <w:pPr>
        <w:spacing w:after="200" w:line="276" w:lineRule="auto"/>
        <w:jc w:val="both"/>
        <w:rPr>
          <w:b/>
        </w:rPr>
      </w:pPr>
      <w:r>
        <w:rPr>
          <w:b/>
        </w:rPr>
        <w:t>Диаграмма 8.2.7</w:t>
      </w:r>
      <w:r w:rsidRPr="002C353D">
        <w:rPr>
          <w:b/>
        </w:rPr>
        <w:t xml:space="preserve"> Распределение преподавателей по должностям и фактической аудиторной нагрузке (в процентах от общей численности ППС )</w:t>
      </w:r>
      <w:r>
        <w:rPr>
          <w:b/>
        </w:rPr>
        <w:t xml:space="preserve"> в 2012/13</w:t>
      </w:r>
      <w:r w:rsidRPr="002C353D">
        <w:rPr>
          <w:b/>
        </w:rPr>
        <w:t xml:space="preserve"> учебном году</w:t>
      </w:r>
    </w:p>
    <w:p w:rsidR="00F57ADF" w:rsidRDefault="00F57ADF" w:rsidP="002C353D">
      <w:pPr>
        <w:spacing w:after="200" w:line="276" w:lineRule="auto"/>
        <w:jc w:val="both"/>
      </w:pPr>
      <w:r>
        <w:rPr>
          <w:noProof/>
        </w:rPr>
        <w:drawing>
          <wp:inline distT="0" distB="0" distL="0" distR="0">
            <wp:extent cx="5052448" cy="3564610"/>
            <wp:effectExtent l="0" t="0" r="15240" b="17145"/>
            <wp:docPr id="460" name="Диаграмма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2C353D" w:rsidRDefault="00E66301" w:rsidP="002C353D">
      <w:pPr>
        <w:spacing w:after="200" w:line="276" w:lineRule="auto"/>
        <w:jc w:val="both"/>
      </w:pPr>
      <w:r>
        <w:lastRenderedPageBreak/>
        <w:t>Сравнение распределений демонстрирует что, при фактически неизменившейся картине по доцентам, немного снизилась голосовая нагрузка у профессоров. При этом у старших преподавателей и ассистентов кривая сдвинула свой пик вправо, что означает незначительное повышение голосовой нагрузки у этой категории преподавателей.</w:t>
      </w:r>
    </w:p>
    <w:p w:rsidR="00CA16D6" w:rsidRDefault="00CA16D6" w:rsidP="002C353D">
      <w:pPr>
        <w:spacing w:after="200" w:line="276" w:lineRule="auto"/>
        <w:jc w:val="both"/>
      </w:pPr>
      <w:r>
        <w:t>Начиная с 2012 года</w:t>
      </w:r>
      <w:r w:rsidR="00346428">
        <w:t xml:space="preserve"> в НИУ ВШЭ стала развиваться практика реализации части преподавательской нагрузки не штатными преподавателями, а </w:t>
      </w:r>
      <w:r w:rsidR="00BB4034">
        <w:t>на условиях договоров гражданско-правового характера</w:t>
      </w:r>
      <w:r w:rsidR="0058078F">
        <w:t xml:space="preserve"> (ГПД)</w:t>
      </w:r>
      <w:r w:rsidR="00BB4034">
        <w:t xml:space="preserve">. Связан этот процесс с усилением требований к качеству штатного преподавательского состава. Распределение нагрузки </w:t>
      </w:r>
      <w:r w:rsidR="0058078F">
        <w:t xml:space="preserve">в часах учебной нагрузки </w:t>
      </w:r>
      <w:r w:rsidR="00BB4034">
        <w:t>по</w:t>
      </w:r>
      <w:r w:rsidR="0058078F">
        <w:t xml:space="preserve"> выполнению штатными преподавателями и преподавателями на </w:t>
      </w:r>
      <w:r w:rsidR="00BB4034">
        <w:t xml:space="preserve"> </w:t>
      </w:r>
      <w:r w:rsidR="0058078F">
        <w:t>ГПД представлено в таблице ниже.</w:t>
      </w:r>
    </w:p>
    <w:tbl>
      <w:tblPr>
        <w:tblW w:w="8620" w:type="dxa"/>
        <w:tblInd w:w="93" w:type="dxa"/>
        <w:tblLook w:val="04A0" w:firstRow="1" w:lastRow="0" w:firstColumn="1" w:lastColumn="0" w:noHBand="0" w:noVBand="1"/>
      </w:tblPr>
      <w:tblGrid>
        <w:gridCol w:w="4518"/>
        <w:gridCol w:w="1534"/>
        <w:gridCol w:w="1771"/>
        <w:gridCol w:w="797"/>
      </w:tblGrid>
      <w:tr w:rsidR="0058078F" w:rsidRPr="0058078F" w:rsidTr="0058078F">
        <w:trPr>
          <w:trHeight w:val="300"/>
        </w:trPr>
        <w:tc>
          <w:tcPr>
            <w:tcW w:w="8620" w:type="dxa"/>
            <w:gridSpan w:val="4"/>
            <w:tcBorders>
              <w:top w:val="nil"/>
              <w:left w:val="nil"/>
              <w:bottom w:val="nil"/>
              <w:right w:val="nil"/>
            </w:tcBorders>
            <w:shd w:val="clear" w:color="auto" w:fill="auto"/>
            <w:noWrap/>
            <w:vAlign w:val="bottom"/>
            <w:hideMark/>
          </w:tcPr>
          <w:p w:rsidR="0058078F" w:rsidRPr="0058078F" w:rsidRDefault="0058078F" w:rsidP="0058078F">
            <w:pPr>
              <w:jc w:val="center"/>
              <w:rPr>
                <w:b/>
                <w:bCs/>
                <w:color w:val="000000"/>
              </w:rPr>
            </w:pPr>
            <w:r>
              <w:rPr>
                <w:b/>
                <w:bCs/>
                <w:color w:val="000000"/>
              </w:rPr>
              <w:t xml:space="preserve">Таблица 8.2.8 </w:t>
            </w:r>
            <w:r w:rsidRPr="0058078F">
              <w:rPr>
                <w:b/>
                <w:bCs/>
                <w:color w:val="000000"/>
              </w:rPr>
              <w:t>Нагрузка ППС  на 2013/14 уч. год (общая и по договорам ГПХ)</w:t>
            </w:r>
          </w:p>
        </w:tc>
      </w:tr>
      <w:tr w:rsidR="0058078F" w:rsidRPr="0058078F" w:rsidTr="0058078F">
        <w:trPr>
          <w:trHeight w:val="280"/>
        </w:trPr>
        <w:tc>
          <w:tcPr>
            <w:tcW w:w="4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jc w:val="center"/>
              <w:rPr>
                <w:b/>
                <w:bCs/>
                <w:color w:val="000000"/>
                <w:sz w:val="22"/>
                <w:szCs w:val="22"/>
              </w:rPr>
            </w:pPr>
            <w:r w:rsidRPr="0058078F">
              <w:rPr>
                <w:b/>
                <w:bCs/>
                <w:color w:val="000000"/>
                <w:sz w:val="22"/>
                <w:szCs w:val="22"/>
              </w:rPr>
              <w:t>Москва</w:t>
            </w:r>
          </w:p>
        </w:tc>
        <w:tc>
          <w:tcPr>
            <w:tcW w:w="1534" w:type="dxa"/>
            <w:tcBorders>
              <w:top w:val="single" w:sz="4" w:space="0" w:color="auto"/>
              <w:left w:val="nil"/>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 </w:t>
            </w:r>
          </w:p>
        </w:tc>
        <w:tc>
          <w:tcPr>
            <w:tcW w:w="1771" w:type="dxa"/>
            <w:tcBorders>
              <w:top w:val="single" w:sz="4" w:space="0" w:color="auto"/>
              <w:left w:val="nil"/>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 </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58078F" w:rsidRPr="0058078F" w:rsidRDefault="0058078F" w:rsidP="0058078F">
            <w:pPr>
              <w:rPr>
                <w:color w:val="000000"/>
                <w:sz w:val="22"/>
                <w:szCs w:val="22"/>
              </w:rPr>
            </w:pPr>
            <w:r w:rsidRPr="0058078F">
              <w:rPr>
                <w:color w:val="000000"/>
                <w:sz w:val="22"/>
                <w:szCs w:val="22"/>
              </w:rPr>
              <w:t> </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i/>
                <w:iCs/>
                <w:color w:val="000000"/>
                <w:sz w:val="22"/>
                <w:szCs w:val="22"/>
              </w:rPr>
            </w:pPr>
            <w:r w:rsidRPr="0058078F">
              <w:rPr>
                <w:i/>
                <w:iCs/>
                <w:color w:val="000000"/>
                <w:sz w:val="22"/>
                <w:szCs w:val="22"/>
              </w:rPr>
              <w:t xml:space="preserve">Факультет, </w:t>
            </w:r>
            <w:proofErr w:type="spellStart"/>
            <w:r w:rsidRPr="0058078F">
              <w:rPr>
                <w:i/>
                <w:iCs/>
                <w:color w:val="000000"/>
                <w:sz w:val="22"/>
                <w:szCs w:val="22"/>
              </w:rPr>
              <w:t>деп</w:t>
            </w:r>
            <w:proofErr w:type="spellEnd"/>
            <w:r w:rsidRPr="0058078F">
              <w:rPr>
                <w:i/>
                <w:iCs/>
                <w:color w:val="000000"/>
                <w:sz w:val="22"/>
                <w:szCs w:val="22"/>
              </w:rPr>
              <w:t>., отд., каф.</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center"/>
              <w:rPr>
                <w:i/>
                <w:iCs/>
                <w:color w:val="000000"/>
                <w:sz w:val="22"/>
                <w:szCs w:val="22"/>
              </w:rPr>
            </w:pPr>
            <w:r w:rsidRPr="0058078F">
              <w:rPr>
                <w:i/>
                <w:iCs/>
                <w:color w:val="000000"/>
                <w:sz w:val="22"/>
                <w:szCs w:val="22"/>
              </w:rPr>
              <w:t>всего часов</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center"/>
              <w:rPr>
                <w:i/>
                <w:iCs/>
                <w:color w:val="000000"/>
                <w:sz w:val="22"/>
                <w:szCs w:val="22"/>
              </w:rPr>
            </w:pPr>
            <w:r w:rsidRPr="0058078F">
              <w:rPr>
                <w:i/>
                <w:iCs/>
                <w:color w:val="000000"/>
                <w:sz w:val="22"/>
                <w:szCs w:val="22"/>
              </w:rPr>
              <w:t>из них по ГПХ</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center"/>
              <w:rPr>
                <w:i/>
                <w:iCs/>
                <w:color w:val="000000"/>
                <w:sz w:val="22"/>
                <w:szCs w:val="22"/>
              </w:rPr>
            </w:pPr>
            <w:r w:rsidRPr="0058078F">
              <w:rPr>
                <w:i/>
                <w:iCs/>
                <w:color w:val="000000"/>
                <w:sz w:val="22"/>
                <w:szCs w:val="22"/>
              </w:rPr>
              <w:t>%</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Экономика</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458763,1</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13591,45</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3,0%</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proofErr w:type="spellStart"/>
            <w:r w:rsidRPr="0058078F">
              <w:rPr>
                <w:b/>
                <w:bCs/>
                <w:color w:val="000000"/>
                <w:sz w:val="22"/>
                <w:szCs w:val="22"/>
              </w:rPr>
              <w:t>МЭиМП</w:t>
            </w:r>
            <w:proofErr w:type="spellEnd"/>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318662,7</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5256,3</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1,6%</w:t>
            </w:r>
          </w:p>
        </w:tc>
      </w:tr>
      <w:tr w:rsidR="0058078F" w:rsidRPr="0058078F" w:rsidTr="0058078F">
        <w:trPr>
          <w:trHeight w:val="560"/>
        </w:trPr>
        <w:tc>
          <w:tcPr>
            <w:tcW w:w="4518" w:type="dxa"/>
            <w:tcBorders>
              <w:top w:val="nil"/>
              <w:left w:val="single" w:sz="4" w:space="0" w:color="auto"/>
              <w:bottom w:val="single" w:sz="4" w:space="0" w:color="auto"/>
              <w:right w:val="single" w:sz="4" w:space="0" w:color="auto"/>
            </w:tcBorders>
            <w:shd w:val="clear" w:color="auto" w:fill="auto"/>
            <w:vAlign w:val="bottom"/>
            <w:hideMark/>
          </w:tcPr>
          <w:p w:rsidR="0058078F" w:rsidRPr="0058078F" w:rsidRDefault="0058078F" w:rsidP="0058078F">
            <w:pPr>
              <w:rPr>
                <w:b/>
                <w:bCs/>
                <w:color w:val="000000"/>
                <w:sz w:val="22"/>
                <w:szCs w:val="22"/>
              </w:rPr>
            </w:pPr>
            <w:r w:rsidRPr="0058078F">
              <w:rPr>
                <w:b/>
                <w:bCs/>
                <w:color w:val="000000"/>
                <w:sz w:val="22"/>
                <w:szCs w:val="22"/>
              </w:rPr>
              <w:t xml:space="preserve">Прикладная политология и </w:t>
            </w:r>
            <w:proofErr w:type="spellStart"/>
            <w:r w:rsidRPr="0058078F">
              <w:rPr>
                <w:b/>
                <w:bCs/>
                <w:color w:val="000000"/>
                <w:sz w:val="22"/>
                <w:szCs w:val="22"/>
              </w:rPr>
              <w:t>интегрир</w:t>
            </w:r>
            <w:proofErr w:type="spellEnd"/>
            <w:r w:rsidRPr="0058078F">
              <w:rPr>
                <w:b/>
                <w:bCs/>
                <w:color w:val="000000"/>
                <w:sz w:val="22"/>
                <w:szCs w:val="22"/>
              </w:rPr>
              <w:t>. коммун.</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109176,7</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1877,8</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1,7%</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proofErr w:type="spellStart"/>
            <w:r w:rsidRPr="0058078F">
              <w:rPr>
                <w:b/>
                <w:bCs/>
                <w:color w:val="000000"/>
                <w:sz w:val="22"/>
                <w:szCs w:val="22"/>
              </w:rPr>
              <w:t>Медиакоммуникации</w:t>
            </w:r>
            <w:proofErr w:type="spellEnd"/>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91340,5</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1577,7</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1,7%</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Филология</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614748,5</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10880,25</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1,8%</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Философия (с отделениями)</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137966,1</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9454,95</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6,9%</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Психология</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67969</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1752,35</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2,6%</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Социология</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76224</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150</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0,2%</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Математика</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51399,2</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258</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0,5%</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История</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34637,3</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234</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0,7%</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Право</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151500,3</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2310,85</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1,5%</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Менеджмент</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135824,3</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772,8</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0,6%</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Логистика</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67579,8</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0,0%</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proofErr w:type="spellStart"/>
            <w:r w:rsidRPr="0058078F">
              <w:rPr>
                <w:b/>
                <w:bCs/>
                <w:color w:val="000000"/>
                <w:sz w:val="22"/>
                <w:szCs w:val="22"/>
              </w:rPr>
              <w:t>ГиМУ</w:t>
            </w:r>
            <w:proofErr w:type="spellEnd"/>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80552,8</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0,0%</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Бизнес-информатика</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105306,3</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649,95</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0,6%</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proofErr w:type="spellStart"/>
            <w:r w:rsidRPr="0058078F">
              <w:rPr>
                <w:b/>
                <w:bCs/>
                <w:color w:val="000000"/>
                <w:sz w:val="22"/>
                <w:szCs w:val="22"/>
              </w:rPr>
              <w:t>ОПМиИ</w:t>
            </w:r>
            <w:proofErr w:type="spellEnd"/>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70852,2</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0,0%</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ОПИ</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41738</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0,0%</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Дизайн</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118708,1</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0,0%</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Общеуниверситетские каф.</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281102,7</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0,0%</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Демография</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8204,7</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216,2</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2,6%</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Пуб</w:t>
            </w:r>
            <w:r w:rsidR="00232453">
              <w:rPr>
                <w:b/>
                <w:bCs/>
                <w:color w:val="000000"/>
                <w:sz w:val="22"/>
                <w:szCs w:val="22"/>
              </w:rPr>
              <w:t>л</w:t>
            </w:r>
            <w:r w:rsidRPr="0058078F">
              <w:rPr>
                <w:b/>
                <w:bCs/>
                <w:color w:val="000000"/>
                <w:sz w:val="22"/>
                <w:szCs w:val="22"/>
              </w:rPr>
              <w:t>ичная политика</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8143,9</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1174,55</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14,4%</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ВШУ</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5902,9</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0,0%</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Институт образования</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60083</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466,4</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0,8%</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МИЭФ</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94718,5</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0,0%</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Итого</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2910001,9</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50623,55</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1,7%</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jc w:val="center"/>
              <w:rPr>
                <w:b/>
                <w:bCs/>
                <w:color w:val="000000"/>
                <w:sz w:val="22"/>
                <w:szCs w:val="22"/>
              </w:rPr>
            </w:pPr>
            <w:r w:rsidRPr="0058078F">
              <w:rPr>
                <w:b/>
                <w:bCs/>
                <w:color w:val="000000"/>
                <w:sz w:val="22"/>
                <w:szCs w:val="22"/>
              </w:rPr>
              <w:t>МИЭМ</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 </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rPr>
                <w:color w:val="000000"/>
                <w:sz w:val="22"/>
                <w:szCs w:val="22"/>
              </w:rPr>
            </w:pPr>
            <w:r w:rsidRPr="0058078F">
              <w:rPr>
                <w:color w:val="000000"/>
                <w:sz w:val="22"/>
                <w:szCs w:val="22"/>
              </w:rPr>
              <w:t> </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i/>
                <w:iCs/>
                <w:color w:val="000000"/>
                <w:sz w:val="22"/>
                <w:szCs w:val="22"/>
              </w:rPr>
            </w:pPr>
            <w:r w:rsidRPr="0058078F">
              <w:rPr>
                <w:i/>
                <w:iCs/>
                <w:color w:val="000000"/>
                <w:sz w:val="22"/>
                <w:szCs w:val="22"/>
              </w:rPr>
              <w:t xml:space="preserve">Факультет, </w:t>
            </w:r>
            <w:proofErr w:type="spellStart"/>
            <w:r w:rsidRPr="0058078F">
              <w:rPr>
                <w:i/>
                <w:iCs/>
                <w:color w:val="000000"/>
                <w:sz w:val="22"/>
                <w:szCs w:val="22"/>
              </w:rPr>
              <w:t>деп</w:t>
            </w:r>
            <w:proofErr w:type="spellEnd"/>
            <w:r w:rsidRPr="0058078F">
              <w:rPr>
                <w:i/>
                <w:iCs/>
                <w:color w:val="000000"/>
                <w:sz w:val="22"/>
                <w:szCs w:val="22"/>
              </w:rPr>
              <w:t>., отд., каф.</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center"/>
              <w:rPr>
                <w:i/>
                <w:iCs/>
                <w:color w:val="000000"/>
                <w:sz w:val="22"/>
                <w:szCs w:val="22"/>
              </w:rPr>
            </w:pPr>
            <w:r w:rsidRPr="0058078F">
              <w:rPr>
                <w:i/>
                <w:iCs/>
                <w:color w:val="000000"/>
                <w:sz w:val="22"/>
                <w:szCs w:val="22"/>
              </w:rPr>
              <w:t>всего часов</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center"/>
              <w:rPr>
                <w:i/>
                <w:iCs/>
                <w:color w:val="000000"/>
                <w:sz w:val="22"/>
                <w:szCs w:val="22"/>
              </w:rPr>
            </w:pPr>
            <w:r w:rsidRPr="0058078F">
              <w:rPr>
                <w:i/>
                <w:iCs/>
                <w:color w:val="000000"/>
                <w:sz w:val="22"/>
                <w:szCs w:val="22"/>
              </w:rPr>
              <w:t>часы</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center"/>
              <w:rPr>
                <w:i/>
                <w:iCs/>
                <w:color w:val="000000"/>
                <w:sz w:val="22"/>
                <w:szCs w:val="22"/>
              </w:rPr>
            </w:pPr>
            <w:r w:rsidRPr="0058078F">
              <w:rPr>
                <w:i/>
                <w:iCs/>
                <w:color w:val="000000"/>
                <w:sz w:val="22"/>
                <w:szCs w:val="22"/>
              </w:rPr>
              <w:t>%</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proofErr w:type="spellStart"/>
            <w:r w:rsidRPr="0058078F">
              <w:rPr>
                <w:b/>
                <w:bCs/>
                <w:color w:val="000000"/>
                <w:sz w:val="22"/>
                <w:szCs w:val="22"/>
              </w:rPr>
              <w:t>ИТиВТ</w:t>
            </w:r>
            <w:proofErr w:type="spellEnd"/>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0"/>
                <w:szCs w:val="20"/>
              </w:rPr>
            </w:pPr>
            <w:r w:rsidRPr="0058078F">
              <w:rPr>
                <w:b/>
                <w:bCs/>
                <w:color w:val="000000"/>
                <w:sz w:val="20"/>
                <w:szCs w:val="20"/>
              </w:rPr>
              <w:t>114869,4</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9411,6</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8,2%</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proofErr w:type="spellStart"/>
            <w:r w:rsidRPr="0058078F">
              <w:rPr>
                <w:b/>
                <w:bCs/>
                <w:color w:val="000000"/>
                <w:sz w:val="22"/>
                <w:szCs w:val="22"/>
              </w:rPr>
              <w:t>ПМиК</w:t>
            </w:r>
            <w:proofErr w:type="spellEnd"/>
          </w:p>
        </w:tc>
        <w:tc>
          <w:tcPr>
            <w:tcW w:w="1534" w:type="dxa"/>
            <w:tcBorders>
              <w:top w:val="nil"/>
              <w:left w:val="nil"/>
              <w:bottom w:val="single" w:sz="4" w:space="0" w:color="auto"/>
              <w:right w:val="nil"/>
            </w:tcBorders>
            <w:shd w:val="clear" w:color="auto" w:fill="auto"/>
            <w:noWrap/>
            <w:vAlign w:val="bottom"/>
            <w:hideMark/>
          </w:tcPr>
          <w:p w:rsidR="0058078F" w:rsidRPr="0058078F" w:rsidRDefault="0058078F" w:rsidP="0058078F">
            <w:pPr>
              <w:jc w:val="right"/>
              <w:rPr>
                <w:b/>
                <w:bCs/>
                <w:color w:val="000000"/>
                <w:sz w:val="20"/>
                <w:szCs w:val="20"/>
              </w:rPr>
            </w:pPr>
            <w:r w:rsidRPr="0058078F">
              <w:rPr>
                <w:b/>
                <w:bCs/>
                <w:color w:val="000000"/>
                <w:sz w:val="20"/>
                <w:szCs w:val="20"/>
              </w:rPr>
              <w:t>94821,5</w:t>
            </w:r>
          </w:p>
        </w:tc>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5052,75</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5,3%</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proofErr w:type="spellStart"/>
            <w:r w:rsidRPr="0058078F">
              <w:rPr>
                <w:b/>
                <w:bCs/>
                <w:color w:val="000000"/>
                <w:sz w:val="22"/>
                <w:szCs w:val="22"/>
              </w:rPr>
              <w:t>ЭиТК</w:t>
            </w:r>
            <w:proofErr w:type="spellEnd"/>
          </w:p>
        </w:tc>
        <w:tc>
          <w:tcPr>
            <w:tcW w:w="1534" w:type="dxa"/>
            <w:tcBorders>
              <w:top w:val="nil"/>
              <w:left w:val="nil"/>
              <w:bottom w:val="single" w:sz="4" w:space="0" w:color="auto"/>
              <w:right w:val="nil"/>
            </w:tcBorders>
            <w:shd w:val="clear" w:color="auto" w:fill="auto"/>
            <w:noWrap/>
            <w:vAlign w:val="bottom"/>
            <w:hideMark/>
          </w:tcPr>
          <w:p w:rsidR="0058078F" w:rsidRPr="0058078F" w:rsidRDefault="0058078F" w:rsidP="0058078F">
            <w:pPr>
              <w:jc w:val="right"/>
              <w:rPr>
                <w:b/>
                <w:bCs/>
                <w:color w:val="000000"/>
                <w:sz w:val="20"/>
                <w:szCs w:val="20"/>
              </w:rPr>
            </w:pPr>
            <w:r w:rsidRPr="0058078F">
              <w:rPr>
                <w:b/>
                <w:bCs/>
                <w:color w:val="000000"/>
                <w:sz w:val="20"/>
                <w:szCs w:val="20"/>
              </w:rPr>
              <w:t>79245,5</w:t>
            </w:r>
          </w:p>
        </w:tc>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5841,6</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7,4%</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Общеуниверситетские</w:t>
            </w:r>
          </w:p>
        </w:tc>
        <w:tc>
          <w:tcPr>
            <w:tcW w:w="1534" w:type="dxa"/>
            <w:tcBorders>
              <w:top w:val="nil"/>
              <w:left w:val="nil"/>
              <w:bottom w:val="single" w:sz="4" w:space="0" w:color="auto"/>
              <w:right w:val="nil"/>
            </w:tcBorders>
            <w:shd w:val="clear" w:color="auto" w:fill="auto"/>
            <w:noWrap/>
            <w:vAlign w:val="bottom"/>
            <w:hideMark/>
          </w:tcPr>
          <w:p w:rsidR="0058078F" w:rsidRPr="0058078F" w:rsidRDefault="0058078F" w:rsidP="0058078F">
            <w:pPr>
              <w:jc w:val="right"/>
              <w:rPr>
                <w:b/>
                <w:bCs/>
                <w:color w:val="000000"/>
                <w:sz w:val="20"/>
                <w:szCs w:val="20"/>
              </w:rPr>
            </w:pPr>
            <w:r w:rsidRPr="0058078F">
              <w:rPr>
                <w:b/>
                <w:bCs/>
                <w:color w:val="000000"/>
                <w:sz w:val="20"/>
                <w:szCs w:val="20"/>
              </w:rPr>
              <w:t>63425,5</w:t>
            </w:r>
          </w:p>
        </w:tc>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2063,4</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3,3%</w:t>
            </w:r>
          </w:p>
        </w:tc>
      </w:tr>
      <w:tr w:rsidR="0058078F" w:rsidRPr="0058078F" w:rsidTr="0058078F">
        <w:trPr>
          <w:trHeight w:val="28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sz w:val="22"/>
                <w:szCs w:val="22"/>
              </w:rPr>
            </w:pPr>
            <w:r w:rsidRPr="0058078F">
              <w:rPr>
                <w:b/>
                <w:bCs/>
                <w:color w:val="000000"/>
                <w:sz w:val="22"/>
                <w:szCs w:val="22"/>
              </w:rPr>
              <w:t>Итого</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0"/>
                <w:szCs w:val="20"/>
              </w:rPr>
            </w:pPr>
            <w:r w:rsidRPr="0058078F">
              <w:rPr>
                <w:b/>
                <w:bCs/>
                <w:color w:val="000000"/>
                <w:sz w:val="20"/>
                <w:szCs w:val="20"/>
              </w:rPr>
              <w:t>288936,4</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sz w:val="22"/>
                <w:szCs w:val="22"/>
              </w:rPr>
            </w:pPr>
            <w:r w:rsidRPr="0058078F">
              <w:rPr>
                <w:b/>
                <w:bCs/>
                <w:color w:val="000000"/>
                <w:sz w:val="22"/>
                <w:szCs w:val="22"/>
              </w:rPr>
              <w:t>22369,35</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color w:val="000000"/>
                <w:sz w:val="22"/>
                <w:szCs w:val="22"/>
              </w:rPr>
            </w:pPr>
            <w:r w:rsidRPr="0058078F">
              <w:rPr>
                <w:color w:val="000000"/>
                <w:sz w:val="22"/>
                <w:szCs w:val="22"/>
              </w:rPr>
              <w:t>7,7%</w:t>
            </w:r>
          </w:p>
        </w:tc>
      </w:tr>
      <w:tr w:rsidR="0058078F" w:rsidRPr="0058078F" w:rsidTr="0058078F">
        <w:trPr>
          <w:trHeight w:val="30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58078F" w:rsidRPr="0058078F" w:rsidRDefault="0058078F" w:rsidP="0058078F">
            <w:pPr>
              <w:rPr>
                <w:b/>
                <w:bCs/>
                <w:color w:val="000000"/>
              </w:rPr>
            </w:pPr>
            <w:r w:rsidRPr="0058078F">
              <w:rPr>
                <w:b/>
                <w:bCs/>
                <w:color w:val="000000"/>
              </w:rPr>
              <w:t>ВСЕГО по НИУ ВШЭ</w:t>
            </w:r>
          </w:p>
        </w:tc>
        <w:tc>
          <w:tcPr>
            <w:tcW w:w="1534"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rPr>
            </w:pPr>
            <w:r w:rsidRPr="0058078F">
              <w:rPr>
                <w:b/>
                <w:bCs/>
                <w:color w:val="000000"/>
              </w:rPr>
              <w:t>3198938,3</w:t>
            </w:r>
          </w:p>
        </w:tc>
        <w:tc>
          <w:tcPr>
            <w:tcW w:w="1771"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rPr>
            </w:pPr>
            <w:r w:rsidRPr="0058078F">
              <w:rPr>
                <w:b/>
                <w:bCs/>
                <w:color w:val="000000"/>
              </w:rPr>
              <w:t>72992,9</w:t>
            </w:r>
          </w:p>
        </w:tc>
        <w:tc>
          <w:tcPr>
            <w:tcW w:w="797" w:type="dxa"/>
            <w:tcBorders>
              <w:top w:val="nil"/>
              <w:left w:val="nil"/>
              <w:bottom w:val="single" w:sz="4" w:space="0" w:color="auto"/>
              <w:right w:val="single" w:sz="4" w:space="0" w:color="auto"/>
            </w:tcBorders>
            <w:shd w:val="clear" w:color="auto" w:fill="auto"/>
            <w:noWrap/>
            <w:vAlign w:val="bottom"/>
            <w:hideMark/>
          </w:tcPr>
          <w:p w:rsidR="0058078F" w:rsidRPr="0058078F" w:rsidRDefault="0058078F" w:rsidP="0058078F">
            <w:pPr>
              <w:jc w:val="right"/>
              <w:rPr>
                <w:b/>
                <w:bCs/>
                <w:color w:val="000000"/>
              </w:rPr>
            </w:pPr>
            <w:r w:rsidRPr="0058078F">
              <w:rPr>
                <w:b/>
                <w:bCs/>
                <w:color w:val="000000"/>
              </w:rPr>
              <w:t>2,3%</w:t>
            </w:r>
          </w:p>
        </w:tc>
      </w:tr>
    </w:tbl>
    <w:p w:rsidR="002C353D" w:rsidRPr="005F0EC4" w:rsidRDefault="00232453" w:rsidP="002C3534">
      <w:pPr>
        <w:spacing w:after="200" w:line="276" w:lineRule="auto"/>
        <w:jc w:val="both"/>
      </w:pPr>
      <w:r>
        <w:lastRenderedPageBreak/>
        <w:t>Таким образом, 2,3 процента учебной нагрузки в Москве запланировано на 2013/14 ученый год к выполнению по договорам ГПХ. Это соответствует примерно 104 ставкам доцента. Наибольшая доля нагрузки будет реализована привлеченными преподавателями кафедре публичной политики (14,4</w:t>
      </w:r>
      <w:r w:rsidRPr="00A066EB">
        <w:t>%</w:t>
      </w:r>
      <w:r>
        <w:t xml:space="preserve"> )</w:t>
      </w:r>
      <w:r w:rsidR="00624C51">
        <w:t>, факультеты МИЭМ в целом 7,7 процентов нагрузки поручили преподавателям, не принятым в штат, факультет философии вместе с отделениями востоковедения и культурологии, привлекли преподавателей на ГПД для реализации примерно 7 процентов годовой нагрузки.</w:t>
      </w:r>
    </w:p>
    <w:p w:rsidR="0021505C" w:rsidRDefault="005005BC" w:rsidP="002C3534">
      <w:pPr>
        <w:pStyle w:val="2"/>
        <w:numPr>
          <w:ilvl w:val="1"/>
          <w:numId w:val="1"/>
        </w:numPr>
      </w:pPr>
      <w:bookmarkStart w:id="64" w:name="_Toc374030076"/>
      <w:r>
        <w:t>Проект “Учебные ассистенты”, количественный и качественный анализ</w:t>
      </w:r>
      <w:r w:rsidR="00BB4034">
        <w:t xml:space="preserve"> данных об  участниках</w:t>
      </w:r>
      <w:r>
        <w:t xml:space="preserve"> проекта</w:t>
      </w:r>
      <w:bookmarkEnd w:id="64"/>
    </w:p>
    <w:p w:rsidR="006F24F4" w:rsidRDefault="006F24F4" w:rsidP="00FD7CDC">
      <w:pPr>
        <w:spacing w:after="200" w:line="276" w:lineRule="auto"/>
        <w:jc w:val="both"/>
      </w:pPr>
    </w:p>
    <w:p w:rsidR="00FD7CDC" w:rsidRPr="00AD75E5" w:rsidRDefault="00FD7CDC" w:rsidP="00FD7CDC">
      <w:pPr>
        <w:spacing w:after="200" w:line="276" w:lineRule="auto"/>
        <w:jc w:val="both"/>
        <w:rPr>
          <w:color w:val="000000"/>
        </w:rPr>
      </w:pPr>
      <w:r w:rsidRPr="00A6371A">
        <w:t>В рамках программы  «Фонд образовательных инноваций», начиная с весны 2009-10 учебного года, в НИУ ВШЭ реализуется проект «Учебный ассистент», в котором участвуют студенты и аспиранты университета под руководством преподавателей. Заявки на конкурс представляют штатные преподаватели НИУ ВШЭ, а также штатные со</w:t>
      </w:r>
      <w:r w:rsidR="0021505C">
        <w:t>трудники, преподающие на основе</w:t>
      </w:r>
      <w:r w:rsidRPr="00A6371A">
        <w:t xml:space="preserve"> внутреннего совместительства не менее чем на 0,5 ставки. Руководство</w:t>
      </w:r>
      <w:r w:rsidRPr="00AD75E5">
        <w:rPr>
          <w:color w:val="000000"/>
        </w:rPr>
        <w:t xml:space="preserve"> учебными ассистентами включается в ежегодную учебную нагрузку преподавателя в объеме 50 часов за работу с одним учебным ассистентом в рамках проекта. </w:t>
      </w:r>
    </w:p>
    <w:p w:rsidR="00FD7CDC" w:rsidRPr="009A67EA" w:rsidRDefault="00FD7CDC" w:rsidP="00FD7CDC">
      <w:pPr>
        <w:spacing w:after="200" w:line="276" w:lineRule="auto"/>
        <w:jc w:val="both"/>
      </w:pPr>
      <w:r w:rsidRPr="009A67EA">
        <w:t>Работа по проекту «Учебный ассистент»  началась  весной  2009/2010 учебного года и продолжается по настоящее время. За этот период 34 человека стали преподавателями, а 557 учебных ассистентов участвовал</w:t>
      </w:r>
      <w:r w:rsidR="0021505C">
        <w:t xml:space="preserve">и в проекте повторно </w:t>
      </w:r>
    </w:p>
    <w:p w:rsidR="00FD7CDC" w:rsidRDefault="0021505C" w:rsidP="00FD7CDC">
      <w:pPr>
        <w:spacing w:after="200" w:line="276" w:lineRule="auto"/>
        <w:jc w:val="both"/>
        <w:rPr>
          <w:b/>
          <w:color w:val="000000"/>
        </w:rPr>
      </w:pPr>
      <w:r>
        <w:rPr>
          <w:b/>
          <w:color w:val="000000"/>
        </w:rPr>
        <w:t>Таблица 8</w:t>
      </w:r>
      <w:r w:rsidR="00FD7CDC" w:rsidRPr="00225950">
        <w:rPr>
          <w:b/>
          <w:color w:val="000000"/>
        </w:rPr>
        <w:t>.3.1</w:t>
      </w:r>
    </w:p>
    <w:tbl>
      <w:tblPr>
        <w:tblW w:w="9383" w:type="dxa"/>
        <w:tblInd w:w="93" w:type="dxa"/>
        <w:tblLook w:val="04A0" w:firstRow="1" w:lastRow="0" w:firstColumn="1" w:lastColumn="0" w:noHBand="0" w:noVBand="1"/>
      </w:tblPr>
      <w:tblGrid>
        <w:gridCol w:w="2012"/>
        <w:gridCol w:w="1921"/>
        <w:gridCol w:w="1831"/>
        <w:gridCol w:w="2298"/>
        <w:gridCol w:w="1321"/>
      </w:tblGrid>
      <w:tr w:rsidR="00FD7CDC" w:rsidRPr="006F24F4" w:rsidTr="0021505C">
        <w:trPr>
          <w:trHeight w:val="507"/>
        </w:trPr>
        <w:tc>
          <w:tcPr>
            <w:tcW w:w="20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7CDC" w:rsidRPr="006F24F4" w:rsidRDefault="00FD7CDC" w:rsidP="00BE5D68">
            <w:pPr>
              <w:rPr>
                <w:rFonts w:cs="Calibri"/>
              </w:rPr>
            </w:pPr>
            <w:r w:rsidRPr="006F24F4">
              <w:rPr>
                <w:rFonts w:cs="Calibri"/>
              </w:rPr>
              <w:t> </w:t>
            </w:r>
            <w:r w:rsidR="0021505C" w:rsidRPr="006F24F4">
              <w:rPr>
                <w:rFonts w:cs="Calibri"/>
              </w:rPr>
              <w:t>Учебный период</w:t>
            </w:r>
          </w:p>
        </w:tc>
        <w:tc>
          <w:tcPr>
            <w:tcW w:w="1921" w:type="dxa"/>
            <w:tcBorders>
              <w:top w:val="single" w:sz="4" w:space="0" w:color="auto"/>
              <w:left w:val="nil"/>
              <w:bottom w:val="single" w:sz="4" w:space="0" w:color="auto"/>
              <w:right w:val="single" w:sz="4" w:space="0" w:color="auto"/>
            </w:tcBorders>
            <w:shd w:val="clear" w:color="000000" w:fill="FFFFFF"/>
            <w:vAlign w:val="center"/>
            <w:hideMark/>
          </w:tcPr>
          <w:p w:rsidR="00FD7CDC" w:rsidRPr="006F24F4" w:rsidRDefault="00FD7CDC" w:rsidP="00BE5D68">
            <w:pPr>
              <w:jc w:val="center"/>
              <w:rPr>
                <w:rFonts w:cs="Calibri"/>
              </w:rPr>
            </w:pPr>
            <w:r w:rsidRPr="006F24F4">
              <w:rPr>
                <w:rFonts w:cs="Calibri"/>
              </w:rPr>
              <w:t>впервые избран</w:t>
            </w:r>
          </w:p>
        </w:tc>
        <w:tc>
          <w:tcPr>
            <w:tcW w:w="1831" w:type="dxa"/>
            <w:tcBorders>
              <w:top w:val="single" w:sz="4" w:space="0" w:color="auto"/>
              <w:left w:val="nil"/>
              <w:bottom w:val="single" w:sz="4" w:space="0" w:color="auto"/>
              <w:right w:val="single" w:sz="4" w:space="0" w:color="auto"/>
            </w:tcBorders>
            <w:shd w:val="clear" w:color="000000" w:fill="FFFFFF"/>
            <w:vAlign w:val="center"/>
            <w:hideMark/>
          </w:tcPr>
          <w:p w:rsidR="00FD7CDC" w:rsidRPr="006F24F4" w:rsidRDefault="00FD7CDC" w:rsidP="00BE5D68">
            <w:pPr>
              <w:jc w:val="center"/>
              <w:rPr>
                <w:rFonts w:cs="Calibri"/>
              </w:rPr>
            </w:pPr>
            <w:r w:rsidRPr="006F24F4">
              <w:rPr>
                <w:rFonts w:cs="Calibri"/>
              </w:rPr>
              <w:t>повторно избран</w:t>
            </w:r>
          </w:p>
        </w:tc>
        <w:tc>
          <w:tcPr>
            <w:tcW w:w="2298" w:type="dxa"/>
            <w:tcBorders>
              <w:top w:val="single" w:sz="4" w:space="0" w:color="auto"/>
              <w:left w:val="nil"/>
              <w:bottom w:val="single" w:sz="4" w:space="0" w:color="auto"/>
              <w:right w:val="single" w:sz="4" w:space="0" w:color="auto"/>
            </w:tcBorders>
            <w:shd w:val="clear" w:color="auto" w:fill="auto"/>
            <w:vAlign w:val="center"/>
            <w:hideMark/>
          </w:tcPr>
          <w:p w:rsidR="00FD7CDC" w:rsidRPr="006F24F4" w:rsidRDefault="00FD7CDC" w:rsidP="00BE5D68">
            <w:pPr>
              <w:jc w:val="center"/>
              <w:rPr>
                <w:rFonts w:cs="Calibri"/>
              </w:rPr>
            </w:pPr>
            <w:r w:rsidRPr="006F24F4">
              <w:rPr>
                <w:rFonts w:cs="Calibri"/>
              </w:rPr>
              <w:t>стали преподавателями</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FD7CDC" w:rsidRPr="006F24F4" w:rsidRDefault="00FD7CDC" w:rsidP="00BE5D68">
            <w:pPr>
              <w:jc w:val="center"/>
              <w:rPr>
                <w:rFonts w:cs="Calibri"/>
              </w:rPr>
            </w:pPr>
            <w:r w:rsidRPr="006F24F4">
              <w:rPr>
                <w:rFonts w:cs="Calibri"/>
              </w:rPr>
              <w:t>всего</w:t>
            </w:r>
          </w:p>
        </w:tc>
      </w:tr>
      <w:tr w:rsidR="00FD7CDC" w:rsidRPr="006F24F4" w:rsidTr="0021505C">
        <w:trPr>
          <w:trHeight w:val="261"/>
        </w:trPr>
        <w:tc>
          <w:tcPr>
            <w:tcW w:w="2012" w:type="dxa"/>
            <w:tcBorders>
              <w:top w:val="nil"/>
              <w:left w:val="single" w:sz="4" w:space="0" w:color="auto"/>
              <w:bottom w:val="single" w:sz="4" w:space="0" w:color="auto"/>
              <w:right w:val="single" w:sz="4" w:space="0" w:color="auto"/>
            </w:tcBorders>
            <w:shd w:val="clear" w:color="auto" w:fill="auto"/>
            <w:noWrap/>
            <w:vAlign w:val="bottom"/>
            <w:hideMark/>
          </w:tcPr>
          <w:p w:rsidR="00FD7CDC" w:rsidRPr="006F24F4" w:rsidRDefault="00FD7CDC" w:rsidP="00BE5D68">
            <w:pPr>
              <w:rPr>
                <w:rFonts w:cs="Calibri"/>
              </w:rPr>
            </w:pPr>
            <w:r w:rsidRPr="006F24F4">
              <w:rPr>
                <w:rFonts w:cs="Calibri"/>
              </w:rPr>
              <w:t>3-5мод.09-10</w:t>
            </w:r>
          </w:p>
        </w:tc>
        <w:tc>
          <w:tcPr>
            <w:tcW w:w="192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54</w:t>
            </w:r>
          </w:p>
        </w:tc>
        <w:tc>
          <w:tcPr>
            <w:tcW w:w="183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0</w:t>
            </w:r>
          </w:p>
        </w:tc>
        <w:tc>
          <w:tcPr>
            <w:tcW w:w="2298"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 0</w:t>
            </w:r>
          </w:p>
        </w:tc>
        <w:tc>
          <w:tcPr>
            <w:tcW w:w="132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54</w:t>
            </w:r>
          </w:p>
        </w:tc>
      </w:tr>
      <w:tr w:rsidR="00FD7CDC" w:rsidRPr="006F24F4" w:rsidTr="0021505C">
        <w:trPr>
          <w:trHeight w:val="261"/>
        </w:trPr>
        <w:tc>
          <w:tcPr>
            <w:tcW w:w="2012" w:type="dxa"/>
            <w:tcBorders>
              <w:top w:val="nil"/>
              <w:left w:val="single" w:sz="4" w:space="0" w:color="auto"/>
              <w:bottom w:val="single" w:sz="4" w:space="0" w:color="auto"/>
              <w:right w:val="single" w:sz="4" w:space="0" w:color="auto"/>
            </w:tcBorders>
            <w:shd w:val="clear" w:color="auto" w:fill="auto"/>
            <w:noWrap/>
            <w:vAlign w:val="bottom"/>
            <w:hideMark/>
          </w:tcPr>
          <w:p w:rsidR="00FD7CDC" w:rsidRPr="006F24F4" w:rsidRDefault="00FD7CDC" w:rsidP="00BE5D68">
            <w:pPr>
              <w:rPr>
                <w:rFonts w:cs="Calibri"/>
              </w:rPr>
            </w:pPr>
            <w:r w:rsidRPr="006F24F4">
              <w:rPr>
                <w:rFonts w:cs="Calibri"/>
              </w:rPr>
              <w:t>1-2мод.10-11</w:t>
            </w:r>
          </w:p>
        </w:tc>
        <w:tc>
          <w:tcPr>
            <w:tcW w:w="192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59</w:t>
            </w:r>
          </w:p>
        </w:tc>
        <w:tc>
          <w:tcPr>
            <w:tcW w:w="183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20</w:t>
            </w:r>
          </w:p>
        </w:tc>
        <w:tc>
          <w:tcPr>
            <w:tcW w:w="2298"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1</w:t>
            </w:r>
          </w:p>
        </w:tc>
        <w:tc>
          <w:tcPr>
            <w:tcW w:w="132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79</w:t>
            </w:r>
          </w:p>
        </w:tc>
      </w:tr>
      <w:tr w:rsidR="00FD7CDC" w:rsidRPr="006F24F4" w:rsidTr="0021505C">
        <w:trPr>
          <w:trHeight w:val="261"/>
        </w:trPr>
        <w:tc>
          <w:tcPr>
            <w:tcW w:w="2012" w:type="dxa"/>
            <w:tcBorders>
              <w:top w:val="nil"/>
              <w:left w:val="single" w:sz="4" w:space="0" w:color="auto"/>
              <w:bottom w:val="single" w:sz="4" w:space="0" w:color="auto"/>
              <w:right w:val="single" w:sz="4" w:space="0" w:color="auto"/>
            </w:tcBorders>
            <w:shd w:val="clear" w:color="auto" w:fill="auto"/>
            <w:noWrap/>
            <w:vAlign w:val="bottom"/>
            <w:hideMark/>
          </w:tcPr>
          <w:p w:rsidR="00FD7CDC" w:rsidRPr="006F24F4" w:rsidRDefault="00FD7CDC" w:rsidP="00BE5D68">
            <w:pPr>
              <w:rPr>
                <w:rFonts w:cs="Calibri"/>
              </w:rPr>
            </w:pPr>
            <w:r w:rsidRPr="006F24F4">
              <w:rPr>
                <w:rFonts w:cs="Calibri"/>
              </w:rPr>
              <w:t>3-4мод.10-11</w:t>
            </w:r>
          </w:p>
        </w:tc>
        <w:tc>
          <w:tcPr>
            <w:tcW w:w="192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78</w:t>
            </w:r>
          </w:p>
        </w:tc>
        <w:tc>
          <w:tcPr>
            <w:tcW w:w="183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46</w:t>
            </w:r>
          </w:p>
        </w:tc>
        <w:tc>
          <w:tcPr>
            <w:tcW w:w="2298"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9</w:t>
            </w:r>
          </w:p>
        </w:tc>
        <w:tc>
          <w:tcPr>
            <w:tcW w:w="132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124</w:t>
            </w:r>
          </w:p>
        </w:tc>
      </w:tr>
      <w:tr w:rsidR="00FD7CDC" w:rsidRPr="006F24F4" w:rsidTr="0021505C">
        <w:trPr>
          <w:trHeight w:val="261"/>
        </w:trPr>
        <w:tc>
          <w:tcPr>
            <w:tcW w:w="2012" w:type="dxa"/>
            <w:tcBorders>
              <w:top w:val="nil"/>
              <w:left w:val="single" w:sz="4" w:space="0" w:color="auto"/>
              <w:bottom w:val="single" w:sz="4" w:space="0" w:color="auto"/>
              <w:right w:val="single" w:sz="4" w:space="0" w:color="auto"/>
            </w:tcBorders>
            <w:shd w:val="clear" w:color="auto" w:fill="auto"/>
            <w:noWrap/>
            <w:vAlign w:val="bottom"/>
            <w:hideMark/>
          </w:tcPr>
          <w:p w:rsidR="00FD7CDC" w:rsidRPr="006F24F4" w:rsidRDefault="00FD7CDC" w:rsidP="00BE5D68">
            <w:pPr>
              <w:rPr>
                <w:rFonts w:cs="Calibri"/>
              </w:rPr>
            </w:pPr>
            <w:r w:rsidRPr="006F24F4">
              <w:rPr>
                <w:rFonts w:cs="Calibri"/>
              </w:rPr>
              <w:t>1-2мод.11-12</w:t>
            </w:r>
          </w:p>
        </w:tc>
        <w:tc>
          <w:tcPr>
            <w:tcW w:w="192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116</w:t>
            </w:r>
          </w:p>
        </w:tc>
        <w:tc>
          <w:tcPr>
            <w:tcW w:w="183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48</w:t>
            </w:r>
          </w:p>
        </w:tc>
        <w:tc>
          <w:tcPr>
            <w:tcW w:w="2298"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0</w:t>
            </w:r>
          </w:p>
        </w:tc>
        <w:tc>
          <w:tcPr>
            <w:tcW w:w="132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164</w:t>
            </w:r>
          </w:p>
        </w:tc>
      </w:tr>
      <w:tr w:rsidR="00FD7CDC" w:rsidRPr="006F24F4" w:rsidTr="0021505C">
        <w:trPr>
          <w:trHeight w:val="261"/>
        </w:trPr>
        <w:tc>
          <w:tcPr>
            <w:tcW w:w="2012" w:type="dxa"/>
            <w:tcBorders>
              <w:top w:val="nil"/>
              <w:left w:val="single" w:sz="4" w:space="0" w:color="auto"/>
              <w:bottom w:val="single" w:sz="4" w:space="0" w:color="auto"/>
              <w:right w:val="single" w:sz="4" w:space="0" w:color="auto"/>
            </w:tcBorders>
            <w:shd w:val="clear" w:color="auto" w:fill="auto"/>
            <w:noWrap/>
            <w:vAlign w:val="bottom"/>
            <w:hideMark/>
          </w:tcPr>
          <w:p w:rsidR="00FD7CDC" w:rsidRPr="006F24F4" w:rsidRDefault="00FD7CDC" w:rsidP="00BE5D68">
            <w:pPr>
              <w:rPr>
                <w:rFonts w:cs="Calibri"/>
              </w:rPr>
            </w:pPr>
            <w:r w:rsidRPr="006F24F4">
              <w:rPr>
                <w:rFonts w:cs="Calibri"/>
              </w:rPr>
              <w:t>3-4мод.11-12</w:t>
            </w:r>
          </w:p>
        </w:tc>
        <w:tc>
          <w:tcPr>
            <w:tcW w:w="192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110</w:t>
            </w:r>
          </w:p>
        </w:tc>
        <w:tc>
          <w:tcPr>
            <w:tcW w:w="183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110</w:t>
            </w:r>
          </w:p>
        </w:tc>
        <w:tc>
          <w:tcPr>
            <w:tcW w:w="2298"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7</w:t>
            </w:r>
          </w:p>
        </w:tc>
        <w:tc>
          <w:tcPr>
            <w:tcW w:w="132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220</w:t>
            </w:r>
          </w:p>
        </w:tc>
      </w:tr>
      <w:tr w:rsidR="00FD7CDC" w:rsidRPr="006F24F4" w:rsidTr="0021505C">
        <w:trPr>
          <w:trHeight w:val="261"/>
        </w:trPr>
        <w:tc>
          <w:tcPr>
            <w:tcW w:w="2012" w:type="dxa"/>
            <w:tcBorders>
              <w:top w:val="nil"/>
              <w:left w:val="single" w:sz="4" w:space="0" w:color="auto"/>
              <w:bottom w:val="single" w:sz="4" w:space="0" w:color="auto"/>
              <w:right w:val="single" w:sz="4" w:space="0" w:color="auto"/>
            </w:tcBorders>
            <w:shd w:val="clear" w:color="auto" w:fill="auto"/>
            <w:noWrap/>
            <w:vAlign w:val="bottom"/>
            <w:hideMark/>
          </w:tcPr>
          <w:p w:rsidR="00FD7CDC" w:rsidRPr="006F24F4" w:rsidRDefault="00FD7CDC" w:rsidP="00BE5D68">
            <w:pPr>
              <w:rPr>
                <w:rFonts w:cs="Calibri"/>
              </w:rPr>
            </w:pPr>
            <w:r w:rsidRPr="006F24F4">
              <w:rPr>
                <w:rFonts w:cs="Calibri"/>
              </w:rPr>
              <w:t>1-2мод.12-13</w:t>
            </w:r>
          </w:p>
        </w:tc>
        <w:tc>
          <w:tcPr>
            <w:tcW w:w="192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183</w:t>
            </w:r>
          </w:p>
        </w:tc>
        <w:tc>
          <w:tcPr>
            <w:tcW w:w="183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62</w:t>
            </w:r>
          </w:p>
        </w:tc>
        <w:tc>
          <w:tcPr>
            <w:tcW w:w="2298"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1</w:t>
            </w:r>
          </w:p>
        </w:tc>
        <w:tc>
          <w:tcPr>
            <w:tcW w:w="132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245</w:t>
            </w:r>
          </w:p>
        </w:tc>
      </w:tr>
      <w:tr w:rsidR="00FD7CDC" w:rsidRPr="006F24F4" w:rsidTr="0021505C">
        <w:trPr>
          <w:trHeight w:val="261"/>
        </w:trPr>
        <w:tc>
          <w:tcPr>
            <w:tcW w:w="2012" w:type="dxa"/>
            <w:tcBorders>
              <w:top w:val="nil"/>
              <w:left w:val="single" w:sz="4" w:space="0" w:color="auto"/>
              <w:bottom w:val="single" w:sz="4" w:space="0" w:color="auto"/>
              <w:right w:val="single" w:sz="4" w:space="0" w:color="auto"/>
            </w:tcBorders>
            <w:shd w:val="clear" w:color="auto" w:fill="auto"/>
            <w:noWrap/>
            <w:vAlign w:val="bottom"/>
            <w:hideMark/>
          </w:tcPr>
          <w:p w:rsidR="00FD7CDC" w:rsidRPr="006F24F4" w:rsidRDefault="00FD7CDC" w:rsidP="00BE5D68">
            <w:pPr>
              <w:rPr>
                <w:rFonts w:cs="Calibri"/>
              </w:rPr>
            </w:pPr>
            <w:r w:rsidRPr="006F24F4">
              <w:rPr>
                <w:rFonts w:cs="Calibri"/>
              </w:rPr>
              <w:t>3-4мод.12-13</w:t>
            </w:r>
          </w:p>
        </w:tc>
        <w:tc>
          <w:tcPr>
            <w:tcW w:w="192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153</w:t>
            </w:r>
          </w:p>
        </w:tc>
        <w:tc>
          <w:tcPr>
            <w:tcW w:w="183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169</w:t>
            </w:r>
          </w:p>
        </w:tc>
        <w:tc>
          <w:tcPr>
            <w:tcW w:w="2298"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0</w:t>
            </w:r>
          </w:p>
        </w:tc>
        <w:tc>
          <w:tcPr>
            <w:tcW w:w="132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322</w:t>
            </w:r>
          </w:p>
        </w:tc>
      </w:tr>
      <w:tr w:rsidR="00FD7CDC" w:rsidRPr="006F24F4" w:rsidTr="0021505C">
        <w:trPr>
          <w:trHeight w:val="261"/>
        </w:trPr>
        <w:tc>
          <w:tcPr>
            <w:tcW w:w="2012" w:type="dxa"/>
            <w:tcBorders>
              <w:top w:val="nil"/>
              <w:left w:val="single" w:sz="4" w:space="0" w:color="auto"/>
              <w:bottom w:val="single" w:sz="4" w:space="0" w:color="auto"/>
              <w:right w:val="single" w:sz="4" w:space="0" w:color="auto"/>
            </w:tcBorders>
            <w:shd w:val="clear" w:color="auto" w:fill="auto"/>
            <w:noWrap/>
            <w:vAlign w:val="bottom"/>
            <w:hideMark/>
          </w:tcPr>
          <w:p w:rsidR="00FD7CDC" w:rsidRPr="006F24F4" w:rsidRDefault="00FD7CDC" w:rsidP="00BE5D68">
            <w:pPr>
              <w:rPr>
                <w:rFonts w:cs="Calibri"/>
              </w:rPr>
            </w:pPr>
            <w:r w:rsidRPr="006F24F4">
              <w:rPr>
                <w:rFonts w:cs="Calibri"/>
              </w:rPr>
              <w:t>1-2мод.13-14</w:t>
            </w:r>
          </w:p>
        </w:tc>
        <w:tc>
          <w:tcPr>
            <w:tcW w:w="192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288</w:t>
            </w:r>
          </w:p>
        </w:tc>
        <w:tc>
          <w:tcPr>
            <w:tcW w:w="1831"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102</w:t>
            </w:r>
          </w:p>
        </w:tc>
        <w:tc>
          <w:tcPr>
            <w:tcW w:w="2298" w:type="dxa"/>
            <w:tcBorders>
              <w:top w:val="nil"/>
              <w:left w:val="nil"/>
              <w:bottom w:val="single" w:sz="4" w:space="0" w:color="auto"/>
              <w:right w:val="single" w:sz="4" w:space="0" w:color="auto"/>
            </w:tcBorders>
            <w:shd w:val="clear" w:color="auto" w:fill="auto"/>
            <w:noWrap/>
            <w:vAlign w:val="bottom"/>
            <w:hideMark/>
          </w:tcPr>
          <w:p w:rsidR="00FD7CDC" w:rsidRPr="006F24F4" w:rsidRDefault="00FD7CDC" w:rsidP="00BE5D68">
            <w:pPr>
              <w:jc w:val="center"/>
              <w:rPr>
                <w:rFonts w:cs="Calibri"/>
              </w:rPr>
            </w:pPr>
            <w:r w:rsidRPr="006F24F4">
              <w:rPr>
                <w:rFonts w:cs="Calibri"/>
              </w:rPr>
              <w:t>16</w:t>
            </w:r>
          </w:p>
        </w:tc>
        <w:tc>
          <w:tcPr>
            <w:tcW w:w="1321" w:type="dxa"/>
            <w:tcBorders>
              <w:top w:val="nil"/>
              <w:left w:val="nil"/>
              <w:bottom w:val="single" w:sz="4" w:space="0" w:color="auto"/>
              <w:right w:val="single" w:sz="4" w:space="0" w:color="auto"/>
            </w:tcBorders>
            <w:shd w:val="clear" w:color="000000" w:fill="FFFFFF"/>
            <w:noWrap/>
            <w:vAlign w:val="bottom"/>
            <w:hideMark/>
          </w:tcPr>
          <w:p w:rsidR="00FD7CDC" w:rsidRPr="006F24F4" w:rsidRDefault="00FD7CDC" w:rsidP="00BE5D68">
            <w:pPr>
              <w:jc w:val="center"/>
              <w:rPr>
                <w:rFonts w:cs="Calibri"/>
              </w:rPr>
            </w:pPr>
            <w:r w:rsidRPr="006F24F4">
              <w:rPr>
                <w:rFonts w:cs="Calibri"/>
              </w:rPr>
              <w:t>390</w:t>
            </w:r>
          </w:p>
        </w:tc>
      </w:tr>
    </w:tbl>
    <w:p w:rsidR="00FD7CDC" w:rsidRPr="0021505C" w:rsidRDefault="00FD7CDC" w:rsidP="00FD7CDC">
      <w:pPr>
        <w:spacing w:after="200" w:line="276" w:lineRule="auto"/>
        <w:jc w:val="both"/>
      </w:pPr>
      <w:r w:rsidRPr="0021505C">
        <w:t xml:space="preserve">За все периоды существования проекта наблюдается стабильный рост количества учебных ассистентов, что отражается в  гистограмме </w:t>
      </w:r>
      <w:r w:rsidR="0021505C">
        <w:t>8</w:t>
      </w:r>
      <w:r w:rsidRPr="0021505C">
        <w:t>.3.2:</w:t>
      </w:r>
    </w:p>
    <w:p w:rsidR="006F24F4" w:rsidRDefault="006F24F4" w:rsidP="00FD7CDC">
      <w:pPr>
        <w:pStyle w:val="32"/>
        <w:snapToGrid w:val="0"/>
        <w:spacing w:after="0" w:line="360" w:lineRule="auto"/>
        <w:jc w:val="both"/>
        <w:rPr>
          <w:rFonts w:asciiTheme="minorHAnsi" w:hAnsiTheme="minorHAnsi" w:cstheme="minorHAnsi"/>
          <w:b/>
          <w:sz w:val="24"/>
          <w:szCs w:val="24"/>
        </w:rPr>
      </w:pPr>
    </w:p>
    <w:p w:rsidR="006F24F4" w:rsidRDefault="006F24F4" w:rsidP="00FD7CDC">
      <w:pPr>
        <w:pStyle w:val="32"/>
        <w:snapToGrid w:val="0"/>
        <w:spacing w:after="0" w:line="360" w:lineRule="auto"/>
        <w:jc w:val="both"/>
        <w:rPr>
          <w:rFonts w:asciiTheme="minorHAnsi" w:hAnsiTheme="minorHAnsi" w:cstheme="minorHAnsi"/>
          <w:b/>
          <w:sz w:val="24"/>
          <w:szCs w:val="24"/>
        </w:rPr>
      </w:pPr>
    </w:p>
    <w:p w:rsidR="006F24F4" w:rsidRDefault="006F24F4" w:rsidP="00FD7CDC">
      <w:pPr>
        <w:pStyle w:val="32"/>
        <w:snapToGrid w:val="0"/>
        <w:spacing w:after="0" w:line="360" w:lineRule="auto"/>
        <w:jc w:val="both"/>
        <w:rPr>
          <w:rFonts w:asciiTheme="minorHAnsi" w:hAnsiTheme="minorHAnsi" w:cstheme="minorHAnsi"/>
          <w:b/>
          <w:sz w:val="24"/>
          <w:szCs w:val="24"/>
        </w:rPr>
      </w:pPr>
    </w:p>
    <w:p w:rsidR="006F24F4" w:rsidRDefault="006F24F4" w:rsidP="00FD7CDC">
      <w:pPr>
        <w:pStyle w:val="32"/>
        <w:snapToGrid w:val="0"/>
        <w:spacing w:after="0" w:line="360" w:lineRule="auto"/>
        <w:jc w:val="both"/>
        <w:rPr>
          <w:rFonts w:asciiTheme="minorHAnsi" w:hAnsiTheme="minorHAnsi" w:cstheme="minorHAnsi"/>
          <w:b/>
          <w:sz w:val="24"/>
          <w:szCs w:val="24"/>
        </w:rPr>
      </w:pPr>
    </w:p>
    <w:p w:rsidR="006F24F4" w:rsidRDefault="006F24F4" w:rsidP="00FD7CDC">
      <w:pPr>
        <w:pStyle w:val="32"/>
        <w:snapToGrid w:val="0"/>
        <w:spacing w:after="0" w:line="360" w:lineRule="auto"/>
        <w:jc w:val="both"/>
        <w:rPr>
          <w:rFonts w:asciiTheme="minorHAnsi" w:hAnsiTheme="minorHAnsi" w:cstheme="minorHAnsi"/>
          <w:b/>
          <w:sz w:val="24"/>
          <w:szCs w:val="24"/>
        </w:rPr>
      </w:pPr>
    </w:p>
    <w:p w:rsidR="00FD7CDC" w:rsidRDefault="0021505C" w:rsidP="00FD7CDC">
      <w:pPr>
        <w:pStyle w:val="32"/>
        <w:snapToGrid w:val="0"/>
        <w:spacing w:after="0" w:line="360" w:lineRule="auto"/>
        <w:jc w:val="both"/>
        <w:rPr>
          <w:rFonts w:asciiTheme="minorHAnsi" w:hAnsiTheme="minorHAnsi" w:cstheme="minorHAnsi"/>
          <w:b/>
          <w:sz w:val="24"/>
          <w:szCs w:val="24"/>
        </w:rPr>
      </w:pPr>
      <w:r>
        <w:rPr>
          <w:rFonts w:asciiTheme="minorHAnsi" w:hAnsiTheme="minorHAnsi" w:cstheme="minorHAnsi"/>
          <w:b/>
          <w:sz w:val="24"/>
          <w:szCs w:val="24"/>
        </w:rPr>
        <w:lastRenderedPageBreak/>
        <w:t>Диаграмма 8</w:t>
      </w:r>
      <w:r w:rsidR="00FD7CDC" w:rsidRPr="00FC106F">
        <w:rPr>
          <w:rFonts w:asciiTheme="minorHAnsi" w:hAnsiTheme="minorHAnsi" w:cstheme="minorHAnsi"/>
          <w:b/>
          <w:sz w:val="24"/>
          <w:szCs w:val="24"/>
        </w:rPr>
        <w:t>.3.2</w:t>
      </w:r>
    </w:p>
    <w:p w:rsidR="00FD7CDC" w:rsidRPr="004F4F46" w:rsidRDefault="00982A49" w:rsidP="002107E0">
      <w:pPr>
        <w:pStyle w:val="32"/>
        <w:snapToGrid w:val="0"/>
        <w:spacing w:after="0" w:line="360" w:lineRule="auto"/>
        <w:jc w:val="both"/>
      </w:pPr>
      <w:r>
        <w:rPr>
          <w:rFonts w:asciiTheme="minorHAnsi" w:hAnsiTheme="minorHAnsi" w:cstheme="minorHAnsi"/>
          <w:b/>
          <w:noProof/>
          <w:sz w:val="24"/>
          <w:szCs w:val="24"/>
          <w:lang w:eastAsia="ru-RU"/>
        </w:rPr>
        <w:drawing>
          <wp:inline distT="0" distB="0" distL="0" distR="0">
            <wp:extent cx="5858360" cy="3254644"/>
            <wp:effectExtent l="0" t="0" r="0" b="0"/>
            <wp:docPr id="68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88067" cy="3271148"/>
                    </a:xfrm>
                    <a:prstGeom prst="rect">
                      <a:avLst/>
                    </a:prstGeom>
                    <a:noFill/>
                    <a:ln>
                      <a:noFill/>
                    </a:ln>
                  </pic:spPr>
                </pic:pic>
              </a:graphicData>
            </a:graphic>
          </wp:inline>
        </w:drawing>
      </w:r>
    </w:p>
    <w:p w:rsidR="00FD7CDC" w:rsidRPr="00AD75E5" w:rsidRDefault="00FD7CDC" w:rsidP="00FD7CDC">
      <w:pPr>
        <w:spacing w:after="200" w:line="276" w:lineRule="auto"/>
        <w:jc w:val="both"/>
        <w:rPr>
          <w:color w:val="000000"/>
        </w:rPr>
      </w:pPr>
      <w:r w:rsidRPr="0021505C">
        <w:t xml:space="preserve">Для каждого учебного полугодия было проанализировано распределение учебных ассистентов по курсам/уровням обучения (таблица </w:t>
      </w:r>
      <w:r w:rsidR="0021505C">
        <w:t>8</w:t>
      </w:r>
      <w:r w:rsidR="00760A33">
        <w:t>.3.3</w:t>
      </w:r>
      <w:r w:rsidRPr="0021505C">
        <w:t xml:space="preserve">). На 1-м курсе </w:t>
      </w:r>
      <w:proofErr w:type="spellStart"/>
      <w:r w:rsidRPr="0021505C">
        <w:t>бакалавриата</w:t>
      </w:r>
      <w:proofErr w:type="spellEnd"/>
      <w:r w:rsidRPr="0021505C">
        <w:t xml:space="preserve"> (1б) в проекте на начальной стадии приняли участие 3 математика, 2-й курс </w:t>
      </w:r>
      <w:proofErr w:type="spellStart"/>
      <w:r w:rsidRPr="0021505C">
        <w:t>бакалавриата</w:t>
      </w:r>
      <w:proofErr w:type="spellEnd"/>
      <w:r w:rsidRPr="0021505C">
        <w:t xml:space="preserve"> (2б) в течение четырех полугодий шёл ровно: 9, 7, 6, 8 человек, потом вырос до 12 человек, а в этом учебном году зарегистрирован уже 41 бакалавр 2-го курса. 3-й курс </w:t>
      </w:r>
      <w:proofErr w:type="spellStart"/>
      <w:r w:rsidRPr="0021505C">
        <w:t>бакалавриата</w:t>
      </w:r>
      <w:proofErr w:type="spellEnd"/>
      <w:r w:rsidRPr="0021505C">
        <w:t>(3б), начиная с 9 человек, постепенно дорос до 60 учебных ассистентов, а в этом году совершили рывок до 111 человек. На 4-м курсе бакалавры (4б) достигли 68 человек. Малочисленные специалисты 3-го (3с) и 4-го (4с) курсов  принимали неактивное участие в проекте, за все годы их было 10 человек, но 5 курс специалистов (5с) проявили интерес к проекту, в основном студенты факультета права,  число их в проекте достигало в разные периоды до 10 и 15 человек. 1-й (1м) и 2-й (2м) курсы магистратуры отличались постоянством и стабильностью на всех факультетах во всех полугодиях. Аспиранты (а) показывали ровный рост во всех модулях, дойдя до максимального числа 55 человек в прошлом учебном году.</w:t>
      </w:r>
      <w:r w:rsidRPr="00AD75E5">
        <w:rPr>
          <w:color w:val="000000"/>
        </w:rPr>
        <w:t xml:space="preserve"> </w:t>
      </w:r>
    </w:p>
    <w:p w:rsidR="00FD7CDC" w:rsidRPr="00011C1C" w:rsidRDefault="0021505C" w:rsidP="00FD7CDC">
      <w:pPr>
        <w:pStyle w:val="32"/>
        <w:snapToGrid w:val="0"/>
        <w:spacing w:after="0" w:line="360" w:lineRule="auto"/>
        <w:rPr>
          <w:rFonts w:asciiTheme="minorHAnsi" w:hAnsiTheme="minorHAnsi" w:cstheme="minorHAnsi"/>
          <w:b/>
          <w:sz w:val="24"/>
          <w:szCs w:val="24"/>
        </w:rPr>
      </w:pPr>
      <w:r w:rsidRPr="006F24F4">
        <w:rPr>
          <w:rFonts w:cs="Calibri"/>
          <w:b/>
          <w:sz w:val="24"/>
          <w:szCs w:val="20"/>
        </w:rPr>
        <w:t>Таблица 8</w:t>
      </w:r>
      <w:r w:rsidR="00FD7CDC" w:rsidRPr="006F24F4">
        <w:rPr>
          <w:rFonts w:cs="Calibri"/>
          <w:b/>
          <w:sz w:val="24"/>
          <w:szCs w:val="20"/>
        </w:rPr>
        <w:t>.3.3</w:t>
      </w:r>
      <w:r w:rsidR="00BB4034" w:rsidRPr="00BB4034">
        <w:rPr>
          <w:rFonts w:cs="Calibri"/>
          <w:b/>
          <w:sz w:val="24"/>
          <w:szCs w:val="20"/>
        </w:rPr>
        <w:t xml:space="preserve"> Распределение учебных ассистентов по курсам/уровням обучения</w:t>
      </w:r>
    </w:p>
    <w:tbl>
      <w:tblPr>
        <w:tblW w:w="8783" w:type="dxa"/>
        <w:tblInd w:w="93" w:type="dxa"/>
        <w:tblLook w:val="04A0" w:firstRow="1" w:lastRow="0" w:firstColumn="1" w:lastColumn="0" w:noHBand="0" w:noVBand="1"/>
      </w:tblPr>
      <w:tblGrid>
        <w:gridCol w:w="3103"/>
        <w:gridCol w:w="523"/>
        <w:gridCol w:w="523"/>
        <w:gridCol w:w="736"/>
        <w:gridCol w:w="523"/>
        <w:gridCol w:w="477"/>
        <w:gridCol w:w="512"/>
        <w:gridCol w:w="512"/>
        <w:gridCol w:w="587"/>
        <w:gridCol w:w="587"/>
        <w:gridCol w:w="700"/>
      </w:tblGrid>
      <w:tr w:rsidR="00FD7CDC" w:rsidRPr="00BB4034" w:rsidTr="00BB4034">
        <w:trPr>
          <w:trHeight w:val="255"/>
        </w:trPr>
        <w:tc>
          <w:tcPr>
            <w:tcW w:w="3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7CDC" w:rsidRPr="00BB4034" w:rsidRDefault="00BB4034" w:rsidP="00BE5D68">
            <w:pPr>
              <w:rPr>
                <w:rFonts w:cs="Calibri"/>
                <w:sz w:val="22"/>
                <w:szCs w:val="20"/>
              </w:rPr>
            </w:pPr>
            <w:r w:rsidRPr="00BB4034">
              <w:rPr>
                <w:rFonts w:cs="Calibri"/>
                <w:sz w:val="22"/>
                <w:szCs w:val="20"/>
              </w:rPr>
              <w:t>Учебные периоды</w:t>
            </w:r>
            <w:r w:rsidR="00FD7CDC" w:rsidRPr="00BB4034">
              <w:rPr>
                <w:rFonts w:cs="Calibri"/>
                <w:sz w:val="22"/>
                <w:szCs w:val="20"/>
              </w:rPr>
              <w:t> </w:t>
            </w:r>
          </w:p>
        </w:tc>
        <w:tc>
          <w:tcPr>
            <w:tcW w:w="523" w:type="dxa"/>
            <w:tcBorders>
              <w:top w:val="single" w:sz="4" w:space="0" w:color="auto"/>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1б</w:t>
            </w:r>
          </w:p>
        </w:tc>
        <w:tc>
          <w:tcPr>
            <w:tcW w:w="523" w:type="dxa"/>
            <w:tcBorders>
              <w:top w:val="single" w:sz="4" w:space="0" w:color="auto"/>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2б</w:t>
            </w:r>
          </w:p>
        </w:tc>
        <w:tc>
          <w:tcPr>
            <w:tcW w:w="736" w:type="dxa"/>
            <w:tcBorders>
              <w:top w:val="single" w:sz="4" w:space="0" w:color="auto"/>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3б</w:t>
            </w:r>
          </w:p>
        </w:tc>
        <w:tc>
          <w:tcPr>
            <w:tcW w:w="523" w:type="dxa"/>
            <w:tcBorders>
              <w:top w:val="single" w:sz="4" w:space="0" w:color="auto"/>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4б</w:t>
            </w:r>
          </w:p>
        </w:tc>
        <w:tc>
          <w:tcPr>
            <w:tcW w:w="477" w:type="dxa"/>
            <w:tcBorders>
              <w:top w:val="single" w:sz="4" w:space="0" w:color="auto"/>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3с</w:t>
            </w:r>
          </w:p>
        </w:tc>
        <w:tc>
          <w:tcPr>
            <w:tcW w:w="512" w:type="dxa"/>
            <w:tcBorders>
              <w:top w:val="single" w:sz="4" w:space="0" w:color="auto"/>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4с</w:t>
            </w:r>
          </w:p>
        </w:tc>
        <w:tc>
          <w:tcPr>
            <w:tcW w:w="512" w:type="dxa"/>
            <w:tcBorders>
              <w:top w:val="single" w:sz="4" w:space="0" w:color="auto"/>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5с</w:t>
            </w:r>
          </w:p>
        </w:tc>
        <w:tc>
          <w:tcPr>
            <w:tcW w:w="587" w:type="dxa"/>
            <w:tcBorders>
              <w:top w:val="single" w:sz="4" w:space="0" w:color="auto"/>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1м</w:t>
            </w:r>
          </w:p>
        </w:tc>
        <w:tc>
          <w:tcPr>
            <w:tcW w:w="587" w:type="dxa"/>
            <w:tcBorders>
              <w:top w:val="single" w:sz="4" w:space="0" w:color="auto"/>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2м</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а</w:t>
            </w:r>
          </w:p>
        </w:tc>
      </w:tr>
      <w:tr w:rsidR="00FD7CDC" w:rsidRPr="00BB4034" w:rsidTr="00BB4034">
        <w:trPr>
          <w:trHeight w:val="255"/>
        </w:trPr>
        <w:tc>
          <w:tcPr>
            <w:tcW w:w="3103" w:type="dxa"/>
            <w:tcBorders>
              <w:top w:val="nil"/>
              <w:left w:val="single" w:sz="4" w:space="0" w:color="auto"/>
              <w:bottom w:val="single" w:sz="4" w:space="0" w:color="auto"/>
              <w:right w:val="single" w:sz="4" w:space="0" w:color="auto"/>
            </w:tcBorders>
            <w:shd w:val="clear" w:color="auto" w:fill="auto"/>
            <w:noWrap/>
            <w:vAlign w:val="bottom"/>
            <w:hideMark/>
          </w:tcPr>
          <w:p w:rsidR="00FD7CDC" w:rsidRPr="00BB4034" w:rsidRDefault="00FD7CDC" w:rsidP="00BE5D68">
            <w:pPr>
              <w:rPr>
                <w:rFonts w:cs="Calibri"/>
                <w:sz w:val="22"/>
                <w:szCs w:val="20"/>
              </w:rPr>
            </w:pPr>
            <w:r w:rsidRPr="00BB4034">
              <w:rPr>
                <w:rFonts w:cs="Calibri"/>
                <w:sz w:val="22"/>
                <w:szCs w:val="20"/>
              </w:rPr>
              <w:t>3-5мод. 2009-10</w:t>
            </w:r>
          </w:p>
        </w:tc>
        <w:tc>
          <w:tcPr>
            <w:tcW w:w="523"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3</w:t>
            </w:r>
          </w:p>
        </w:tc>
        <w:tc>
          <w:tcPr>
            <w:tcW w:w="523"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9</w:t>
            </w:r>
          </w:p>
        </w:tc>
        <w:tc>
          <w:tcPr>
            <w:tcW w:w="736"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9</w:t>
            </w:r>
          </w:p>
        </w:tc>
        <w:tc>
          <w:tcPr>
            <w:tcW w:w="523"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5</w:t>
            </w:r>
          </w:p>
        </w:tc>
        <w:tc>
          <w:tcPr>
            <w:tcW w:w="477"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2</w:t>
            </w:r>
          </w:p>
        </w:tc>
        <w:tc>
          <w:tcPr>
            <w:tcW w:w="512"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2</w:t>
            </w:r>
          </w:p>
        </w:tc>
        <w:tc>
          <w:tcPr>
            <w:tcW w:w="512"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4</w:t>
            </w:r>
          </w:p>
        </w:tc>
        <w:tc>
          <w:tcPr>
            <w:tcW w:w="587"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8</w:t>
            </w:r>
          </w:p>
        </w:tc>
        <w:tc>
          <w:tcPr>
            <w:tcW w:w="587"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3</w:t>
            </w:r>
          </w:p>
        </w:tc>
        <w:tc>
          <w:tcPr>
            <w:tcW w:w="700"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8</w:t>
            </w:r>
          </w:p>
        </w:tc>
      </w:tr>
      <w:tr w:rsidR="00FD7CDC" w:rsidRPr="00BB4034" w:rsidTr="00BB4034">
        <w:trPr>
          <w:trHeight w:val="255"/>
        </w:trPr>
        <w:tc>
          <w:tcPr>
            <w:tcW w:w="3103" w:type="dxa"/>
            <w:tcBorders>
              <w:top w:val="nil"/>
              <w:left w:val="single" w:sz="4" w:space="0" w:color="auto"/>
              <w:bottom w:val="single" w:sz="4" w:space="0" w:color="auto"/>
              <w:right w:val="single" w:sz="4" w:space="0" w:color="auto"/>
            </w:tcBorders>
            <w:shd w:val="clear" w:color="auto" w:fill="auto"/>
            <w:noWrap/>
            <w:vAlign w:val="bottom"/>
            <w:hideMark/>
          </w:tcPr>
          <w:p w:rsidR="00FD7CDC" w:rsidRPr="00BB4034" w:rsidRDefault="00FD7CDC" w:rsidP="00BE5D68">
            <w:pPr>
              <w:rPr>
                <w:rFonts w:cs="Calibri"/>
                <w:sz w:val="22"/>
                <w:szCs w:val="20"/>
              </w:rPr>
            </w:pPr>
            <w:r w:rsidRPr="00BB4034">
              <w:rPr>
                <w:rFonts w:cs="Calibri"/>
                <w:sz w:val="22"/>
                <w:szCs w:val="20"/>
              </w:rPr>
              <w:t>1-2мод. 2010-11</w:t>
            </w:r>
          </w:p>
        </w:tc>
        <w:tc>
          <w:tcPr>
            <w:tcW w:w="523"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0</w:t>
            </w:r>
          </w:p>
        </w:tc>
        <w:tc>
          <w:tcPr>
            <w:tcW w:w="523"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7</w:t>
            </w:r>
          </w:p>
        </w:tc>
        <w:tc>
          <w:tcPr>
            <w:tcW w:w="736"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25</w:t>
            </w:r>
          </w:p>
        </w:tc>
        <w:tc>
          <w:tcPr>
            <w:tcW w:w="523"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14</w:t>
            </w:r>
          </w:p>
        </w:tc>
        <w:tc>
          <w:tcPr>
            <w:tcW w:w="477"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0</w:t>
            </w:r>
          </w:p>
        </w:tc>
        <w:tc>
          <w:tcPr>
            <w:tcW w:w="512"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0</w:t>
            </w:r>
          </w:p>
        </w:tc>
        <w:tc>
          <w:tcPr>
            <w:tcW w:w="512"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3</w:t>
            </w:r>
          </w:p>
        </w:tc>
        <w:tc>
          <w:tcPr>
            <w:tcW w:w="587"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11</w:t>
            </w:r>
          </w:p>
        </w:tc>
        <w:tc>
          <w:tcPr>
            <w:tcW w:w="587"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6</w:t>
            </w:r>
          </w:p>
        </w:tc>
        <w:tc>
          <w:tcPr>
            <w:tcW w:w="700"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12</w:t>
            </w:r>
          </w:p>
        </w:tc>
      </w:tr>
      <w:tr w:rsidR="00FD7CDC" w:rsidRPr="00BB4034" w:rsidTr="00BB4034">
        <w:trPr>
          <w:trHeight w:val="255"/>
        </w:trPr>
        <w:tc>
          <w:tcPr>
            <w:tcW w:w="3103" w:type="dxa"/>
            <w:tcBorders>
              <w:top w:val="nil"/>
              <w:left w:val="single" w:sz="4" w:space="0" w:color="auto"/>
              <w:bottom w:val="single" w:sz="4" w:space="0" w:color="auto"/>
              <w:right w:val="single" w:sz="4" w:space="0" w:color="auto"/>
            </w:tcBorders>
            <w:shd w:val="clear" w:color="auto" w:fill="auto"/>
            <w:noWrap/>
            <w:vAlign w:val="bottom"/>
            <w:hideMark/>
          </w:tcPr>
          <w:p w:rsidR="00FD7CDC" w:rsidRPr="00BB4034" w:rsidRDefault="00FD7CDC" w:rsidP="00BE5D68">
            <w:pPr>
              <w:rPr>
                <w:rFonts w:cs="Calibri"/>
                <w:sz w:val="22"/>
                <w:szCs w:val="20"/>
              </w:rPr>
            </w:pPr>
            <w:r w:rsidRPr="00BB4034">
              <w:rPr>
                <w:rFonts w:cs="Calibri"/>
                <w:sz w:val="22"/>
                <w:szCs w:val="20"/>
              </w:rPr>
              <w:t>3-4мод. 2010-11</w:t>
            </w:r>
          </w:p>
        </w:tc>
        <w:tc>
          <w:tcPr>
            <w:tcW w:w="523"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0</w:t>
            </w:r>
          </w:p>
        </w:tc>
        <w:tc>
          <w:tcPr>
            <w:tcW w:w="523"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6</w:t>
            </w:r>
          </w:p>
        </w:tc>
        <w:tc>
          <w:tcPr>
            <w:tcW w:w="736"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35</w:t>
            </w:r>
          </w:p>
        </w:tc>
        <w:tc>
          <w:tcPr>
            <w:tcW w:w="523"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26</w:t>
            </w:r>
          </w:p>
        </w:tc>
        <w:tc>
          <w:tcPr>
            <w:tcW w:w="477"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0</w:t>
            </w:r>
          </w:p>
        </w:tc>
        <w:tc>
          <w:tcPr>
            <w:tcW w:w="512"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0</w:t>
            </w:r>
          </w:p>
        </w:tc>
        <w:tc>
          <w:tcPr>
            <w:tcW w:w="512"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10</w:t>
            </w:r>
          </w:p>
        </w:tc>
        <w:tc>
          <w:tcPr>
            <w:tcW w:w="587"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20</w:t>
            </w:r>
          </w:p>
        </w:tc>
        <w:tc>
          <w:tcPr>
            <w:tcW w:w="587"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6</w:t>
            </w:r>
          </w:p>
        </w:tc>
        <w:tc>
          <w:tcPr>
            <w:tcW w:w="700"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21</w:t>
            </w:r>
          </w:p>
        </w:tc>
      </w:tr>
      <w:tr w:rsidR="00FD7CDC" w:rsidRPr="00BB4034" w:rsidTr="00BB4034">
        <w:trPr>
          <w:trHeight w:val="255"/>
        </w:trPr>
        <w:tc>
          <w:tcPr>
            <w:tcW w:w="3103" w:type="dxa"/>
            <w:tcBorders>
              <w:top w:val="nil"/>
              <w:left w:val="single" w:sz="4" w:space="0" w:color="auto"/>
              <w:bottom w:val="single" w:sz="4" w:space="0" w:color="auto"/>
              <w:right w:val="single" w:sz="4" w:space="0" w:color="auto"/>
            </w:tcBorders>
            <w:shd w:val="clear" w:color="auto" w:fill="auto"/>
            <w:noWrap/>
            <w:vAlign w:val="bottom"/>
            <w:hideMark/>
          </w:tcPr>
          <w:p w:rsidR="00FD7CDC" w:rsidRPr="00BB4034" w:rsidRDefault="00FD7CDC" w:rsidP="00BE5D68">
            <w:pPr>
              <w:rPr>
                <w:rFonts w:cs="Calibri"/>
                <w:sz w:val="22"/>
                <w:szCs w:val="20"/>
              </w:rPr>
            </w:pPr>
            <w:r w:rsidRPr="00BB4034">
              <w:rPr>
                <w:rFonts w:cs="Calibri"/>
                <w:sz w:val="22"/>
                <w:szCs w:val="20"/>
              </w:rPr>
              <w:t>1-2мод. 2011-12</w:t>
            </w:r>
          </w:p>
        </w:tc>
        <w:tc>
          <w:tcPr>
            <w:tcW w:w="523"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0</w:t>
            </w:r>
          </w:p>
        </w:tc>
        <w:tc>
          <w:tcPr>
            <w:tcW w:w="523"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8</w:t>
            </w:r>
          </w:p>
        </w:tc>
        <w:tc>
          <w:tcPr>
            <w:tcW w:w="736"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38</w:t>
            </w:r>
          </w:p>
        </w:tc>
        <w:tc>
          <w:tcPr>
            <w:tcW w:w="523"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41</w:t>
            </w:r>
          </w:p>
        </w:tc>
        <w:tc>
          <w:tcPr>
            <w:tcW w:w="477"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0</w:t>
            </w:r>
          </w:p>
        </w:tc>
        <w:tc>
          <w:tcPr>
            <w:tcW w:w="512"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0</w:t>
            </w:r>
          </w:p>
        </w:tc>
        <w:tc>
          <w:tcPr>
            <w:tcW w:w="512"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9</w:t>
            </w:r>
          </w:p>
        </w:tc>
        <w:tc>
          <w:tcPr>
            <w:tcW w:w="587"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13</w:t>
            </w:r>
          </w:p>
        </w:tc>
        <w:tc>
          <w:tcPr>
            <w:tcW w:w="587"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27</w:t>
            </w:r>
          </w:p>
        </w:tc>
        <w:tc>
          <w:tcPr>
            <w:tcW w:w="700"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26</w:t>
            </w:r>
          </w:p>
        </w:tc>
      </w:tr>
      <w:tr w:rsidR="00FD7CDC" w:rsidRPr="00BB4034" w:rsidTr="00BB4034">
        <w:trPr>
          <w:trHeight w:val="255"/>
        </w:trPr>
        <w:tc>
          <w:tcPr>
            <w:tcW w:w="3103" w:type="dxa"/>
            <w:tcBorders>
              <w:top w:val="nil"/>
              <w:left w:val="single" w:sz="4" w:space="0" w:color="auto"/>
              <w:bottom w:val="single" w:sz="4" w:space="0" w:color="auto"/>
              <w:right w:val="single" w:sz="4" w:space="0" w:color="auto"/>
            </w:tcBorders>
            <w:shd w:val="clear" w:color="auto" w:fill="auto"/>
            <w:noWrap/>
            <w:vAlign w:val="bottom"/>
            <w:hideMark/>
          </w:tcPr>
          <w:p w:rsidR="00FD7CDC" w:rsidRPr="00BB4034" w:rsidRDefault="00FD7CDC" w:rsidP="00BE5D68">
            <w:pPr>
              <w:rPr>
                <w:rFonts w:cs="Calibri"/>
                <w:sz w:val="22"/>
                <w:szCs w:val="20"/>
              </w:rPr>
            </w:pPr>
            <w:r w:rsidRPr="00BB4034">
              <w:rPr>
                <w:rFonts w:cs="Calibri"/>
                <w:sz w:val="22"/>
                <w:szCs w:val="20"/>
              </w:rPr>
              <w:t>3-4мод. 2011-12</w:t>
            </w:r>
          </w:p>
        </w:tc>
        <w:tc>
          <w:tcPr>
            <w:tcW w:w="523"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0</w:t>
            </w:r>
          </w:p>
        </w:tc>
        <w:tc>
          <w:tcPr>
            <w:tcW w:w="523"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12</w:t>
            </w:r>
          </w:p>
        </w:tc>
        <w:tc>
          <w:tcPr>
            <w:tcW w:w="736"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46</w:t>
            </w:r>
          </w:p>
        </w:tc>
        <w:tc>
          <w:tcPr>
            <w:tcW w:w="523"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43</w:t>
            </w:r>
          </w:p>
        </w:tc>
        <w:tc>
          <w:tcPr>
            <w:tcW w:w="477"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0</w:t>
            </w:r>
          </w:p>
        </w:tc>
        <w:tc>
          <w:tcPr>
            <w:tcW w:w="512"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0</w:t>
            </w:r>
          </w:p>
        </w:tc>
        <w:tc>
          <w:tcPr>
            <w:tcW w:w="512"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15</w:t>
            </w:r>
          </w:p>
        </w:tc>
        <w:tc>
          <w:tcPr>
            <w:tcW w:w="587"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30</w:t>
            </w:r>
          </w:p>
        </w:tc>
        <w:tc>
          <w:tcPr>
            <w:tcW w:w="587"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37</w:t>
            </w:r>
          </w:p>
        </w:tc>
        <w:tc>
          <w:tcPr>
            <w:tcW w:w="700"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36</w:t>
            </w:r>
          </w:p>
        </w:tc>
      </w:tr>
      <w:tr w:rsidR="00FD7CDC" w:rsidRPr="00BB4034" w:rsidTr="00BB4034">
        <w:trPr>
          <w:trHeight w:val="255"/>
        </w:trPr>
        <w:tc>
          <w:tcPr>
            <w:tcW w:w="3103" w:type="dxa"/>
            <w:tcBorders>
              <w:top w:val="nil"/>
              <w:left w:val="single" w:sz="4" w:space="0" w:color="auto"/>
              <w:bottom w:val="single" w:sz="4" w:space="0" w:color="auto"/>
              <w:right w:val="single" w:sz="4" w:space="0" w:color="auto"/>
            </w:tcBorders>
            <w:shd w:val="clear" w:color="auto" w:fill="auto"/>
            <w:noWrap/>
            <w:vAlign w:val="bottom"/>
            <w:hideMark/>
          </w:tcPr>
          <w:p w:rsidR="00FD7CDC" w:rsidRPr="00BB4034" w:rsidRDefault="00FD7CDC" w:rsidP="00BE5D68">
            <w:pPr>
              <w:rPr>
                <w:rFonts w:cs="Calibri"/>
                <w:sz w:val="22"/>
                <w:szCs w:val="20"/>
              </w:rPr>
            </w:pPr>
            <w:r w:rsidRPr="00BB4034">
              <w:rPr>
                <w:rFonts w:cs="Calibri"/>
                <w:sz w:val="22"/>
                <w:szCs w:val="20"/>
              </w:rPr>
              <w:t>1-2мод. 2012-13</w:t>
            </w:r>
          </w:p>
        </w:tc>
        <w:tc>
          <w:tcPr>
            <w:tcW w:w="523"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0</w:t>
            </w:r>
          </w:p>
        </w:tc>
        <w:tc>
          <w:tcPr>
            <w:tcW w:w="523"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21</w:t>
            </w:r>
          </w:p>
        </w:tc>
        <w:tc>
          <w:tcPr>
            <w:tcW w:w="736"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48</w:t>
            </w:r>
          </w:p>
        </w:tc>
        <w:tc>
          <w:tcPr>
            <w:tcW w:w="523"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75</w:t>
            </w:r>
          </w:p>
        </w:tc>
        <w:tc>
          <w:tcPr>
            <w:tcW w:w="477"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0</w:t>
            </w:r>
          </w:p>
        </w:tc>
        <w:tc>
          <w:tcPr>
            <w:tcW w:w="512"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0</w:t>
            </w:r>
          </w:p>
        </w:tc>
        <w:tc>
          <w:tcPr>
            <w:tcW w:w="512"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9</w:t>
            </w:r>
          </w:p>
        </w:tc>
        <w:tc>
          <w:tcPr>
            <w:tcW w:w="587"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23</w:t>
            </w:r>
          </w:p>
        </w:tc>
        <w:tc>
          <w:tcPr>
            <w:tcW w:w="587"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31</w:t>
            </w:r>
          </w:p>
        </w:tc>
        <w:tc>
          <w:tcPr>
            <w:tcW w:w="700"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38</w:t>
            </w:r>
          </w:p>
        </w:tc>
      </w:tr>
      <w:tr w:rsidR="00FD7CDC" w:rsidRPr="00BB4034" w:rsidTr="00BB4034">
        <w:trPr>
          <w:trHeight w:val="255"/>
        </w:trPr>
        <w:tc>
          <w:tcPr>
            <w:tcW w:w="3103" w:type="dxa"/>
            <w:tcBorders>
              <w:top w:val="nil"/>
              <w:left w:val="single" w:sz="4" w:space="0" w:color="auto"/>
              <w:bottom w:val="single" w:sz="4" w:space="0" w:color="auto"/>
              <w:right w:val="single" w:sz="4" w:space="0" w:color="auto"/>
            </w:tcBorders>
            <w:shd w:val="clear" w:color="auto" w:fill="auto"/>
            <w:noWrap/>
            <w:vAlign w:val="bottom"/>
            <w:hideMark/>
          </w:tcPr>
          <w:p w:rsidR="00FD7CDC" w:rsidRPr="00BB4034" w:rsidRDefault="00FD7CDC" w:rsidP="00BE5D68">
            <w:pPr>
              <w:rPr>
                <w:rFonts w:cs="Calibri"/>
                <w:sz w:val="22"/>
                <w:szCs w:val="20"/>
              </w:rPr>
            </w:pPr>
            <w:r w:rsidRPr="00BB4034">
              <w:rPr>
                <w:rFonts w:cs="Calibri"/>
                <w:sz w:val="22"/>
                <w:szCs w:val="20"/>
              </w:rPr>
              <w:t>3-4мод. 2012-13</w:t>
            </w:r>
          </w:p>
        </w:tc>
        <w:tc>
          <w:tcPr>
            <w:tcW w:w="523"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0</w:t>
            </w:r>
          </w:p>
        </w:tc>
        <w:tc>
          <w:tcPr>
            <w:tcW w:w="523"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31</w:t>
            </w:r>
          </w:p>
        </w:tc>
        <w:tc>
          <w:tcPr>
            <w:tcW w:w="736"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60</w:t>
            </w:r>
          </w:p>
        </w:tc>
        <w:tc>
          <w:tcPr>
            <w:tcW w:w="523"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70</w:t>
            </w:r>
          </w:p>
        </w:tc>
        <w:tc>
          <w:tcPr>
            <w:tcW w:w="477"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1</w:t>
            </w:r>
          </w:p>
        </w:tc>
        <w:tc>
          <w:tcPr>
            <w:tcW w:w="512"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15</w:t>
            </w:r>
          </w:p>
        </w:tc>
        <w:tc>
          <w:tcPr>
            <w:tcW w:w="512"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15</w:t>
            </w:r>
          </w:p>
        </w:tc>
        <w:tc>
          <w:tcPr>
            <w:tcW w:w="587"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37</w:t>
            </w:r>
          </w:p>
        </w:tc>
        <w:tc>
          <w:tcPr>
            <w:tcW w:w="587"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38</w:t>
            </w:r>
          </w:p>
        </w:tc>
        <w:tc>
          <w:tcPr>
            <w:tcW w:w="700"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 w:val="22"/>
                <w:szCs w:val="20"/>
              </w:rPr>
            </w:pPr>
            <w:r w:rsidRPr="00BB4034">
              <w:rPr>
                <w:rFonts w:cs="Calibri"/>
                <w:sz w:val="22"/>
                <w:szCs w:val="20"/>
              </w:rPr>
              <w:t>55</w:t>
            </w:r>
          </w:p>
        </w:tc>
      </w:tr>
      <w:tr w:rsidR="00FD7CDC" w:rsidRPr="00BB4034" w:rsidTr="00BB4034">
        <w:trPr>
          <w:trHeight w:val="255"/>
        </w:trPr>
        <w:tc>
          <w:tcPr>
            <w:tcW w:w="3103" w:type="dxa"/>
            <w:tcBorders>
              <w:top w:val="nil"/>
              <w:left w:val="single" w:sz="4" w:space="0" w:color="auto"/>
              <w:bottom w:val="single" w:sz="4" w:space="0" w:color="auto"/>
              <w:right w:val="single" w:sz="4" w:space="0" w:color="auto"/>
            </w:tcBorders>
            <w:shd w:val="clear" w:color="auto" w:fill="auto"/>
            <w:noWrap/>
            <w:vAlign w:val="bottom"/>
            <w:hideMark/>
          </w:tcPr>
          <w:p w:rsidR="00FD7CDC" w:rsidRPr="00BB4034" w:rsidRDefault="00FD7CDC" w:rsidP="00BE5D68">
            <w:pPr>
              <w:rPr>
                <w:rFonts w:cs="Calibri"/>
                <w:sz w:val="22"/>
                <w:szCs w:val="20"/>
              </w:rPr>
            </w:pPr>
            <w:r w:rsidRPr="00BB4034">
              <w:rPr>
                <w:rFonts w:cs="Calibri"/>
                <w:sz w:val="22"/>
                <w:szCs w:val="20"/>
              </w:rPr>
              <w:t>1-2мод. 2013-14</w:t>
            </w:r>
          </w:p>
        </w:tc>
        <w:tc>
          <w:tcPr>
            <w:tcW w:w="523"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0</w:t>
            </w:r>
          </w:p>
        </w:tc>
        <w:tc>
          <w:tcPr>
            <w:tcW w:w="523"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41</w:t>
            </w:r>
          </w:p>
        </w:tc>
        <w:tc>
          <w:tcPr>
            <w:tcW w:w="736"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111</w:t>
            </w:r>
          </w:p>
        </w:tc>
        <w:tc>
          <w:tcPr>
            <w:tcW w:w="523"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68</w:t>
            </w:r>
          </w:p>
        </w:tc>
        <w:tc>
          <w:tcPr>
            <w:tcW w:w="477"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5</w:t>
            </w:r>
          </w:p>
        </w:tc>
        <w:tc>
          <w:tcPr>
            <w:tcW w:w="512"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5</w:t>
            </w:r>
          </w:p>
        </w:tc>
        <w:tc>
          <w:tcPr>
            <w:tcW w:w="512"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9</w:t>
            </w:r>
          </w:p>
        </w:tc>
        <w:tc>
          <w:tcPr>
            <w:tcW w:w="587"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46</w:t>
            </w:r>
          </w:p>
        </w:tc>
        <w:tc>
          <w:tcPr>
            <w:tcW w:w="587"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64</w:t>
            </w:r>
          </w:p>
        </w:tc>
        <w:tc>
          <w:tcPr>
            <w:tcW w:w="700" w:type="dxa"/>
            <w:tcBorders>
              <w:top w:val="nil"/>
              <w:left w:val="nil"/>
              <w:bottom w:val="single" w:sz="4" w:space="0" w:color="auto"/>
              <w:right w:val="single" w:sz="4" w:space="0" w:color="auto"/>
            </w:tcBorders>
            <w:shd w:val="clear" w:color="000000" w:fill="FFFFFF"/>
            <w:noWrap/>
            <w:vAlign w:val="bottom"/>
            <w:hideMark/>
          </w:tcPr>
          <w:p w:rsidR="00FD7CDC" w:rsidRPr="00BB4034" w:rsidRDefault="00FD7CDC" w:rsidP="00BE5D68">
            <w:pPr>
              <w:jc w:val="center"/>
              <w:rPr>
                <w:rFonts w:cs="Calibri"/>
                <w:sz w:val="22"/>
                <w:szCs w:val="20"/>
              </w:rPr>
            </w:pPr>
            <w:r w:rsidRPr="00BB4034">
              <w:rPr>
                <w:rFonts w:cs="Calibri"/>
                <w:sz w:val="22"/>
                <w:szCs w:val="20"/>
              </w:rPr>
              <w:t>41</w:t>
            </w:r>
          </w:p>
        </w:tc>
      </w:tr>
    </w:tbl>
    <w:p w:rsidR="00FD7CDC" w:rsidRDefault="00FD7CDC" w:rsidP="00FD63E0">
      <w:pPr>
        <w:pStyle w:val="32"/>
        <w:snapToGrid w:val="0"/>
        <w:spacing w:after="0" w:line="360" w:lineRule="auto"/>
        <w:jc w:val="both"/>
        <w:rPr>
          <w:color w:val="000000"/>
        </w:rPr>
      </w:pPr>
      <w:r>
        <w:br w:type="textWrapping" w:clear="all"/>
      </w:r>
      <w:r w:rsidRPr="00FD63E0">
        <w:rPr>
          <w:sz w:val="24"/>
          <w:szCs w:val="24"/>
          <w:lang w:eastAsia="ru-RU"/>
        </w:rPr>
        <w:t xml:space="preserve">В таблице </w:t>
      </w:r>
      <w:r w:rsidR="008E45BA" w:rsidRPr="00FD63E0">
        <w:rPr>
          <w:sz w:val="24"/>
          <w:szCs w:val="24"/>
          <w:lang w:eastAsia="ru-RU"/>
        </w:rPr>
        <w:t>8.3.4 и диаграмме 8</w:t>
      </w:r>
      <w:r w:rsidRPr="00FD63E0">
        <w:rPr>
          <w:sz w:val="24"/>
          <w:szCs w:val="24"/>
          <w:lang w:eastAsia="ru-RU"/>
        </w:rPr>
        <w:t xml:space="preserve">.3.4 рассматривается количество учебных ассистентов на всех факультетах за весь период. </w:t>
      </w:r>
    </w:p>
    <w:p w:rsidR="00FD7CDC" w:rsidRDefault="00E860E9" w:rsidP="00FD7CDC">
      <w:pPr>
        <w:tabs>
          <w:tab w:val="left" w:pos="2958"/>
        </w:tabs>
        <w:jc w:val="both"/>
        <w:rPr>
          <w:b/>
          <w:color w:val="000000"/>
        </w:rPr>
      </w:pPr>
      <w:r>
        <w:rPr>
          <w:b/>
          <w:color w:val="000000"/>
        </w:rPr>
        <w:lastRenderedPageBreak/>
        <w:t>Таблица 8</w:t>
      </w:r>
      <w:r w:rsidR="00FD7CDC" w:rsidRPr="002C3B06">
        <w:rPr>
          <w:b/>
          <w:color w:val="000000"/>
        </w:rPr>
        <w:t>.3.4</w:t>
      </w:r>
    </w:p>
    <w:tbl>
      <w:tblPr>
        <w:tblW w:w="8529" w:type="dxa"/>
        <w:tblInd w:w="93" w:type="dxa"/>
        <w:tblLook w:val="04A0" w:firstRow="1" w:lastRow="0" w:firstColumn="1" w:lastColumn="0" w:noHBand="0" w:noVBand="1"/>
      </w:tblPr>
      <w:tblGrid>
        <w:gridCol w:w="1416"/>
        <w:gridCol w:w="1007"/>
        <w:gridCol w:w="764"/>
        <w:gridCol w:w="764"/>
        <w:gridCol w:w="763"/>
        <w:gridCol w:w="763"/>
        <w:gridCol w:w="763"/>
        <w:gridCol w:w="763"/>
        <w:gridCol w:w="763"/>
        <w:gridCol w:w="763"/>
      </w:tblGrid>
      <w:tr w:rsidR="00FD7CDC" w:rsidRPr="00EA1137" w:rsidTr="00807C32">
        <w:trPr>
          <w:trHeight w:val="1089"/>
        </w:trPr>
        <w:tc>
          <w:tcPr>
            <w:tcW w:w="14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7CDC" w:rsidRPr="00EA1137" w:rsidRDefault="00FD7CDC" w:rsidP="00BE5D68">
            <w:pPr>
              <w:jc w:val="center"/>
              <w:rPr>
                <w:rFonts w:cs="Calibri"/>
                <w:sz w:val="16"/>
                <w:szCs w:val="16"/>
              </w:rPr>
            </w:pPr>
            <w:r w:rsidRPr="00EA1137">
              <w:rPr>
                <w:rFonts w:cs="Calibri"/>
                <w:sz w:val="16"/>
                <w:szCs w:val="16"/>
              </w:rPr>
              <w:t>Ф-ты</w:t>
            </w:r>
          </w:p>
        </w:tc>
        <w:tc>
          <w:tcPr>
            <w:tcW w:w="1007" w:type="dxa"/>
            <w:tcBorders>
              <w:top w:val="single" w:sz="4" w:space="0" w:color="auto"/>
              <w:left w:val="nil"/>
              <w:bottom w:val="single" w:sz="4" w:space="0" w:color="auto"/>
              <w:right w:val="single" w:sz="4" w:space="0" w:color="auto"/>
            </w:tcBorders>
            <w:shd w:val="clear" w:color="000000" w:fill="FFFFFF"/>
            <w:vAlign w:val="center"/>
            <w:hideMark/>
          </w:tcPr>
          <w:p w:rsidR="00FD7CDC" w:rsidRPr="00EA1137" w:rsidRDefault="00FD7CDC" w:rsidP="00BE5D68">
            <w:pPr>
              <w:jc w:val="center"/>
              <w:rPr>
                <w:rFonts w:cs="Calibri"/>
                <w:sz w:val="16"/>
                <w:szCs w:val="16"/>
              </w:rPr>
            </w:pPr>
            <w:r w:rsidRPr="00EA1137">
              <w:rPr>
                <w:rFonts w:cs="Calibri"/>
                <w:sz w:val="16"/>
                <w:szCs w:val="16"/>
              </w:rPr>
              <w:t>за все периоды</w:t>
            </w:r>
          </w:p>
        </w:tc>
        <w:tc>
          <w:tcPr>
            <w:tcW w:w="764" w:type="dxa"/>
            <w:tcBorders>
              <w:top w:val="single" w:sz="4" w:space="0" w:color="auto"/>
              <w:left w:val="nil"/>
              <w:bottom w:val="single" w:sz="4" w:space="0" w:color="auto"/>
              <w:right w:val="single" w:sz="4" w:space="0" w:color="auto"/>
            </w:tcBorders>
            <w:shd w:val="clear" w:color="000000" w:fill="FFFFFF"/>
            <w:hideMark/>
          </w:tcPr>
          <w:p w:rsidR="00FD7CDC" w:rsidRPr="00EA1137" w:rsidRDefault="00FD7CDC" w:rsidP="00BE5D68">
            <w:pPr>
              <w:jc w:val="center"/>
              <w:rPr>
                <w:rFonts w:cs="Calibri"/>
                <w:sz w:val="16"/>
                <w:szCs w:val="16"/>
              </w:rPr>
            </w:pPr>
            <w:r w:rsidRPr="00EA1137">
              <w:rPr>
                <w:rFonts w:cs="Calibri"/>
                <w:sz w:val="16"/>
                <w:szCs w:val="16"/>
              </w:rPr>
              <w:t>3-5 мод. 09-10</w:t>
            </w:r>
          </w:p>
        </w:tc>
        <w:tc>
          <w:tcPr>
            <w:tcW w:w="764" w:type="dxa"/>
            <w:tcBorders>
              <w:top w:val="single" w:sz="4" w:space="0" w:color="auto"/>
              <w:left w:val="nil"/>
              <w:bottom w:val="single" w:sz="4" w:space="0" w:color="auto"/>
              <w:right w:val="single" w:sz="4" w:space="0" w:color="auto"/>
            </w:tcBorders>
            <w:shd w:val="clear" w:color="000000" w:fill="FFFFFF"/>
            <w:hideMark/>
          </w:tcPr>
          <w:p w:rsidR="00FD7CDC" w:rsidRPr="00EA1137" w:rsidRDefault="00FD7CDC" w:rsidP="00BE5D68">
            <w:pPr>
              <w:jc w:val="center"/>
              <w:rPr>
                <w:rFonts w:cs="Calibri"/>
                <w:sz w:val="16"/>
                <w:szCs w:val="16"/>
              </w:rPr>
            </w:pPr>
            <w:r w:rsidRPr="00EA1137">
              <w:rPr>
                <w:rFonts w:cs="Calibri"/>
                <w:sz w:val="16"/>
                <w:szCs w:val="16"/>
              </w:rPr>
              <w:t>1-2 мод. 10-11</w:t>
            </w:r>
          </w:p>
        </w:tc>
        <w:tc>
          <w:tcPr>
            <w:tcW w:w="763" w:type="dxa"/>
            <w:tcBorders>
              <w:top w:val="single" w:sz="4" w:space="0" w:color="auto"/>
              <w:left w:val="nil"/>
              <w:bottom w:val="single" w:sz="4" w:space="0" w:color="auto"/>
              <w:right w:val="single" w:sz="4" w:space="0" w:color="auto"/>
            </w:tcBorders>
            <w:shd w:val="clear" w:color="000000" w:fill="FFFFFF"/>
            <w:hideMark/>
          </w:tcPr>
          <w:p w:rsidR="00FD7CDC" w:rsidRPr="00EA1137" w:rsidRDefault="00FD7CDC" w:rsidP="00BE5D68">
            <w:pPr>
              <w:jc w:val="center"/>
              <w:rPr>
                <w:rFonts w:cs="Calibri"/>
                <w:sz w:val="16"/>
                <w:szCs w:val="16"/>
              </w:rPr>
            </w:pPr>
            <w:r w:rsidRPr="00EA1137">
              <w:rPr>
                <w:rFonts w:cs="Calibri"/>
                <w:sz w:val="16"/>
                <w:szCs w:val="16"/>
              </w:rPr>
              <w:t>3-4 мод. 10-11</w:t>
            </w:r>
          </w:p>
        </w:tc>
        <w:tc>
          <w:tcPr>
            <w:tcW w:w="763" w:type="dxa"/>
            <w:tcBorders>
              <w:top w:val="single" w:sz="4" w:space="0" w:color="auto"/>
              <w:left w:val="nil"/>
              <w:bottom w:val="single" w:sz="4" w:space="0" w:color="auto"/>
              <w:right w:val="single" w:sz="4" w:space="0" w:color="auto"/>
            </w:tcBorders>
            <w:shd w:val="clear" w:color="000000" w:fill="FFFFFF"/>
            <w:hideMark/>
          </w:tcPr>
          <w:p w:rsidR="00FD7CDC" w:rsidRPr="00EA1137" w:rsidRDefault="00FD7CDC" w:rsidP="00BE5D68">
            <w:pPr>
              <w:jc w:val="center"/>
              <w:rPr>
                <w:rFonts w:cs="Calibri"/>
                <w:sz w:val="16"/>
                <w:szCs w:val="16"/>
              </w:rPr>
            </w:pPr>
            <w:r w:rsidRPr="00EA1137">
              <w:rPr>
                <w:rFonts w:cs="Calibri"/>
                <w:sz w:val="16"/>
                <w:szCs w:val="16"/>
              </w:rPr>
              <w:t>1-2 мод. 11-12</w:t>
            </w:r>
          </w:p>
        </w:tc>
        <w:tc>
          <w:tcPr>
            <w:tcW w:w="763" w:type="dxa"/>
            <w:tcBorders>
              <w:top w:val="single" w:sz="4" w:space="0" w:color="auto"/>
              <w:left w:val="nil"/>
              <w:bottom w:val="single" w:sz="4" w:space="0" w:color="auto"/>
              <w:right w:val="single" w:sz="4" w:space="0" w:color="auto"/>
            </w:tcBorders>
            <w:shd w:val="clear" w:color="000000" w:fill="FFFFFF"/>
            <w:hideMark/>
          </w:tcPr>
          <w:p w:rsidR="00FD7CDC" w:rsidRPr="00EA1137" w:rsidRDefault="00FD7CDC" w:rsidP="00BE5D68">
            <w:pPr>
              <w:jc w:val="center"/>
              <w:rPr>
                <w:rFonts w:cs="Calibri"/>
                <w:sz w:val="16"/>
                <w:szCs w:val="16"/>
              </w:rPr>
            </w:pPr>
            <w:r w:rsidRPr="00EA1137">
              <w:rPr>
                <w:rFonts w:cs="Calibri"/>
                <w:sz w:val="16"/>
                <w:szCs w:val="16"/>
              </w:rPr>
              <w:t>3-4 мод. 11-12</w:t>
            </w:r>
          </w:p>
        </w:tc>
        <w:tc>
          <w:tcPr>
            <w:tcW w:w="763" w:type="dxa"/>
            <w:tcBorders>
              <w:top w:val="single" w:sz="4" w:space="0" w:color="auto"/>
              <w:left w:val="nil"/>
              <w:bottom w:val="single" w:sz="4" w:space="0" w:color="auto"/>
              <w:right w:val="single" w:sz="4" w:space="0" w:color="auto"/>
            </w:tcBorders>
            <w:shd w:val="clear" w:color="000000" w:fill="FFFFFF"/>
            <w:hideMark/>
          </w:tcPr>
          <w:p w:rsidR="00FD7CDC" w:rsidRPr="00EA1137" w:rsidRDefault="00FD7CDC" w:rsidP="00BE5D68">
            <w:pPr>
              <w:jc w:val="center"/>
              <w:rPr>
                <w:rFonts w:cs="Calibri"/>
                <w:sz w:val="16"/>
                <w:szCs w:val="16"/>
              </w:rPr>
            </w:pPr>
            <w:r w:rsidRPr="00EA1137">
              <w:rPr>
                <w:rFonts w:cs="Calibri"/>
                <w:sz w:val="16"/>
                <w:szCs w:val="16"/>
              </w:rPr>
              <w:t>1-2 мод. 12-13</w:t>
            </w:r>
          </w:p>
        </w:tc>
        <w:tc>
          <w:tcPr>
            <w:tcW w:w="763" w:type="dxa"/>
            <w:tcBorders>
              <w:top w:val="single" w:sz="4" w:space="0" w:color="auto"/>
              <w:left w:val="nil"/>
              <w:bottom w:val="single" w:sz="4" w:space="0" w:color="auto"/>
              <w:right w:val="single" w:sz="4" w:space="0" w:color="auto"/>
            </w:tcBorders>
            <w:shd w:val="clear" w:color="000000" w:fill="FFFFFF"/>
            <w:hideMark/>
          </w:tcPr>
          <w:p w:rsidR="00FD7CDC" w:rsidRPr="00EA1137" w:rsidRDefault="00FD7CDC" w:rsidP="00BE5D68">
            <w:pPr>
              <w:jc w:val="center"/>
              <w:rPr>
                <w:rFonts w:cs="Calibri"/>
                <w:sz w:val="16"/>
                <w:szCs w:val="16"/>
              </w:rPr>
            </w:pPr>
            <w:r w:rsidRPr="00EA1137">
              <w:rPr>
                <w:rFonts w:cs="Calibri"/>
                <w:sz w:val="16"/>
                <w:szCs w:val="16"/>
              </w:rPr>
              <w:t>3-4 мод. 12-13</w:t>
            </w:r>
          </w:p>
        </w:tc>
        <w:tc>
          <w:tcPr>
            <w:tcW w:w="763" w:type="dxa"/>
            <w:tcBorders>
              <w:top w:val="single" w:sz="4" w:space="0" w:color="auto"/>
              <w:left w:val="nil"/>
              <w:bottom w:val="single" w:sz="4" w:space="0" w:color="auto"/>
              <w:right w:val="single" w:sz="4" w:space="0" w:color="auto"/>
            </w:tcBorders>
            <w:shd w:val="clear" w:color="000000" w:fill="FFFFFF"/>
            <w:hideMark/>
          </w:tcPr>
          <w:p w:rsidR="00FD7CDC" w:rsidRPr="00EA1137" w:rsidRDefault="00FD7CDC" w:rsidP="00BE5D68">
            <w:pPr>
              <w:jc w:val="center"/>
              <w:rPr>
                <w:rFonts w:cs="Calibri"/>
                <w:sz w:val="16"/>
                <w:szCs w:val="16"/>
              </w:rPr>
            </w:pPr>
            <w:r w:rsidRPr="00EA1137">
              <w:rPr>
                <w:rFonts w:cs="Calibri"/>
                <w:sz w:val="16"/>
                <w:szCs w:val="16"/>
              </w:rPr>
              <w:t>1-2 мод. 13-14</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proofErr w:type="spellStart"/>
            <w:r w:rsidRPr="00EA1137">
              <w:rPr>
                <w:rFonts w:cs="Calibri"/>
                <w:sz w:val="16"/>
                <w:szCs w:val="16"/>
              </w:rPr>
              <w:t>экон</w:t>
            </w:r>
            <w:proofErr w:type="spellEnd"/>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261</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11</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18</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21</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34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57</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49</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61</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r w:rsidRPr="00EA1137">
              <w:rPr>
                <w:rFonts w:cs="Calibri"/>
                <w:sz w:val="16"/>
                <w:szCs w:val="16"/>
              </w:rPr>
              <w:t>статист</w:t>
            </w:r>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36</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7</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9</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9</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9</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r w:rsidRPr="00EA1137">
              <w:rPr>
                <w:rFonts w:cs="Calibri"/>
                <w:sz w:val="16"/>
                <w:szCs w:val="16"/>
              </w:rPr>
              <w:t>мен</w:t>
            </w:r>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35</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6</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6</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5</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r w:rsidRPr="00EA1137">
              <w:rPr>
                <w:rFonts w:cs="Calibri"/>
                <w:sz w:val="16"/>
                <w:szCs w:val="16"/>
              </w:rPr>
              <w:t>логист</w:t>
            </w:r>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15</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proofErr w:type="spellStart"/>
            <w:r w:rsidRPr="00EA1137">
              <w:rPr>
                <w:rFonts w:cs="Calibri"/>
                <w:sz w:val="16"/>
                <w:szCs w:val="16"/>
              </w:rPr>
              <w:t>соц</w:t>
            </w:r>
            <w:proofErr w:type="spellEnd"/>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129</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8</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15</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16</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17</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19</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19</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25</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r w:rsidRPr="00EA1137">
              <w:rPr>
                <w:rFonts w:cs="Calibri"/>
                <w:sz w:val="16"/>
                <w:szCs w:val="16"/>
              </w:rPr>
              <w:t>права</w:t>
            </w:r>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230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16</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29</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32</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43</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36</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r w:rsidRPr="00EA1137">
              <w:rPr>
                <w:rFonts w:cs="Calibri"/>
                <w:sz w:val="16"/>
                <w:szCs w:val="16"/>
              </w:rPr>
              <w:t>БИ</w:t>
            </w:r>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49</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3</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21</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8</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5</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6</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r w:rsidRPr="00EA1137">
              <w:rPr>
                <w:rFonts w:cs="Calibri"/>
                <w:sz w:val="16"/>
                <w:szCs w:val="16"/>
              </w:rPr>
              <w:t>ПИ</w:t>
            </w:r>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24</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5</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3</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7</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proofErr w:type="spellStart"/>
            <w:r w:rsidRPr="00EA1137">
              <w:rPr>
                <w:rFonts w:cs="Calibri"/>
                <w:sz w:val="16"/>
                <w:szCs w:val="16"/>
              </w:rPr>
              <w:t>ПМиИ</w:t>
            </w:r>
            <w:proofErr w:type="spellEnd"/>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72</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11</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11</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19</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25</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proofErr w:type="spellStart"/>
            <w:r w:rsidRPr="00EA1137">
              <w:rPr>
                <w:rFonts w:cs="Calibri"/>
                <w:sz w:val="16"/>
                <w:szCs w:val="16"/>
              </w:rPr>
              <w:t>МЭиМП</w:t>
            </w:r>
            <w:proofErr w:type="spellEnd"/>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74</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6</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5</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5</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13</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7</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8</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16</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proofErr w:type="spellStart"/>
            <w:r w:rsidRPr="00EA1137">
              <w:rPr>
                <w:rFonts w:cs="Calibri"/>
                <w:sz w:val="16"/>
                <w:szCs w:val="16"/>
              </w:rPr>
              <w:t>ГиМУ</w:t>
            </w:r>
            <w:proofErr w:type="spellEnd"/>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33</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6</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8</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8</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r w:rsidRPr="00EA1137">
              <w:rPr>
                <w:rFonts w:cs="Calibri"/>
                <w:sz w:val="16"/>
                <w:szCs w:val="16"/>
              </w:rPr>
              <w:t>ПП</w:t>
            </w:r>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74</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5</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6</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7</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6</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12</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r w:rsidRPr="00EA1137">
              <w:rPr>
                <w:rFonts w:cs="Calibri"/>
                <w:sz w:val="16"/>
                <w:szCs w:val="16"/>
              </w:rPr>
              <w:t>мат</w:t>
            </w:r>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175</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6</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7</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12</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18</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28</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42</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38</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r w:rsidRPr="00EA1137">
              <w:rPr>
                <w:rFonts w:cs="Calibri"/>
                <w:sz w:val="16"/>
                <w:szCs w:val="16"/>
              </w:rPr>
              <w:t>псих</w:t>
            </w:r>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71</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3</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6</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8</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7</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7</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13</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12</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15</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proofErr w:type="spellStart"/>
            <w:r w:rsidRPr="00EA1137">
              <w:rPr>
                <w:rFonts w:cs="Calibri"/>
                <w:sz w:val="16"/>
                <w:szCs w:val="16"/>
              </w:rPr>
              <w:t>филос</w:t>
            </w:r>
            <w:proofErr w:type="spellEnd"/>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75</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6</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7</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9</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7</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21</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r w:rsidRPr="00EA1137">
              <w:rPr>
                <w:rFonts w:cs="Calibri"/>
                <w:sz w:val="16"/>
                <w:szCs w:val="16"/>
              </w:rPr>
              <w:t>культ</w:t>
            </w:r>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27</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7</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6</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proofErr w:type="spellStart"/>
            <w:r w:rsidRPr="00EA1137">
              <w:rPr>
                <w:rFonts w:cs="Calibri"/>
                <w:sz w:val="16"/>
                <w:szCs w:val="16"/>
              </w:rPr>
              <w:t>ист</w:t>
            </w:r>
            <w:proofErr w:type="spellEnd"/>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48</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9</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12</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19</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proofErr w:type="spellStart"/>
            <w:r w:rsidRPr="00EA1137">
              <w:rPr>
                <w:rFonts w:cs="Calibri"/>
                <w:sz w:val="16"/>
                <w:szCs w:val="16"/>
              </w:rPr>
              <w:t>филол</w:t>
            </w:r>
            <w:proofErr w:type="spellEnd"/>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32</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3</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6</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23</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r w:rsidRPr="00EA1137">
              <w:rPr>
                <w:rFonts w:cs="Calibri"/>
                <w:sz w:val="16"/>
                <w:szCs w:val="16"/>
              </w:rPr>
              <w:t xml:space="preserve">медиа </w:t>
            </w:r>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30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8</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9</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7</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proofErr w:type="spellStart"/>
            <w:r w:rsidRPr="00EA1137">
              <w:rPr>
                <w:rFonts w:cs="Calibri"/>
                <w:sz w:val="16"/>
                <w:szCs w:val="16"/>
              </w:rPr>
              <w:t>публ.пол</w:t>
            </w:r>
            <w:proofErr w:type="spellEnd"/>
            <w:r w:rsidRPr="00EA1137">
              <w:rPr>
                <w:rFonts w:cs="Calibri"/>
                <w:sz w:val="16"/>
                <w:szCs w:val="16"/>
              </w:rPr>
              <w:t>.</w:t>
            </w:r>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6</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5</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3</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5</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r w:rsidRPr="00EA1137">
              <w:rPr>
                <w:rFonts w:cs="Calibri"/>
                <w:sz w:val="16"/>
                <w:szCs w:val="16"/>
              </w:rPr>
              <w:t>демогр.</w:t>
            </w:r>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13</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r w:rsidRPr="00EA1137">
              <w:rPr>
                <w:rFonts w:cs="Calibri"/>
                <w:sz w:val="16"/>
                <w:szCs w:val="16"/>
              </w:rPr>
              <w:t>восток</w:t>
            </w:r>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11</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3</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8</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proofErr w:type="spellStart"/>
            <w:r w:rsidRPr="00EA1137">
              <w:rPr>
                <w:rFonts w:cs="Calibri"/>
                <w:sz w:val="16"/>
                <w:szCs w:val="16"/>
              </w:rPr>
              <w:t>ИнОбр</w:t>
            </w:r>
            <w:proofErr w:type="spellEnd"/>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5</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r w:rsidRPr="00EA1137">
              <w:rPr>
                <w:rFonts w:cs="Calibri"/>
                <w:sz w:val="16"/>
                <w:szCs w:val="16"/>
              </w:rPr>
              <w:t>МИЭФ</w:t>
            </w:r>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8</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4</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r w:rsidRPr="00EA1137">
              <w:rPr>
                <w:rFonts w:cs="Calibri"/>
                <w:sz w:val="16"/>
                <w:szCs w:val="16"/>
              </w:rPr>
              <w:t>СБ ВШЭ-РЭШ</w:t>
            </w:r>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14</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11</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r w:rsidRPr="00EA1137">
              <w:rPr>
                <w:rFonts w:cs="Calibri"/>
                <w:sz w:val="16"/>
                <w:szCs w:val="16"/>
              </w:rPr>
              <w:t>ВШУ</w:t>
            </w:r>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15</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13</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proofErr w:type="spellStart"/>
            <w:r w:rsidRPr="00EA1137">
              <w:rPr>
                <w:rFonts w:cs="Calibri"/>
                <w:sz w:val="16"/>
                <w:szCs w:val="16"/>
              </w:rPr>
              <w:t>интегр.комм</w:t>
            </w:r>
            <w:proofErr w:type="spellEnd"/>
            <w:r w:rsidRPr="00EA1137">
              <w:rPr>
                <w:rFonts w:cs="Calibri"/>
                <w:sz w:val="16"/>
                <w:szCs w:val="16"/>
              </w:rPr>
              <w:t>.</w:t>
            </w:r>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w:t>
            </w:r>
          </w:p>
        </w:tc>
      </w:tr>
      <w:tr w:rsidR="00FD7CDC" w:rsidRPr="00EA1137" w:rsidTr="00807C32">
        <w:trPr>
          <w:trHeight w:val="304"/>
        </w:trPr>
        <w:tc>
          <w:tcPr>
            <w:tcW w:w="1416" w:type="dxa"/>
            <w:tcBorders>
              <w:top w:val="nil"/>
              <w:left w:val="single" w:sz="4" w:space="0" w:color="auto"/>
              <w:bottom w:val="single" w:sz="4" w:space="0" w:color="auto"/>
              <w:right w:val="nil"/>
            </w:tcBorders>
            <w:shd w:val="clear" w:color="000000" w:fill="FFFFFF"/>
            <w:noWrap/>
            <w:vAlign w:val="bottom"/>
            <w:hideMark/>
          </w:tcPr>
          <w:p w:rsidR="00FD7CDC" w:rsidRPr="00EA1137" w:rsidRDefault="00FD7CDC" w:rsidP="00BE5D68">
            <w:pPr>
              <w:rPr>
                <w:rFonts w:cs="Calibri"/>
                <w:sz w:val="16"/>
                <w:szCs w:val="16"/>
              </w:rPr>
            </w:pPr>
            <w:r w:rsidRPr="00EA1137">
              <w:rPr>
                <w:rFonts w:cs="Calibri"/>
                <w:sz w:val="16"/>
                <w:szCs w:val="16"/>
              </w:rPr>
              <w:t>МИЭМ</w:t>
            </w:r>
          </w:p>
        </w:tc>
        <w:tc>
          <w:tcPr>
            <w:tcW w:w="1007"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center"/>
              <w:rPr>
                <w:rFonts w:cs="Calibri"/>
                <w:sz w:val="16"/>
                <w:szCs w:val="16"/>
              </w:rPr>
            </w:pPr>
            <w:r w:rsidRPr="00EA1137">
              <w:rPr>
                <w:rFonts w:cs="Calibri"/>
                <w:sz w:val="16"/>
                <w:szCs w:val="16"/>
              </w:rPr>
              <w:t>20</w:t>
            </w:r>
          </w:p>
        </w:tc>
      </w:tr>
      <w:tr w:rsidR="00FD7CDC" w:rsidRPr="00EA1137" w:rsidTr="00807C32">
        <w:trPr>
          <w:trHeight w:val="304"/>
        </w:trPr>
        <w:tc>
          <w:tcPr>
            <w:tcW w:w="1416" w:type="dxa"/>
            <w:tcBorders>
              <w:top w:val="nil"/>
              <w:left w:val="single" w:sz="4" w:space="0" w:color="auto"/>
              <w:bottom w:val="single" w:sz="4" w:space="0" w:color="auto"/>
              <w:right w:val="single" w:sz="4" w:space="0" w:color="auto"/>
            </w:tcBorders>
            <w:shd w:val="clear" w:color="000000" w:fill="FFFFFF"/>
            <w:noWrap/>
            <w:vAlign w:val="bottom"/>
            <w:hideMark/>
          </w:tcPr>
          <w:p w:rsidR="00FD7CDC" w:rsidRPr="00EA1137" w:rsidRDefault="00FD7CDC" w:rsidP="00BE5D68">
            <w:pPr>
              <w:jc w:val="right"/>
              <w:rPr>
                <w:rFonts w:cs="Calibri"/>
                <w:b/>
                <w:bCs/>
                <w:sz w:val="16"/>
                <w:szCs w:val="16"/>
              </w:rPr>
            </w:pPr>
            <w:r w:rsidRPr="00EA1137">
              <w:rPr>
                <w:rFonts w:cs="Calibri"/>
                <w:b/>
                <w:bCs/>
                <w:sz w:val="16"/>
                <w:szCs w:val="16"/>
              </w:rPr>
              <w:t>всего</w:t>
            </w:r>
          </w:p>
        </w:tc>
        <w:tc>
          <w:tcPr>
            <w:tcW w:w="1007"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right"/>
              <w:rPr>
                <w:rFonts w:cs="Calibri"/>
                <w:b/>
                <w:bCs/>
                <w:sz w:val="16"/>
                <w:szCs w:val="16"/>
              </w:rPr>
            </w:pPr>
            <w:r w:rsidRPr="00EA1137">
              <w:rPr>
                <w:rFonts w:cs="Calibri"/>
                <w:b/>
                <w:bCs/>
                <w:sz w:val="16"/>
                <w:szCs w:val="16"/>
              </w:rPr>
              <w:t>1598</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right"/>
              <w:rPr>
                <w:rFonts w:cs="Calibri"/>
                <w:b/>
                <w:bCs/>
                <w:sz w:val="16"/>
                <w:szCs w:val="16"/>
              </w:rPr>
            </w:pPr>
            <w:r w:rsidRPr="00EA1137">
              <w:rPr>
                <w:rFonts w:cs="Calibri"/>
                <w:b/>
                <w:bCs/>
                <w:sz w:val="16"/>
                <w:szCs w:val="16"/>
              </w:rPr>
              <w:t>54</w:t>
            </w:r>
          </w:p>
        </w:tc>
        <w:tc>
          <w:tcPr>
            <w:tcW w:w="764"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right"/>
              <w:rPr>
                <w:rFonts w:cs="Calibri"/>
                <w:b/>
                <w:bCs/>
                <w:sz w:val="16"/>
                <w:szCs w:val="16"/>
              </w:rPr>
            </w:pPr>
            <w:r w:rsidRPr="00EA1137">
              <w:rPr>
                <w:rFonts w:cs="Calibri"/>
                <w:b/>
                <w:bCs/>
                <w:sz w:val="16"/>
                <w:szCs w:val="16"/>
              </w:rPr>
              <w:t>79</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right"/>
              <w:rPr>
                <w:rFonts w:cs="Calibri"/>
                <w:b/>
                <w:bCs/>
                <w:sz w:val="16"/>
                <w:szCs w:val="16"/>
              </w:rPr>
            </w:pPr>
            <w:r w:rsidRPr="00EA1137">
              <w:rPr>
                <w:rFonts w:cs="Calibri"/>
                <w:b/>
                <w:bCs/>
                <w:sz w:val="16"/>
                <w:szCs w:val="16"/>
              </w:rPr>
              <w:t>124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right"/>
              <w:rPr>
                <w:rFonts w:cs="Calibri"/>
                <w:b/>
                <w:bCs/>
                <w:sz w:val="16"/>
                <w:szCs w:val="16"/>
              </w:rPr>
            </w:pPr>
            <w:r w:rsidRPr="00EA1137">
              <w:rPr>
                <w:rFonts w:cs="Calibri"/>
                <w:b/>
                <w:bCs/>
                <w:sz w:val="16"/>
                <w:szCs w:val="16"/>
              </w:rPr>
              <w:t>164</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right"/>
              <w:rPr>
                <w:rFonts w:cs="Calibri"/>
                <w:b/>
                <w:bCs/>
                <w:sz w:val="16"/>
                <w:szCs w:val="16"/>
              </w:rPr>
            </w:pPr>
            <w:r w:rsidRPr="00EA1137">
              <w:rPr>
                <w:rFonts w:cs="Calibri"/>
                <w:b/>
                <w:bCs/>
                <w:sz w:val="16"/>
                <w:szCs w:val="16"/>
              </w:rPr>
              <w:t>220</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right"/>
              <w:rPr>
                <w:rFonts w:cs="Calibri"/>
                <w:b/>
                <w:bCs/>
                <w:sz w:val="16"/>
                <w:szCs w:val="16"/>
              </w:rPr>
            </w:pPr>
            <w:r w:rsidRPr="00EA1137">
              <w:rPr>
                <w:rFonts w:cs="Calibri"/>
                <w:b/>
                <w:bCs/>
                <w:sz w:val="16"/>
                <w:szCs w:val="16"/>
              </w:rPr>
              <w:t>245</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right"/>
              <w:rPr>
                <w:rFonts w:cs="Calibri"/>
                <w:b/>
                <w:bCs/>
                <w:sz w:val="16"/>
                <w:szCs w:val="16"/>
              </w:rPr>
            </w:pPr>
            <w:r w:rsidRPr="00EA1137">
              <w:rPr>
                <w:rFonts w:cs="Calibri"/>
                <w:b/>
                <w:bCs/>
                <w:sz w:val="16"/>
                <w:szCs w:val="16"/>
              </w:rPr>
              <w:t>322</w:t>
            </w:r>
          </w:p>
        </w:tc>
        <w:tc>
          <w:tcPr>
            <w:tcW w:w="763" w:type="dxa"/>
            <w:tcBorders>
              <w:top w:val="nil"/>
              <w:left w:val="nil"/>
              <w:bottom w:val="single" w:sz="4" w:space="0" w:color="auto"/>
              <w:right w:val="single" w:sz="4" w:space="0" w:color="auto"/>
            </w:tcBorders>
            <w:shd w:val="clear" w:color="000000" w:fill="FFFFFF"/>
            <w:noWrap/>
            <w:vAlign w:val="bottom"/>
            <w:hideMark/>
          </w:tcPr>
          <w:p w:rsidR="00FD7CDC" w:rsidRPr="00EA1137" w:rsidRDefault="00FD7CDC" w:rsidP="00BE5D68">
            <w:pPr>
              <w:jc w:val="right"/>
              <w:rPr>
                <w:rFonts w:cs="Calibri"/>
                <w:b/>
                <w:bCs/>
                <w:sz w:val="16"/>
                <w:szCs w:val="16"/>
              </w:rPr>
            </w:pPr>
            <w:r w:rsidRPr="00EA1137">
              <w:rPr>
                <w:rFonts w:cs="Calibri"/>
                <w:b/>
                <w:bCs/>
                <w:sz w:val="16"/>
                <w:szCs w:val="16"/>
              </w:rPr>
              <w:t>390</w:t>
            </w:r>
          </w:p>
        </w:tc>
      </w:tr>
    </w:tbl>
    <w:p w:rsidR="00FD63E0" w:rsidRDefault="00FD63E0" w:rsidP="00FD7CDC">
      <w:pPr>
        <w:pStyle w:val="32"/>
        <w:snapToGrid w:val="0"/>
        <w:spacing w:after="0" w:line="360" w:lineRule="auto"/>
        <w:jc w:val="both"/>
        <w:rPr>
          <w:rFonts w:asciiTheme="minorHAnsi" w:hAnsiTheme="minorHAnsi" w:cstheme="minorHAnsi"/>
          <w:b/>
          <w:sz w:val="24"/>
          <w:szCs w:val="24"/>
        </w:rPr>
      </w:pPr>
    </w:p>
    <w:p w:rsidR="002107E0" w:rsidRPr="00EA1137" w:rsidRDefault="00FD63E0" w:rsidP="00FD7CDC">
      <w:pPr>
        <w:pStyle w:val="32"/>
        <w:snapToGrid w:val="0"/>
        <w:spacing w:after="0" w:line="360" w:lineRule="auto"/>
        <w:jc w:val="both"/>
        <w:rPr>
          <w:color w:val="000000"/>
        </w:rPr>
      </w:pPr>
      <w:r w:rsidRPr="00FD63E0">
        <w:rPr>
          <w:sz w:val="24"/>
          <w:szCs w:val="24"/>
          <w:lang w:eastAsia="ru-RU"/>
        </w:rPr>
        <w:t>Диаграмма показывает соотношение количества фактов заявлений от факультетов Москвы за весь период проекта</w:t>
      </w:r>
      <w:r>
        <w:rPr>
          <w:sz w:val="24"/>
          <w:szCs w:val="24"/>
          <w:lang w:eastAsia="ru-RU"/>
        </w:rPr>
        <w:t xml:space="preserve"> и численность реальных учебных ассистентов ("по головам»), исключая факты повторного участия одного и того же человека в качестве учебного ассистента. М</w:t>
      </w:r>
      <w:r w:rsidRPr="00FD63E0">
        <w:rPr>
          <w:sz w:val="24"/>
          <w:szCs w:val="24"/>
          <w:lang w:eastAsia="ru-RU"/>
        </w:rPr>
        <w:t xml:space="preserve">аксимальное число учебных ассистентов </w:t>
      </w:r>
      <w:r>
        <w:rPr>
          <w:sz w:val="24"/>
          <w:szCs w:val="24"/>
          <w:lang w:eastAsia="ru-RU"/>
        </w:rPr>
        <w:t xml:space="preserve">привлекли преподаватели факультета экономики - </w:t>
      </w:r>
      <w:r w:rsidRPr="00FD63E0">
        <w:rPr>
          <w:sz w:val="24"/>
          <w:szCs w:val="24"/>
          <w:lang w:eastAsia="ru-RU"/>
        </w:rPr>
        <w:t xml:space="preserve"> </w:t>
      </w:r>
      <w:r>
        <w:rPr>
          <w:sz w:val="24"/>
          <w:szCs w:val="24"/>
          <w:lang w:eastAsia="ru-RU"/>
        </w:rPr>
        <w:t>160</w:t>
      </w:r>
      <w:r w:rsidRPr="00FD63E0">
        <w:rPr>
          <w:sz w:val="24"/>
          <w:szCs w:val="24"/>
          <w:lang w:eastAsia="ru-RU"/>
        </w:rPr>
        <w:t xml:space="preserve"> человек, за н</w:t>
      </w:r>
      <w:r w:rsidR="00D85BEE">
        <w:rPr>
          <w:sz w:val="24"/>
          <w:szCs w:val="24"/>
          <w:lang w:eastAsia="ru-RU"/>
        </w:rPr>
        <w:t>им следует факультет права – 125</w:t>
      </w:r>
      <w:r w:rsidRPr="00FD63E0">
        <w:rPr>
          <w:sz w:val="24"/>
          <w:szCs w:val="24"/>
          <w:lang w:eastAsia="ru-RU"/>
        </w:rPr>
        <w:t xml:space="preserve"> человек, факультет математики – </w:t>
      </w:r>
      <w:r w:rsidR="00D85BEE">
        <w:rPr>
          <w:sz w:val="24"/>
          <w:szCs w:val="24"/>
          <w:lang w:eastAsia="ru-RU"/>
        </w:rPr>
        <w:t>82</w:t>
      </w:r>
      <w:r w:rsidRPr="00FD63E0">
        <w:rPr>
          <w:sz w:val="24"/>
          <w:szCs w:val="24"/>
          <w:lang w:eastAsia="ru-RU"/>
        </w:rPr>
        <w:t xml:space="preserve"> человек</w:t>
      </w:r>
      <w:r w:rsidR="00D85BEE">
        <w:rPr>
          <w:sz w:val="24"/>
          <w:szCs w:val="24"/>
          <w:lang w:eastAsia="ru-RU"/>
        </w:rPr>
        <w:t>а</w:t>
      </w:r>
      <w:r w:rsidRPr="00FD63E0">
        <w:rPr>
          <w:sz w:val="24"/>
          <w:szCs w:val="24"/>
          <w:lang w:eastAsia="ru-RU"/>
        </w:rPr>
        <w:t xml:space="preserve">, факультет социологии – </w:t>
      </w:r>
      <w:r w:rsidR="00D85BEE">
        <w:rPr>
          <w:sz w:val="24"/>
          <w:szCs w:val="24"/>
          <w:lang w:eastAsia="ru-RU"/>
        </w:rPr>
        <w:t>73</w:t>
      </w:r>
      <w:r w:rsidRPr="00FD63E0">
        <w:rPr>
          <w:sz w:val="24"/>
          <w:szCs w:val="24"/>
          <w:lang w:eastAsia="ru-RU"/>
        </w:rPr>
        <w:t xml:space="preserve"> человек</w:t>
      </w:r>
      <w:r w:rsidR="00D85BEE">
        <w:rPr>
          <w:sz w:val="24"/>
          <w:szCs w:val="24"/>
          <w:lang w:eastAsia="ru-RU"/>
        </w:rPr>
        <w:t>а</w:t>
      </w:r>
      <w:r w:rsidRPr="00FD63E0">
        <w:rPr>
          <w:sz w:val="24"/>
          <w:szCs w:val="24"/>
          <w:lang w:eastAsia="ru-RU"/>
        </w:rPr>
        <w:t xml:space="preserve">. Всего с начала реализации проекта приняли участие в работе  </w:t>
      </w:r>
      <w:r w:rsidR="00D85BEE">
        <w:rPr>
          <w:sz w:val="24"/>
          <w:szCs w:val="24"/>
          <w:lang w:eastAsia="ru-RU"/>
        </w:rPr>
        <w:t xml:space="preserve">935 </w:t>
      </w:r>
      <w:r w:rsidRPr="00FD63E0">
        <w:rPr>
          <w:sz w:val="24"/>
          <w:szCs w:val="24"/>
          <w:lang w:eastAsia="ru-RU"/>
        </w:rPr>
        <w:t>студентов и аспирантов</w:t>
      </w:r>
      <w:r w:rsidR="00D85BEE">
        <w:rPr>
          <w:sz w:val="24"/>
          <w:szCs w:val="24"/>
          <w:lang w:eastAsia="ru-RU"/>
        </w:rPr>
        <w:t>, что соответствует 1598 фактам подачи заявок за все годы</w:t>
      </w:r>
      <w:r w:rsidRPr="00FD63E0">
        <w:rPr>
          <w:sz w:val="24"/>
          <w:szCs w:val="24"/>
          <w:lang w:eastAsia="ru-RU"/>
        </w:rPr>
        <w:t>.</w:t>
      </w:r>
      <w:r w:rsidR="00EA1137">
        <w:rPr>
          <w:color w:val="000000"/>
        </w:rPr>
        <w:t xml:space="preserve"> </w:t>
      </w:r>
    </w:p>
    <w:p w:rsidR="00FD7CDC" w:rsidRDefault="00E860E9" w:rsidP="00FD7CDC">
      <w:pPr>
        <w:pStyle w:val="32"/>
        <w:snapToGrid w:val="0"/>
        <w:spacing w:after="0" w:line="360" w:lineRule="auto"/>
        <w:jc w:val="both"/>
        <w:rPr>
          <w:rFonts w:asciiTheme="minorHAnsi" w:hAnsiTheme="minorHAnsi" w:cstheme="minorHAnsi"/>
          <w:b/>
          <w:sz w:val="24"/>
          <w:szCs w:val="24"/>
        </w:rPr>
      </w:pPr>
      <w:r>
        <w:rPr>
          <w:rFonts w:asciiTheme="minorHAnsi" w:hAnsiTheme="minorHAnsi" w:cstheme="minorHAnsi"/>
          <w:b/>
          <w:sz w:val="24"/>
          <w:szCs w:val="24"/>
        </w:rPr>
        <w:lastRenderedPageBreak/>
        <w:t>Диаграмма 8</w:t>
      </w:r>
      <w:r w:rsidR="00FD7CDC" w:rsidRPr="00A84ECF">
        <w:rPr>
          <w:rFonts w:asciiTheme="minorHAnsi" w:hAnsiTheme="minorHAnsi" w:cstheme="minorHAnsi"/>
          <w:b/>
          <w:sz w:val="24"/>
          <w:szCs w:val="24"/>
        </w:rPr>
        <w:t>.3.4</w:t>
      </w:r>
    </w:p>
    <w:p w:rsidR="00FD7CDC" w:rsidRDefault="00FD63E0" w:rsidP="00FD7CDC">
      <w:pPr>
        <w:pStyle w:val="32"/>
        <w:snapToGrid w:val="0"/>
        <w:spacing w:after="0" w:line="360" w:lineRule="auto"/>
        <w:jc w:val="both"/>
        <w:rPr>
          <w:rFonts w:asciiTheme="minorHAnsi" w:hAnsiTheme="minorHAnsi" w:cstheme="minorHAnsi"/>
          <w:b/>
          <w:sz w:val="24"/>
          <w:szCs w:val="24"/>
        </w:rPr>
      </w:pPr>
      <w:r>
        <w:rPr>
          <w:noProof/>
          <w:lang w:eastAsia="ru-RU"/>
        </w:rPr>
        <w:drawing>
          <wp:inline distT="0" distB="0" distL="0" distR="0">
            <wp:extent cx="5829300" cy="8654143"/>
            <wp:effectExtent l="0" t="0" r="19050" b="139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BB4034" w:rsidRPr="002107E0" w:rsidRDefault="00FD7CDC" w:rsidP="002107E0">
      <w:pPr>
        <w:spacing w:after="200" w:line="276" w:lineRule="auto"/>
        <w:jc w:val="both"/>
        <w:rPr>
          <w:color w:val="000000"/>
        </w:rPr>
      </w:pPr>
      <w:r w:rsidRPr="00AD75E5">
        <w:rPr>
          <w:color w:val="000000"/>
        </w:rPr>
        <w:lastRenderedPageBreak/>
        <w:t xml:space="preserve">В следующих таблице </w:t>
      </w:r>
      <w:r w:rsidR="00E860E9">
        <w:rPr>
          <w:color w:val="000000"/>
        </w:rPr>
        <w:t>8</w:t>
      </w:r>
      <w:r>
        <w:rPr>
          <w:color w:val="000000"/>
        </w:rPr>
        <w:t>.3.5</w:t>
      </w:r>
      <w:r w:rsidRPr="00AD75E5">
        <w:rPr>
          <w:color w:val="000000"/>
        </w:rPr>
        <w:t xml:space="preserve"> и гистограмме </w:t>
      </w:r>
      <w:r w:rsidR="00E860E9">
        <w:rPr>
          <w:color w:val="000000"/>
        </w:rPr>
        <w:t>8</w:t>
      </w:r>
      <w:r>
        <w:rPr>
          <w:color w:val="000000"/>
        </w:rPr>
        <w:t>.3.5</w:t>
      </w:r>
      <w:r w:rsidRPr="00AD75E5">
        <w:rPr>
          <w:color w:val="000000"/>
        </w:rPr>
        <w:t xml:space="preserve"> на фоне общего количества учебных ассистентов представлены те, кто работал </w:t>
      </w:r>
      <w:r w:rsidR="00D85BEE">
        <w:rPr>
          <w:color w:val="000000"/>
        </w:rPr>
        <w:t>ассистентами преподавателей на «чужих» факультетах</w:t>
      </w:r>
      <w:r w:rsidRPr="00AD75E5">
        <w:rPr>
          <w:color w:val="000000"/>
        </w:rPr>
        <w:t>. Среди них часто встречаются математики, так как их дисциплина преподается на разных факультетах: для лингвистов, политологов, управленцев, социологов и других.</w:t>
      </w:r>
      <w:r w:rsidRPr="00AD75E5">
        <w:rPr>
          <w:color w:val="000000"/>
        </w:rPr>
        <w:tab/>
      </w:r>
    </w:p>
    <w:p w:rsidR="00FD7CDC" w:rsidRPr="00F60DE7" w:rsidRDefault="00E860E9" w:rsidP="00FD7CDC">
      <w:pPr>
        <w:pStyle w:val="32"/>
        <w:snapToGrid w:val="0"/>
        <w:spacing w:after="0" w:line="360" w:lineRule="auto"/>
        <w:rPr>
          <w:rFonts w:asciiTheme="minorHAnsi" w:hAnsiTheme="minorHAnsi" w:cstheme="minorHAnsi"/>
          <w:b/>
          <w:sz w:val="24"/>
          <w:szCs w:val="24"/>
        </w:rPr>
      </w:pPr>
      <w:r>
        <w:rPr>
          <w:rFonts w:asciiTheme="minorHAnsi" w:hAnsiTheme="minorHAnsi" w:cstheme="minorHAnsi"/>
          <w:b/>
          <w:sz w:val="24"/>
          <w:szCs w:val="24"/>
        </w:rPr>
        <w:t>Таблица 8</w:t>
      </w:r>
      <w:r w:rsidR="00FD7CDC" w:rsidRPr="00F60DE7">
        <w:rPr>
          <w:rFonts w:asciiTheme="minorHAnsi" w:hAnsiTheme="minorHAnsi" w:cstheme="minorHAnsi"/>
          <w:b/>
          <w:sz w:val="24"/>
          <w:szCs w:val="24"/>
        </w:rPr>
        <w:t>.3.</w:t>
      </w:r>
      <w:r w:rsidR="00FD7CDC">
        <w:rPr>
          <w:rFonts w:asciiTheme="minorHAnsi" w:hAnsiTheme="minorHAnsi" w:cstheme="minorHAnsi"/>
          <w:b/>
          <w:sz w:val="24"/>
          <w:szCs w:val="24"/>
        </w:rPr>
        <w:t>5</w:t>
      </w:r>
    </w:p>
    <w:tbl>
      <w:tblPr>
        <w:tblW w:w="8495" w:type="dxa"/>
        <w:tblInd w:w="93" w:type="dxa"/>
        <w:tblLook w:val="04A0" w:firstRow="1" w:lastRow="0" w:firstColumn="1" w:lastColumn="0" w:noHBand="0" w:noVBand="1"/>
      </w:tblPr>
      <w:tblGrid>
        <w:gridCol w:w="3843"/>
        <w:gridCol w:w="1380"/>
        <w:gridCol w:w="3272"/>
      </w:tblGrid>
      <w:tr w:rsidR="00FD7CDC" w:rsidRPr="00E860E9" w:rsidTr="00E860E9">
        <w:trPr>
          <w:trHeight w:val="255"/>
        </w:trPr>
        <w:tc>
          <w:tcPr>
            <w:tcW w:w="3843" w:type="dxa"/>
            <w:tcBorders>
              <w:top w:val="single" w:sz="4" w:space="0" w:color="auto"/>
              <w:left w:val="single" w:sz="4" w:space="0" w:color="auto"/>
              <w:bottom w:val="single" w:sz="4" w:space="0" w:color="auto"/>
              <w:right w:val="nil"/>
            </w:tcBorders>
            <w:shd w:val="clear" w:color="auto" w:fill="auto"/>
            <w:noWrap/>
            <w:vAlign w:val="bottom"/>
            <w:hideMark/>
          </w:tcPr>
          <w:p w:rsidR="00FD7CDC" w:rsidRPr="00BB4034" w:rsidRDefault="00E860E9" w:rsidP="00BE5D68">
            <w:pPr>
              <w:rPr>
                <w:rFonts w:cs="Calibri"/>
                <w:szCs w:val="20"/>
              </w:rPr>
            </w:pPr>
            <w:r w:rsidRPr="00BB4034">
              <w:rPr>
                <w:rFonts w:cs="Calibri"/>
                <w:szCs w:val="20"/>
              </w:rPr>
              <w:t>Учебные периоды</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7CDC" w:rsidRPr="00BB4034" w:rsidRDefault="00FD7CDC" w:rsidP="00BE5D68">
            <w:pPr>
              <w:rPr>
                <w:rFonts w:cs="Calibri"/>
                <w:szCs w:val="20"/>
              </w:rPr>
            </w:pPr>
            <w:r w:rsidRPr="00BB4034">
              <w:rPr>
                <w:rFonts w:cs="Calibri"/>
                <w:szCs w:val="20"/>
              </w:rPr>
              <w:t>УА всего</w:t>
            </w:r>
          </w:p>
        </w:tc>
        <w:tc>
          <w:tcPr>
            <w:tcW w:w="3272" w:type="dxa"/>
            <w:tcBorders>
              <w:top w:val="single" w:sz="4" w:space="0" w:color="auto"/>
              <w:left w:val="nil"/>
              <w:bottom w:val="single" w:sz="4" w:space="0" w:color="auto"/>
              <w:right w:val="single" w:sz="4" w:space="0" w:color="auto"/>
            </w:tcBorders>
            <w:shd w:val="clear" w:color="auto" w:fill="auto"/>
            <w:noWrap/>
            <w:vAlign w:val="bottom"/>
            <w:hideMark/>
          </w:tcPr>
          <w:p w:rsidR="00FD7CDC" w:rsidRPr="00BB4034" w:rsidRDefault="00FD7CDC" w:rsidP="00BE5D68">
            <w:pPr>
              <w:rPr>
                <w:rFonts w:cs="Calibri"/>
                <w:szCs w:val="20"/>
              </w:rPr>
            </w:pPr>
            <w:r w:rsidRPr="00BB4034">
              <w:rPr>
                <w:rFonts w:cs="Calibri"/>
                <w:szCs w:val="20"/>
              </w:rPr>
              <w:t>УА непрофильные направления</w:t>
            </w:r>
          </w:p>
        </w:tc>
      </w:tr>
      <w:tr w:rsidR="00FD7CDC" w:rsidRPr="00E860E9" w:rsidTr="00E860E9">
        <w:trPr>
          <w:trHeight w:val="255"/>
        </w:trPr>
        <w:tc>
          <w:tcPr>
            <w:tcW w:w="3843" w:type="dxa"/>
            <w:tcBorders>
              <w:top w:val="single" w:sz="4" w:space="0" w:color="auto"/>
              <w:left w:val="single" w:sz="4" w:space="0" w:color="auto"/>
              <w:bottom w:val="single" w:sz="4" w:space="0" w:color="auto"/>
              <w:right w:val="nil"/>
            </w:tcBorders>
            <w:shd w:val="clear" w:color="auto" w:fill="auto"/>
            <w:noWrap/>
            <w:vAlign w:val="bottom"/>
            <w:hideMark/>
          </w:tcPr>
          <w:p w:rsidR="00FD7CDC" w:rsidRPr="00BB4034" w:rsidRDefault="00FD7CDC" w:rsidP="00BE5D68">
            <w:pPr>
              <w:rPr>
                <w:rFonts w:cs="Calibri"/>
                <w:szCs w:val="20"/>
              </w:rPr>
            </w:pPr>
            <w:r w:rsidRPr="00BB4034">
              <w:rPr>
                <w:rFonts w:cs="Calibri"/>
                <w:szCs w:val="20"/>
              </w:rPr>
              <w:t>3-5мод.09-10</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Cs w:val="20"/>
              </w:rPr>
            </w:pPr>
            <w:r w:rsidRPr="00BB4034">
              <w:rPr>
                <w:rFonts w:cs="Calibri"/>
                <w:szCs w:val="20"/>
              </w:rPr>
              <w:t>54</w:t>
            </w:r>
          </w:p>
        </w:tc>
        <w:tc>
          <w:tcPr>
            <w:tcW w:w="3272"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Cs w:val="20"/>
              </w:rPr>
            </w:pPr>
            <w:r w:rsidRPr="00BB4034">
              <w:rPr>
                <w:rFonts w:cs="Calibri"/>
                <w:szCs w:val="20"/>
              </w:rPr>
              <w:t>8</w:t>
            </w:r>
          </w:p>
        </w:tc>
      </w:tr>
      <w:tr w:rsidR="00FD7CDC" w:rsidRPr="00E860E9" w:rsidTr="00E860E9">
        <w:trPr>
          <w:trHeight w:val="255"/>
        </w:trPr>
        <w:tc>
          <w:tcPr>
            <w:tcW w:w="3843" w:type="dxa"/>
            <w:tcBorders>
              <w:top w:val="nil"/>
              <w:left w:val="single" w:sz="4" w:space="0" w:color="auto"/>
              <w:bottom w:val="single" w:sz="4" w:space="0" w:color="auto"/>
              <w:right w:val="nil"/>
            </w:tcBorders>
            <w:shd w:val="clear" w:color="auto" w:fill="auto"/>
            <w:noWrap/>
            <w:vAlign w:val="bottom"/>
            <w:hideMark/>
          </w:tcPr>
          <w:p w:rsidR="00FD7CDC" w:rsidRPr="00BB4034" w:rsidRDefault="00FD7CDC" w:rsidP="00BE5D68">
            <w:pPr>
              <w:rPr>
                <w:rFonts w:cs="Calibri"/>
                <w:szCs w:val="20"/>
              </w:rPr>
            </w:pPr>
            <w:r w:rsidRPr="00BB4034">
              <w:rPr>
                <w:rFonts w:cs="Calibri"/>
                <w:szCs w:val="20"/>
              </w:rPr>
              <w:t>1-2мод.10-11</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Cs w:val="20"/>
              </w:rPr>
            </w:pPr>
            <w:r w:rsidRPr="00BB4034">
              <w:rPr>
                <w:rFonts w:cs="Calibri"/>
                <w:szCs w:val="20"/>
              </w:rPr>
              <w:t>79</w:t>
            </w:r>
          </w:p>
        </w:tc>
        <w:tc>
          <w:tcPr>
            <w:tcW w:w="3272"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Cs w:val="20"/>
              </w:rPr>
            </w:pPr>
            <w:r w:rsidRPr="00BB4034">
              <w:rPr>
                <w:rFonts w:cs="Calibri"/>
                <w:szCs w:val="20"/>
              </w:rPr>
              <w:t>11</w:t>
            </w:r>
          </w:p>
        </w:tc>
      </w:tr>
      <w:tr w:rsidR="00FD7CDC" w:rsidRPr="00E860E9" w:rsidTr="00E860E9">
        <w:trPr>
          <w:trHeight w:val="255"/>
        </w:trPr>
        <w:tc>
          <w:tcPr>
            <w:tcW w:w="3843" w:type="dxa"/>
            <w:tcBorders>
              <w:top w:val="nil"/>
              <w:left w:val="single" w:sz="4" w:space="0" w:color="auto"/>
              <w:bottom w:val="single" w:sz="4" w:space="0" w:color="auto"/>
              <w:right w:val="nil"/>
            </w:tcBorders>
            <w:shd w:val="clear" w:color="auto" w:fill="auto"/>
            <w:noWrap/>
            <w:vAlign w:val="bottom"/>
            <w:hideMark/>
          </w:tcPr>
          <w:p w:rsidR="00FD7CDC" w:rsidRPr="00BB4034" w:rsidRDefault="00FD7CDC" w:rsidP="00BE5D68">
            <w:pPr>
              <w:rPr>
                <w:rFonts w:cs="Calibri"/>
                <w:szCs w:val="20"/>
              </w:rPr>
            </w:pPr>
            <w:r w:rsidRPr="00BB4034">
              <w:rPr>
                <w:rFonts w:cs="Calibri"/>
                <w:szCs w:val="20"/>
              </w:rPr>
              <w:t>3-4мод.10-11</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Cs w:val="20"/>
              </w:rPr>
            </w:pPr>
            <w:r w:rsidRPr="00BB4034">
              <w:rPr>
                <w:rFonts w:cs="Calibri"/>
                <w:szCs w:val="20"/>
              </w:rPr>
              <w:t>124</w:t>
            </w:r>
          </w:p>
        </w:tc>
        <w:tc>
          <w:tcPr>
            <w:tcW w:w="3272"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Cs w:val="20"/>
              </w:rPr>
            </w:pPr>
            <w:r w:rsidRPr="00BB4034">
              <w:rPr>
                <w:rFonts w:cs="Calibri"/>
                <w:szCs w:val="20"/>
              </w:rPr>
              <w:t>27</w:t>
            </w:r>
          </w:p>
        </w:tc>
      </w:tr>
      <w:tr w:rsidR="00FD7CDC" w:rsidRPr="00E860E9" w:rsidTr="00E860E9">
        <w:trPr>
          <w:trHeight w:val="255"/>
        </w:trPr>
        <w:tc>
          <w:tcPr>
            <w:tcW w:w="3843" w:type="dxa"/>
            <w:tcBorders>
              <w:top w:val="nil"/>
              <w:left w:val="single" w:sz="4" w:space="0" w:color="auto"/>
              <w:bottom w:val="single" w:sz="4" w:space="0" w:color="auto"/>
              <w:right w:val="nil"/>
            </w:tcBorders>
            <w:shd w:val="clear" w:color="auto" w:fill="auto"/>
            <w:noWrap/>
            <w:vAlign w:val="bottom"/>
            <w:hideMark/>
          </w:tcPr>
          <w:p w:rsidR="00FD7CDC" w:rsidRPr="00BB4034" w:rsidRDefault="00FD7CDC" w:rsidP="00BE5D68">
            <w:pPr>
              <w:rPr>
                <w:rFonts w:cs="Calibri"/>
                <w:szCs w:val="20"/>
              </w:rPr>
            </w:pPr>
            <w:r w:rsidRPr="00BB4034">
              <w:rPr>
                <w:rFonts w:cs="Calibri"/>
                <w:szCs w:val="20"/>
              </w:rPr>
              <w:t>1-2мод.11-12</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Cs w:val="20"/>
              </w:rPr>
            </w:pPr>
            <w:r w:rsidRPr="00BB4034">
              <w:rPr>
                <w:rFonts w:cs="Calibri"/>
                <w:szCs w:val="20"/>
              </w:rPr>
              <w:t>164</w:t>
            </w:r>
          </w:p>
        </w:tc>
        <w:tc>
          <w:tcPr>
            <w:tcW w:w="3272"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Cs w:val="20"/>
              </w:rPr>
            </w:pPr>
            <w:r w:rsidRPr="00BB4034">
              <w:rPr>
                <w:rFonts w:cs="Calibri"/>
                <w:szCs w:val="20"/>
              </w:rPr>
              <w:t>36</w:t>
            </w:r>
          </w:p>
        </w:tc>
      </w:tr>
      <w:tr w:rsidR="00FD7CDC" w:rsidRPr="00E860E9" w:rsidTr="00E860E9">
        <w:trPr>
          <w:trHeight w:val="255"/>
        </w:trPr>
        <w:tc>
          <w:tcPr>
            <w:tcW w:w="3843" w:type="dxa"/>
            <w:tcBorders>
              <w:top w:val="nil"/>
              <w:left w:val="single" w:sz="4" w:space="0" w:color="auto"/>
              <w:bottom w:val="single" w:sz="4" w:space="0" w:color="auto"/>
              <w:right w:val="nil"/>
            </w:tcBorders>
            <w:shd w:val="clear" w:color="auto" w:fill="auto"/>
            <w:noWrap/>
            <w:vAlign w:val="bottom"/>
            <w:hideMark/>
          </w:tcPr>
          <w:p w:rsidR="00FD7CDC" w:rsidRPr="00BB4034" w:rsidRDefault="00FD7CDC" w:rsidP="00BE5D68">
            <w:pPr>
              <w:rPr>
                <w:rFonts w:cs="Calibri"/>
                <w:szCs w:val="20"/>
              </w:rPr>
            </w:pPr>
            <w:r w:rsidRPr="00BB4034">
              <w:rPr>
                <w:rFonts w:cs="Calibri"/>
                <w:szCs w:val="20"/>
              </w:rPr>
              <w:t>3-4мод.11-12</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Cs w:val="20"/>
              </w:rPr>
            </w:pPr>
            <w:r w:rsidRPr="00BB4034">
              <w:rPr>
                <w:rFonts w:cs="Calibri"/>
                <w:szCs w:val="20"/>
              </w:rPr>
              <w:t>220</w:t>
            </w:r>
          </w:p>
        </w:tc>
        <w:tc>
          <w:tcPr>
            <w:tcW w:w="3272"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Cs w:val="20"/>
              </w:rPr>
            </w:pPr>
            <w:r w:rsidRPr="00BB4034">
              <w:rPr>
                <w:rFonts w:cs="Calibri"/>
                <w:szCs w:val="20"/>
              </w:rPr>
              <w:t>46</w:t>
            </w:r>
          </w:p>
        </w:tc>
      </w:tr>
      <w:tr w:rsidR="00FD7CDC" w:rsidRPr="00E860E9" w:rsidTr="00E860E9">
        <w:trPr>
          <w:trHeight w:val="255"/>
        </w:trPr>
        <w:tc>
          <w:tcPr>
            <w:tcW w:w="3843" w:type="dxa"/>
            <w:tcBorders>
              <w:top w:val="nil"/>
              <w:left w:val="single" w:sz="4" w:space="0" w:color="auto"/>
              <w:bottom w:val="single" w:sz="4" w:space="0" w:color="auto"/>
              <w:right w:val="nil"/>
            </w:tcBorders>
            <w:shd w:val="clear" w:color="auto" w:fill="auto"/>
            <w:noWrap/>
            <w:vAlign w:val="bottom"/>
            <w:hideMark/>
          </w:tcPr>
          <w:p w:rsidR="00FD7CDC" w:rsidRPr="00BB4034" w:rsidRDefault="00FD7CDC" w:rsidP="00BE5D68">
            <w:pPr>
              <w:rPr>
                <w:rFonts w:cs="Calibri"/>
                <w:szCs w:val="20"/>
              </w:rPr>
            </w:pPr>
            <w:r w:rsidRPr="00BB4034">
              <w:rPr>
                <w:rFonts w:cs="Calibri"/>
                <w:szCs w:val="20"/>
              </w:rPr>
              <w:t>1-2мод.12-13</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Cs w:val="20"/>
              </w:rPr>
            </w:pPr>
            <w:r w:rsidRPr="00BB4034">
              <w:rPr>
                <w:rFonts w:cs="Calibri"/>
                <w:szCs w:val="20"/>
              </w:rPr>
              <w:t>245</w:t>
            </w:r>
          </w:p>
        </w:tc>
        <w:tc>
          <w:tcPr>
            <w:tcW w:w="3272"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Cs w:val="20"/>
              </w:rPr>
            </w:pPr>
            <w:r w:rsidRPr="00BB4034">
              <w:rPr>
                <w:rFonts w:cs="Calibri"/>
                <w:szCs w:val="20"/>
              </w:rPr>
              <w:t>36</w:t>
            </w:r>
          </w:p>
        </w:tc>
      </w:tr>
      <w:tr w:rsidR="00FD7CDC" w:rsidRPr="00E860E9" w:rsidTr="00E860E9">
        <w:trPr>
          <w:trHeight w:val="255"/>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FD7CDC" w:rsidRPr="00BB4034" w:rsidRDefault="00FD7CDC" w:rsidP="00BE5D68">
            <w:pPr>
              <w:rPr>
                <w:rFonts w:cs="Calibri"/>
                <w:szCs w:val="20"/>
              </w:rPr>
            </w:pPr>
            <w:r w:rsidRPr="00BB4034">
              <w:rPr>
                <w:rFonts w:cs="Calibri"/>
                <w:szCs w:val="20"/>
              </w:rPr>
              <w:t>3-4 мод.12-13</w:t>
            </w:r>
          </w:p>
        </w:tc>
        <w:tc>
          <w:tcPr>
            <w:tcW w:w="1380"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Cs w:val="20"/>
              </w:rPr>
            </w:pPr>
            <w:r w:rsidRPr="00BB4034">
              <w:rPr>
                <w:rFonts w:cs="Calibri"/>
                <w:szCs w:val="20"/>
              </w:rPr>
              <w:t>322</w:t>
            </w:r>
          </w:p>
        </w:tc>
        <w:tc>
          <w:tcPr>
            <w:tcW w:w="3272"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Cs w:val="20"/>
              </w:rPr>
            </w:pPr>
            <w:r w:rsidRPr="00BB4034">
              <w:rPr>
                <w:rFonts w:cs="Calibri"/>
                <w:szCs w:val="20"/>
              </w:rPr>
              <w:t>50</w:t>
            </w:r>
          </w:p>
        </w:tc>
      </w:tr>
      <w:tr w:rsidR="00FD7CDC" w:rsidRPr="00E860E9" w:rsidTr="00E860E9">
        <w:trPr>
          <w:trHeight w:val="255"/>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FD7CDC" w:rsidRPr="00BB4034" w:rsidRDefault="00FD7CDC" w:rsidP="00BE5D68">
            <w:pPr>
              <w:rPr>
                <w:rFonts w:cs="Calibri"/>
                <w:szCs w:val="20"/>
              </w:rPr>
            </w:pPr>
            <w:r w:rsidRPr="00BB4034">
              <w:rPr>
                <w:rFonts w:cs="Calibri"/>
                <w:szCs w:val="20"/>
              </w:rPr>
              <w:t>1-2 мод.13-14</w:t>
            </w:r>
          </w:p>
        </w:tc>
        <w:tc>
          <w:tcPr>
            <w:tcW w:w="1380"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Cs w:val="20"/>
              </w:rPr>
            </w:pPr>
            <w:r w:rsidRPr="00BB4034">
              <w:rPr>
                <w:rFonts w:cs="Calibri"/>
                <w:szCs w:val="20"/>
              </w:rPr>
              <w:t>390</w:t>
            </w:r>
          </w:p>
        </w:tc>
        <w:tc>
          <w:tcPr>
            <w:tcW w:w="3272" w:type="dxa"/>
            <w:tcBorders>
              <w:top w:val="nil"/>
              <w:left w:val="nil"/>
              <w:bottom w:val="single" w:sz="4" w:space="0" w:color="auto"/>
              <w:right w:val="single" w:sz="4" w:space="0" w:color="auto"/>
            </w:tcBorders>
            <w:shd w:val="clear" w:color="auto" w:fill="auto"/>
            <w:noWrap/>
            <w:vAlign w:val="bottom"/>
            <w:hideMark/>
          </w:tcPr>
          <w:p w:rsidR="00FD7CDC" w:rsidRPr="00BB4034" w:rsidRDefault="00FD7CDC" w:rsidP="00BE5D68">
            <w:pPr>
              <w:jc w:val="center"/>
              <w:rPr>
                <w:rFonts w:cs="Calibri"/>
                <w:szCs w:val="20"/>
              </w:rPr>
            </w:pPr>
            <w:r w:rsidRPr="00BB4034">
              <w:rPr>
                <w:rFonts w:cs="Calibri"/>
                <w:szCs w:val="20"/>
              </w:rPr>
              <w:t>71</w:t>
            </w:r>
          </w:p>
        </w:tc>
      </w:tr>
    </w:tbl>
    <w:p w:rsidR="00FD7CDC" w:rsidRPr="004F4F46" w:rsidRDefault="00FD7CDC" w:rsidP="00FD7CDC">
      <w:pPr>
        <w:tabs>
          <w:tab w:val="left" w:pos="2614"/>
          <w:tab w:val="left" w:pos="3537"/>
        </w:tabs>
        <w:rPr>
          <w:b/>
        </w:rPr>
      </w:pPr>
    </w:p>
    <w:p w:rsidR="00FD7CDC" w:rsidRDefault="00FD7CDC" w:rsidP="00FD7CDC">
      <w:pPr>
        <w:ind w:firstLine="708"/>
        <w:rPr>
          <w:b/>
        </w:rPr>
      </w:pPr>
      <w:r w:rsidRPr="004F4F46">
        <w:rPr>
          <w:b/>
        </w:rPr>
        <w:t xml:space="preserve">Диаграмма </w:t>
      </w:r>
      <w:r w:rsidR="00E860E9">
        <w:rPr>
          <w:b/>
        </w:rPr>
        <w:t>8</w:t>
      </w:r>
      <w:r w:rsidRPr="004F4F46">
        <w:rPr>
          <w:b/>
        </w:rPr>
        <w:t>.</w:t>
      </w:r>
      <w:r>
        <w:rPr>
          <w:b/>
        </w:rPr>
        <w:t>3</w:t>
      </w:r>
      <w:r w:rsidRPr="004F4F46">
        <w:rPr>
          <w:b/>
        </w:rPr>
        <w:t>.5</w:t>
      </w:r>
    </w:p>
    <w:p w:rsidR="00FD7CDC" w:rsidRPr="00D85BEE" w:rsidRDefault="00982A49" w:rsidP="00D85BEE">
      <w:pPr>
        <w:rPr>
          <w:b/>
        </w:rPr>
      </w:pPr>
      <w:r>
        <w:rPr>
          <w:b/>
          <w:noProof/>
        </w:rPr>
        <w:drawing>
          <wp:inline distT="0" distB="0" distL="0" distR="0">
            <wp:extent cx="5225143" cy="3494314"/>
            <wp:effectExtent l="0" t="0" r="0" b="0"/>
            <wp:docPr id="68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240611" cy="3504658"/>
                    </a:xfrm>
                    <a:prstGeom prst="rect">
                      <a:avLst/>
                    </a:prstGeom>
                    <a:noFill/>
                    <a:ln>
                      <a:noFill/>
                    </a:ln>
                  </pic:spPr>
                </pic:pic>
              </a:graphicData>
            </a:graphic>
          </wp:inline>
        </w:drawing>
      </w:r>
    </w:p>
    <w:p w:rsidR="00E860E9" w:rsidRPr="00D85BEE" w:rsidRDefault="00D85BEE" w:rsidP="00FD7CDC">
      <w:pPr>
        <w:spacing w:after="200" w:line="276" w:lineRule="auto"/>
        <w:jc w:val="both"/>
        <w:rPr>
          <w:color w:val="000000"/>
        </w:rPr>
      </w:pPr>
      <w:r>
        <w:rPr>
          <w:color w:val="000000"/>
        </w:rPr>
        <w:t>Н</w:t>
      </w:r>
      <w:r w:rsidR="00FD7CDC">
        <w:rPr>
          <w:color w:val="000000"/>
        </w:rPr>
        <w:t xml:space="preserve">а </w:t>
      </w:r>
      <w:r w:rsidR="00FD7CDC" w:rsidRPr="00AD75E5">
        <w:rPr>
          <w:color w:val="000000"/>
        </w:rPr>
        <w:t xml:space="preserve">диаграмме </w:t>
      </w:r>
      <w:r w:rsidR="00E860E9">
        <w:rPr>
          <w:color w:val="000000"/>
        </w:rPr>
        <w:t>8</w:t>
      </w:r>
      <w:r w:rsidR="00FD7CDC" w:rsidRPr="00AD75E5">
        <w:rPr>
          <w:color w:val="000000"/>
        </w:rPr>
        <w:t>.</w:t>
      </w:r>
      <w:r w:rsidR="00FD7CDC">
        <w:rPr>
          <w:color w:val="000000"/>
        </w:rPr>
        <w:t>3</w:t>
      </w:r>
      <w:r w:rsidR="00FD7CDC" w:rsidRPr="00AD75E5">
        <w:rPr>
          <w:color w:val="000000"/>
        </w:rPr>
        <w:t xml:space="preserve">.6 показано соотношение юношей и девушек, работавших в качестве учебных ассистентов на всех факультетах за все периоды. </w:t>
      </w:r>
      <w:r w:rsidR="00FD7CDC">
        <w:rPr>
          <w:color w:val="000000"/>
        </w:rPr>
        <w:t xml:space="preserve">Количество девушек на диаграмме преобладает. В отдельных случаях - на факультете математики, отделении </w:t>
      </w:r>
      <w:r w:rsidR="00271649">
        <w:rPr>
          <w:color w:val="000000"/>
        </w:rPr>
        <w:t xml:space="preserve">ВШЭ-РЭШ - </w:t>
      </w:r>
      <w:r w:rsidR="00FD7CDC">
        <w:rPr>
          <w:color w:val="000000"/>
        </w:rPr>
        <w:t xml:space="preserve"> преобладают юноши.</w:t>
      </w:r>
    </w:p>
    <w:p w:rsidR="00B73FC7" w:rsidRDefault="00B73FC7" w:rsidP="00FD7CDC">
      <w:pPr>
        <w:spacing w:after="200" w:line="276" w:lineRule="auto"/>
        <w:jc w:val="both"/>
        <w:rPr>
          <w:b/>
          <w:color w:val="000000"/>
        </w:rPr>
      </w:pPr>
    </w:p>
    <w:p w:rsidR="00B73FC7" w:rsidRDefault="00B73FC7" w:rsidP="00FD7CDC">
      <w:pPr>
        <w:spacing w:after="200" w:line="276" w:lineRule="auto"/>
        <w:jc w:val="both"/>
        <w:rPr>
          <w:b/>
          <w:color w:val="000000"/>
        </w:rPr>
      </w:pPr>
    </w:p>
    <w:p w:rsidR="00B73FC7" w:rsidRDefault="00B73FC7" w:rsidP="00FD7CDC">
      <w:pPr>
        <w:spacing w:after="200" w:line="276" w:lineRule="auto"/>
        <w:jc w:val="both"/>
        <w:rPr>
          <w:b/>
          <w:color w:val="000000"/>
        </w:rPr>
      </w:pPr>
    </w:p>
    <w:p w:rsidR="00FD7CDC" w:rsidRDefault="00E860E9" w:rsidP="00FD7CDC">
      <w:pPr>
        <w:spacing w:after="200" w:line="276" w:lineRule="auto"/>
        <w:jc w:val="both"/>
        <w:rPr>
          <w:b/>
          <w:color w:val="000000"/>
        </w:rPr>
      </w:pPr>
      <w:r>
        <w:rPr>
          <w:b/>
          <w:color w:val="000000"/>
        </w:rPr>
        <w:lastRenderedPageBreak/>
        <w:t>Диаграмма 8</w:t>
      </w:r>
      <w:r w:rsidR="00FD7CDC" w:rsidRPr="00341AD9">
        <w:rPr>
          <w:b/>
          <w:color w:val="000000"/>
        </w:rPr>
        <w:t>.3.6</w:t>
      </w:r>
    </w:p>
    <w:p w:rsidR="00D85BEE" w:rsidRDefault="00D85BEE" w:rsidP="00FD7CDC">
      <w:pPr>
        <w:spacing w:after="200" w:line="276" w:lineRule="auto"/>
        <w:jc w:val="both"/>
        <w:rPr>
          <w:b/>
          <w:color w:val="000000"/>
        </w:rPr>
      </w:pPr>
      <w:r>
        <w:rPr>
          <w:noProof/>
        </w:rPr>
        <w:drawing>
          <wp:inline distT="0" distB="0" distL="0" distR="0">
            <wp:extent cx="5716905" cy="4687933"/>
            <wp:effectExtent l="0" t="0" r="0" b="1143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FD7CDC" w:rsidRPr="006A18AE" w:rsidRDefault="00FD7CDC" w:rsidP="00FD7CDC">
      <w:pPr>
        <w:spacing w:after="200" w:line="276" w:lineRule="auto"/>
        <w:jc w:val="both"/>
        <w:rPr>
          <w:color w:val="000000"/>
        </w:rPr>
      </w:pPr>
      <w:r>
        <w:rPr>
          <w:color w:val="000000"/>
        </w:rPr>
        <w:t>Н</w:t>
      </w:r>
      <w:r w:rsidRPr="00AD75E5">
        <w:rPr>
          <w:color w:val="000000"/>
        </w:rPr>
        <w:t>а протяжении действия проекта наблюдается неизменный рост количества преподавателей</w:t>
      </w:r>
      <w:r>
        <w:rPr>
          <w:color w:val="000000"/>
        </w:rPr>
        <w:t xml:space="preserve"> - руководителей учебных ассистентов</w:t>
      </w:r>
      <w:r w:rsidRPr="00AD75E5">
        <w:rPr>
          <w:color w:val="000000"/>
        </w:rPr>
        <w:t xml:space="preserve">, достигший </w:t>
      </w:r>
      <w:r>
        <w:rPr>
          <w:color w:val="000000"/>
        </w:rPr>
        <w:t>в этом</w:t>
      </w:r>
      <w:r w:rsidRPr="00AD75E5">
        <w:rPr>
          <w:color w:val="000000"/>
        </w:rPr>
        <w:t xml:space="preserve"> учебном году </w:t>
      </w:r>
      <w:r>
        <w:rPr>
          <w:color w:val="000000"/>
        </w:rPr>
        <w:t>261</w:t>
      </w:r>
      <w:r w:rsidRPr="00AD75E5">
        <w:rPr>
          <w:color w:val="000000"/>
        </w:rPr>
        <w:t xml:space="preserve"> чел. Многие руководители имеют по 2 учебных ассистента на одну дисциплину, что не противоречит Положению об учебных ассистентах, а некоторые – 3 и даже 4, если преподают разные дисциплины</w:t>
      </w:r>
      <w:r>
        <w:rPr>
          <w:color w:val="000000"/>
        </w:rPr>
        <w:t>.</w:t>
      </w:r>
      <w:r w:rsidRPr="00AD75E5">
        <w:rPr>
          <w:color w:val="000000"/>
        </w:rPr>
        <w:t xml:space="preserve"> </w:t>
      </w:r>
      <w:r w:rsidR="00E860E9">
        <w:rPr>
          <w:color w:val="000000"/>
        </w:rPr>
        <w:t>Иллюстрацией служит диаграмма 8</w:t>
      </w:r>
      <w:r>
        <w:rPr>
          <w:color w:val="000000"/>
        </w:rPr>
        <w:t>.3.7.</w:t>
      </w:r>
    </w:p>
    <w:p w:rsidR="00FD7CDC" w:rsidRDefault="00FD7CDC" w:rsidP="00FD7CDC">
      <w:pPr>
        <w:tabs>
          <w:tab w:val="left" w:pos="3663"/>
        </w:tabs>
        <w:rPr>
          <w:b/>
        </w:rPr>
      </w:pPr>
      <w:r w:rsidRPr="004F4F46">
        <w:rPr>
          <w:b/>
        </w:rPr>
        <w:t xml:space="preserve">Диаграмма </w:t>
      </w:r>
      <w:r w:rsidR="00E860E9">
        <w:rPr>
          <w:b/>
        </w:rPr>
        <w:t>8</w:t>
      </w:r>
      <w:r w:rsidRPr="004F4F46">
        <w:rPr>
          <w:b/>
        </w:rPr>
        <w:t>.</w:t>
      </w:r>
      <w:r>
        <w:rPr>
          <w:b/>
        </w:rPr>
        <w:t>3</w:t>
      </w:r>
      <w:r w:rsidRPr="004F4F46">
        <w:rPr>
          <w:b/>
        </w:rPr>
        <w:t>.</w:t>
      </w:r>
      <w:r>
        <w:rPr>
          <w:b/>
        </w:rPr>
        <w:t>7</w:t>
      </w:r>
    </w:p>
    <w:p w:rsidR="00FD7CDC" w:rsidRPr="006A18AE" w:rsidRDefault="00982A49" w:rsidP="006A18AE">
      <w:pPr>
        <w:tabs>
          <w:tab w:val="left" w:pos="3663"/>
        </w:tabs>
        <w:rPr>
          <w:b/>
        </w:rPr>
      </w:pPr>
      <w:r>
        <w:rPr>
          <w:b/>
          <w:noProof/>
        </w:rPr>
        <w:drawing>
          <wp:inline distT="0" distB="0" distL="0" distR="0">
            <wp:extent cx="4457700" cy="2638425"/>
            <wp:effectExtent l="0" t="0" r="0" b="9525"/>
            <wp:docPr id="67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457700" cy="2638425"/>
                    </a:xfrm>
                    <a:prstGeom prst="rect">
                      <a:avLst/>
                    </a:prstGeom>
                    <a:noFill/>
                    <a:ln>
                      <a:noFill/>
                    </a:ln>
                  </pic:spPr>
                </pic:pic>
              </a:graphicData>
            </a:graphic>
          </wp:inline>
        </w:drawing>
      </w:r>
    </w:p>
    <w:p w:rsidR="00FD7CDC" w:rsidRPr="00AD75E5" w:rsidRDefault="00FD7CDC" w:rsidP="00FD7CDC">
      <w:pPr>
        <w:spacing w:after="200" w:line="276" w:lineRule="auto"/>
        <w:jc w:val="both"/>
        <w:rPr>
          <w:color w:val="000000"/>
        </w:rPr>
      </w:pPr>
      <w:r w:rsidRPr="00AD75E5">
        <w:rPr>
          <w:color w:val="000000"/>
        </w:rPr>
        <w:lastRenderedPageBreak/>
        <w:t>Стабильность просматривается при распределении преподавателей по должностям, это показано в таблице</w:t>
      </w:r>
      <w:r w:rsidR="00E860E9">
        <w:rPr>
          <w:color w:val="000000"/>
        </w:rPr>
        <w:t xml:space="preserve"> 8</w:t>
      </w:r>
      <w:r>
        <w:rPr>
          <w:color w:val="000000"/>
        </w:rPr>
        <w:t>.3.8</w:t>
      </w:r>
      <w:r w:rsidRPr="00AD75E5">
        <w:rPr>
          <w:color w:val="000000"/>
        </w:rPr>
        <w:t xml:space="preserve"> и на </w:t>
      </w:r>
      <w:r>
        <w:rPr>
          <w:color w:val="000000"/>
        </w:rPr>
        <w:t>линейной</w:t>
      </w:r>
      <w:r w:rsidRPr="00AD75E5">
        <w:rPr>
          <w:color w:val="000000"/>
        </w:rPr>
        <w:t xml:space="preserve"> диаграмме</w:t>
      </w:r>
      <w:r w:rsidR="00E860E9">
        <w:rPr>
          <w:color w:val="000000"/>
        </w:rPr>
        <w:t xml:space="preserve"> 8</w:t>
      </w:r>
      <w:r>
        <w:rPr>
          <w:color w:val="000000"/>
        </w:rPr>
        <w:t>.3.8</w:t>
      </w:r>
      <w:r w:rsidRPr="00AD75E5">
        <w:rPr>
          <w:color w:val="000000"/>
        </w:rPr>
        <w:t xml:space="preserve">.  </w:t>
      </w:r>
      <w:r>
        <w:rPr>
          <w:color w:val="000000"/>
        </w:rPr>
        <w:t>Преобладают д</w:t>
      </w:r>
      <w:r w:rsidRPr="00AD75E5">
        <w:rPr>
          <w:color w:val="000000"/>
        </w:rPr>
        <w:t>оценты</w:t>
      </w:r>
      <w:r>
        <w:rPr>
          <w:color w:val="000000"/>
        </w:rPr>
        <w:t>,</w:t>
      </w:r>
      <w:r w:rsidRPr="00AD75E5">
        <w:rPr>
          <w:color w:val="000000"/>
        </w:rPr>
        <w:t xml:space="preserve"> как самая многочисленная часть профессорско-преподавательского состава</w:t>
      </w:r>
      <w:r>
        <w:rPr>
          <w:color w:val="000000"/>
        </w:rPr>
        <w:t xml:space="preserve">, </w:t>
      </w:r>
      <w:r w:rsidRPr="00AD75E5">
        <w:rPr>
          <w:color w:val="000000"/>
        </w:rPr>
        <w:t xml:space="preserve"> на втором месте</w:t>
      </w:r>
      <w:r>
        <w:rPr>
          <w:color w:val="000000"/>
        </w:rPr>
        <w:t xml:space="preserve"> - </w:t>
      </w:r>
      <w:r w:rsidRPr="00AD75E5">
        <w:rPr>
          <w:color w:val="000000"/>
        </w:rPr>
        <w:t>профессора, далее идут старшие преподаватели и замыкают цепочку преподаватели</w:t>
      </w:r>
      <w:r>
        <w:rPr>
          <w:color w:val="000000"/>
        </w:rPr>
        <w:t>.</w:t>
      </w:r>
      <w:r w:rsidRPr="00AD75E5">
        <w:rPr>
          <w:color w:val="000000"/>
        </w:rPr>
        <w:t xml:space="preserve"> </w:t>
      </w:r>
    </w:p>
    <w:p w:rsidR="00FD7CDC" w:rsidRDefault="0026341F" w:rsidP="00FD7CDC">
      <w:pPr>
        <w:pStyle w:val="32"/>
        <w:snapToGrid w:val="0"/>
        <w:spacing w:after="0" w:line="360" w:lineRule="auto"/>
        <w:jc w:val="both"/>
        <w:rPr>
          <w:rFonts w:asciiTheme="minorHAnsi" w:hAnsiTheme="minorHAnsi" w:cstheme="minorHAnsi"/>
          <w:b/>
          <w:sz w:val="24"/>
          <w:szCs w:val="24"/>
        </w:rPr>
      </w:pPr>
      <w:r>
        <w:rPr>
          <w:rFonts w:asciiTheme="minorHAnsi" w:hAnsiTheme="minorHAnsi" w:cstheme="minorHAnsi"/>
          <w:b/>
          <w:sz w:val="24"/>
          <w:szCs w:val="24"/>
        </w:rPr>
        <w:t>Таблица 8</w:t>
      </w:r>
      <w:r w:rsidR="00FD7CDC" w:rsidRPr="00861A7A">
        <w:rPr>
          <w:rFonts w:asciiTheme="minorHAnsi" w:hAnsiTheme="minorHAnsi" w:cstheme="minorHAnsi"/>
          <w:b/>
          <w:sz w:val="24"/>
          <w:szCs w:val="24"/>
        </w:rPr>
        <w:t>.3.</w:t>
      </w:r>
      <w:r w:rsidR="00FD7CDC">
        <w:rPr>
          <w:rFonts w:asciiTheme="minorHAnsi" w:hAnsiTheme="minorHAnsi" w:cstheme="minorHAnsi"/>
          <w:b/>
          <w:sz w:val="24"/>
          <w:szCs w:val="24"/>
        </w:rPr>
        <w:t>8</w:t>
      </w:r>
    </w:p>
    <w:p w:rsidR="00FD7CDC" w:rsidRDefault="00982A49" w:rsidP="00BB4034">
      <w:pPr>
        <w:pStyle w:val="32"/>
        <w:snapToGrid w:val="0"/>
        <w:spacing w:after="0" w:line="360" w:lineRule="auto"/>
        <w:jc w:val="both"/>
      </w:pPr>
      <w:r>
        <w:rPr>
          <w:rFonts w:asciiTheme="minorHAnsi" w:hAnsiTheme="minorHAnsi" w:cstheme="minorHAnsi"/>
          <w:b/>
          <w:noProof/>
          <w:sz w:val="24"/>
          <w:szCs w:val="24"/>
          <w:lang w:eastAsia="ru-RU"/>
        </w:rPr>
        <w:drawing>
          <wp:inline distT="0" distB="0" distL="0" distR="0">
            <wp:extent cx="5943600" cy="1657350"/>
            <wp:effectExtent l="0" t="0" r="0" b="0"/>
            <wp:docPr id="6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3600" cy="1657350"/>
                    </a:xfrm>
                    <a:prstGeom prst="rect">
                      <a:avLst/>
                    </a:prstGeom>
                    <a:noFill/>
                    <a:ln>
                      <a:noFill/>
                    </a:ln>
                  </pic:spPr>
                </pic:pic>
              </a:graphicData>
            </a:graphic>
          </wp:inline>
        </w:drawing>
      </w:r>
    </w:p>
    <w:p w:rsidR="00FD7CDC" w:rsidRPr="004C3153" w:rsidRDefault="0026341F" w:rsidP="00FD7CDC">
      <w:pPr>
        <w:tabs>
          <w:tab w:val="left" w:pos="3115"/>
        </w:tabs>
        <w:rPr>
          <w:b/>
        </w:rPr>
      </w:pPr>
      <w:r>
        <w:rPr>
          <w:b/>
        </w:rPr>
        <w:t>Диаграмма 8</w:t>
      </w:r>
      <w:r w:rsidR="00FD7CDC" w:rsidRPr="004C3153">
        <w:rPr>
          <w:b/>
        </w:rPr>
        <w:t>.3.</w:t>
      </w:r>
      <w:r w:rsidR="00FD7CDC">
        <w:rPr>
          <w:b/>
        </w:rPr>
        <w:t>8</w:t>
      </w:r>
    </w:p>
    <w:p w:rsidR="00FD7CDC" w:rsidRPr="00AE1896" w:rsidRDefault="00982A49" w:rsidP="00FD7CDC">
      <w:pPr>
        <w:rPr>
          <w:b/>
        </w:rPr>
      </w:pPr>
      <w:bookmarkStart w:id="65" w:name="_MON_1444655178"/>
      <w:bookmarkEnd w:id="65"/>
      <w:r>
        <w:rPr>
          <w:b/>
          <w:noProof/>
        </w:rPr>
        <w:drawing>
          <wp:inline distT="0" distB="0" distL="0" distR="0">
            <wp:extent cx="5029200" cy="4552950"/>
            <wp:effectExtent l="0" t="0" r="0" b="0"/>
            <wp:docPr id="67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029200" cy="4552950"/>
                    </a:xfrm>
                    <a:prstGeom prst="rect">
                      <a:avLst/>
                    </a:prstGeom>
                    <a:noFill/>
                    <a:ln>
                      <a:noFill/>
                    </a:ln>
                  </pic:spPr>
                </pic:pic>
              </a:graphicData>
            </a:graphic>
          </wp:inline>
        </w:drawing>
      </w:r>
    </w:p>
    <w:p w:rsidR="00FD7CDC" w:rsidRPr="00FD7CDC" w:rsidRDefault="00FD7CDC" w:rsidP="00FD7CDC"/>
    <w:p w:rsidR="00FF13DB" w:rsidRDefault="005005BC" w:rsidP="00BB4034">
      <w:pPr>
        <w:pStyle w:val="2"/>
        <w:numPr>
          <w:ilvl w:val="1"/>
          <w:numId w:val="1"/>
        </w:numPr>
      </w:pPr>
      <w:bookmarkStart w:id="66" w:name="_Toc374030077"/>
      <w:r>
        <w:t>Повышение квалификации преподавателей НИУ ВШЭ</w:t>
      </w:r>
      <w:bookmarkEnd w:id="66"/>
    </w:p>
    <w:p w:rsidR="004119D7" w:rsidRDefault="004119D7" w:rsidP="00FF13DB">
      <w:pPr>
        <w:spacing w:after="200" w:line="276" w:lineRule="auto"/>
        <w:jc w:val="both"/>
      </w:pPr>
    </w:p>
    <w:p w:rsidR="00FF13DB" w:rsidRDefault="00FF13DB" w:rsidP="00FF13DB">
      <w:pPr>
        <w:spacing w:after="200" w:line="276" w:lineRule="auto"/>
        <w:jc w:val="both"/>
      </w:pPr>
      <w:r>
        <w:t>Повышение квалификации преподавателей НИУ ВШЭ происходит через различные каналы. Один из них – центр повышения квалификации НИУ ВШЭ.</w:t>
      </w:r>
    </w:p>
    <w:p w:rsidR="00FF13DB" w:rsidRPr="00FF13DB" w:rsidRDefault="00FF13DB" w:rsidP="00FF13DB">
      <w:pPr>
        <w:spacing w:after="200" w:line="276" w:lineRule="auto"/>
        <w:jc w:val="both"/>
      </w:pPr>
      <w:r w:rsidRPr="00FF13DB">
        <w:lastRenderedPageBreak/>
        <w:t xml:space="preserve">Деятельность Центра повышения квалификации ориентирована, главным образом, на организацию программ и мероприятий по повышению квалификации работников НИУ ВШЭ и его филиалов по собственным программам, программам вузов, научных центров и специализированных организаций Российской Федерации, проводимым на их базе, выездных мероприятий по повышению квалификации, а также индивидуальных стажировок в зарубежных университетах и научных центрах, обучения по программам магистратуры и программам </w:t>
      </w:r>
      <w:proofErr w:type="spellStart"/>
      <w:r w:rsidRPr="00FF13DB">
        <w:t>Ph.D</w:t>
      </w:r>
      <w:proofErr w:type="spellEnd"/>
      <w:r w:rsidRPr="00FF13DB">
        <w:t>. в ведущих университетах мира и визитов специалистов для проведения курсов на базе НИУ ВШЭ.</w:t>
      </w:r>
    </w:p>
    <w:p w:rsidR="00FF13DB" w:rsidRPr="00FF13DB" w:rsidRDefault="00FF13DB" w:rsidP="00FF13DB">
      <w:pPr>
        <w:spacing w:after="200" w:line="276" w:lineRule="auto"/>
        <w:jc w:val="both"/>
      </w:pPr>
      <w:r w:rsidRPr="00FF13DB">
        <w:t>Данные о повышении квалификации научно-педагогических работников НИУ ВШЭ за 2012/2013 учебный год приведены в ниже.</w:t>
      </w:r>
    </w:p>
    <w:p w:rsidR="00FF13DB" w:rsidRPr="006C410F" w:rsidRDefault="00FF13DB" w:rsidP="00FF13DB">
      <w:pPr>
        <w:tabs>
          <w:tab w:val="num" w:pos="360"/>
        </w:tabs>
        <w:spacing w:before="120" w:after="120"/>
        <w:jc w:val="center"/>
        <w:rPr>
          <w:b/>
          <w:bCs/>
          <w:sz w:val="26"/>
          <w:szCs w:val="26"/>
        </w:rPr>
      </w:pPr>
      <w:r w:rsidRPr="006C410F">
        <w:rPr>
          <w:b/>
          <w:bCs/>
          <w:sz w:val="26"/>
          <w:szCs w:val="26"/>
        </w:rPr>
        <w:t>Количество участников мероприятий по повышению квалификации</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76"/>
        <w:gridCol w:w="1276"/>
        <w:gridCol w:w="1276"/>
        <w:gridCol w:w="1275"/>
        <w:gridCol w:w="1417"/>
      </w:tblGrid>
      <w:tr w:rsidR="00FF13DB" w:rsidRPr="00AF1F6C" w:rsidTr="00FF13DB">
        <w:trPr>
          <w:trHeight w:val="567"/>
        </w:trPr>
        <w:tc>
          <w:tcPr>
            <w:tcW w:w="2943" w:type="dxa"/>
            <w:vAlign w:val="center"/>
          </w:tcPr>
          <w:p w:rsidR="00FF13DB" w:rsidRPr="00AF1F6C" w:rsidRDefault="00FF13DB" w:rsidP="00FF13DB">
            <w:pPr>
              <w:tabs>
                <w:tab w:val="num" w:pos="360"/>
              </w:tabs>
              <w:jc w:val="center"/>
              <w:rPr>
                <w:b/>
                <w:bCs/>
                <w:i/>
                <w:sz w:val="26"/>
                <w:szCs w:val="26"/>
              </w:rPr>
            </w:pPr>
            <w:r w:rsidRPr="00AF1F6C">
              <w:rPr>
                <w:b/>
                <w:i/>
                <w:sz w:val="26"/>
                <w:szCs w:val="26"/>
                <w:lang w:eastAsia="ko-KR"/>
              </w:rPr>
              <w:t>Вид повышения квалификации</w:t>
            </w:r>
          </w:p>
        </w:tc>
        <w:tc>
          <w:tcPr>
            <w:tcW w:w="1276" w:type="dxa"/>
            <w:vAlign w:val="center"/>
          </w:tcPr>
          <w:p w:rsidR="00FF13DB" w:rsidRPr="00AF1F6C" w:rsidRDefault="00FF13DB" w:rsidP="00FF13DB">
            <w:pPr>
              <w:jc w:val="center"/>
              <w:rPr>
                <w:b/>
                <w:i/>
                <w:sz w:val="26"/>
                <w:szCs w:val="26"/>
                <w:lang w:eastAsia="ko-KR"/>
              </w:rPr>
            </w:pPr>
            <w:r w:rsidRPr="00AF1F6C">
              <w:rPr>
                <w:b/>
                <w:i/>
                <w:sz w:val="26"/>
                <w:szCs w:val="26"/>
                <w:lang w:eastAsia="ko-KR"/>
              </w:rPr>
              <w:t>Москва</w:t>
            </w:r>
          </w:p>
        </w:tc>
        <w:tc>
          <w:tcPr>
            <w:tcW w:w="1276" w:type="dxa"/>
            <w:vAlign w:val="center"/>
          </w:tcPr>
          <w:p w:rsidR="00FF13DB" w:rsidRPr="00AF1F6C" w:rsidRDefault="00FF13DB" w:rsidP="00FF13DB">
            <w:pPr>
              <w:jc w:val="center"/>
              <w:rPr>
                <w:b/>
                <w:i/>
                <w:sz w:val="26"/>
                <w:szCs w:val="26"/>
                <w:lang w:eastAsia="ko-KR"/>
              </w:rPr>
            </w:pPr>
            <w:r w:rsidRPr="00AF1F6C">
              <w:rPr>
                <w:b/>
                <w:i/>
                <w:sz w:val="26"/>
                <w:szCs w:val="26"/>
                <w:lang w:eastAsia="ko-KR"/>
              </w:rPr>
              <w:t>НН</w:t>
            </w:r>
          </w:p>
        </w:tc>
        <w:tc>
          <w:tcPr>
            <w:tcW w:w="1276" w:type="dxa"/>
            <w:vAlign w:val="center"/>
          </w:tcPr>
          <w:p w:rsidR="00FF13DB" w:rsidRPr="00AF1F6C" w:rsidRDefault="00FF13DB" w:rsidP="00FF13DB">
            <w:pPr>
              <w:jc w:val="center"/>
              <w:rPr>
                <w:b/>
                <w:i/>
                <w:sz w:val="26"/>
                <w:szCs w:val="26"/>
                <w:lang w:eastAsia="ko-KR"/>
              </w:rPr>
            </w:pPr>
            <w:r w:rsidRPr="00AF1F6C">
              <w:rPr>
                <w:b/>
                <w:i/>
                <w:sz w:val="26"/>
                <w:szCs w:val="26"/>
                <w:lang w:eastAsia="ko-KR"/>
              </w:rPr>
              <w:t>Пермь</w:t>
            </w:r>
          </w:p>
        </w:tc>
        <w:tc>
          <w:tcPr>
            <w:tcW w:w="1275" w:type="dxa"/>
            <w:vAlign w:val="center"/>
          </w:tcPr>
          <w:p w:rsidR="00FF13DB" w:rsidRPr="00AF1F6C" w:rsidRDefault="00FF13DB" w:rsidP="00FF13DB">
            <w:pPr>
              <w:jc w:val="center"/>
              <w:rPr>
                <w:b/>
                <w:i/>
                <w:sz w:val="26"/>
                <w:szCs w:val="26"/>
                <w:lang w:eastAsia="ko-KR"/>
              </w:rPr>
            </w:pPr>
            <w:r w:rsidRPr="00AF1F6C">
              <w:rPr>
                <w:b/>
                <w:i/>
                <w:sz w:val="26"/>
                <w:szCs w:val="26"/>
                <w:lang w:eastAsia="ko-KR"/>
              </w:rPr>
              <w:t>СПб</w:t>
            </w:r>
          </w:p>
        </w:tc>
        <w:tc>
          <w:tcPr>
            <w:tcW w:w="1417" w:type="dxa"/>
            <w:vAlign w:val="center"/>
          </w:tcPr>
          <w:p w:rsidR="00FF13DB" w:rsidRPr="00AF1F6C" w:rsidRDefault="00FF13DB" w:rsidP="00FF13DB">
            <w:pPr>
              <w:tabs>
                <w:tab w:val="num" w:pos="360"/>
              </w:tabs>
              <w:jc w:val="center"/>
              <w:rPr>
                <w:b/>
                <w:bCs/>
                <w:i/>
                <w:sz w:val="26"/>
                <w:szCs w:val="26"/>
              </w:rPr>
            </w:pPr>
            <w:r w:rsidRPr="00AF1F6C">
              <w:rPr>
                <w:b/>
                <w:bCs/>
                <w:i/>
                <w:sz w:val="26"/>
                <w:szCs w:val="26"/>
              </w:rPr>
              <w:t>Всего</w:t>
            </w:r>
          </w:p>
        </w:tc>
      </w:tr>
      <w:tr w:rsidR="00FF13DB" w:rsidRPr="00AF1F6C" w:rsidTr="00FF13DB">
        <w:trPr>
          <w:trHeight w:val="567"/>
        </w:trPr>
        <w:tc>
          <w:tcPr>
            <w:tcW w:w="2943" w:type="dxa"/>
          </w:tcPr>
          <w:p w:rsidR="00FF13DB" w:rsidRPr="00AF1F6C" w:rsidRDefault="00FF13DB" w:rsidP="00FF13DB">
            <w:pPr>
              <w:tabs>
                <w:tab w:val="num" w:pos="360"/>
              </w:tabs>
              <w:rPr>
                <w:bCs/>
                <w:sz w:val="26"/>
                <w:szCs w:val="26"/>
              </w:rPr>
            </w:pPr>
            <w:r w:rsidRPr="00AF1F6C">
              <w:rPr>
                <w:bCs/>
                <w:sz w:val="26"/>
                <w:szCs w:val="26"/>
              </w:rPr>
              <w:t>Внутренние курсы НИУ ВШЭ</w:t>
            </w:r>
          </w:p>
        </w:tc>
        <w:tc>
          <w:tcPr>
            <w:tcW w:w="1276" w:type="dxa"/>
          </w:tcPr>
          <w:p w:rsidR="00FF13DB" w:rsidRPr="00AF1F6C" w:rsidRDefault="00FF13DB" w:rsidP="00FF13DB">
            <w:pPr>
              <w:tabs>
                <w:tab w:val="num" w:pos="360"/>
              </w:tabs>
              <w:jc w:val="center"/>
              <w:rPr>
                <w:bCs/>
                <w:sz w:val="26"/>
                <w:szCs w:val="26"/>
              </w:rPr>
            </w:pPr>
            <w:r w:rsidRPr="00AF1F6C">
              <w:rPr>
                <w:bCs/>
                <w:sz w:val="26"/>
                <w:szCs w:val="26"/>
              </w:rPr>
              <w:t>476</w:t>
            </w:r>
          </w:p>
        </w:tc>
        <w:tc>
          <w:tcPr>
            <w:tcW w:w="1276" w:type="dxa"/>
          </w:tcPr>
          <w:p w:rsidR="00FF13DB" w:rsidRPr="00AF1F6C" w:rsidRDefault="00FF13DB" w:rsidP="00FF13DB">
            <w:pPr>
              <w:tabs>
                <w:tab w:val="num" w:pos="360"/>
              </w:tabs>
              <w:jc w:val="center"/>
              <w:rPr>
                <w:bCs/>
                <w:sz w:val="26"/>
                <w:szCs w:val="26"/>
              </w:rPr>
            </w:pPr>
            <w:r w:rsidRPr="00AF1F6C">
              <w:rPr>
                <w:bCs/>
                <w:sz w:val="26"/>
                <w:szCs w:val="26"/>
              </w:rPr>
              <w:t>99</w:t>
            </w:r>
          </w:p>
        </w:tc>
        <w:tc>
          <w:tcPr>
            <w:tcW w:w="1276" w:type="dxa"/>
          </w:tcPr>
          <w:p w:rsidR="00FF13DB" w:rsidRPr="00AF1F6C" w:rsidRDefault="00FF13DB" w:rsidP="00FF13DB">
            <w:pPr>
              <w:tabs>
                <w:tab w:val="num" w:pos="360"/>
              </w:tabs>
              <w:jc w:val="center"/>
              <w:rPr>
                <w:bCs/>
                <w:sz w:val="26"/>
                <w:szCs w:val="26"/>
              </w:rPr>
            </w:pPr>
            <w:r w:rsidRPr="00AF1F6C">
              <w:rPr>
                <w:bCs/>
                <w:sz w:val="26"/>
                <w:szCs w:val="26"/>
              </w:rPr>
              <w:t>144</w:t>
            </w:r>
          </w:p>
        </w:tc>
        <w:tc>
          <w:tcPr>
            <w:tcW w:w="1275" w:type="dxa"/>
          </w:tcPr>
          <w:p w:rsidR="00FF13DB" w:rsidRPr="00AF1F6C" w:rsidRDefault="00FF13DB" w:rsidP="00FF13DB">
            <w:pPr>
              <w:tabs>
                <w:tab w:val="num" w:pos="360"/>
              </w:tabs>
              <w:jc w:val="center"/>
              <w:rPr>
                <w:bCs/>
                <w:sz w:val="26"/>
                <w:szCs w:val="26"/>
              </w:rPr>
            </w:pPr>
            <w:r w:rsidRPr="00AF1F6C">
              <w:rPr>
                <w:bCs/>
                <w:sz w:val="26"/>
                <w:szCs w:val="26"/>
              </w:rPr>
              <w:t>135</w:t>
            </w:r>
          </w:p>
        </w:tc>
        <w:tc>
          <w:tcPr>
            <w:tcW w:w="1417" w:type="dxa"/>
          </w:tcPr>
          <w:p w:rsidR="00FF13DB" w:rsidRPr="00AF1F6C" w:rsidRDefault="00FF13DB" w:rsidP="00FF13DB">
            <w:pPr>
              <w:tabs>
                <w:tab w:val="num" w:pos="360"/>
              </w:tabs>
              <w:jc w:val="center"/>
              <w:rPr>
                <w:bCs/>
                <w:sz w:val="26"/>
                <w:szCs w:val="26"/>
              </w:rPr>
            </w:pPr>
            <w:r w:rsidRPr="00AF1F6C">
              <w:rPr>
                <w:bCs/>
                <w:sz w:val="26"/>
                <w:szCs w:val="26"/>
              </w:rPr>
              <w:t>854</w:t>
            </w:r>
          </w:p>
        </w:tc>
      </w:tr>
      <w:tr w:rsidR="00FF13DB" w:rsidRPr="00AF1F6C" w:rsidTr="00FF13DB">
        <w:trPr>
          <w:trHeight w:val="567"/>
        </w:trPr>
        <w:tc>
          <w:tcPr>
            <w:tcW w:w="2943" w:type="dxa"/>
          </w:tcPr>
          <w:p w:rsidR="00FF13DB" w:rsidRPr="00AF1F6C" w:rsidRDefault="00FF13DB" w:rsidP="00FF13DB">
            <w:pPr>
              <w:tabs>
                <w:tab w:val="num" w:pos="360"/>
              </w:tabs>
              <w:rPr>
                <w:bCs/>
                <w:sz w:val="26"/>
                <w:szCs w:val="26"/>
              </w:rPr>
            </w:pPr>
            <w:r w:rsidRPr="00AF1F6C">
              <w:rPr>
                <w:bCs/>
                <w:sz w:val="26"/>
                <w:szCs w:val="26"/>
              </w:rPr>
              <w:t>Обучение во внешних организациях в России</w:t>
            </w:r>
          </w:p>
        </w:tc>
        <w:tc>
          <w:tcPr>
            <w:tcW w:w="1276" w:type="dxa"/>
          </w:tcPr>
          <w:p w:rsidR="00FF13DB" w:rsidRPr="00AF1F6C" w:rsidRDefault="00FF13DB" w:rsidP="00FF13DB">
            <w:pPr>
              <w:tabs>
                <w:tab w:val="num" w:pos="360"/>
              </w:tabs>
              <w:jc w:val="center"/>
              <w:rPr>
                <w:bCs/>
                <w:sz w:val="26"/>
                <w:szCs w:val="26"/>
              </w:rPr>
            </w:pPr>
            <w:r w:rsidRPr="00AF1F6C">
              <w:rPr>
                <w:bCs/>
                <w:sz w:val="26"/>
                <w:szCs w:val="26"/>
              </w:rPr>
              <w:t>25</w:t>
            </w:r>
          </w:p>
        </w:tc>
        <w:tc>
          <w:tcPr>
            <w:tcW w:w="1276" w:type="dxa"/>
          </w:tcPr>
          <w:p w:rsidR="00FF13DB" w:rsidRPr="00AF1F6C" w:rsidRDefault="00FF13DB" w:rsidP="00FF13DB">
            <w:pPr>
              <w:tabs>
                <w:tab w:val="num" w:pos="360"/>
              </w:tabs>
              <w:jc w:val="center"/>
              <w:rPr>
                <w:bCs/>
                <w:sz w:val="26"/>
                <w:szCs w:val="26"/>
              </w:rPr>
            </w:pPr>
            <w:r w:rsidRPr="00AF1F6C">
              <w:rPr>
                <w:bCs/>
                <w:sz w:val="26"/>
                <w:szCs w:val="26"/>
              </w:rPr>
              <w:t>-</w:t>
            </w:r>
          </w:p>
        </w:tc>
        <w:tc>
          <w:tcPr>
            <w:tcW w:w="1276" w:type="dxa"/>
          </w:tcPr>
          <w:p w:rsidR="00FF13DB" w:rsidRPr="00AF1F6C" w:rsidRDefault="00FF13DB" w:rsidP="00FF13DB">
            <w:pPr>
              <w:tabs>
                <w:tab w:val="num" w:pos="360"/>
              </w:tabs>
              <w:jc w:val="center"/>
              <w:rPr>
                <w:bCs/>
                <w:sz w:val="26"/>
                <w:szCs w:val="26"/>
              </w:rPr>
            </w:pPr>
            <w:r w:rsidRPr="00AF1F6C">
              <w:rPr>
                <w:bCs/>
                <w:sz w:val="26"/>
                <w:szCs w:val="26"/>
              </w:rPr>
              <w:t>2</w:t>
            </w:r>
          </w:p>
        </w:tc>
        <w:tc>
          <w:tcPr>
            <w:tcW w:w="1275" w:type="dxa"/>
          </w:tcPr>
          <w:p w:rsidR="00FF13DB" w:rsidRPr="00AF1F6C" w:rsidRDefault="00FF13DB" w:rsidP="00FF13DB">
            <w:pPr>
              <w:tabs>
                <w:tab w:val="num" w:pos="360"/>
              </w:tabs>
              <w:jc w:val="center"/>
              <w:rPr>
                <w:bCs/>
                <w:sz w:val="26"/>
                <w:szCs w:val="26"/>
              </w:rPr>
            </w:pPr>
            <w:r w:rsidRPr="00AF1F6C">
              <w:rPr>
                <w:bCs/>
                <w:sz w:val="26"/>
                <w:szCs w:val="26"/>
              </w:rPr>
              <w:t>1</w:t>
            </w:r>
          </w:p>
        </w:tc>
        <w:tc>
          <w:tcPr>
            <w:tcW w:w="1417" w:type="dxa"/>
          </w:tcPr>
          <w:p w:rsidR="00FF13DB" w:rsidRPr="00AF1F6C" w:rsidRDefault="00FF13DB" w:rsidP="00FF13DB">
            <w:pPr>
              <w:tabs>
                <w:tab w:val="num" w:pos="360"/>
              </w:tabs>
              <w:jc w:val="center"/>
              <w:rPr>
                <w:bCs/>
                <w:sz w:val="26"/>
                <w:szCs w:val="26"/>
              </w:rPr>
            </w:pPr>
            <w:r w:rsidRPr="00AF1F6C">
              <w:rPr>
                <w:bCs/>
                <w:sz w:val="26"/>
                <w:szCs w:val="26"/>
              </w:rPr>
              <w:t>28</w:t>
            </w:r>
          </w:p>
        </w:tc>
      </w:tr>
      <w:tr w:rsidR="00FF13DB" w:rsidRPr="00AF1F6C" w:rsidTr="00FF13DB">
        <w:trPr>
          <w:trHeight w:val="567"/>
        </w:trPr>
        <w:tc>
          <w:tcPr>
            <w:tcW w:w="2943" w:type="dxa"/>
          </w:tcPr>
          <w:p w:rsidR="00FF13DB" w:rsidRPr="00AF1F6C" w:rsidRDefault="00FF13DB" w:rsidP="00FF13DB">
            <w:pPr>
              <w:tabs>
                <w:tab w:val="num" w:pos="360"/>
              </w:tabs>
              <w:rPr>
                <w:bCs/>
                <w:sz w:val="26"/>
                <w:szCs w:val="26"/>
              </w:rPr>
            </w:pPr>
            <w:r w:rsidRPr="00AF1F6C">
              <w:rPr>
                <w:bCs/>
                <w:sz w:val="26"/>
                <w:szCs w:val="26"/>
              </w:rPr>
              <w:t>Обучение и стажировки за рубежом</w:t>
            </w:r>
          </w:p>
        </w:tc>
        <w:tc>
          <w:tcPr>
            <w:tcW w:w="1276" w:type="dxa"/>
          </w:tcPr>
          <w:p w:rsidR="00FF13DB" w:rsidRPr="00AF1F6C" w:rsidRDefault="00FF13DB" w:rsidP="00FF13DB">
            <w:pPr>
              <w:tabs>
                <w:tab w:val="num" w:pos="360"/>
              </w:tabs>
              <w:jc w:val="center"/>
              <w:rPr>
                <w:bCs/>
                <w:sz w:val="26"/>
                <w:szCs w:val="26"/>
              </w:rPr>
            </w:pPr>
            <w:r w:rsidRPr="00AF1F6C">
              <w:rPr>
                <w:bCs/>
                <w:sz w:val="26"/>
                <w:szCs w:val="26"/>
              </w:rPr>
              <w:t>77</w:t>
            </w:r>
          </w:p>
        </w:tc>
        <w:tc>
          <w:tcPr>
            <w:tcW w:w="1276" w:type="dxa"/>
          </w:tcPr>
          <w:p w:rsidR="00FF13DB" w:rsidRPr="00AF1F6C" w:rsidRDefault="00FF13DB" w:rsidP="00FF13DB">
            <w:pPr>
              <w:tabs>
                <w:tab w:val="num" w:pos="360"/>
              </w:tabs>
              <w:jc w:val="center"/>
              <w:rPr>
                <w:bCs/>
                <w:sz w:val="26"/>
                <w:szCs w:val="26"/>
              </w:rPr>
            </w:pPr>
            <w:r w:rsidRPr="00AF1F6C">
              <w:rPr>
                <w:bCs/>
                <w:sz w:val="26"/>
                <w:szCs w:val="26"/>
              </w:rPr>
              <w:t>14</w:t>
            </w:r>
          </w:p>
        </w:tc>
        <w:tc>
          <w:tcPr>
            <w:tcW w:w="1276" w:type="dxa"/>
          </w:tcPr>
          <w:p w:rsidR="00FF13DB" w:rsidRPr="00AF1F6C" w:rsidRDefault="00FF13DB" w:rsidP="00FF13DB">
            <w:pPr>
              <w:tabs>
                <w:tab w:val="num" w:pos="360"/>
              </w:tabs>
              <w:jc w:val="center"/>
              <w:rPr>
                <w:bCs/>
                <w:sz w:val="26"/>
                <w:szCs w:val="26"/>
              </w:rPr>
            </w:pPr>
            <w:r w:rsidRPr="00AF1F6C">
              <w:rPr>
                <w:bCs/>
                <w:sz w:val="26"/>
                <w:szCs w:val="26"/>
              </w:rPr>
              <w:t>7</w:t>
            </w:r>
          </w:p>
        </w:tc>
        <w:tc>
          <w:tcPr>
            <w:tcW w:w="1275" w:type="dxa"/>
          </w:tcPr>
          <w:p w:rsidR="00FF13DB" w:rsidRPr="00AF1F6C" w:rsidRDefault="00FF13DB" w:rsidP="00FF13DB">
            <w:pPr>
              <w:tabs>
                <w:tab w:val="num" w:pos="360"/>
              </w:tabs>
              <w:jc w:val="center"/>
              <w:rPr>
                <w:bCs/>
                <w:sz w:val="26"/>
                <w:szCs w:val="26"/>
              </w:rPr>
            </w:pPr>
            <w:r w:rsidRPr="00AF1F6C">
              <w:rPr>
                <w:bCs/>
                <w:sz w:val="26"/>
                <w:szCs w:val="26"/>
              </w:rPr>
              <w:t>5</w:t>
            </w:r>
          </w:p>
        </w:tc>
        <w:tc>
          <w:tcPr>
            <w:tcW w:w="1417" w:type="dxa"/>
          </w:tcPr>
          <w:p w:rsidR="00FF13DB" w:rsidRPr="00AF1F6C" w:rsidRDefault="00FF13DB" w:rsidP="00FF13DB">
            <w:pPr>
              <w:tabs>
                <w:tab w:val="num" w:pos="360"/>
              </w:tabs>
              <w:jc w:val="center"/>
              <w:rPr>
                <w:bCs/>
                <w:sz w:val="26"/>
                <w:szCs w:val="26"/>
              </w:rPr>
            </w:pPr>
            <w:r w:rsidRPr="00AF1F6C">
              <w:rPr>
                <w:bCs/>
                <w:sz w:val="26"/>
                <w:szCs w:val="26"/>
              </w:rPr>
              <w:t>103</w:t>
            </w:r>
          </w:p>
        </w:tc>
      </w:tr>
      <w:tr w:rsidR="00FF13DB" w:rsidRPr="00AF1F6C" w:rsidTr="00FF13DB">
        <w:trPr>
          <w:trHeight w:val="567"/>
        </w:trPr>
        <w:tc>
          <w:tcPr>
            <w:tcW w:w="2943" w:type="dxa"/>
            <w:vAlign w:val="center"/>
          </w:tcPr>
          <w:p w:rsidR="00FF13DB" w:rsidRPr="00AF1F6C" w:rsidRDefault="00FF13DB" w:rsidP="00FF13DB">
            <w:pPr>
              <w:tabs>
                <w:tab w:val="num" w:pos="360"/>
              </w:tabs>
              <w:jc w:val="center"/>
              <w:rPr>
                <w:b/>
                <w:bCs/>
                <w:sz w:val="26"/>
                <w:szCs w:val="26"/>
              </w:rPr>
            </w:pPr>
            <w:r w:rsidRPr="00AF1F6C">
              <w:rPr>
                <w:b/>
                <w:bCs/>
                <w:sz w:val="26"/>
                <w:szCs w:val="26"/>
              </w:rPr>
              <w:t>Итого:</w:t>
            </w:r>
          </w:p>
        </w:tc>
        <w:tc>
          <w:tcPr>
            <w:tcW w:w="1276" w:type="dxa"/>
            <w:vAlign w:val="center"/>
          </w:tcPr>
          <w:p w:rsidR="00FF13DB" w:rsidRPr="00AF1F6C" w:rsidRDefault="00FF13DB" w:rsidP="00FF13DB">
            <w:pPr>
              <w:tabs>
                <w:tab w:val="num" w:pos="360"/>
              </w:tabs>
              <w:jc w:val="center"/>
              <w:rPr>
                <w:b/>
                <w:bCs/>
                <w:sz w:val="26"/>
                <w:szCs w:val="26"/>
              </w:rPr>
            </w:pPr>
            <w:r w:rsidRPr="00AF1F6C">
              <w:rPr>
                <w:b/>
                <w:bCs/>
                <w:sz w:val="26"/>
                <w:szCs w:val="26"/>
              </w:rPr>
              <w:t>578</w:t>
            </w:r>
          </w:p>
        </w:tc>
        <w:tc>
          <w:tcPr>
            <w:tcW w:w="1276" w:type="dxa"/>
            <w:vAlign w:val="center"/>
          </w:tcPr>
          <w:p w:rsidR="00FF13DB" w:rsidRPr="00AF1F6C" w:rsidRDefault="00FF13DB" w:rsidP="00FF13DB">
            <w:pPr>
              <w:tabs>
                <w:tab w:val="num" w:pos="360"/>
              </w:tabs>
              <w:jc w:val="center"/>
              <w:rPr>
                <w:b/>
                <w:bCs/>
                <w:sz w:val="26"/>
                <w:szCs w:val="26"/>
              </w:rPr>
            </w:pPr>
            <w:r w:rsidRPr="00AF1F6C">
              <w:rPr>
                <w:b/>
                <w:bCs/>
                <w:sz w:val="26"/>
                <w:szCs w:val="26"/>
              </w:rPr>
              <w:t>113</w:t>
            </w:r>
          </w:p>
        </w:tc>
        <w:tc>
          <w:tcPr>
            <w:tcW w:w="1276" w:type="dxa"/>
            <w:vAlign w:val="center"/>
          </w:tcPr>
          <w:p w:rsidR="00FF13DB" w:rsidRPr="00AF1F6C" w:rsidRDefault="00FF13DB" w:rsidP="00FF13DB">
            <w:pPr>
              <w:tabs>
                <w:tab w:val="num" w:pos="360"/>
              </w:tabs>
              <w:jc w:val="center"/>
              <w:rPr>
                <w:b/>
                <w:bCs/>
                <w:sz w:val="26"/>
                <w:szCs w:val="26"/>
              </w:rPr>
            </w:pPr>
            <w:r w:rsidRPr="00AF1F6C">
              <w:rPr>
                <w:b/>
                <w:bCs/>
                <w:sz w:val="26"/>
                <w:szCs w:val="26"/>
              </w:rPr>
              <w:t>153</w:t>
            </w:r>
          </w:p>
        </w:tc>
        <w:tc>
          <w:tcPr>
            <w:tcW w:w="1275" w:type="dxa"/>
            <w:vAlign w:val="center"/>
          </w:tcPr>
          <w:p w:rsidR="00FF13DB" w:rsidRPr="00AF1F6C" w:rsidRDefault="00FF13DB" w:rsidP="00FF13DB">
            <w:pPr>
              <w:tabs>
                <w:tab w:val="num" w:pos="360"/>
              </w:tabs>
              <w:jc w:val="center"/>
              <w:rPr>
                <w:b/>
                <w:bCs/>
                <w:sz w:val="26"/>
                <w:szCs w:val="26"/>
              </w:rPr>
            </w:pPr>
            <w:r w:rsidRPr="00AF1F6C">
              <w:rPr>
                <w:b/>
                <w:bCs/>
                <w:sz w:val="26"/>
                <w:szCs w:val="26"/>
              </w:rPr>
              <w:t>141</w:t>
            </w:r>
          </w:p>
        </w:tc>
        <w:tc>
          <w:tcPr>
            <w:tcW w:w="1417" w:type="dxa"/>
            <w:vAlign w:val="center"/>
          </w:tcPr>
          <w:p w:rsidR="00FF13DB" w:rsidRPr="00AF1F6C" w:rsidRDefault="00FF13DB" w:rsidP="00FF13DB">
            <w:pPr>
              <w:tabs>
                <w:tab w:val="num" w:pos="360"/>
              </w:tabs>
              <w:jc w:val="center"/>
              <w:rPr>
                <w:b/>
                <w:bCs/>
                <w:sz w:val="26"/>
                <w:szCs w:val="26"/>
              </w:rPr>
            </w:pPr>
            <w:r w:rsidRPr="00AF1F6C">
              <w:rPr>
                <w:b/>
                <w:bCs/>
                <w:sz w:val="26"/>
                <w:szCs w:val="26"/>
              </w:rPr>
              <w:t>985</w:t>
            </w:r>
          </w:p>
        </w:tc>
      </w:tr>
    </w:tbl>
    <w:p w:rsidR="00FF13DB" w:rsidRPr="00813092" w:rsidRDefault="00EA1137" w:rsidP="00813092">
      <w:pPr>
        <w:spacing w:after="200" w:line="276" w:lineRule="auto"/>
        <w:jc w:val="both"/>
      </w:pPr>
      <w:r>
        <w:t xml:space="preserve">В </w:t>
      </w:r>
      <w:r w:rsidR="00FF13DB" w:rsidRPr="00813092">
        <w:t>таблице п</w:t>
      </w:r>
      <w:r w:rsidR="00813092">
        <w:t>редставлены сведения по единицам</w:t>
      </w:r>
      <w:r w:rsidR="00FF13DB" w:rsidRPr="00813092">
        <w:rPr>
          <w:vertAlign w:val="superscript"/>
        </w:rPr>
        <w:footnoteReference w:id="27"/>
      </w:r>
      <w:r w:rsidR="00FF13DB" w:rsidRPr="00813092">
        <w:rPr>
          <w:vertAlign w:val="superscript"/>
        </w:rPr>
        <w:t xml:space="preserve"> </w:t>
      </w:r>
      <w:r w:rsidR="00FF13DB" w:rsidRPr="00813092">
        <w:t>участия научно-педагогических работников в различных мероприятиях Центра повышения квалификации.</w:t>
      </w:r>
    </w:p>
    <w:p w:rsidR="00FF13DB" w:rsidRDefault="00FF13DB" w:rsidP="00EA1137">
      <w:pPr>
        <w:tabs>
          <w:tab w:val="num" w:pos="360"/>
        </w:tabs>
        <w:spacing w:before="120" w:after="120"/>
        <w:rPr>
          <w:b/>
          <w:bCs/>
          <w:sz w:val="26"/>
          <w:szCs w:val="26"/>
        </w:rPr>
      </w:pPr>
      <w:r w:rsidRPr="006C410F">
        <w:rPr>
          <w:b/>
          <w:bCs/>
          <w:sz w:val="26"/>
          <w:szCs w:val="26"/>
        </w:rPr>
        <w:t>Количество научно-педагогических работников, принявших участие в различных мероприятиях по повышению квалификации</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76"/>
        <w:gridCol w:w="1276"/>
        <w:gridCol w:w="1276"/>
        <w:gridCol w:w="1275"/>
        <w:gridCol w:w="1417"/>
      </w:tblGrid>
      <w:tr w:rsidR="00FF13DB" w:rsidRPr="00AF1F6C" w:rsidTr="00FF13DB">
        <w:trPr>
          <w:trHeight w:val="567"/>
        </w:trPr>
        <w:tc>
          <w:tcPr>
            <w:tcW w:w="2943" w:type="dxa"/>
            <w:vAlign w:val="center"/>
          </w:tcPr>
          <w:p w:rsidR="00FF13DB" w:rsidRPr="00AF1F6C" w:rsidRDefault="00FF13DB" w:rsidP="00FF13DB">
            <w:pPr>
              <w:tabs>
                <w:tab w:val="num" w:pos="360"/>
              </w:tabs>
              <w:jc w:val="center"/>
              <w:rPr>
                <w:b/>
                <w:bCs/>
                <w:i/>
                <w:sz w:val="26"/>
                <w:szCs w:val="26"/>
              </w:rPr>
            </w:pPr>
            <w:r>
              <w:rPr>
                <w:b/>
                <w:bCs/>
                <w:i/>
                <w:sz w:val="26"/>
                <w:szCs w:val="26"/>
              </w:rPr>
              <w:t>Категория работников</w:t>
            </w:r>
          </w:p>
        </w:tc>
        <w:tc>
          <w:tcPr>
            <w:tcW w:w="1276" w:type="dxa"/>
            <w:vAlign w:val="center"/>
          </w:tcPr>
          <w:p w:rsidR="00FF13DB" w:rsidRPr="00AF1F6C" w:rsidRDefault="00FF13DB" w:rsidP="00FF13DB">
            <w:pPr>
              <w:jc w:val="center"/>
              <w:rPr>
                <w:b/>
                <w:i/>
                <w:sz w:val="26"/>
                <w:szCs w:val="26"/>
                <w:lang w:eastAsia="ko-KR"/>
              </w:rPr>
            </w:pPr>
            <w:r w:rsidRPr="00AF1F6C">
              <w:rPr>
                <w:b/>
                <w:i/>
                <w:sz w:val="26"/>
                <w:szCs w:val="26"/>
                <w:lang w:eastAsia="ko-KR"/>
              </w:rPr>
              <w:t>Москва</w:t>
            </w:r>
          </w:p>
        </w:tc>
        <w:tc>
          <w:tcPr>
            <w:tcW w:w="1276" w:type="dxa"/>
            <w:vAlign w:val="center"/>
          </w:tcPr>
          <w:p w:rsidR="00FF13DB" w:rsidRPr="00AF1F6C" w:rsidRDefault="00FF13DB" w:rsidP="00FF13DB">
            <w:pPr>
              <w:jc w:val="center"/>
              <w:rPr>
                <w:b/>
                <w:i/>
                <w:sz w:val="26"/>
                <w:szCs w:val="26"/>
                <w:lang w:eastAsia="ko-KR"/>
              </w:rPr>
            </w:pPr>
            <w:r w:rsidRPr="00AF1F6C">
              <w:rPr>
                <w:b/>
                <w:i/>
                <w:sz w:val="26"/>
                <w:szCs w:val="26"/>
                <w:lang w:eastAsia="ko-KR"/>
              </w:rPr>
              <w:t>НН</w:t>
            </w:r>
          </w:p>
        </w:tc>
        <w:tc>
          <w:tcPr>
            <w:tcW w:w="1276" w:type="dxa"/>
            <w:vAlign w:val="center"/>
          </w:tcPr>
          <w:p w:rsidR="00FF13DB" w:rsidRPr="00AF1F6C" w:rsidRDefault="00FF13DB" w:rsidP="00FF13DB">
            <w:pPr>
              <w:jc w:val="center"/>
              <w:rPr>
                <w:b/>
                <w:i/>
                <w:sz w:val="26"/>
                <w:szCs w:val="26"/>
                <w:lang w:eastAsia="ko-KR"/>
              </w:rPr>
            </w:pPr>
            <w:r w:rsidRPr="00AF1F6C">
              <w:rPr>
                <w:b/>
                <w:i/>
                <w:sz w:val="26"/>
                <w:szCs w:val="26"/>
                <w:lang w:eastAsia="ko-KR"/>
              </w:rPr>
              <w:t>Пермь</w:t>
            </w:r>
          </w:p>
        </w:tc>
        <w:tc>
          <w:tcPr>
            <w:tcW w:w="1275" w:type="dxa"/>
            <w:vAlign w:val="center"/>
          </w:tcPr>
          <w:p w:rsidR="00FF13DB" w:rsidRPr="00AF1F6C" w:rsidRDefault="00FF13DB" w:rsidP="00FF13DB">
            <w:pPr>
              <w:jc w:val="center"/>
              <w:rPr>
                <w:b/>
                <w:i/>
                <w:sz w:val="26"/>
                <w:szCs w:val="26"/>
                <w:lang w:eastAsia="ko-KR"/>
              </w:rPr>
            </w:pPr>
            <w:r w:rsidRPr="00AF1F6C">
              <w:rPr>
                <w:b/>
                <w:i/>
                <w:sz w:val="26"/>
                <w:szCs w:val="26"/>
                <w:lang w:eastAsia="ko-KR"/>
              </w:rPr>
              <w:t>СПб</w:t>
            </w:r>
          </w:p>
        </w:tc>
        <w:tc>
          <w:tcPr>
            <w:tcW w:w="1417" w:type="dxa"/>
            <w:vAlign w:val="center"/>
          </w:tcPr>
          <w:p w:rsidR="00FF13DB" w:rsidRPr="00AF1F6C" w:rsidRDefault="00FF13DB" w:rsidP="00FF13DB">
            <w:pPr>
              <w:tabs>
                <w:tab w:val="num" w:pos="360"/>
              </w:tabs>
              <w:jc w:val="center"/>
              <w:rPr>
                <w:b/>
                <w:bCs/>
                <w:i/>
                <w:sz w:val="26"/>
                <w:szCs w:val="26"/>
              </w:rPr>
            </w:pPr>
            <w:r w:rsidRPr="00AF1F6C">
              <w:rPr>
                <w:b/>
                <w:bCs/>
                <w:i/>
                <w:sz w:val="26"/>
                <w:szCs w:val="26"/>
              </w:rPr>
              <w:t>Всего</w:t>
            </w:r>
          </w:p>
        </w:tc>
      </w:tr>
      <w:tr w:rsidR="00FF13DB" w:rsidRPr="00AF1F6C" w:rsidTr="00FF13DB">
        <w:trPr>
          <w:trHeight w:val="567"/>
        </w:trPr>
        <w:tc>
          <w:tcPr>
            <w:tcW w:w="2943" w:type="dxa"/>
          </w:tcPr>
          <w:p w:rsidR="00FF13DB" w:rsidRPr="00AF1F6C" w:rsidRDefault="00FF13DB" w:rsidP="00FF13DB">
            <w:pPr>
              <w:tabs>
                <w:tab w:val="num" w:pos="360"/>
              </w:tabs>
              <w:rPr>
                <w:bCs/>
                <w:sz w:val="26"/>
                <w:szCs w:val="26"/>
              </w:rPr>
            </w:pPr>
            <w:r w:rsidRPr="00AF1F6C">
              <w:rPr>
                <w:bCs/>
                <w:sz w:val="26"/>
                <w:szCs w:val="26"/>
              </w:rPr>
              <w:t>Профессорско-преподавательский состав</w:t>
            </w:r>
          </w:p>
        </w:tc>
        <w:tc>
          <w:tcPr>
            <w:tcW w:w="1276" w:type="dxa"/>
          </w:tcPr>
          <w:p w:rsidR="00FF13DB" w:rsidRPr="00AF1F6C" w:rsidRDefault="00FF13DB" w:rsidP="00FF13DB">
            <w:pPr>
              <w:tabs>
                <w:tab w:val="num" w:pos="360"/>
              </w:tabs>
              <w:jc w:val="center"/>
              <w:rPr>
                <w:bCs/>
                <w:sz w:val="26"/>
                <w:szCs w:val="26"/>
              </w:rPr>
            </w:pPr>
            <w:r w:rsidRPr="00AF1F6C">
              <w:rPr>
                <w:bCs/>
                <w:sz w:val="26"/>
                <w:szCs w:val="26"/>
              </w:rPr>
              <w:t>385</w:t>
            </w:r>
          </w:p>
        </w:tc>
        <w:tc>
          <w:tcPr>
            <w:tcW w:w="1276" w:type="dxa"/>
          </w:tcPr>
          <w:p w:rsidR="00FF13DB" w:rsidRPr="00AF1F6C" w:rsidRDefault="00FF13DB" w:rsidP="00FF13DB">
            <w:pPr>
              <w:tabs>
                <w:tab w:val="num" w:pos="360"/>
              </w:tabs>
              <w:jc w:val="center"/>
              <w:rPr>
                <w:bCs/>
                <w:sz w:val="26"/>
                <w:szCs w:val="26"/>
              </w:rPr>
            </w:pPr>
            <w:r w:rsidRPr="00AF1F6C">
              <w:rPr>
                <w:bCs/>
                <w:sz w:val="26"/>
                <w:szCs w:val="26"/>
              </w:rPr>
              <w:t>65</w:t>
            </w:r>
          </w:p>
        </w:tc>
        <w:tc>
          <w:tcPr>
            <w:tcW w:w="1276" w:type="dxa"/>
          </w:tcPr>
          <w:p w:rsidR="00FF13DB" w:rsidRPr="00AF1F6C" w:rsidRDefault="00FF13DB" w:rsidP="00FF13DB">
            <w:pPr>
              <w:tabs>
                <w:tab w:val="num" w:pos="360"/>
              </w:tabs>
              <w:jc w:val="center"/>
              <w:rPr>
                <w:bCs/>
                <w:sz w:val="26"/>
                <w:szCs w:val="26"/>
              </w:rPr>
            </w:pPr>
            <w:r w:rsidRPr="00AF1F6C">
              <w:rPr>
                <w:bCs/>
                <w:sz w:val="26"/>
                <w:szCs w:val="26"/>
              </w:rPr>
              <w:t>65</w:t>
            </w:r>
          </w:p>
        </w:tc>
        <w:tc>
          <w:tcPr>
            <w:tcW w:w="1275" w:type="dxa"/>
          </w:tcPr>
          <w:p w:rsidR="00FF13DB" w:rsidRPr="00AF1F6C" w:rsidRDefault="00FF13DB" w:rsidP="00FF13DB">
            <w:pPr>
              <w:tabs>
                <w:tab w:val="num" w:pos="360"/>
              </w:tabs>
              <w:jc w:val="center"/>
              <w:rPr>
                <w:bCs/>
                <w:sz w:val="26"/>
                <w:szCs w:val="26"/>
              </w:rPr>
            </w:pPr>
            <w:r w:rsidRPr="00AF1F6C">
              <w:rPr>
                <w:bCs/>
                <w:sz w:val="26"/>
                <w:szCs w:val="26"/>
              </w:rPr>
              <w:t>94</w:t>
            </w:r>
          </w:p>
        </w:tc>
        <w:tc>
          <w:tcPr>
            <w:tcW w:w="1417" w:type="dxa"/>
          </w:tcPr>
          <w:p w:rsidR="00FF13DB" w:rsidRPr="00AF1F6C" w:rsidRDefault="00FF13DB" w:rsidP="00FF13DB">
            <w:pPr>
              <w:tabs>
                <w:tab w:val="num" w:pos="360"/>
              </w:tabs>
              <w:jc w:val="center"/>
              <w:rPr>
                <w:bCs/>
                <w:sz w:val="26"/>
                <w:szCs w:val="26"/>
              </w:rPr>
            </w:pPr>
            <w:r w:rsidRPr="00AF1F6C">
              <w:rPr>
                <w:bCs/>
                <w:sz w:val="26"/>
                <w:szCs w:val="26"/>
              </w:rPr>
              <w:t>609</w:t>
            </w:r>
          </w:p>
        </w:tc>
      </w:tr>
      <w:tr w:rsidR="00FF13DB" w:rsidRPr="00AF1F6C" w:rsidTr="00FF13DB">
        <w:trPr>
          <w:trHeight w:val="567"/>
        </w:trPr>
        <w:tc>
          <w:tcPr>
            <w:tcW w:w="2943" w:type="dxa"/>
          </w:tcPr>
          <w:p w:rsidR="00FF13DB" w:rsidRPr="00AF1F6C" w:rsidRDefault="00FF13DB" w:rsidP="00FF13DB">
            <w:pPr>
              <w:tabs>
                <w:tab w:val="num" w:pos="360"/>
              </w:tabs>
              <w:rPr>
                <w:bCs/>
                <w:sz w:val="26"/>
                <w:szCs w:val="26"/>
              </w:rPr>
            </w:pPr>
            <w:r w:rsidRPr="00AF1F6C">
              <w:rPr>
                <w:bCs/>
                <w:sz w:val="26"/>
                <w:szCs w:val="26"/>
              </w:rPr>
              <w:t>Научные работники</w:t>
            </w:r>
          </w:p>
        </w:tc>
        <w:tc>
          <w:tcPr>
            <w:tcW w:w="1276" w:type="dxa"/>
          </w:tcPr>
          <w:p w:rsidR="00FF13DB" w:rsidRPr="00AF1F6C" w:rsidRDefault="00FF13DB" w:rsidP="00FF13DB">
            <w:pPr>
              <w:tabs>
                <w:tab w:val="num" w:pos="360"/>
              </w:tabs>
              <w:jc w:val="center"/>
              <w:rPr>
                <w:bCs/>
                <w:sz w:val="26"/>
                <w:szCs w:val="26"/>
              </w:rPr>
            </w:pPr>
            <w:r w:rsidRPr="00AF1F6C">
              <w:rPr>
                <w:bCs/>
                <w:sz w:val="26"/>
                <w:szCs w:val="26"/>
              </w:rPr>
              <w:t>90</w:t>
            </w:r>
          </w:p>
        </w:tc>
        <w:tc>
          <w:tcPr>
            <w:tcW w:w="1276" w:type="dxa"/>
          </w:tcPr>
          <w:p w:rsidR="00FF13DB" w:rsidRPr="00AF1F6C" w:rsidRDefault="00FF13DB" w:rsidP="00FF13DB">
            <w:pPr>
              <w:tabs>
                <w:tab w:val="num" w:pos="360"/>
              </w:tabs>
              <w:jc w:val="center"/>
              <w:rPr>
                <w:bCs/>
                <w:sz w:val="26"/>
                <w:szCs w:val="26"/>
              </w:rPr>
            </w:pPr>
            <w:r w:rsidRPr="00AF1F6C">
              <w:rPr>
                <w:bCs/>
                <w:sz w:val="26"/>
                <w:szCs w:val="26"/>
              </w:rPr>
              <w:t>1</w:t>
            </w:r>
          </w:p>
        </w:tc>
        <w:tc>
          <w:tcPr>
            <w:tcW w:w="1276" w:type="dxa"/>
          </w:tcPr>
          <w:p w:rsidR="00FF13DB" w:rsidRPr="00AF1F6C" w:rsidRDefault="00FF13DB" w:rsidP="00FF13DB">
            <w:pPr>
              <w:tabs>
                <w:tab w:val="num" w:pos="360"/>
              </w:tabs>
              <w:jc w:val="center"/>
              <w:rPr>
                <w:bCs/>
                <w:sz w:val="26"/>
                <w:szCs w:val="26"/>
              </w:rPr>
            </w:pPr>
            <w:r w:rsidRPr="00AF1F6C">
              <w:rPr>
                <w:bCs/>
                <w:sz w:val="26"/>
                <w:szCs w:val="26"/>
              </w:rPr>
              <w:t>15</w:t>
            </w:r>
          </w:p>
        </w:tc>
        <w:tc>
          <w:tcPr>
            <w:tcW w:w="1275" w:type="dxa"/>
          </w:tcPr>
          <w:p w:rsidR="00FF13DB" w:rsidRPr="00AF1F6C" w:rsidRDefault="00FF13DB" w:rsidP="00FF13DB">
            <w:pPr>
              <w:tabs>
                <w:tab w:val="num" w:pos="360"/>
              </w:tabs>
              <w:jc w:val="center"/>
              <w:rPr>
                <w:bCs/>
                <w:sz w:val="26"/>
                <w:szCs w:val="26"/>
              </w:rPr>
            </w:pPr>
            <w:r w:rsidRPr="00AF1F6C">
              <w:rPr>
                <w:bCs/>
                <w:sz w:val="26"/>
                <w:szCs w:val="26"/>
              </w:rPr>
              <w:t>8</w:t>
            </w:r>
          </w:p>
        </w:tc>
        <w:tc>
          <w:tcPr>
            <w:tcW w:w="1417" w:type="dxa"/>
          </w:tcPr>
          <w:p w:rsidR="00FF13DB" w:rsidRPr="00AF1F6C" w:rsidRDefault="00FF13DB" w:rsidP="00FF13DB">
            <w:pPr>
              <w:tabs>
                <w:tab w:val="num" w:pos="360"/>
              </w:tabs>
              <w:jc w:val="center"/>
              <w:rPr>
                <w:bCs/>
                <w:sz w:val="26"/>
                <w:szCs w:val="26"/>
              </w:rPr>
            </w:pPr>
            <w:r w:rsidRPr="00AF1F6C">
              <w:rPr>
                <w:bCs/>
                <w:sz w:val="26"/>
                <w:szCs w:val="26"/>
              </w:rPr>
              <w:t>114</w:t>
            </w:r>
          </w:p>
        </w:tc>
      </w:tr>
      <w:tr w:rsidR="00FF13DB" w:rsidRPr="00AF1F6C" w:rsidTr="00FF13DB">
        <w:trPr>
          <w:trHeight w:val="567"/>
        </w:trPr>
        <w:tc>
          <w:tcPr>
            <w:tcW w:w="2943" w:type="dxa"/>
            <w:vAlign w:val="center"/>
          </w:tcPr>
          <w:p w:rsidR="00FF13DB" w:rsidRPr="00AF1F6C" w:rsidRDefault="00FF13DB" w:rsidP="00FF13DB">
            <w:pPr>
              <w:tabs>
                <w:tab w:val="num" w:pos="360"/>
              </w:tabs>
              <w:jc w:val="center"/>
              <w:rPr>
                <w:b/>
                <w:bCs/>
                <w:sz w:val="26"/>
                <w:szCs w:val="26"/>
              </w:rPr>
            </w:pPr>
            <w:r w:rsidRPr="00AF1F6C">
              <w:rPr>
                <w:b/>
                <w:bCs/>
                <w:sz w:val="26"/>
                <w:szCs w:val="26"/>
              </w:rPr>
              <w:t>Итого НПР:</w:t>
            </w:r>
          </w:p>
        </w:tc>
        <w:tc>
          <w:tcPr>
            <w:tcW w:w="1276" w:type="dxa"/>
            <w:vAlign w:val="center"/>
          </w:tcPr>
          <w:p w:rsidR="00FF13DB" w:rsidRPr="00AF1F6C" w:rsidRDefault="00FF13DB" w:rsidP="00FF13DB">
            <w:pPr>
              <w:tabs>
                <w:tab w:val="num" w:pos="360"/>
              </w:tabs>
              <w:jc w:val="center"/>
              <w:rPr>
                <w:b/>
                <w:bCs/>
                <w:sz w:val="26"/>
                <w:szCs w:val="26"/>
              </w:rPr>
            </w:pPr>
            <w:r w:rsidRPr="00AF1F6C">
              <w:rPr>
                <w:b/>
                <w:bCs/>
                <w:sz w:val="26"/>
                <w:szCs w:val="26"/>
              </w:rPr>
              <w:t>475</w:t>
            </w:r>
          </w:p>
        </w:tc>
        <w:tc>
          <w:tcPr>
            <w:tcW w:w="1276" w:type="dxa"/>
            <w:vAlign w:val="center"/>
          </w:tcPr>
          <w:p w:rsidR="00FF13DB" w:rsidRPr="00AF1F6C" w:rsidRDefault="00FF13DB" w:rsidP="00FF13DB">
            <w:pPr>
              <w:tabs>
                <w:tab w:val="num" w:pos="360"/>
              </w:tabs>
              <w:jc w:val="center"/>
              <w:rPr>
                <w:b/>
                <w:bCs/>
                <w:sz w:val="26"/>
                <w:szCs w:val="26"/>
              </w:rPr>
            </w:pPr>
            <w:r w:rsidRPr="00AF1F6C">
              <w:rPr>
                <w:b/>
                <w:bCs/>
                <w:sz w:val="26"/>
                <w:szCs w:val="26"/>
              </w:rPr>
              <w:t>66</w:t>
            </w:r>
          </w:p>
        </w:tc>
        <w:tc>
          <w:tcPr>
            <w:tcW w:w="1276" w:type="dxa"/>
            <w:vAlign w:val="center"/>
          </w:tcPr>
          <w:p w:rsidR="00FF13DB" w:rsidRPr="00AF1F6C" w:rsidRDefault="00FF13DB" w:rsidP="00FF13DB">
            <w:pPr>
              <w:tabs>
                <w:tab w:val="num" w:pos="360"/>
              </w:tabs>
              <w:jc w:val="center"/>
              <w:rPr>
                <w:b/>
                <w:bCs/>
                <w:sz w:val="26"/>
                <w:szCs w:val="26"/>
              </w:rPr>
            </w:pPr>
            <w:r w:rsidRPr="00AF1F6C">
              <w:rPr>
                <w:b/>
                <w:bCs/>
                <w:sz w:val="26"/>
                <w:szCs w:val="26"/>
              </w:rPr>
              <w:t>80</w:t>
            </w:r>
          </w:p>
        </w:tc>
        <w:tc>
          <w:tcPr>
            <w:tcW w:w="1275" w:type="dxa"/>
            <w:vAlign w:val="center"/>
          </w:tcPr>
          <w:p w:rsidR="00FF13DB" w:rsidRPr="00AF1F6C" w:rsidRDefault="00FF13DB" w:rsidP="00FF13DB">
            <w:pPr>
              <w:tabs>
                <w:tab w:val="num" w:pos="360"/>
              </w:tabs>
              <w:jc w:val="center"/>
              <w:rPr>
                <w:b/>
                <w:bCs/>
                <w:sz w:val="26"/>
                <w:szCs w:val="26"/>
              </w:rPr>
            </w:pPr>
            <w:r w:rsidRPr="00AF1F6C">
              <w:rPr>
                <w:b/>
                <w:bCs/>
                <w:sz w:val="26"/>
                <w:szCs w:val="26"/>
              </w:rPr>
              <w:t>102</w:t>
            </w:r>
          </w:p>
        </w:tc>
        <w:tc>
          <w:tcPr>
            <w:tcW w:w="1417" w:type="dxa"/>
            <w:vAlign w:val="center"/>
          </w:tcPr>
          <w:p w:rsidR="00FF13DB" w:rsidRPr="00AF1F6C" w:rsidRDefault="00FF13DB" w:rsidP="00FF13DB">
            <w:pPr>
              <w:tabs>
                <w:tab w:val="num" w:pos="360"/>
              </w:tabs>
              <w:jc w:val="center"/>
              <w:rPr>
                <w:b/>
                <w:bCs/>
                <w:sz w:val="26"/>
                <w:szCs w:val="26"/>
              </w:rPr>
            </w:pPr>
            <w:r w:rsidRPr="00AF1F6C">
              <w:rPr>
                <w:b/>
                <w:bCs/>
                <w:sz w:val="26"/>
                <w:szCs w:val="26"/>
              </w:rPr>
              <w:t>723</w:t>
            </w:r>
          </w:p>
        </w:tc>
      </w:tr>
    </w:tbl>
    <w:p w:rsidR="00FF13DB" w:rsidRPr="00813092" w:rsidRDefault="00FF13DB" w:rsidP="00813092">
      <w:pPr>
        <w:spacing w:after="200" w:line="276" w:lineRule="auto"/>
        <w:jc w:val="both"/>
      </w:pPr>
      <w:r w:rsidRPr="00813092">
        <w:t>В представленной таблице дано количество научно-педагогических работников, принявших участие в одном и более мероприятии по повышению квалификации за отчетный период.</w:t>
      </w:r>
    </w:p>
    <w:p w:rsidR="00FF13DB" w:rsidRPr="00FF13DB" w:rsidRDefault="00FF13DB" w:rsidP="00EA1137">
      <w:pPr>
        <w:spacing w:after="200" w:line="276" w:lineRule="auto"/>
        <w:jc w:val="both"/>
      </w:pPr>
      <w:r w:rsidRPr="00813092">
        <w:t xml:space="preserve">В настоящее время продолжают обучение по программам </w:t>
      </w:r>
      <w:proofErr w:type="spellStart"/>
      <w:r w:rsidRPr="00813092">
        <w:t>Ph.D</w:t>
      </w:r>
      <w:proofErr w:type="spellEnd"/>
      <w:r w:rsidRPr="00813092">
        <w:t>. в ведущих университетах мира 3 работника НИУ ВШЭ Москва и 1 рабо</w:t>
      </w:r>
      <w:r w:rsidR="00EA1137">
        <w:t>тник НИУ ВШЭ – Санкт-Петербург.</w:t>
      </w:r>
    </w:p>
    <w:p w:rsidR="002107E0" w:rsidRDefault="002107E0">
      <w:pPr>
        <w:rPr>
          <w:rFonts w:asciiTheme="majorHAnsi" w:eastAsiaTheme="majorEastAsia" w:hAnsiTheme="majorHAnsi" w:cstheme="majorBidi"/>
          <w:b/>
          <w:bCs/>
          <w:color w:val="345A8A" w:themeColor="accent1" w:themeShade="B5"/>
          <w:sz w:val="32"/>
          <w:szCs w:val="32"/>
        </w:rPr>
      </w:pPr>
      <w:r>
        <w:lastRenderedPageBreak/>
        <w:br w:type="page"/>
      </w:r>
    </w:p>
    <w:p w:rsidR="005005BC" w:rsidRPr="005005BC" w:rsidRDefault="005005BC" w:rsidP="005005BC">
      <w:pPr>
        <w:pStyle w:val="1"/>
        <w:keepLines w:val="0"/>
        <w:spacing w:before="240" w:after="60" w:line="276" w:lineRule="auto"/>
      </w:pPr>
      <w:bookmarkStart w:id="67" w:name="_Toc374030078"/>
      <w:r>
        <w:lastRenderedPageBreak/>
        <w:t>Информатизация образовательного процесса</w:t>
      </w:r>
      <w:bookmarkEnd w:id="67"/>
    </w:p>
    <w:p w:rsidR="00BD0EB8" w:rsidRDefault="005005BC" w:rsidP="005005BC">
      <w:pPr>
        <w:pStyle w:val="2"/>
        <w:numPr>
          <w:ilvl w:val="1"/>
          <w:numId w:val="1"/>
        </w:numPr>
      </w:pPr>
      <w:bookmarkStart w:id="68" w:name="_Toc374030079"/>
      <w:r w:rsidRPr="005005BC">
        <w:t>Информационная среда поддержки учебного процесса</w:t>
      </w:r>
      <w:bookmarkEnd w:id="68"/>
    </w:p>
    <w:p w:rsidR="00AF4F54" w:rsidRDefault="00AF4F54" w:rsidP="00BD0EB8"/>
    <w:p w:rsidR="00733484" w:rsidRPr="00733484" w:rsidRDefault="00733484" w:rsidP="00733484">
      <w:pPr>
        <w:spacing w:after="200" w:line="276" w:lineRule="auto"/>
        <w:jc w:val="both"/>
      </w:pPr>
      <w:r w:rsidRPr="00733484">
        <w:t>Единая информационная среда университета LMS (</w:t>
      </w:r>
      <w:proofErr w:type="spellStart"/>
      <w:r w:rsidRPr="00733484">
        <w:t>Learning</w:t>
      </w:r>
      <w:proofErr w:type="spellEnd"/>
      <w:r w:rsidRPr="00733484">
        <w:t xml:space="preserve"> </w:t>
      </w:r>
      <w:proofErr w:type="spellStart"/>
      <w:r w:rsidRPr="00733484">
        <w:t>Management</w:t>
      </w:r>
      <w:proofErr w:type="spellEnd"/>
      <w:r w:rsidRPr="00733484">
        <w:t xml:space="preserve"> </w:t>
      </w:r>
      <w:proofErr w:type="spellStart"/>
      <w:r w:rsidRPr="00733484">
        <w:t>System</w:t>
      </w:r>
      <w:proofErr w:type="spellEnd"/>
      <w:r w:rsidRPr="00733484">
        <w:t xml:space="preserve">) в 2012/2013 учебном году  активно использовалась и как место хранения электронного учебного контента преподавателями, и как инструмент организации и управления учебным процессом – управлением организации учебного процесса,  сотрудниками учебных частей, преподавателями.  </w:t>
      </w:r>
    </w:p>
    <w:p w:rsidR="00733484" w:rsidRPr="00733484" w:rsidRDefault="00733484" w:rsidP="00733484">
      <w:pPr>
        <w:spacing w:after="200" w:line="276" w:lineRule="auto"/>
        <w:jc w:val="both"/>
      </w:pPr>
      <w:r w:rsidRPr="00733484">
        <w:t>В целом по университету на 1 ноября 2013 года регулярно в учебном процессе LMS используют 35% преподавателей, в системе реализовано сопровождение 19% учебных дисциплин (в 2012 эти показатели были 27% и  6% соответственно).</w:t>
      </w:r>
    </w:p>
    <w:p w:rsidR="00733484" w:rsidRPr="00733484" w:rsidRDefault="00733484" w:rsidP="00733484">
      <w:pPr>
        <w:spacing w:after="200" w:line="276" w:lineRule="auto"/>
        <w:jc w:val="both"/>
      </w:pPr>
      <w:r w:rsidRPr="00733484">
        <w:t>Показатели использования LMS в учебном процессе  по кампусам НИУ ВШЭ приведены ниже:</w:t>
      </w:r>
    </w:p>
    <w:tbl>
      <w:tblPr>
        <w:tblW w:w="8095" w:type="dxa"/>
        <w:tblInd w:w="93" w:type="dxa"/>
        <w:tblLayout w:type="fixed"/>
        <w:tblLook w:val="04A0" w:firstRow="1" w:lastRow="0" w:firstColumn="1" w:lastColumn="0" w:noHBand="0" w:noVBand="1"/>
      </w:tblPr>
      <w:tblGrid>
        <w:gridCol w:w="1716"/>
        <w:gridCol w:w="1276"/>
        <w:gridCol w:w="1984"/>
        <w:gridCol w:w="1559"/>
        <w:gridCol w:w="1560"/>
      </w:tblGrid>
      <w:tr w:rsidR="00733484" w:rsidRPr="00D93CC5" w:rsidTr="00733484">
        <w:trPr>
          <w:trHeight w:val="585"/>
        </w:trPr>
        <w:tc>
          <w:tcPr>
            <w:tcW w:w="1716" w:type="dxa"/>
            <w:tcBorders>
              <w:top w:val="single" w:sz="8" w:space="0" w:color="auto"/>
              <w:left w:val="single" w:sz="8" w:space="0" w:color="auto"/>
              <w:bottom w:val="single" w:sz="8" w:space="0" w:color="auto"/>
              <w:right w:val="nil"/>
            </w:tcBorders>
            <w:shd w:val="clear" w:color="auto" w:fill="auto"/>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кампус</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 xml:space="preserve">Штатных ППС </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733484" w:rsidRPr="00733484" w:rsidRDefault="00733484" w:rsidP="00733484">
            <w:pPr>
              <w:jc w:val="both"/>
              <w:rPr>
                <w:rFonts w:asciiTheme="majorHAnsi" w:hAnsiTheme="majorHAnsi"/>
                <w:u w:val="single"/>
              </w:rPr>
            </w:pPr>
            <w:r w:rsidRPr="00733484">
              <w:rPr>
                <w:rFonts w:asciiTheme="majorHAnsi" w:hAnsiTheme="majorHAnsi" w:cs="Calibri"/>
              </w:rPr>
              <w:t>Из них активно использующих</w:t>
            </w:r>
            <w:r w:rsidRPr="00733484">
              <w:rPr>
                <w:rStyle w:val="ac"/>
                <w:rFonts w:asciiTheme="majorHAnsi" w:hAnsiTheme="majorHAnsi" w:cs="Calibri"/>
              </w:rPr>
              <w:footnoteReference w:id="28"/>
            </w:r>
            <w:r w:rsidRPr="00733484">
              <w:rPr>
                <w:rFonts w:asciiTheme="majorHAnsi" w:hAnsiTheme="majorHAnsi" w:cs="Calibri"/>
              </w:rPr>
              <w:t xml:space="preserve"> </w:t>
            </w:r>
            <w:r w:rsidRPr="00733484">
              <w:rPr>
                <w:rFonts w:asciiTheme="majorHAnsi" w:hAnsiTheme="majorHAnsi" w:cs="Calibri"/>
                <w:lang w:val="en-US"/>
              </w:rPr>
              <w:t>LMS</w:t>
            </w:r>
            <w:r w:rsidRPr="00733484">
              <w:rPr>
                <w:rFonts w:asciiTheme="majorHAnsi" w:hAnsiTheme="majorHAnsi"/>
                <w:u w:val="single"/>
              </w:rPr>
              <w:t>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Дисциплин</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Из них в LMS</w:t>
            </w:r>
          </w:p>
        </w:tc>
      </w:tr>
      <w:tr w:rsidR="00733484" w:rsidRPr="00D93CC5" w:rsidTr="00733484">
        <w:trPr>
          <w:trHeight w:val="315"/>
        </w:trPr>
        <w:tc>
          <w:tcPr>
            <w:tcW w:w="1716" w:type="dxa"/>
            <w:tcBorders>
              <w:top w:val="nil"/>
              <w:left w:val="single" w:sz="8" w:space="0" w:color="auto"/>
              <w:bottom w:val="single" w:sz="8" w:space="0" w:color="auto"/>
              <w:right w:val="nil"/>
            </w:tcBorders>
            <w:shd w:val="clear" w:color="auto" w:fill="auto"/>
            <w:noWrap/>
            <w:vAlign w:val="center"/>
            <w:hideMark/>
          </w:tcPr>
          <w:p w:rsidR="00733484" w:rsidRPr="00733484" w:rsidRDefault="00733484" w:rsidP="00733484">
            <w:pPr>
              <w:jc w:val="both"/>
              <w:rPr>
                <w:rFonts w:asciiTheme="majorHAnsi" w:hAnsiTheme="majorHAnsi"/>
              </w:rPr>
            </w:pPr>
            <w:bookmarkStart w:id="69" w:name="RANGE!A10"/>
            <w:r w:rsidRPr="00733484">
              <w:rPr>
                <w:rFonts w:asciiTheme="majorHAnsi" w:hAnsiTheme="majorHAnsi" w:cs="Calibri"/>
              </w:rPr>
              <w:t>Москва</w:t>
            </w:r>
            <w:bookmarkEnd w:id="69"/>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2574</w:t>
            </w:r>
          </w:p>
        </w:tc>
        <w:tc>
          <w:tcPr>
            <w:tcW w:w="1984" w:type="dxa"/>
            <w:tcBorders>
              <w:top w:val="nil"/>
              <w:left w:val="nil"/>
              <w:bottom w:val="single" w:sz="8" w:space="0" w:color="auto"/>
              <w:right w:val="single" w:sz="8" w:space="0" w:color="auto"/>
            </w:tcBorders>
            <w:shd w:val="clear" w:color="auto" w:fill="auto"/>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719</w:t>
            </w:r>
          </w:p>
        </w:tc>
        <w:tc>
          <w:tcPr>
            <w:tcW w:w="1559" w:type="dxa"/>
            <w:tcBorders>
              <w:top w:val="nil"/>
              <w:left w:val="nil"/>
              <w:bottom w:val="single" w:sz="8" w:space="0" w:color="auto"/>
              <w:right w:val="single" w:sz="8" w:space="0" w:color="auto"/>
            </w:tcBorders>
            <w:shd w:val="clear" w:color="auto" w:fill="auto"/>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6168</w:t>
            </w:r>
          </w:p>
        </w:tc>
        <w:tc>
          <w:tcPr>
            <w:tcW w:w="1560" w:type="dxa"/>
            <w:tcBorders>
              <w:top w:val="nil"/>
              <w:left w:val="nil"/>
              <w:bottom w:val="single" w:sz="8" w:space="0" w:color="auto"/>
              <w:right w:val="single" w:sz="8" w:space="0" w:color="auto"/>
            </w:tcBorders>
            <w:shd w:val="clear" w:color="auto" w:fill="auto"/>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1077</w:t>
            </w:r>
          </w:p>
        </w:tc>
      </w:tr>
      <w:tr w:rsidR="00733484" w:rsidRPr="00D93CC5" w:rsidTr="00733484">
        <w:trPr>
          <w:trHeight w:val="315"/>
        </w:trPr>
        <w:tc>
          <w:tcPr>
            <w:tcW w:w="1716" w:type="dxa"/>
            <w:tcBorders>
              <w:top w:val="nil"/>
              <w:left w:val="single" w:sz="8" w:space="0" w:color="auto"/>
              <w:bottom w:val="single" w:sz="8" w:space="0" w:color="auto"/>
              <w:right w:val="nil"/>
            </w:tcBorders>
            <w:shd w:val="clear" w:color="auto" w:fill="auto"/>
            <w:noWrap/>
            <w:vAlign w:val="center"/>
            <w:hideMark/>
          </w:tcPr>
          <w:p w:rsidR="00733484" w:rsidRPr="00733484" w:rsidRDefault="00733484" w:rsidP="00733484">
            <w:pPr>
              <w:jc w:val="both"/>
              <w:rPr>
                <w:rFonts w:asciiTheme="majorHAnsi" w:hAnsiTheme="majorHAnsi"/>
              </w:rPr>
            </w:pPr>
            <w:proofErr w:type="spellStart"/>
            <w:r w:rsidRPr="00733484">
              <w:rPr>
                <w:rFonts w:asciiTheme="majorHAnsi" w:hAnsiTheme="majorHAnsi" w:cs="Calibri"/>
              </w:rPr>
              <w:t>Н.Новгород</w:t>
            </w:r>
            <w:proofErr w:type="spellEnd"/>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311</w:t>
            </w:r>
          </w:p>
        </w:tc>
        <w:tc>
          <w:tcPr>
            <w:tcW w:w="1984" w:type="dxa"/>
            <w:tcBorders>
              <w:top w:val="nil"/>
              <w:left w:val="nil"/>
              <w:bottom w:val="single" w:sz="8" w:space="0" w:color="auto"/>
              <w:right w:val="single" w:sz="8" w:space="0" w:color="auto"/>
            </w:tcBorders>
            <w:shd w:val="clear" w:color="auto" w:fill="auto"/>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163</w:t>
            </w:r>
          </w:p>
        </w:tc>
        <w:tc>
          <w:tcPr>
            <w:tcW w:w="1559" w:type="dxa"/>
            <w:tcBorders>
              <w:top w:val="nil"/>
              <w:left w:val="nil"/>
              <w:bottom w:val="single" w:sz="8" w:space="0" w:color="auto"/>
              <w:right w:val="single" w:sz="8" w:space="0" w:color="auto"/>
            </w:tcBorders>
            <w:shd w:val="clear" w:color="auto" w:fill="auto"/>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1084</w:t>
            </w:r>
          </w:p>
        </w:tc>
        <w:tc>
          <w:tcPr>
            <w:tcW w:w="1560" w:type="dxa"/>
            <w:tcBorders>
              <w:top w:val="nil"/>
              <w:left w:val="nil"/>
              <w:bottom w:val="single" w:sz="8" w:space="0" w:color="auto"/>
              <w:right w:val="single" w:sz="8" w:space="0" w:color="auto"/>
            </w:tcBorders>
            <w:shd w:val="clear" w:color="auto" w:fill="auto"/>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118</w:t>
            </w:r>
          </w:p>
        </w:tc>
      </w:tr>
      <w:tr w:rsidR="00733484" w:rsidRPr="00D93CC5" w:rsidTr="00733484">
        <w:trPr>
          <w:trHeight w:val="315"/>
        </w:trPr>
        <w:tc>
          <w:tcPr>
            <w:tcW w:w="1716" w:type="dxa"/>
            <w:tcBorders>
              <w:top w:val="nil"/>
              <w:left w:val="single" w:sz="8" w:space="0" w:color="auto"/>
              <w:bottom w:val="single" w:sz="8" w:space="0" w:color="auto"/>
              <w:right w:val="nil"/>
            </w:tcBorders>
            <w:shd w:val="clear" w:color="auto" w:fill="auto"/>
            <w:noWrap/>
            <w:vAlign w:val="center"/>
            <w:hideMark/>
          </w:tcPr>
          <w:p w:rsidR="00733484" w:rsidRPr="00733484" w:rsidRDefault="00733484" w:rsidP="00733484">
            <w:pPr>
              <w:jc w:val="both"/>
              <w:rPr>
                <w:rFonts w:asciiTheme="majorHAnsi" w:hAnsiTheme="majorHAnsi"/>
              </w:rPr>
            </w:pPr>
            <w:proofErr w:type="spellStart"/>
            <w:r w:rsidRPr="00733484">
              <w:rPr>
                <w:rFonts w:asciiTheme="majorHAnsi" w:hAnsiTheme="majorHAnsi" w:cs="Calibri"/>
              </w:rPr>
              <w:t>С.Пб</w:t>
            </w:r>
            <w:proofErr w:type="spellEnd"/>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397</w:t>
            </w:r>
          </w:p>
        </w:tc>
        <w:tc>
          <w:tcPr>
            <w:tcW w:w="1984" w:type="dxa"/>
            <w:tcBorders>
              <w:top w:val="nil"/>
              <w:left w:val="nil"/>
              <w:bottom w:val="single" w:sz="8" w:space="0" w:color="auto"/>
              <w:right w:val="single" w:sz="8" w:space="0" w:color="auto"/>
            </w:tcBorders>
            <w:shd w:val="clear" w:color="auto" w:fill="auto"/>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128</w:t>
            </w:r>
          </w:p>
        </w:tc>
        <w:tc>
          <w:tcPr>
            <w:tcW w:w="1559" w:type="dxa"/>
            <w:tcBorders>
              <w:top w:val="nil"/>
              <w:left w:val="nil"/>
              <w:bottom w:val="single" w:sz="8" w:space="0" w:color="auto"/>
              <w:right w:val="single" w:sz="8" w:space="0" w:color="auto"/>
            </w:tcBorders>
            <w:shd w:val="clear" w:color="auto" w:fill="auto"/>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1062</w:t>
            </w:r>
          </w:p>
        </w:tc>
        <w:tc>
          <w:tcPr>
            <w:tcW w:w="1560" w:type="dxa"/>
            <w:tcBorders>
              <w:top w:val="nil"/>
              <w:left w:val="nil"/>
              <w:bottom w:val="single" w:sz="8" w:space="0" w:color="auto"/>
              <w:right w:val="single" w:sz="8" w:space="0" w:color="auto"/>
            </w:tcBorders>
            <w:shd w:val="clear" w:color="auto" w:fill="auto"/>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153</w:t>
            </w:r>
          </w:p>
        </w:tc>
      </w:tr>
      <w:tr w:rsidR="00733484" w:rsidRPr="00D93CC5" w:rsidTr="00733484">
        <w:trPr>
          <w:trHeight w:val="315"/>
        </w:trPr>
        <w:tc>
          <w:tcPr>
            <w:tcW w:w="1716" w:type="dxa"/>
            <w:tcBorders>
              <w:top w:val="nil"/>
              <w:left w:val="single" w:sz="8" w:space="0" w:color="auto"/>
              <w:bottom w:val="single" w:sz="8" w:space="0" w:color="auto"/>
              <w:right w:val="nil"/>
            </w:tcBorders>
            <w:shd w:val="clear" w:color="auto" w:fill="auto"/>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Пермь</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260</w:t>
            </w:r>
          </w:p>
        </w:tc>
        <w:tc>
          <w:tcPr>
            <w:tcW w:w="1984" w:type="dxa"/>
            <w:tcBorders>
              <w:top w:val="nil"/>
              <w:left w:val="nil"/>
              <w:bottom w:val="single" w:sz="8" w:space="0" w:color="auto"/>
              <w:right w:val="single" w:sz="8" w:space="0" w:color="auto"/>
            </w:tcBorders>
            <w:shd w:val="clear" w:color="auto" w:fill="auto"/>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111</w:t>
            </w:r>
          </w:p>
        </w:tc>
        <w:tc>
          <w:tcPr>
            <w:tcW w:w="1559" w:type="dxa"/>
            <w:tcBorders>
              <w:top w:val="nil"/>
              <w:left w:val="nil"/>
              <w:bottom w:val="single" w:sz="8" w:space="0" w:color="auto"/>
              <w:right w:val="single" w:sz="8" w:space="0" w:color="auto"/>
            </w:tcBorders>
            <w:shd w:val="clear" w:color="auto" w:fill="auto"/>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473</w:t>
            </w:r>
          </w:p>
        </w:tc>
        <w:tc>
          <w:tcPr>
            <w:tcW w:w="1560" w:type="dxa"/>
            <w:tcBorders>
              <w:top w:val="nil"/>
              <w:left w:val="nil"/>
              <w:bottom w:val="single" w:sz="8" w:space="0" w:color="auto"/>
              <w:right w:val="single" w:sz="8" w:space="0" w:color="auto"/>
            </w:tcBorders>
            <w:shd w:val="clear" w:color="auto" w:fill="auto"/>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311</w:t>
            </w:r>
          </w:p>
        </w:tc>
      </w:tr>
      <w:tr w:rsidR="00733484" w:rsidRPr="00D93CC5" w:rsidTr="00733484">
        <w:trPr>
          <w:trHeight w:val="315"/>
        </w:trPr>
        <w:tc>
          <w:tcPr>
            <w:tcW w:w="1716" w:type="dxa"/>
            <w:vMerge w:val="restart"/>
            <w:tcBorders>
              <w:top w:val="nil"/>
              <w:left w:val="single" w:sz="8" w:space="0" w:color="auto"/>
              <w:bottom w:val="single" w:sz="8" w:space="0" w:color="000000"/>
              <w:right w:val="single" w:sz="8" w:space="0" w:color="auto"/>
            </w:tcBorders>
            <w:shd w:val="clear" w:color="000000" w:fill="EEECE1"/>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В целом по НИУ ВШЭ</w:t>
            </w:r>
          </w:p>
        </w:tc>
        <w:tc>
          <w:tcPr>
            <w:tcW w:w="1276" w:type="dxa"/>
            <w:tcBorders>
              <w:top w:val="nil"/>
              <w:left w:val="nil"/>
              <w:bottom w:val="single" w:sz="8" w:space="0" w:color="auto"/>
              <w:right w:val="single" w:sz="8" w:space="0" w:color="auto"/>
            </w:tcBorders>
            <w:shd w:val="clear" w:color="000000" w:fill="EEECE1"/>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3542</w:t>
            </w:r>
          </w:p>
        </w:tc>
        <w:tc>
          <w:tcPr>
            <w:tcW w:w="1984" w:type="dxa"/>
            <w:tcBorders>
              <w:top w:val="nil"/>
              <w:left w:val="nil"/>
              <w:bottom w:val="single" w:sz="8" w:space="0" w:color="auto"/>
              <w:right w:val="single" w:sz="8" w:space="0" w:color="auto"/>
            </w:tcBorders>
            <w:shd w:val="clear" w:color="000000" w:fill="EEECE1"/>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1121</w:t>
            </w:r>
          </w:p>
        </w:tc>
        <w:tc>
          <w:tcPr>
            <w:tcW w:w="1559" w:type="dxa"/>
            <w:tcBorders>
              <w:top w:val="nil"/>
              <w:left w:val="nil"/>
              <w:bottom w:val="single" w:sz="8" w:space="0" w:color="auto"/>
              <w:right w:val="single" w:sz="8" w:space="0" w:color="auto"/>
            </w:tcBorders>
            <w:shd w:val="clear" w:color="000000" w:fill="EEECE1"/>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8787</w:t>
            </w:r>
          </w:p>
        </w:tc>
        <w:tc>
          <w:tcPr>
            <w:tcW w:w="1560" w:type="dxa"/>
            <w:tcBorders>
              <w:top w:val="nil"/>
              <w:left w:val="nil"/>
              <w:bottom w:val="single" w:sz="8" w:space="0" w:color="auto"/>
              <w:right w:val="single" w:sz="8" w:space="0" w:color="auto"/>
            </w:tcBorders>
            <w:shd w:val="clear" w:color="000000" w:fill="EEECE1"/>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1659</w:t>
            </w:r>
          </w:p>
        </w:tc>
      </w:tr>
      <w:tr w:rsidR="00733484" w:rsidRPr="00D93CC5" w:rsidTr="00733484">
        <w:trPr>
          <w:trHeight w:val="315"/>
        </w:trPr>
        <w:tc>
          <w:tcPr>
            <w:tcW w:w="1716" w:type="dxa"/>
            <w:vMerge/>
            <w:tcBorders>
              <w:top w:val="nil"/>
              <w:left w:val="single" w:sz="8" w:space="0" w:color="auto"/>
              <w:bottom w:val="single" w:sz="8" w:space="0" w:color="000000"/>
              <w:right w:val="single" w:sz="8" w:space="0" w:color="auto"/>
            </w:tcBorders>
            <w:vAlign w:val="center"/>
            <w:hideMark/>
          </w:tcPr>
          <w:p w:rsidR="00733484" w:rsidRPr="00733484" w:rsidRDefault="00733484" w:rsidP="00733484">
            <w:pPr>
              <w:jc w:val="both"/>
              <w:rPr>
                <w:rFonts w:asciiTheme="majorHAnsi" w:hAnsiTheme="majorHAnsi"/>
              </w:rPr>
            </w:pPr>
          </w:p>
        </w:tc>
        <w:tc>
          <w:tcPr>
            <w:tcW w:w="1276" w:type="dxa"/>
            <w:tcBorders>
              <w:top w:val="nil"/>
              <w:left w:val="nil"/>
              <w:bottom w:val="single" w:sz="8" w:space="0" w:color="auto"/>
              <w:right w:val="single" w:sz="8" w:space="0" w:color="auto"/>
            </w:tcBorders>
            <w:shd w:val="clear" w:color="000000" w:fill="EEECE1"/>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 </w:t>
            </w:r>
          </w:p>
        </w:tc>
        <w:tc>
          <w:tcPr>
            <w:tcW w:w="1984" w:type="dxa"/>
            <w:tcBorders>
              <w:top w:val="nil"/>
              <w:left w:val="nil"/>
              <w:bottom w:val="single" w:sz="8" w:space="0" w:color="auto"/>
              <w:right w:val="single" w:sz="8" w:space="0" w:color="auto"/>
            </w:tcBorders>
            <w:shd w:val="clear" w:color="000000" w:fill="EEECE1"/>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lang w:val="en-US"/>
              </w:rPr>
              <w:t>32%</w:t>
            </w:r>
          </w:p>
        </w:tc>
        <w:tc>
          <w:tcPr>
            <w:tcW w:w="1559" w:type="dxa"/>
            <w:tcBorders>
              <w:top w:val="nil"/>
              <w:left w:val="nil"/>
              <w:bottom w:val="single" w:sz="8" w:space="0" w:color="auto"/>
              <w:right w:val="single" w:sz="8" w:space="0" w:color="auto"/>
            </w:tcBorders>
            <w:shd w:val="clear" w:color="000000" w:fill="EEECE1"/>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 </w:t>
            </w:r>
          </w:p>
        </w:tc>
        <w:tc>
          <w:tcPr>
            <w:tcW w:w="1560" w:type="dxa"/>
            <w:tcBorders>
              <w:top w:val="nil"/>
              <w:left w:val="nil"/>
              <w:bottom w:val="single" w:sz="8" w:space="0" w:color="auto"/>
              <w:right w:val="single" w:sz="8" w:space="0" w:color="auto"/>
            </w:tcBorders>
            <w:shd w:val="clear" w:color="000000" w:fill="EEECE1"/>
            <w:noWrap/>
            <w:vAlign w:val="center"/>
            <w:hideMark/>
          </w:tcPr>
          <w:p w:rsidR="00733484" w:rsidRPr="00733484" w:rsidRDefault="00733484" w:rsidP="00733484">
            <w:pPr>
              <w:jc w:val="both"/>
              <w:rPr>
                <w:rFonts w:asciiTheme="majorHAnsi" w:hAnsiTheme="majorHAnsi"/>
              </w:rPr>
            </w:pPr>
            <w:r w:rsidRPr="00733484">
              <w:rPr>
                <w:rFonts w:asciiTheme="majorHAnsi" w:hAnsiTheme="majorHAnsi" w:cs="Calibri"/>
              </w:rPr>
              <w:t>18,88%</w:t>
            </w:r>
          </w:p>
        </w:tc>
      </w:tr>
    </w:tbl>
    <w:p w:rsidR="00733484" w:rsidRPr="00733484" w:rsidRDefault="00733484" w:rsidP="00733484">
      <w:pPr>
        <w:spacing w:after="200" w:line="276" w:lineRule="auto"/>
        <w:jc w:val="both"/>
      </w:pPr>
      <w:r w:rsidRPr="00733484">
        <w:t xml:space="preserve">В то же время, по сравнению с июнем 2013 года, количество преподавателей, активно использующих LMS  в учебном процессе, снизилось в среднем на 20% (от </w:t>
      </w:r>
      <w:r>
        <w:t>28% в Москве до 43</w:t>
      </w:r>
      <w:r w:rsidRPr="00733484">
        <w:t xml:space="preserve">% в Перми). </w:t>
      </w:r>
    </w:p>
    <w:p w:rsidR="00733484" w:rsidRPr="00D93CC5" w:rsidRDefault="00733484" w:rsidP="00733484">
      <w:pPr>
        <w:spacing w:after="200"/>
        <w:jc w:val="both"/>
        <w:rPr>
          <w:rFonts w:asciiTheme="minorHAnsi" w:hAnsiTheme="minorHAnsi"/>
        </w:rPr>
      </w:pPr>
      <w:r w:rsidRPr="00D93CC5">
        <w:rPr>
          <w:rFonts w:asciiTheme="minorHAnsi" w:hAnsiTheme="minorHAnsi"/>
          <w:noProof/>
        </w:rPr>
        <w:drawing>
          <wp:inline distT="0" distB="0" distL="0" distR="0">
            <wp:extent cx="4583017" cy="2655066"/>
            <wp:effectExtent l="0" t="0" r="27305" b="12065"/>
            <wp:docPr id="717" name="Диаграмма 7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733484" w:rsidRPr="00733484" w:rsidRDefault="00733484" w:rsidP="00733484">
      <w:pPr>
        <w:spacing w:after="200" w:line="276" w:lineRule="auto"/>
        <w:jc w:val="both"/>
      </w:pPr>
      <w:r w:rsidRPr="00733484">
        <w:lastRenderedPageBreak/>
        <w:t>Это связано с отменой мер административного стимулирования, в частности, с тем, что использование LMS в марте 2013 года было включено в критерии при прохождении конкурса на замещение должностей ППС, в сентябре же 2013 года было принято решение этот критерий не учитывать. Решение было вызвано резким нарастанием технических несовершенств системы.</w:t>
      </w:r>
    </w:p>
    <w:p w:rsidR="00733484" w:rsidRPr="00733484" w:rsidRDefault="00733484" w:rsidP="00733484">
      <w:pPr>
        <w:spacing w:after="200" w:line="276" w:lineRule="auto"/>
        <w:jc w:val="both"/>
      </w:pPr>
      <w:r w:rsidRPr="00733484">
        <w:t xml:space="preserve">Необходимо пояснить, что преподаватели не перестали полностью использовать LMS, они снизили интенсивность ее включения в учебный процесс и по нашим критериям не попадают больше в категорию «активных». </w:t>
      </w:r>
    </w:p>
    <w:p w:rsidR="00733484" w:rsidRPr="00733484" w:rsidRDefault="00733484" w:rsidP="00733484">
      <w:pPr>
        <w:spacing w:after="200" w:line="276" w:lineRule="auto"/>
        <w:jc w:val="both"/>
      </w:pPr>
      <w:r w:rsidRPr="00733484">
        <w:t>Отказ преподавателей от интенсивного использования LMS в учебном процессе связан с недостаточным качеством поддержки этого процесса на существующей технологической платформе. Существующая схема поддержки системы, предусматривающая полную зависимость от внешних разработчиков, не включенных в ежедневные процессы и не понимающие актуальность и критичность новых доработок, либо решения критических проблем, не может обеспечить стабильную и устойчивую работу при таком количестве активных пользователей. Очевидно, что это не позволят развивать электронное обучение, и тормозит переход университета к современным образовательным технологиям.</w:t>
      </w:r>
    </w:p>
    <w:p w:rsidR="00733484" w:rsidRPr="00733484" w:rsidRDefault="00733484" w:rsidP="00733484">
      <w:pPr>
        <w:spacing w:after="200" w:line="276" w:lineRule="auto"/>
        <w:jc w:val="both"/>
      </w:pPr>
      <w:r w:rsidRPr="00733484">
        <w:t>В среднем в три раза увеличилось количество дисциплин, поддержка преподавания которых ведется в LMS по сравнению с 2012 годом, но произошло их уменьшение  по сравнению с состоянием на июнь 2013 года – по причинам, описанным выше:</w:t>
      </w:r>
    </w:p>
    <w:p w:rsidR="00733484" w:rsidRPr="00733484" w:rsidRDefault="00733484" w:rsidP="00733484">
      <w:pPr>
        <w:spacing w:after="200" w:line="276" w:lineRule="auto"/>
        <w:jc w:val="both"/>
      </w:pPr>
      <w:r w:rsidRPr="00733484">
        <w:rPr>
          <w:noProof/>
        </w:rPr>
        <w:drawing>
          <wp:inline distT="0" distB="0" distL="0" distR="0">
            <wp:extent cx="5442333" cy="2864385"/>
            <wp:effectExtent l="0" t="0" r="25400" b="12700"/>
            <wp:docPr id="718" name="Диаграмма 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733484" w:rsidRPr="00733484" w:rsidRDefault="00733484" w:rsidP="00733484">
      <w:pPr>
        <w:spacing w:after="200" w:line="276" w:lineRule="auto"/>
        <w:jc w:val="both"/>
      </w:pPr>
      <w:r w:rsidRPr="00733484">
        <w:t xml:space="preserve">LMS активно используется студентами. Поскольку администрирование ряда общеуниверситетских мероприятий проводится в LMS – у студентов формируется восприятие LMS  как среды и площадки для общения с администрацией и преподавателями. </w:t>
      </w:r>
    </w:p>
    <w:p w:rsidR="00733484" w:rsidRPr="00733484" w:rsidRDefault="00733484" w:rsidP="00733484">
      <w:pPr>
        <w:spacing w:after="200" w:line="276" w:lineRule="auto"/>
        <w:jc w:val="both"/>
      </w:pPr>
      <w:r w:rsidRPr="00733484">
        <w:t xml:space="preserve">Второй год подряд для  всех первокурсников университета проводится вводный адаптационный курс  «Безопасность жизнедеятельности». Изучение  одного из модулей курса  в этом году было организовано полностью в дистанционном формате, для </w:t>
      </w:r>
      <w:r w:rsidRPr="00733484">
        <w:lastRenderedPageBreak/>
        <w:t xml:space="preserve">остальных 4 модулей в LMS  выложены учебные материалы. Там же были организованы форумы для ответов на вопросы студентов, проводился выбор тем домашних заданий, сдача домашних заданий и итоговое тестирование по дисциплине.  В прошлом году изучение дисциплины было организовано для 2 864 первокурсников, в этом году – для 3 990.  </w:t>
      </w:r>
    </w:p>
    <w:p w:rsidR="00733484" w:rsidRPr="00733484" w:rsidRDefault="00733484" w:rsidP="00733484">
      <w:pPr>
        <w:spacing w:after="200" w:line="276" w:lineRule="auto"/>
        <w:jc w:val="both"/>
      </w:pPr>
      <w:r w:rsidRPr="00733484">
        <w:t xml:space="preserve">LMS используется как среда для поддержки, организации и администрирования не только конкретных учебных дисциплин, но и отдельных образовательных проектов университета. </w:t>
      </w:r>
      <w:r w:rsidRPr="00733484">
        <w:br/>
      </w:r>
      <w:r w:rsidRPr="00733484">
        <w:br/>
        <w:t>С апреля 2013 проводится  эксперимент  по введению "Единого окна студента" в LMS.  Цель эксперимента - сокращение бюрократических процедур и уменьшение времени подготовки справок. Наряду с тем, что студенты по-прежнему могут заказать и получить справки в своей учебной части, они в качестве эксперимента , по своему выбору, могут заказать справки через  дисциплину "Единое окно студента" в LMS</w:t>
      </w:r>
      <w:r w:rsidRPr="00733484">
        <w:br/>
        <w:t>Доступ к «Единому окну студента» организован в информационной среде LMS, которая позволяет однозначно идентифицировать заявителя. При входе в LMS у студентов появляется дополнительная дисциплина, в которой  любой студент имеет возможность подать он-</w:t>
      </w:r>
      <w:proofErr w:type="spellStart"/>
      <w:r w:rsidRPr="00733484">
        <w:t>лайн</w:t>
      </w:r>
      <w:proofErr w:type="spellEnd"/>
      <w:r w:rsidRPr="00733484">
        <w:t xml:space="preserve"> заявку и узнать о готовности документов:</w:t>
      </w:r>
    </w:p>
    <w:p w:rsidR="00733484" w:rsidRPr="00733484" w:rsidRDefault="00733484" w:rsidP="00733484">
      <w:pPr>
        <w:spacing w:after="200" w:line="276" w:lineRule="auto"/>
        <w:jc w:val="both"/>
      </w:pPr>
      <w:r w:rsidRPr="00733484">
        <w:t>С 1 сентября 2013 года этой возможностью воспользовались 3 206 студентов</w:t>
      </w:r>
    </w:p>
    <w:p w:rsidR="00733484" w:rsidRPr="00733484" w:rsidRDefault="00733484" w:rsidP="00733484">
      <w:pPr>
        <w:spacing w:after="200" w:line="276" w:lineRule="auto"/>
        <w:jc w:val="both"/>
      </w:pPr>
      <w:r w:rsidRPr="00733484">
        <w:t xml:space="preserve">LMS используется также как среда тестирования: второй год  в LMS проводится междисциплинарный итоговый государственный экзамен на факультетах  менеджмента и экономики </w:t>
      </w:r>
      <w:proofErr w:type="spellStart"/>
      <w:r w:rsidRPr="00733484">
        <w:t>С.Петербургского</w:t>
      </w:r>
      <w:proofErr w:type="spellEnd"/>
      <w:r w:rsidRPr="00733484">
        <w:t xml:space="preserve"> филиала НИУ ВШЭ. LMS используется как организационная площадка при проведении тестирования студентов по английскому языку в </w:t>
      </w:r>
      <w:proofErr w:type="spellStart"/>
      <w:r w:rsidRPr="00733484">
        <w:t>соотвествии</w:t>
      </w:r>
      <w:proofErr w:type="spellEnd"/>
      <w:r w:rsidRPr="00733484">
        <w:t xml:space="preserve"> с требованиями IELTS.</w:t>
      </w:r>
    </w:p>
    <w:p w:rsidR="00733484" w:rsidRPr="00733484" w:rsidRDefault="00733484" w:rsidP="00733484">
      <w:pPr>
        <w:spacing w:after="200" w:line="276" w:lineRule="auto"/>
        <w:jc w:val="both"/>
      </w:pPr>
      <w:r w:rsidRPr="00733484">
        <w:t>Учитывая тенденции развития системы высшего образования и необходимости организовывать и администрировать сложные процессы, такие как:</w:t>
      </w:r>
    </w:p>
    <w:p w:rsidR="00733484" w:rsidRPr="00733484" w:rsidRDefault="00733484" w:rsidP="002B51DC">
      <w:pPr>
        <w:pStyle w:val="a5"/>
        <w:numPr>
          <w:ilvl w:val="0"/>
          <w:numId w:val="50"/>
        </w:numPr>
        <w:jc w:val="both"/>
        <w:rPr>
          <w:rFonts w:asciiTheme="majorHAnsi" w:eastAsia="Arial" w:hAnsiTheme="majorHAnsi" w:cs="Arial"/>
          <w:sz w:val="24"/>
          <w:szCs w:val="24"/>
          <w:lang w:eastAsia="ru-RU"/>
        </w:rPr>
      </w:pPr>
      <w:r w:rsidRPr="00733484">
        <w:rPr>
          <w:rFonts w:asciiTheme="majorHAnsi" w:eastAsia="Arial" w:hAnsiTheme="majorHAnsi" w:cs="Arial"/>
          <w:sz w:val="24"/>
          <w:szCs w:val="24"/>
          <w:lang w:eastAsia="ru-RU"/>
        </w:rPr>
        <w:t xml:space="preserve">развитие </w:t>
      </w:r>
      <w:proofErr w:type="spellStart"/>
      <w:r w:rsidRPr="00733484">
        <w:rPr>
          <w:rFonts w:asciiTheme="majorHAnsi" w:eastAsia="Arial" w:hAnsiTheme="majorHAnsi" w:cs="Arial"/>
          <w:sz w:val="24"/>
          <w:szCs w:val="24"/>
          <w:lang w:eastAsia="ru-RU"/>
        </w:rPr>
        <w:t>межкампусной</w:t>
      </w:r>
      <w:proofErr w:type="spellEnd"/>
      <w:r w:rsidRPr="00733484">
        <w:rPr>
          <w:rFonts w:asciiTheme="majorHAnsi" w:eastAsia="Arial" w:hAnsiTheme="majorHAnsi" w:cs="Arial"/>
          <w:sz w:val="24"/>
          <w:szCs w:val="24"/>
          <w:lang w:eastAsia="ru-RU"/>
        </w:rPr>
        <w:t xml:space="preserve"> и электронной мобильности студентов,</w:t>
      </w:r>
    </w:p>
    <w:p w:rsidR="00733484" w:rsidRPr="00733484" w:rsidRDefault="00733484" w:rsidP="002B51DC">
      <w:pPr>
        <w:pStyle w:val="a5"/>
        <w:numPr>
          <w:ilvl w:val="0"/>
          <w:numId w:val="50"/>
        </w:numPr>
        <w:jc w:val="both"/>
        <w:rPr>
          <w:rFonts w:asciiTheme="majorHAnsi" w:eastAsia="Arial" w:hAnsiTheme="majorHAnsi" w:cs="Arial"/>
          <w:sz w:val="24"/>
          <w:szCs w:val="24"/>
          <w:lang w:eastAsia="ru-RU"/>
        </w:rPr>
      </w:pPr>
      <w:r w:rsidRPr="00733484">
        <w:rPr>
          <w:rFonts w:asciiTheme="majorHAnsi" w:eastAsia="Arial" w:hAnsiTheme="majorHAnsi" w:cs="Arial"/>
          <w:sz w:val="24"/>
          <w:szCs w:val="24"/>
          <w:lang w:eastAsia="ru-RU"/>
        </w:rPr>
        <w:t xml:space="preserve">организация  администрирования и преподавания общеуниверситетского пула дисциплин </w:t>
      </w:r>
      <w:proofErr w:type="spellStart"/>
      <w:r w:rsidRPr="00733484">
        <w:rPr>
          <w:rFonts w:asciiTheme="majorHAnsi" w:eastAsia="Arial" w:hAnsiTheme="majorHAnsi" w:cs="Arial"/>
          <w:sz w:val="24"/>
          <w:szCs w:val="24"/>
          <w:lang w:eastAsia="ru-RU"/>
        </w:rPr>
        <w:t>МАГоЛЕГО</w:t>
      </w:r>
      <w:proofErr w:type="spellEnd"/>
      <w:r w:rsidRPr="00733484">
        <w:rPr>
          <w:rFonts w:asciiTheme="majorHAnsi" w:eastAsia="Arial" w:hAnsiTheme="majorHAnsi" w:cs="Arial"/>
          <w:sz w:val="24"/>
          <w:szCs w:val="24"/>
          <w:lang w:eastAsia="ru-RU"/>
        </w:rPr>
        <w:t>,</w:t>
      </w:r>
    </w:p>
    <w:p w:rsidR="00733484" w:rsidRPr="00733484" w:rsidRDefault="00733484" w:rsidP="002B51DC">
      <w:pPr>
        <w:pStyle w:val="a5"/>
        <w:numPr>
          <w:ilvl w:val="0"/>
          <w:numId w:val="50"/>
        </w:numPr>
        <w:jc w:val="both"/>
        <w:rPr>
          <w:rFonts w:asciiTheme="majorHAnsi" w:eastAsia="Arial" w:hAnsiTheme="majorHAnsi" w:cs="Arial"/>
          <w:sz w:val="24"/>
          <w:szCs w:val="24"/>
          <w:lang w:eastAsia="ru-RU"/>
        </w:rPr>
      </w:pPr>
      <w:r w:rsidRPr="00733484">
        <w:rPr>
          <w:rFonts w:asciiTheme="majorHAnsi" w:eastAsia="Arial" w:hAnsiTheme="majorHAnsi" w:cs="Arial"/>
          <w:sz w:val="24"/>
          <w:szCs w:val="24"/>
          <w:lang w:eastAsia="ru-RU"/>
        </w:rPr>
        <w:t>увеличение количества иностранных студентов, обучающихся в магистратуре или по программам включенного обучения,</w:t>
      </w:r>
    </w:p>
    <w:p w:rsidR="00733484" w:rsidRPr="00733484" w:rsidRDefault="00733484" w:rsidP="002B51DC">
      <w:pPr>
        <w:pStyle w:val="a5"/>
        <w:numPr>
          <w:ilvl w:val="0"/>
          <w:numId w:val="50"/>
        </w:numPr>
        <w:jc w:val="both"/>
        <w:rPr>
          <w:rFonts w:asciiTheme="majorHAnsi" w:eastAsia="Arial" w:hAnsiTheme="majorHAnsi" w:cs="Arial"/>
          <w:sz w:val="24"/>
          <w:szCs w:val="24"/>
          <w:lang w:eastAsia="ru-RU"/>
        </w:rPr>
      </w:pPr>
      <w:r w:rsidRPr="00733484">
        <w:rPr>
          <w:rFonts w:asciiTheme="majorHAnsi" w:eastAsia="Arial" w:hAnsiTheme="majorHAnsi" w:cs="Arial"/>
          <w:sz w:val="24"/>
          <w:szCs w:val="24"/>
          <w:lang w:eastAsia="ru-RU"/>
        </w:rPr>
        <w:t>проекты факультетов по организации электронного обучения как собственных студентов, так и внешних заказчиков</w:t>
      </w:r>
    </w:p>
    <w:p w:rsidR="00733484" w:rsidRPr="00733484" w:rsidRDefault="00733484" w:rsidP="00733484">
      <w:pPr>
        <w:spacing w:after="200" w:line="276" w:lineRule="auto"/>
        <w:jc w:val="both"/>
      </w:pPr>
      <w:r>
        <w:t>П</w:t>
      </w:r>
      <w:r w:rsidRPr="00733484">
        <w:t xml:space="preserve">риходится констатировать, что существующих функциональных возможностей и мощностей системы LMS недостаточно для реализации долгосрочных планов развития информационной образовательной среды. Система находится практически на пределе своих возможностей масштабирования, в то время как в ближайшие 2 года следует ожидать 2-3 кратного прироста числа активных пользователей. </w:t>
      </w:r>
    </w:p>
    <w:p w:rsidR="00733484" w:rsidRPr="00733484" w:rsidRDefault="00733484" w:rsidP="00733484">
      <w:pPr>
        <w:spacing w:after="200" w:line="276" w:lineRule="auto"/>
        <w:jc w:val="both"/>
      </w:pPr>
      <w:r w:rsidRPr="00733484">
        <w:lastRenderedPageBreak/>
        <w:t>Дальнейшее развитие системы и назревшая серьезная интеграция по ряду бизнес-процессов с другими информационными системами университета требует определения стратегических подходов к развитию информационной среды университета в целом.  Поэтому ближайшей задачей развития  LMS видится изменение схемы разработки, проектирования и поддержки системы, стабилизация работы системы и, возможно,  миграция на другую, более современную платформу. В случае, если миграция будет неизбежна, она должна быть проведена таким образом, чтобы сохранить все имеющиеся в системе материалы дисциплин и функционирующие бизнес-процессы, обеспечив максимальный комфорт и безопасность пользователей.</w:t>
      </w:r>
    </w:p>
    <w:p w:rsidR="00747B71" w:rsidRDefault="005005BC" w:rsidP="002107E0">
      <w:pPr>
        <w:pStyle w:val="2"/>
        <w:numPr>
          <w:ilvl w:val="1"/>
          <w:numId w:val="1"/>
        </w:numPr>
      </w:pPr>
      <w:bookmarkStart w:id="70" w:name="_Toc374030080"/>
      <w:r w:rsidRPr="005005BC">
        <w:t>Введение системы планирования нагрузки ППС в АСАВ: первые итоги и перспективы</w:t>
      </w:r>
      <w:bookmarkEnd w:id="70"/>
    </w:p>
    <w:p w:rsidR="004119D7" w:rsidRDefault="004119D7" w:rsidP="00747B71">
      <w:pPr>
        <w:spacing w:after="200" w:line="276" w:lineRule="auto"/>
        <w:jc w:val="both"/>
      </w:pPr>
    </w:p>
    <w:p w:rsidR="00747B71" w:rsidRDefault="00747B71" w:rsidP="00747B71">
      <w:pPr>
        <w:spacing w:after="200" w:line="276" w:lineRule="auto"/>
        <w:jc w:val="both"/>
      </w:pPr>
      <w:r w:rsidRPr="00747B71">
        <w:t>Система планирования нагрузки ППС была разработана как новый модуль корпоративной информационной системы АСАВ. Модуль автоматизирует задачу разработки планов нагрузки кафедр, на базе Рабочих учебных планов (РУП) факультетов. Преподавательский состав кафедр Москвы (включая МИЭМ), синхронизируется с кадровой системой ИС-ПРО НИУ ВШЭ и может корректироваться пользователями системы АСАВ. Преподавательский состав кафедр филиалов формируется и актуализируется пользователями системы АСАВ. Разработка планов нагрузки кафедр ведется на основе нормативного документа «</w:t>
      </w:r>
      <w:hyperlink r:id="rId198">
        <w:r w:rsidRPr="00747B71">
          <w:t>Нормы времени для расчета объема учебной работы</w:t>
        </w:r>
      </w:hyperlink>
      <w:r w:rsidRPr="00747B71">
        <w:t>». Разработка плана нагрузки кафедры средствами системы АСАВ может выполняться после того, как в системе разработаны все рабочие учебные планы (РУП) очередного учебного года. Процесс разработки планов нагрузки состоит из следующих этапов:</w:t>
      </w:r>
    </w:p>
    <w:p w:rsidR="00747B71" w:rsidRPr="00747B71" w:rsidRDefault="00747B71" w:rsidP="002B51DC">
      <w:pPr>
        <w:pStyle w:val="a5"/>
        <w:numPr>
          <w:ilvl w:val="1"/>
          <w:numId w:val="21"/>
        </w:numPr>
        <w:jc w:val="both"/>
        <w:rPr>
          <w:sz w:val="24"/>
        </w:rPr>
      </w:pPr>
      <w:r w:rsidRPr="00747B71">
        <w:rPr>
          <w:sz w:val="24"/>
        </w:rPr>
        <w:t>Формирование или актуализация справочников по планированию нагрузки на очередной учебный год.</w:t>
      </w:r>
    </w:p>
    <w:p w:rsidR="00747B71" w:rsidRPr="00747B71" w:rsidRDefault="00747B71" w:rsidP="002B51DC">
      <w:pPr>
        <w:pStyle w:val="a5"/>
        <w:numPr>
          <w:ilvl w:val="1"/>
          <w:numId w:val="21"/>
        </w:numPr>
        <w:jc w:val="both"/>
        <w:rPr>
          <w:sz w:val="24"/>
        </w:rPr>
      </w:pPr>
      <w:r w:rsidRPr="00747B71">
        <w:rPr>
          <w:sz w:val="24"/>
        </w:rPr>
        <w:t>Актуализация информации о преподавательском составе кафедры.</w:t>
      </w:r>
    </w:p>
    <w:p w:rsidR="00747B71" w:rsidRPr="00747B71" w:rsidRDefault="00747B71" w:rsidP="002B51DC">
      <w:pPr>
        <w:pStyle w:val="a5"/>
        <w:numPr>
          <w:ilvl w:val="1"/>
          <w:numId w:val="21"/>
        </w:numPr>
        <w:jc w:val="both"/>
        <w:rPr>
          <w:sz w:val="24"/>
        </w:rPr>
      </w:pPr>
      <w:r w:rsidRPr="00747B71">
        <w:rPr>
          <w:sz w:val="24"/>
        </w:rPr>
        <w:t>Создание плана нагрузки кафедры.</w:t>
      </w:r>
    </w:p>
    <w:p w:rsidR="00747B71" w:rsidRPr="00747B71" w:rsidRDefault="00747B71" w:rsidP="002B51DC">
      <w:pPr>
        <w:pStyle w:val="a5"/>
        <w:numPr>
          <w:ilvl w:val="1"/>
          <w:numId w:val="21"/>
        </w:numPr>
        <w:jc w:val="both"/>
        <w:rPr>
          <w:sz w:val="24"/>
        </w:rPr>
      </w:pPr>
      <w:r w:rsidRPr="00747B71">
        <w:rPr>
          <w:sz w:val="24"/>
        </w:rPr>
        <w:t>Формирование плана нагрузки кафедры на основании РУП.</w:t>
      </w:r>
    </w:p>
    <w:p w:rsidR="00747B71" w:rsidRPr="00747B71" w:rsidRDefault="00747B71" w:rsidP="002B51DC">
      <w:pPr>
        <w:pStyle w:val="a5"/>
        <w:numPr>
          <w:ilvl w:val="1"/>
          <w:numId w:val="21"/>
        </w:numPr>
        <w:jc w:val="both"/>
        <w:rPr>
          <w:sz w:val="24"/>
        </w:rPr>
      </w:pPr>
      <w:r w:rsidRPr="00747B71">
        <w:rPr>
          <w:sz w:val="24"/>
        </w:rPr>
        <w:t>Распределение нагрузки кафедры, предусмотренной РУП, по преподавателям кафедры.</w:t>
      </w:r>
    </w:p>
    <w:p w:rsidR="00747B71" w:rsidRPr="00747B71" w:rsidRDefault="00747B71" w:rsidP="002B51DC">
      <w:pPr>
        <w:pStyle w:val="a5"/>
        <w:numPr>
          <w:ilvl w:val="1"/>
          <w:numId w:val="21"/>
        </w:numPr>
        <w:jc w:val="both"/>
        <w:rPr>
          <w:sz w:val="24"/>
        </w:rPr>
      </w:pPr>
      <w:r w:rsidRPr="00747B71">
        <w:rPr>
          <w:sz w:val="24"/>
        </w:rPr>
        <w:t>Добавление для преподавателей кафедры дополнительной (не заданной явно в РУП) нагрузки.</w:t>
      </w:r>
    </w:p>
    <w:p w:rsidR="00747B71" w:rsidRPr="00747B71" w:rsidRDefault="00747B71" w:rsidP="002B51DC">
      <w:pPr>
        <w:pStyle w:val="a5"/>
        <w:numPr>
          <w:ilvl w:val="1"/>
          <w:numId w:val="21"/>
        </w:numPr>
        <w:jc w:val="both"/>
        <w:rPr>
          <w:sz w:val="24"/>
        </w:rPr>
      </w:pPr>
      <w:r w:rsidRPr="00747B71">
        <w:rPr>
          <w:sz w:val="24"/>
        </w:rPr>
        <w:t>Формирование отчетов по планам нагрузки кафедры: отчет «Форма 1», отчет «Форма 2», отчет «Индивидуальный план нагрузки преподавателя».</w:t>
      </w:r>
    </w:p>
    <w:p w:rsidR="00747B71" w:rsidRDefault="00747B71" w:rsidP="00747B71">
      <w:pPr>
        <w:spacing w:after="200" w:line="276" w:lineRule="auto"/>
        <w:jc w:val="both"/>
      </w:pPr>
      <w:r w:rsidRPr="00747B71">
        <w:t>Основными пользователями функциональности планирования нагрузки являются сотрудники кафедр, ответственные за составление и согласование планов нагрузки кафедры, а также работники Управления организации учебного процесса (УОУП), участвующие в согласовании и утверждении планов нагрузки.</w:t>
      </w:r>
    </w:p>
    <w:p w:rsidR="00747B71" w:rsidRDefault="00747B71" w:rsidP="00747B71">
      <w:pPr>
        <w:spacing w:after="200" w:line="276" w:lineRule="auto"/>
        <w:jc w:val="both"/>
      </w:pPr>
      <w:r w:rsidRPr="00747B71">
        <w:t>В 2012/2013 учебном году апробация модуля «Расчет нагрузки» проходила в два этапа:</w:t>
      </w:r>
    </w:p>
    <w:p w:rsidR="00747B71" w:rsidRPr="00747B71" w:rsidRDefault="00747B71" w:rsidP="002B51DC">
      <w:pPr>
        <w:pStyle w:val="a5"/>
        <w:numPr>
          <w:ilvl w:val="0"/>
          <w:numId w:val="22"/>
        </w:numPr>
        <w:jc w:val="both"/>
        <w:rPr>
          <w:sz w:val="24"/>
        </w:rPr>
      </w:pPr>
      <w:r w:rsidRPr="00747B71">
        <w:rPr>
          <w:sz w:val="24"/>
        </w:rPr>
        <w:lastRenderedPageBreak/>
        <w:t>пилотная эксплуатация модуля на 4 кафедрах университета, уточнение алгоритмов реализации бизнес-процесса и устранение выявленных ошибок</w:t>
      </w:r>
    </w:p>
    <w:p w:rsidR="00747B71" w:rsidRPr="00747B71" w:rsidRDefault="00747B71" w:rsidP="002B51DC">
      <w:pPr>
        <w:pStyle w:val="a5"/>
        <w:numPr>
          <w:ilvl w:val="0"/>
          <w:numId w:val="22"/>
        </w:numPr>
        <w:jc w:val="both"/>
        <w:rPr>
          <w:sz w:val="24"/>
        </w:rPr>
      </w:pPr>
      <w:r w:rsidRPr="00747B71">
        <w:rPr>
          <w:sz w:val="24"/>
        </w:rPr>
        <w:t>обучение сотрудников всех кафедр университета (включая филиалы) работе с новым модулем</w:t>
      </w:r>
    </w:p>
    <w:p w:rsidR="00747B71" w:rsidRPr="00747B71" w:rsidRDefault="00747B71" w:rsidP="002B51DC">
      <w:pPr>
        <w:pStyle w:val="a5"/>
        <w:numPr>
          <w:ilvl w:val="0"/>
          <w:numId w:val="22"/>
        </w:numPr>
        <w:jc w:val="both"/>
        <w:rPr>
          <w:sz w:val="24"/>
        </w:rPr>
      </w:pPr>
      <w:r w:rsidRPr="00747B71">
        <w:rPr>
          <w:sz w:val="24"/>
        </w:rPr>
        <w:t>апробация новой функциональности  при составлении и утверждении нагрузки на 2013/2014 учебный год в масштабах университета.</w:t>
      </w:r>
    </w:p>
    <w:p w:rsidR="00747B71" w:rsidRDefault="00747B71" w:rsidP="00747B71">
      <w:pPr>
        <w:spacing w:after="200" w:line="276" w:lineRule="auto"/>
        <w:jc w:val="both"/>
      </w:pPr>
      <w:r w:rsidRPr="00747B71">
        <w:t>По итогам первого этапа внедрения модуля сформированы запросы на доработку системы под существующие в НИУ ВШЭ бизнес-процессы, например:</w:t>
      </w:r>
    </w:p>
    <w:p w:rsidR="00747B71" w:rsidRPr="00747B71" w:rsidRDefault="00747B71" w:rsidP="002B51DC">
      <w:pPr>
        <w:pStyle w:val="a5"/>
        <w:numPr>
          <w:ilvl w:val="0"/>
          <w:numId w:val="23"/>
        </w:numPr>
        <w:jc w:val="both"/>
        <w:rPr>
          <w:sz w:val="24"/>
        </w:rPr>
      </w:pPr>
      <w:r w:rsidRPr="00747B71">
        <w:rPr>
          <w:sz w:val="24"/>
        </w:rPr>
        <w:t xml:space="preserve">объединение дисциплин из разных РУП, если по факту это единая дисциплина (например, это общеуниверситетские факультативы, курсы </w:t>
      </w:r>
      <w:proofErr w:type="spellStart"/>
      <w:r w:rsidRPr="00747B71">
        <w:rPr>
          <w:sz w:val="24"/>
        </w:rPr>
        <w:t>МАГоЛЕГО</w:t>
      </w:r>
      <w:proofErr w:type="spellEnd"/>
      <w:r w:rsidRPr="00747B71">
        <w:rPr>
          <w:sz w:val="24"/>
        </w:rPr>
        <w:t>);</w:t>
      </w:r>
    </w:p>
    <w:p w:rsidR="00747B71" w:rsidRPr="00747B71" w:rsidRDefault="00747B71" w:rsidP="002B51DC">
      <w:pPr>
        <w:pStyle w:val="a5"/>
        <w:numPr>
          <w:ilvl w:val="0"/>
          <w:numId w:val="23"/>
        </w:numPr>
        <w:jc w:val="both"/>
        <w:rPr>
          <w:sz w:val="24"/>
        </w:rPr>
      </w:pPr>
      <w:r w:rsidRPr="00747B71">
        <w:rPr>
          <w:sz w:val="24"/>
        </w:rPr>
        <w:t>учет работы преподавателя неполный год, или на разные части ставки в течение разных периодов учебного года;</w:t>
      </w:r>
    </w:p>
    <w:p w:rsidR="00747B71" w:rsidRPr="00747B71" w:rsidRDefault="00747B71" w:rsidP="002B51DC">
      <w:pPr>
        <w:pStyle w:val="a5"/>
        <w:numPr>
          <w:ilvl w:val="0"/>
          <w:numId w:val="23"/>
        </w:numPr>
        <w:jc w:val="both"/>
        <w:rPr>
          <w:sz w:val="24"/>
        </w:rPr>
      </w:pPr>
      <w:r w:rsidRPr="00747B71">
        <w:rPr>
          <w:sz w:val="24"/>
        </w:rPr>
        <w:t xml:space="preserve">информирование ответственного за расчет нагрузки о внесении изменений в </w:t>
      </w:r>
      <w:proofErr w:type="spellStart"/>
      <w:r w:rsidRPr="00747B71">
        <w:rPr>
          <w:sz w:val="24"/>
        </w:rPr>
        <w:t>РУПы</w:t>
      </w:r>
      <w:proofErr w:type="spellEnd"/>
      <w:r w:rsidRPr="00747B71">
        <w:rPr>
          <w:sz w:val="24"/>
        </w:rPr>
        <w:t>;</w:t>
      </w:r>
    </w:p>
    <w:p w:rsidR="00747B71" w:rsidRPr="00747B71" w:rsidRDefault="00747B71" w:rsidP="002B51DC">
      <w:pPr>
        <w:pStyle w:val="a5"/>
        <w:numPr>
          <w:ilvl w:val="0"/>
          <w:numId w:val="23"/>
        </w:numPr>
        <w:jc w:val="both"/>
        <w:rPr>
          <w:sz w:val="24"/>
        </w:rPr>
      </w:pPr>
      <w:r w:rsidRPr="00747B71">
        <w:rPr>
          <w:sz w:val="24"/>
        </w:rPr>
        <w:t>возможность создания дубля  расчета нагрузки предыдущего года с возможностью его редактирования и доработки;</w:t>
      </w:r>
    </w:p>
    <w:p w:rsidR="00747B71" w:rsidRPr="00747B71" w:rsidRDefault="00747B71" w:rsidP="002B51DC">
      <w:pPr>
        <w:pStyle w:val="a5"/>
        <w:numPr>
          <w:ilvl w:val="0"/>
          <w:numId w:val="23"/>
        </w:numPr>
        <w:jc w:val="both"/>
        <w:rPr>
          <w:sz w:val="24"/>
        </w:rPr>
      </w:pPr>
      <w:r w:rsidRPr="00747B71">
        <w:rPr>
          <w:sz w:val="24"/>
        </w:rPr>
        <w:t>доработка интеграции информационных систем, в том числе – передача в ЛМС связи «преподаватель-дисциплина» и на этом основании назначение преподавателю сайта дисциплины в ЛМС автоматически,  передача связи «преподаватель –дисциплина», «учебная группа – дисциплина»  в электронное расписание в качестве исходных данных для распределения аудиторий, использование связи  ИУП «студент-дисциплина» и данных электронного расписания об аудиториях для информирования студентов об электронном расписании и его изменениях, в том числе на мобильные устройства.</w:t>
      </w:r>
    </w:p>
    <w:p w:rsidR="00747B71" w:rsidRPr="00747B71" w:rsidRDefault="00747B71" w:rsidP="002B51DC">
      <w:pPr>
        <w:pStyle w:val="a5"/>
        <w:numPr>
          <w:ilvl w:val="0"/>
          <w:numId w:val="23"/>
        </w:numPr>
        <w:jc w:val="both"/>
        <w:rPr>
          <w:sz w:val="24"/>
        </w:rPr>
      </w:pPr>
      <w:r w:rsidRPr="00747B71">
        <w:rPr>
          <w:sz w:val="24"/>
        </w:rPr>
        <w:t>По результатам апробации было организовано анкетирование  сотрудников кафедр для оценки функциональности модуля:</w:t>
      </w:r>
    </w:p>
    <w:p w:rsidR="00747B71" w:rsidRDefault="00747B71" w:rsidP="00733484">
      <w:pPr>
        <w:pStyle w:val="12"/>
        <w:spacing w:line="360" w:lineRule="auto"/>
        <w:ind w:left="-359"/>
        <w:jc w:val="both"/>
      </w:pPr>
      <w:r>
        <w:rPr>
          <w:noProof/>
          <w:lang w:eastAsia="ru-RU"/>
        </w:rPr>
        <w:drawing>
          <wp:inline distT="0" distB="0" distL="0" distR="0">
            <wp:extent cx="5940425" cy="2107260"/>
            <wp:effectExtent l="0" t="0" r="0" b="0"/>
            <wp:docPr id="461"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99"/>
                    <a:stretch>
                      <a:fillRect/>
                    </a:stretch>
                  </pic:blipFill>
                  <pic:spPr>
                    <a:xfrm>
                      <a:off x="0" y="0"/>
                      <a:ext cx="5940425" cy="2107260"/>
                    </a:xfrm>
                    <a:prstGeom prst="rect">
                      <a:avLst/>
                    </a:prstGeom>
                  </pic:spPr>
                </pic:pic>
              </a:graphicData>
            </a:graphic>
          </wp:inline>
        </w:drawing>
      </w:r>
    </w:p>
    <w:p w:rsidR="00747B71" w:rsidRDefault="00747B71" w:rsidP="00733484">
      <w:pPr>
        <w:pStyle w:val="12"/>
        <w:spacing w:line="360" w:lineRule="auto"/>
        <w:ind w:left="720"/>
        <w:jc w:val="both"/>
      </w:pPr>
    </w:p>
    <w:p w:rsidR="00747B71" w:rsidRDefault="00747B71" w:rsidP="00733484">
      <w:pPr>
        <w:pStyle w:val="12"/>
        <w:spacing w:line="360" w:lineRule="auto"/>
        <w:ind w:left="-359"/>
        <w:jc w:val="both"/>
      </w:pPr>
      <w:r>
        <w:rPr>
          <w:noProof/>
          <w:lang w:eastAsia="ru-RU"/>
        </w:rPr>
        <w:lastRenderedPageBreak/>
        <w:drawing>
          <wp:inline distT="0" distB="0" distL="0" distR="0">
            <wp:extent cx="5940425" cy="1980346"/>
            <wp:effectExtent l="0" t="0" r="0" b="0"/>
            <wp:docPr id="462"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200"/>
                    <a:stretch>
                      <a:fillRect/>
                    </a:stretch>
                  </pic:blipFill>
                  <pic:spPr>
                    <a:xfrm>
                      <a:off x="0" y="0"/>
                      <a:ext cx="5940425" cy="1980346"/>
                    </a:xfrm>
                    <a:prstGeom prst="rect">
                      <a:avLst/>
                    </a:prstGeom>
                  </pic:spPr>
                </pic:pic>
              </a:graphicData>
            </a:graphic>
          </wp:inline>
        </w:drawing>
      </w:r>
    </w:p>
    <w:p w:rsidR="00747B71" w:rsidRDefault="00F239D2" w:rsidP="00F239D2">
      <w:pPr>
        <w:pStyle w:val="12"/>
        <w:spacing w:line="360" w:lineRule="auto"/>
        <w:ind w:left="361"/>
        <w:jc w:val="both"/>
      </w:pPr>
      <w:r>
        <w:rPr>
          <w:noProof/>
          <w:lang w:eastAsia="ru-RU"/>
        </w:rPr>
        <w:drawing>
          <wp:inline distT="0" distB="0" distL="0" distR="0">
            <wp:extent cx="5940425" cy="2001805"/>
            <wp:effectExtent l="0" t="0" r="0" b="0"/>
            <wp:docPr id="463"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201"/>
                    <a:stretch>
                      <a:fillRect/>
                    </a:stretch>
                  </pic:blipFill>
                  <pic:spPr>
                    <a:xfrm>
                      <a:off x="0" y="0"/>
                      <a:ext cx="5940425" cy="2001805"/>
                    </a:xfrm>
                    <a:prstGeom prst="rect">
                      <a:avLst/>
                    </a:prstGeom>
                  </pic:spPr>
                </pic:pic>
              </a:graphicData>
            </a:graphic>
          </wp:inline>
        </w:drawing>
      </w:r>
    </w:p>
    <w:p w:rsidR="00747B71" w:rsidRDefault="00747B71" w:rsidP="00F239D2">
      <w:pPr>
        <w:pStyle w:val="12"/>
        <w:spacing w:line="360" w:lineRule="auto"/>
        <w:ind w:left="579"/>
      </w:pPr>
      <w:r>
        <w:rPr>
          <w:noProof/>
          <w:lang w:eastAsia="ru-RU"/>
        </w:rPr>
        <w:drawing>
          <wp:inline distT="0" distB="0" distL="0" distR="0">
            <wp:extent cx="5940425" cy="2002418"/>
            <wp:effectExtent l="0" t="0" r="0" b="0"/>
            <wp:docPr id="464"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202"/>
                    <a:stretch>
                      <a:fillRect/>
                    </a:stretch>
                  </pic:blipFill>
                  <pic:spPr>
                    <a:xfrm>
                      <a:off x="0" y="0"/>
                      <a:ext cx="5940425" cy="2002418"/>
                    </a:xfrm>
                    <a:prstGeom prst="rect">
                      <a:avLst/>
                    </a:prstGeom>
                  </pic:spPr>
                </pic:pic>
              </a:graphicData>
            </a:graphic>
          </wp:inline>
        </w:drawing>
      </w:r>
    </w:p>
    <w:p w:rsidR="00BA2708" w:rsidRPr="00BA2708" w:rsidRDefault="00BA2708" w:rsidP="00BA2708"/>
    <w:p w:rsidR="009F097F" w:rsidRDefault="009F097F">
      <w:pPr>
        <w:rPr>
          <w:rFonts w:asciiTheme="majorHAnsi" w:eastAsiaTheme="majorEastAsia" w:hAnsiTheme="majorHAnsi" w:cstheme="majorBidi"/>
          <w:b/>
          <w:bCs/>
          <w:color w:val="345A8A" w:themeColor="accent1" w:themeShade="B5"/>
          <w:sz w:val="32"/>
          <w:szCs w:val="32"/>
        </w:rPr>
      </w:pPr>
      <w:r>
        <w:br w:type="page"/>
      </w:r>
    </w:p>
    <w:p w:rsidR="009346BD" w:rsidRPr="00D7394B" w:rsidRDefault="005005BC" w:rsidP="009346BD">
      <w:pPr>
        <w:pStyle w:val="1"/>
        <w:keepLines w:val="0"/>
        <w:spacing w:before="240" w:after="60" w:line="276" w:lineRule="auto"/>
        <w:rPr>
          <w:b w:val="0"/>
        </w:rPr>
      </w:pPr>
      <w:bookmarkStart w:id="71" w:name="_Toc374030081"/>
      <w:r>
        <w:lastRenderedPageBreak/>
        <w:t>Оценка качества образовательных программ и учебного процесса</w:t>
      </w:r>
      <w:bookmarkEnd w:id="71"/>
    </w:p>
    <w:p w:rsidR="005005BC" w:rsidRDefault="005005BC" w:rsidP="005005BC">
      <w:pPr>
        <w:pStyle w:val="2"/>
        <w:numPr>
          <w:ilvl w:val="1"/>
          <w:numId w:val="1"/>
        </w:numPr>
      </w:pPr>
      <w:bookmarkStart w:id="72" w:name="_Toc374030082"/>
      <w:r>
        <w:t>Международная экспертиза образовательных программ НИУ ВШЭ</w:t>
      </w:r>
      <w:bookmarkEnd w:id="72"/>
    </w:p>
    <w:p w:rsidR="00065038" w:rsidRDefault="00065038" w:rsidP="00065038"/>
    <w:p w:rsidR="00065038" w:rsidRPr="00065038" w:rsidRDefault="00065038" w:rsidP="00065038">
      <w:pPr>
        <w:spacing w:after="200" w:line="276" w:lineRule="auto"/>
        <w:jc w:val="both"/>
      </w:pPr>
      <w:r w:rsidRPr="00065038">
        <w:t>В 2012-13 уч</w:t>
      </w:r>
      <w:r>
        <w:t>ебном году</w:t>
      </w:r>
      <w:r w:rsidRPr="00065038">
        <w:t xml:space="preserve"> была проведена подготовка к международной экспертизе качества 9 образовательных программ, реализуемых на четырех факультетах НИУ ВШЭ:</w:t>
      </w:r>
    </w:p>
    <w:tbl>
      <w:tblPr>
        <w:tblStyle w:val="aff9"/>
        <w:tblW w:w="0" w:type="auto"/>
        <w:tblLook w:val="04A0" w:firstRow="1" w:lastRow="0" w:firstColumn="1" w:lastColumn="0" w:noHBand="0" w:noVBand="1"/>
      </w:tblPr>
      <w:tblGrid>
        <w:gridCol w:w="817"/>
        <w:gridCol w:w="2976"/>
        <w:gridCol w:w="5772"/>
      </w:tblGrid>
      <w:tr w:rsidR="00065038" w:rsidRPr="00065038" w:rsidTr="00CD0E4F">
        <w:tc>
          <w:tcPr>
            <w:tcW w:w="817" w:type="dxa"/>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w:t>
            </w:r>
          </w:p>
        </w:tc>
        <w:tc>
          <w:tcPr>
            <w:tcW w:w="2977" w:type="dxa"/>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Факультет</w:t>
            </w:r>
          </w:p>
        </w:tc>
        <w:tc>
          <w:tcPr>
            <w:tcW w:w="5777" w:type="dxa"/>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Образовательная программа</w:t>
            </w:r>
          </w:p>
        </w:tc>
      </w:tr>
      <w:tr w:rsidR="00065038" w:rsidRPr="00065038" w:rsidTr="00CD0E4F">
        <w:tc>
          <w:tcPr>
            <w:tcW w:w="817" w:type="dxa"/>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1</w:t>
            </w:r>
          </w:p>
        </w:tc>
        <w:tc>
          <w:tcPr>
            <w:tcW w:w="2977" w:type="dxa"/>
            <w:vMerge w:val="restart"/>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Экономики</w:t>
            </w:r>
          </w:p>
        </w:tc>
        <w:tc>
          <w:tcPr>
            <w:tcW w:w="5777" w:type="dxa"/>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 xml:space="preserve">магистерская образовательная программа «Экономика» </w:t>
            </w:r>
          </w:p>
        </w:tc>
      </w:tr>
      <w:tr w:rsidR="00065038" w:rsidRPr="00065038" w:rsidTr="00CD0E4F">
        <w:tc>
          <w:tcPr>
            <w:tcW w:w="817" w:type="dxa"/>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2</w:t>
            </w:r>
          </w:p>
        </w:tc>
        <w:tc>
          <w:tcPr>
            <w:tcW w:w="2977" w:type="dxa"/>
            <w:vMerge/>
          </w:tcPr>
          <w:p w:rsidR="00065038" w:rsidRPr="00065038" w:rsidRDefault="00065038" w:rsidP="00CD0E4F">
            <w:pPr>
              <w:jc w:val="both"/>
              <w:rPr>
                <w:rFonts w:asciiTheme="majorHAnsi" w:hAnsiTheme="majorHAnsi"/>
                <w:sz w:val="24"/>
                <w:szCs w:val="24"/>
              </w:rPr>
            </w:pPr>
          </w:p>
        </w:tc>
        <w:tc>
          <w:tcPr>
            <w:tcW w:w="5777" w:type="dxa"/>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магистерская образовательная программа «Математические методы анализа экономики»</w:t>
            </w:r>
          </w:p>
        </w:tc>
      </w:tr>
      <w:tr w:rsidR="00065038" w:rsidRPr="00065038" w:rsidTr="00CD0E4F">
        <w:tc>
          <w:tcPr>
            <w:tcW w:w="817" w:type="dxa"/>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3</w:t>
            </w:r>
          </w:p>
        </w:tc>
        <w:tc>
          <w:tcPr>
            <w:tcW w:w="2977" w:type="dxa"/>
            <w:vMerge w:val="restart"/>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Государственного и муниципального управления</w:t>
            </w:r>
          </w:p>
        </w:tc>
        <w:tc>
          <w:tcPr>
            <w:tcW w:w="5777" w:type="dxa"/>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образовательная программа «Государственное и муниципальное управление» уровня бакалавра</w:t>
            </w:r>
          </w:p>
        </w:tc>
      </w:tr>
      <w:tr w:rsidR="00065038" w:rsidRPr="00065038" w:rsidTr="00CD0E4F">
        <w:tc>
          <w:tcPr>
            <w:tcW w:w="817" w:type="dxa"/>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4</w:t>
            </w:r>
          </w:p>
        </w:tc>
        <w:tc>
          <w:tcPr>
            <w:tcW w:w="2977" w:type="dxa"/>
            <w:vMerge/>
          </w:tcPr>
          <w:p w:rsidR="00065038" w:rsidRPr="00065038" w:rsidRDefault="00065038" w:rsidP="00CD0E4F">
            <w:pPr>
              <w:jc w:val="both"/>
              <w:rPr>
                <w:rFonts w:asciiTheme="majorHAnsi" w:hAnsiTheme="majorHAnsi"/>
                <w:sz w:val="24"/>
                <w:szCs w:val="24"/>
              </w:rPr>
            </w:pPr>
          </w:p>
        </w:tc>
        <w:tc>
          <w:tcPr>
            <w:tcW w:w="5777" w:type="dxa"/>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магистерская образовательная программа «Государственное и муниципальное управление»</w:t>
            </w:r>
          </w:p>
        </w:tc>
      </w:tr>
      <w:tr w:rsidR="00065038" w:rsidRPr="00065038" w:rsidTr="00CD0E4F">
        <w:trPr>
          <w:trHeight w:val="638"/>
        </w:trPr>
        <w:tc>
          <w:tcPr>
            <w:tcW w:w="817" w:type="dxa"/>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5</w:t>
            </w:r>
          </w:p>
        </w:tc>
        <w:tc>
          <w:tcPr>
            <w:tcW w:w="2977" w:type="dxa"/>
            <w:vMerge/>
          </w:tcPr>
          <w:p w:rsidR="00065038" w:rsidRPr="00065038" w:rsidRDefault="00065038" w:rsidP="00CD0E4F">
            <w:pPr>
              <w:jc w:val="both"/>
              <w:rPr>
                <w:rFonts w:asciiTheme="majorHAnsi" w:hAnsiTheme="majorHAnsi"/>
                <w:sz w:val="24"/>
                <w:szCs w:val="24"/>
              </w:rPr>
            </w:pPr>
          </w:p>
        </w:tc>
        <w:tc>
          <w:tcPr>
            <w:tcW w:w="5777" w:type="dxa"/>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магистерская образовательная программа «</w:t>
            </w:r>
            <w:hyperlink r:id="rId203" w:history="1">
              <w:r w:rsidRPr="00065038">
                <w:rPr>
                  <w:rFonts w:asciiTheme="majorHAnsi" w:hAnsiTheme="majorHAnsi"/>
                  <w:sz w:val="24"/>
                  <w:szCs w:val="24"/>
                </w:rPr>
                <w:t>Управление и экономика в здравоохранении</w:t>
              </w:r>
            </w:hyperlink>
            <w:r w:rsidRPr="00065038">
              <w:rPr>
                <w:rFonts w:asciiTheme="majorHAnsi" w:hAnsiTheme="majorHAnsi"/>
                <w:sz w:val="24"/>
                <w:szCs w:val="24"/>
              </w:rPr>
              <w:t>»</w:t>
            </w:r>
          </w:p>
        </w:tc>
      </w:tr>
      <w:tr w:rsidR="00065038" w:rsidRPr="00065038" w:rsidTr="00CD0E4F">
        <w:tc>
          <w:tcPr>
            <w:tcW w:w="817" w:type="dxa"/>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6</w:t>
            </w:r>
          </w:p>
        </w:tc>
        <w:tc>
          <w:tcPr>
            <w:tcW w:w="2977" w:type="dxa"/>
            <w:vMerge w:val="restart"/>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Социологии</w:t>
            </w:r>
          </w:p>
        </w:tc>
        <w:tc>
          <w:tcPr>
            <w:tcW w:w="5777" w:type="dxa"/>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образовательная программа «Социология» уровня бакалавра</w:t>
            </w:r>
          </w:p>
        </w:tc>
      </w:tr>
      <w:tr w:rsidR="00065038" w:rsidRPr="00065038" w:rsidTr="00CD0E4F">
        <w:tc>
          <w:tcPr>
            <w:tcW w:w="817" w:type="dxa"/>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7</w:t>
            </w:r>
          </w:p>
        </w:tc>
        <w:tc>
          <w:tcPr>
            <w:tcW w:w="2977" w:type="dxa"/>
            <w:vMerge/>
          </w:tcPr>
          <w:p w:rsidR="00065038" w:rsidRPr="00065038" w:rsidRDefault="00065038" w:rsidP="00CD0E4F">
            <w:pPr>
              <w:jc w:val="both"/>
              <w:rPr>
                <w:rFonts w:asciiTheme="majorHAnsi" w:hAnsiTheme="majorHAnsi"/>
                <w:sz w:val="24"/>
                <w:szCs w:val="24"/>
              </w:rPr>
            </w:pPr>
          </w:p>
        </w:tc>
        <w:tc>
          <w:tcPr>
            <w:tcW w:w="5777" w:type="dxa"/>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магистерская образовательная программа «Комплексный социальный анализ»</w:t>
            </w:r>
          </w:p>
        </w:tc>
      </w:tr>
      <w:tr w:rsidR="00065038" w:rsidRPr="00065038" w:rsidTr="00CD0E4F">
        <w:tc>
          <w:tcPr>
            <w:tcW w:w="817" w:type="dxa"/>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8</w:t>
            </w:r>
          </w:p>
        </w:tc>
        <w:tc>
          <w:tcPr>
            <w:tcW w:w="2977" w:type="dxa"/>
            <w:vMerge w:val="restart"/>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Прикладной политологии</w:t>
            </w:r>
          </w:p>
        </w:tc>
        <w:tc>
          <w:tcPr>
            <w:tcW w:w="5777" w:type="dxa"/>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образовательная программа «Политология» уровня бакалавра</w:t>
            </w:r>
          </w:p>
        </w:tc>
      </w:tr>
      <w:tr w:rsidR="00065038" w:rsidRPr="00065038" w:rsidTr="00CD0E4F">
        <w:tc>
          <w:tcPr>
            <w:tcW w:w="817" w:type="dxa"/>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9</w:t>
            </w:r>
          </w:p>
        </w:tc>
        <w:tc>
          <w:tcPr>
            <w:tcW w:w="2977" w:type="dxa"/>
            <w:vMerge/>
          </w:tcPr>
          <w:p w:rsidR="00065038" w:rsidRPr="00065038" w:rsidRDefault="00065038" w:rsidP="00CD0E4F">
            <w:pPr>
              <w:jc w:val="both"/>
              <w:rPr>
                <w:rFonts w:asciiTheme="majorHAnsi" w:hAnsiTheme="majorHAnsi"/>
                <w:sz w:val="24"/>
                <w:szCs w:val="24"/>
              </w:rPr>
            </w:pPr>
          </w:p>
        </w:tc>
        <w:tc>
          <w:tcPr>
            <w:tcW w:w="5777" w:type="dxa"/>
          </w:tcPr>
          <w:p w:rsidR="00065038" w:rsidRPr="00065038" w:rsidRDefault="00065038" w:rsidP="00CD0E4F">
            <w:pPr>
              <w:jc w:val="both"/>
              <w:rPr>
                <w:rFonts w:asciiTheme="majorHAnsi" w:hAnsiTheme="majorHAnsi"/>
                <w:sz w:val="24"/>
                <w:szCs w:val="24"/>
              </w:rPr>
            </w:pPr>
            <w:r w:rsidRPr="00065038">
              <w:rPr>
                <w:rFonts w:asciiTheme="majorHAnsi" w:hAnsiTheme="majorHAnsi"/>
                <w:sz w:val="24"/>
                <w:szCs w:val="24"/>
              </w:rPr>
              <w:t>магистерская образовательная программа «Прикладная политология»</w:t>
            </w:r>
          </w:p>
        </w:tc>
      </w:tr>
    </w:tbl>
    <w:p w:rsidR="00065038" w:rsidRDefault="00065038" w:rsidP="00065038">
      <w:pPr>
        <w:ind w:firstLine="360"/>
        <w:jc w:val="both"/>
        <w:rPr>
          <w:rFonts w:ascii="Times New Roman" w:hAnsi="Times New Roman"/>
          <w:highlight w:val="yellow"/>
        </w:rPr>
      </w:pPr>
    </w:p>
    <w:p w:rsidR="00065038" w:rsidRPr="00065038" w:rsidRDefault="00065038" w:rsidP="00065038">
      <w:pPr>
        <w:spacing w:after="200" w:line="276" w:lineRule="auto"/>
        <w:jc w:val="both"/>
      </w:pPr>
      <w:r w:rsidRPr="00065038">
        <w:t xml:space="preserve">Целью проведения экспертизы качества ОП НИУ ВШЭ является оценка программ с точки зрения их </w:t>
      </w:r>
      <w:proofErr w:type="spellStart"/>
      <w:r w:rsidRPr="00065038">
        <w:t>конкурентноспособности</w:t>
      </w:r>
      <w:proofErr w:type="spellEnd"/>
      <w:r w:rsidRPr="00065038">
        <w:t xml:space="preserve"> на отечественном и мировом образовательных рынках, получение оценки текущего состояния, рекомендаций по моделированию развития программ и получения международного признания.</w:t>
      </w:r>
    </w:p>
    <w:p w:rsidR="00065038" w:rsidRPr="00065038" w:rsidRDefault="00065038" w:rsidP="00065038">
      <w:pPr>
        <w:spacing w:after="200" w:line="276" w:lineRule="auto"/>
        <w:jc w:val="both"/>
      </w:pPr>
      <w:r w:rsidRPr="00065038">
        <w:t xml:space="preserve">Для проведения экспертизы ОП НИУ ВШЭ были приглашены авторитетные международные эксперты из ведущих университетов мира и экспертных организаций в области образования:      </w:t>
      </w:r>
    </w:p>
    <w:p w:rsidR="00065038" w:rsidRPr="00065038" w:rsidRDefault="00065038" w:rsidP="002B51DC">
      <w:pPr>
        <w:pStyle w:val="a5"/>
        <w:numPr>
          <w:ilvl w:val="0"/>
          <w:numId w:val="30"/>
        </w:numPr>
        <w:jc w:val="both"/>
        <w:rPr>
          <w:rFonts w:asciiTheme="majorHAnsi" w:hAnsiTheme="majorHAnsi"/>
          <w:sz w:val="24"/>
          <w:szCs w:val="24"/>
          <w:lang w:val="en-US"/>
        </w:rPr>
      </w:pPr>
      <w:r w:rsidRPr="00065038">
        <w:rPr>
          <w:rFonts w:asciiTheme="majorHAnsi" w:hAnsiTheme="majorHAnsi"/>
          <w:sz w:val="24"/>
          <w:szCs w:val="24"/>
        </w:rPr>
        <w:t>США</w:t>
      </w:r>
      <w:r w:rsidRPr="00065038">
        <w:rPr>
          <w:rFonts w:asciiTheme="majorHAnsi" w:hAnsiTheme="majorHAnsi"/>
          <w:sz w:val="24"/>
          <w:szCs w:val="24"/>
          <w:lang w:val="en-US"/>
        </w:rPr>
        <w:t xml:space="preserve"> – </w:t>
      </w:r>
      <w:r w:rsidRPr="00065038">
        <w:rPr>
          <w:rFonts w:asciiTheme="majorHAnsi" w:hAnsiTheme="majorHAnsi"/>
          <w:sz w:val="24"/>
          <w:szCs w:val="24"/>
        </w:rPr>
        <w:t>Гарвардский</w:t>
      </w:r>
      <w:r w:rsidRPr="00065038">
        <w:rPr>
          <w:rFonts w:asciiTheme="majorHAnsi" w:hAnsiTheme="majorHAnsi"/>
          <w:sz w:val="24"/>
          <w:szCs w:val="24"/>
          <w:lang w:val="en-US"/>
        </w:rPr>
        <w:t xml:space="preserve"> </w:t>
      </w:r>
      <w:r w:rsidRPr="00065038">
        <w:rPr>
          <w:rFonts w:asciiTheme="majorHAnsi" w:hAnsiTheme="majorHAnsi"/>
          <w:sz w:val="24"/>
          <w:szCs w:val="24"/>
        </w:rPr>
        <w:t>университет</w:t>
      </w:r>
      <w:r w:rsidRPr="00065038">
        <w:rPr>
          <w:rFonts w:asciiTheme="majorHAnsi" w:hAnsiTheme="majorHAnsi"/>
          <w:sz w:val="24"/>
          <w:szCs w:val="24"/>
          <w:lang w:val="en-US"/>
        </w:rPr>
        <w:t xml:space="preserve"> (Harvard University), </w:t>
      </w:r>
      <w:r w:rsidRPr="00065038">
        <w:rPr>
          <w:rFonts w:asciiTheme="majorHAnsi" w:hAnsiTheme="majorHAnsi"/>
          <w:sz w:val="24"/>
          <w:szCs w:val="24"/>
        </w:rPr>
        <w:t>Университет</w:t>
      </w:r>
      <w:r w:rsidRPr="00065038">
        <w:rPr>
          <w:rFonts w:asciiTheme="majorHAnsi" w:hAnsiTheme="majorHAnsi"/>
          <w:sz w:val="24"/>
          <w:szCs w:val="24"/>
          <w:lang w:val="en-US"/>
        </w:rPr>
        <w:t xml:space="preserve"> </w:t>
      </w:r>
      <w:r w:rsidRPr="00065038">
        <w:rPr>
          <w:rFonts w:asciiTheme="majorHAnsi" w:hAnsiTheme="majorHAnsi"/>
          <w:sz w:val="24"/>
          <w:szCs w:val="24"/>
        </w:rPr>
        <w:t>Восточной</w:t>
      </w:r>
      <w:r w:rsidRPr="00065038">
        <w:rPr>
          <w:rFonts w:asciiTheme="majorHAnsi" w:hAnsiTheme="majorHAnsi"/>
          <w:sz w:val="24"/>
          <w:szCs w:val="24"/>
          <w:lang w:val="en-US"/>
        </w:rPr>
        <w:t xml:space="preserve"> </w:t>
      </w:r>
      <w:r w:rsidRPr="00065038">
        <w:rPr>
          <w:rFonts w:asciiTheme="majorHAnsi" w:hAnsiTheme="majorHAnsi"/>
          <w:sz w:val="24"/>
          <w:szCs w:val="24"/>
        </w:rPr>
        <w:t>Каролины</w:t>
      </w:r>
      <w:r w:rsidRPr="00065038">
        <w:rPr>
          <w:rFonts w:asciiTheme="majorHAnsi" w:hAnsiTheme="majorHAnsi"/>
          <w:sz w:val="24"/>
          <w:szCs w:val="24"/>
          <w:lang w:val="en-US"/>
        </w:rPr>
        <w:t xml:space="preserve"> (East Carolina State University), </w:t>
      </w:r>
      <w:r w:rsidRPr="00065038">
        <w:rPr>
          <w:rFonts w:asciiTheme="majorHAnsi" w:hAnsiTheme="majorHAnsi"/>
          <w:sz w:val="24"/>
          <w:szCs w:val="24"/>
        </w:rPr>
        <w:t>Университет</w:t>
      </w:r>
      <w:r w:rsidRPr="00065038">
        <w:rPr>
          <w:rFonts w:asciiTheme="majorHAnsi" w:hAnsiTheme="majorHAnsi"/>
          <w:sz w:val="24"/>
          <w:szCs w:val="24"/>
          <w:lang w:val="en-US"/>
        </w:rPr>
        <w:t xml:space="preserve"> </w:t>
      </w:r>
      <w:r w:rsidRPr="00065038">
        <w:rPr>
          <w:rFonts w:asciiTheme="majorHAnsi" w:hAnsiTheme="majorHAnsi"/>
          <w:sz w:val="24"/>
          <w:szCs w:val="24"/>
        </w:rPr>
        <w:t>Индианы</w:t>
      </w:r>
      <w:r w:rsidRPr="00065038">
        <w:rPr>
          <w:rFonts w:asciiTheme="majorHAnsi" w:hAnsiTheme="majorHAnsi"/>
          <w:sz w:val="24"/>
          <w:szCs w:val="24"/>
          <w:lang w:val="en-US"/>
        </w:rPr>
        <w:t xml:space="preserve"> (Indiana University), </w:t>
      </w:r>
      <w:r w:rsidRPr="00065038">
        <w:rPr>
          <w:rFonts w:asciiTheme="majorHAnsi" w:hAnsiTheme="majorHAnsi"/>
          <w:sz w:val="24"/>
          <w:szCs w:val="24"/>
        </w:rPr>
        <w:t>Принстонский</w:t>
      </w:r>
      <w:r w:rsidRPr="00065038">
        <w:rPr>
          <w:rFonts w:asciiTheme="majorHAnsi" w:hAnsiTheme="majorHAnsi"/>
          <w:sz w:val="24"/>
          <w:szCs w:val="24"/>
          <w:lang w:val="en-US"/>
        </w:rPr>
        <w:t xml:space="preserve"> </w:t>
      </w:r>
      <w:r w:rsidRPr="00065038">
        <w:rPr>
          <w:rFonts w:asciiTheme="majorHAnsi" w:hAnsiTheme="majorHAnsi"/>
          <w:sz w:val="24"/>
          <w:szCs w:val="24"/>
        </w:rPr>
        <w:t>университет</w:t>
      </w:r>
      <w:r w:rsidRPr="00065038">
        <w:rPr>
          <w:rFonts w:asciiTheme="majorHAnsi" w:hAnsiTheme="majorHAnsi"/>
          <w:sz w:val="24"/>
          <w:szCs w:val="24"/>
          <w:lang w:val="en-US"/>
        </w:rPr>
        <w:t xml:space="preserve"> (Princeton University); </w:t>
      </w:r>
      <w:r w:rsidRPr="00065038">
        <w:rPr>
          <w:rFonts w:asciiTheme="majorHAnsi" w:hAnsiTheme="majorHAnsi"/>
          <w:sz w:val="24"/>
          <w:szCs w:val="24"/>
        </w:rPr>
        <w:t>Университет</w:t>
      </w:r>
      <w:r w:rsidRPr="00065038">
        <w:rPr>
          <w:rFonts w:asciiTheme="majorHAnsi" w:hAnsiTheme="majorHAnsi"/>
          <w:sz w:val="24"/>
          <w:szCs w:val="24"/>
          <w:lang w:val="en-US"/>
        </w:rPr>
        <w:t xml:space="preserve"> </w:t>
      </w:r>
      <w:r w:rsidRPr="00065038">
        <w:rPr>
          <w:rFonts w:asciiTheme="majorHAnsi" w:hAnsiTheme="majorHAnsi"/>
          <w:sz w:val="24"/>
          <w:szCs w:val="24"/>
        </w:rPr>
        <w:t>Висконсина</w:t>
      </w:r>
      <w:r w:rsidRPr="00065038">
        <w:rPr>
          <w:rFonts w:asciiTheme="majorHAnsi" w:hAnsiTheme="majorHAnsi"/>
          <w:sz w:val="24"/>
          <w:szCs w:val="24"/>
          <w:lang w:val="en-US"/>
        </w:rPr>
        <w:t xml:space="preserve"> </w:t>
      </w:r>
      <w:r w:rsidRPr="00065038">
        <w:rPr>
          <w:rFonts w:asciiTheme="majorHAnsi" w:hAnsiTheme="majorHAnsi"/>
          <w:sz w:val="24"/>
          <w:szCs w:val="24"/>
        </w:rPr>
        <w:t>в</w:t>
      </w:r>
      <w:r w:rsidRPr="00065038">
        <w:rPr>
          <w:rFonts w:asciiTheme="majorHAnsi" w:hAnsiTheme="majorHAnsi"/>
          <w:sz w:val="24"/>
          <w:szCs w:val="24"/>
          <w:lang w:val="en-US"/>
        </w:rPr>
        <w:t xml:space="preserve"> </w:t>
      </w:r>
      <w:r w:rsidRPr="00065038">
        <w:rPr>
          <w:rFonts w:asciiTheme="majorHAnsi" w:hAnsiTheme="majorHAnsi"/>
          <w:sz w:val="24"/>
          <w:szCs w:val="24"/>
        </w:rPr>
        <w:t>Мэдисоне</w:t>
      </w:r>
      <w:r w:rsidRPr="00065038">
        <w:rPr>
          <w:rFonts w:asciiTheme="majorHAnsi" w:hAnsiTheme="majorHAnsi"/>
          <w:sz w:val="24"/>
          <w:szCs w:val="24"/>
          <w:lang w:val="en-US"/>
        </w:rPr>
        <w:t xml:space="preserve"> (University of Wisconsin, Madison), </w:t>
      </w:r>
      <w:r w:rsidRPr="00065038">
        <w:rPr>
          <w:rFonts w:asciiTheme="majorHAnsi" w:hAnsiTheme="majorHAnsi"/>
          <w:sz w:val="24"/>
          <w:szCs w:val="24"/>
        </w:rPr>
        <w:t>Университет</w:t>
      </w:r>
      <w:r w:rsidRPr="00065038">
        <w:rPr>
          <w:rFonts w:asciiTheme="majorHAnsi" w:hAnsiTheme="majorHAnsi"/>
          <w:sz w:val="24"/>
          <w:szCs w:val="24"/>
          <w:lang w:val="en-US"/>
        </w:rPr>
        <w:t xml:space="preserve"> </w:t>
      </w:r>
      <w:r w:rsidRPr="00065038">
        <w:rPr>
          <w:rFonts w:asciiTheme="majorHAnsi" w:hAnsiTheme="majorHAnsi"/>
          <w:sz w:val="24"/>
          <w:szCs w:val="24"/>
        </w:rPr>
        <w:t>Рочестера</w:t>
      </w:r>
      <w:r w:rsidRPr="00065038">
        <w:rPr>
          <w:rFonts w:asciiTheme="majorHAnsi" w:hAnsiTheme="majorHAnsi"/>
          <w:sz w:val="24"/>
          <w:szCs w:val="24"/>
          <w:lang w:val="en-US"/>
        </w:rPr>
        <w:t xml:space="preserve"> (University of Rochester) Institute for Public Management and Community Service, International University of Florida, Pratt Institute, University of Illinois, University of Maryland;</w:t>
      </w:r>
    </w:p>
    <w:p w:rsidR="00065038" w:rsidRPr="00065038" w:rsidRDefault="00065038" w:rsidP="002B51DC">
      <w:pPr>
        <w:pStyle w:val="a5"/>
        <w:numPr>
          <w:ilvl w:val="0"/>
          <w:numId w:val="30"/>
        </w:numPr>
        <w:jc w:val="both"/>
        <w:rPr>
          <w:rFonts w:asciiTheme="majorHAnsi" w:hAnsiTheme="majorHAnsi"/>
          <w:sz w:val="24"/>
          <w:szCs w:val="24"/>
          <w:lang w:val="en-US"/>
        </w:rPr>
      </w:pPr>
      <w:r w:rsidRPr="00065038">
        <w:rPr>
          <w:rFonts w:asciiTheme="majorHAnsi" w:hAnsiTheme="majorHAnsi"/>
          <w:sz w:val="24"/>
          <w:szCs w:val="24"/>
        </w:rPr>
        <w:t>Канада</w:t>
      </w:r>
      <w:r w:rsidRPr="00065038">
        <w:rPr>
          <w:rFonts w:asciiTheme="majorHAnsi" w:hAnsiTheme="majorHAnsi"/>
          <w:sz w:val="24"/>
          <w:szCs w:val="24"/>
          <w:lang w:val="en-US"/>
        </w:rPr>
        <w:t xml:space="preserve"> - Public Administration school, Carlton University;</w:t>
      </w:r>
    </w:p>
    <w:p w:rsidR="00065038" w:rsidRPr="00065038" w:rsidRDefault="00065038" w:rsidP="002B51DC">
      <w:pPr>
        <w:pStyle w:val="a5"/>
        <w:numPr>
          <w:ilvl w:val="0"/>
          <w:numId w:val="30"/>
        </w:numPr>
        <w:jc w:val="both"/>
        <w:rPr>
          <w:rFonts w:asciiTheme="majorHAnsi" w:hAnsiTheme="majorHAnsi"/>
          <w:sz w:val="24"/>
          <w:szCs w:val="24"/>
          <w:lang w:val="en-US"/>
        </w:rPr>
      </w:pPr>
      <w:r w:rsidRPr="00065038">
        <w:rPr>
          <w:rFonts w:asciiTheme="majorHAnsi" w:hAnsiTheme="majorHAnsi"/>
          <w:sz w:val="24"/>
          <w:szCs w:val="24"/>
          <w:lang w:val="en-US"/>
        </w:rPr>
        <w:t>European Association for Public Administration Accreditation (EAPAA);</w:t>
      </w:r>
    </w:p>
    <w:p w:rsidR="00065038" w:rsidRPr="00065038" w:rsidRDefault="00065038" w:rsidP="002B51DC">
      <w:pPr>
        <w:pStyle w:val="a5"/>
        <w:numPr>
          <w:ilvl w:val="0"/>
          <w:numId w:val="30"/>
        </w:numPr>
        <w:jc w:val="both"/>
        <w:rPr>
          <w:rFonts w:asciiTheme="majorHAnsi" w:hAnsiTheme="majorHAnsi"/>
          <w:sz w:val="24"/>
          <w:szCs w:val="24"/>
        </w:rPr>
      </w:pPr>
      <w:proofErr w:type="spellStart"/>
      <w:r w:rsidRPr="00065038">
        <w:rPr>
          <w:rFonts w:asciiTheme="majorHAnsi" w:hAnsiTheme="majorHAnsi"/>
          <w:sz w:val="24"/>
          <w:szCs w:val="24"/>
        </w:rPr>
        <w:t>World</w:t>
      </w:r>
      <w:proofErr w:type="spellEnd"/>
      <w:r w:rsidRPr="00065038">
        <w:rPr>
          <w:rFonts w:asciiTheme="majorHAnsi" w:hAnsiTheme="majorHAnsi"/>
          <w:sz w:val="24"/>
          <w:szCs w:val="24"/>
        </w:rPr>
        <w:t xml:space="preserve"> </w:t>
      </w:r>
      <w:proofErr w:type="spellStart"/>
      <w:r w:rsidRPr="00065038">
        <w:rPr>
          <w:rFonts w:asciiTheme="majorHAnsi" w:hAnsiTheme="majorHAnsi"/>
          <w:sz w:val="24"/>
          <w:szCs w:val="24"/>
        </w:rPr>
        <w:t>Bank</w:t>
      </w:r>
      <w:proofErr w:type="spellEnd"/>
      <w:r w:rsidRPr="00065038">
        <w:rPr>
          <w:rFonts w:asciiTheme="majorHAnsi" w:hAnsiTheme="majorHAnsi"/>
          <w:sz w:val="24"/>
          <w:szCs w:val="24"/>
        </w:rPr>
        <w:t xml:space="preserve"> </w:t>
      </w:r>
      <w:proofErr w:type="spellStart"/>
      <w:r w:rsidRPr="00065038">
        <w:rPr>
          <w:rFonts w:asciiTheme="majorHAnsi" w:hAnsiTheme="majorHAnsi"/>
          <w:sz w:val="24"/>
          <w:szCs w:val="24"/>
        </w:rPr>
        <w:t>Institute</w:t>
      </w:r>
      <w:proofErr w:type="spellEnd"/>
      <w:r w:rsidRPr="00065038">
        <w:rPr>
          <w:rFonts w:asciiTheme="majorHAnsi" w:hAnsiTheme="majorHAnsi"/>
          <w:sz w:val="24"/>
          <w:szCs w:val="24"/>
        </w:rPr>
        <w:t>.</w:t>
      </w:r>
    </w:p>
    <w:p w:rsidR="00065038" w:rsidRPr="00065038" w:rsidRDefault="00065038" w:rsidP="00065038">
      <w:pPr>
        <w:spacing w:after="200" w:line="276" w:lineRule="auto"/>
        <w:jc w:val="both"/>
      </w:pPr>
      <w:r w:rsidRPr="00065038">
        <w:lastRenderedPageBreak/>
        <w:t>Экспертиза качества образовательных программ НИУ ВШЭ базировалась на разработанной в  2012 г.  типовой методике проведения внешней экспертизы ОП НИУ ВШЭ. Экспертные комитеты в рамках каждой ОП НИУ ВШЭ оценивали следующие аспекты программ:</w:t>
      </w:r>
    </w:p>
    <w:p w:rsidR="00065038" w:rsidRPr="00065038" w:rsidRDefault="00065038" w:rsidP="002B51DC">
      <w:pPr>
        <w:pStyle w:val="15"/>
        <w:numPr>
          <w:ilvl w:val="0"/>
          <w:numId w:val="29"/>
        </w:numPr>
        <w:spacing w:after="0" w:line="360" w:lineRule="auto"/>
        <w:contextualSpacing w:val="0"/>
        <w:jc w:val="both"/>
        <w:rPr>
          <w:rFonts w:asciiTheme="majorHAnsi" w:eastAsiaTheme="minorHAnsi" w:hAnsiTheme="majorHAnsi"/>
          <w:sz w:val="24"/>
          <w:szCs w:val="24"/>
        </w:rPr>
      </w:pPr>
      <w:r w:rsidRPr="00065038">
        <w:rPr>
          <w:rFonts w:asciiTheme="majorHAnsi" w:eastAsiaTheme="minorHAnsi" w:hAnsiTheme="majorHAnsi"/>
          <w:sz w:val="24"/>
          <w:szCs w:val="24"/>
        </w:rPr>
        <w:t>Качество преподавательского состава, привлеченного ВШЭ  к работе в программе:</w:t>
      </w:r>
    </w:p>
    <w:p w:rsidR="00065038" w:rsidRPr="00065038" w:rsidRDefault="00065038" w:rsidP="002B51DC">
      <w:pPr>
        <w:pStyle w:val="15"/>
        <w:numPr>
          <w:ilvl w:val="0"/>
          <w:numId w:val="31"/>
        </w:numPr>
        <w:spacing w:after="0" w:line="360" w:lineRule="auto"/>
        <w:contextualSpacing w:val="0"/>
        <w:jc w:val="both"/>
        <w:rPr>
          <w:rFonts w:asciiTheme="majorHAnsi" w:eastAsiaTheme="minorHAnsi" w:hAnsiTheme="majorHAnsi"/>
          <w:sz w:val="24"/>
          <w:szCs w:val="24"/>
        </w:rPr>
      </w:pPr>
      <w:r w:rsidRPr="00065038">
        <w:rPr>
          <w:rFonts w:asciiTheme="majorHAnsi" w:eastAsiaTheme="minorHAnsi" w:hAnsiTheme="majorHAnsi"/>
          <w:sz w:val="24"/>
          <w:szCs w:val="24"/>
        </w:rPr>
        <w:t>соответствие квалификации преподавателей содержанию курсов;</w:t>
      </w:r>
    </w:p>
    <w:p w:rsidR="00065038" w:rsidRPr="00065038" w:rsidRDefault="00065038" w:rsidP="002B51DC">
      <w:pPr>
        <w:pStyle w:val="15"/>
        <w:numPr>
          <w:ilvl w:val="0"/>
          <w:numId w:val="31"/>
        </w:numPr>
        <w:spacing w:after="0" w:line="360" w:lineRule="auto"/>
        <w:contextualSpacing w:val="0"/>
        <w:jc w:val="both"/>
        <w:rPr>
          <w:rFonts w:asciiTheme="majorHAnsi" w:eastAsiaTheme="minorHAnsi" w:hAnsiTheme="majorHAnsi"/>
          <w:sz w:val="24"/>
          <w:szCs w:val="24"/>
        </w:rPr>
      </w:pPr>
      <w:r w:rsidRPr="00065038">
        <w:rPr>
          <w:rFonts w:asciiTheme="majorHAnsi" w:eastAsiaTheme="minorHAnsi" w:hAnsiTheme="majorHAnsi"/>
          <w:sz w:val="24"/>
          <w:szCs w:val="24"/>
        </w:rPr>
        <w:t>методы оценки качества преподавания и средства стимулирования повышения качества преподавания.</w:t>
      </w:r>
    </w:p>
    <w:p w:rsidR="00065038" w:rsidRPr="00065038" w:rsidRDefault="00065038" w:rsidP="002B51DC">
      <w:pPr>
        <w:pStyle w:val="15"/>
        <w:numPr>
          <w:ilvl w:val="0"/>
          <w:numId w:val="29"/>
        </w:numPr>
        <w:spacing w:after="0" w:line="360" w:lineRule="auto"/>
        <w:contextualSpacing w:val="0"/>
        <w:jc w:val="both"/>
        <w:rPr>
          <w:rFonts w:asciiTheme="majorHAnsi" w:eastAsiaTheme="minorHAnsi" w:hAnsiTheme="majorHAnsi"/>
          <w:sz w:val="24"/>
          <w:szCs w:val="24"/>
        </w:rPr>
      </w:pPr>
      <w:r w:rsidRPr="00065038">
        <w:rPr>
          <w:rFonts w:asciiTheme="majorHAnsi" w:eastAsiaTheme="minorHAnsi" w:hAnsiTheme="majorHAnsi"/>
          <w:sz w:val="24"/>
          <w:szCs w:val="24"/>
        </w:rPr>
        <w:t>Учебный план и содержание программы:</w:t>
      </w:r>
    </w:p>
    <w:p w:rsidR="00065038" w:rsidRPr="00065038" w:rsidRDefault="00065038" w:rsidP="002B51DC">
      <w:pPr>
        <w:pStyle w:val="15"/>
        <w:numPr>
          <w:ilvl w:val="0"/>
          <w:numId w:val="32"/>
        </w:numPr>
        <w:spacing w:after="0" w:line="360" w:lineRule="auto"/>
        <w:contextualSpacing w:val="0"/>
        <w:jc w:val="both"/>
        <w:rPr>
          <w:rFonts w:asciiTheme="majorHAnsi" w:eastAsiaTheme="minorHAnsi" w:hAnsiTheme="majorHAnsi"/>
          <w:sz w:val="24"/>
          <w:szCs w:val="24"/>
        </w:rPr>
      </w:pPr>
      <w:r w:rsidRPr="00065038">
        <w:rPr>
          <w:rFonts w:asciiTheme="majorHAnsi" w:eastAsiaTheme="minorHAnsi" w:hAnsiTheme="majorHAnsi"/>
          <w:sz w:val="24"/>
          <w:szCs w:val="24"/>
        </w:rPr>
        <w:t>соответствие учебного плана программы лучшим международным практикам;</w:t>
      </w:r>
    </w:p>
    <w:p w:rsidR="00065038" w:rsidRPr="00065038" w:rsidRDefault="00065038" w:rsidP="002B51DC">
      <w:pPr>
        <w:pStyle w:val="15"/>
        <w:numPr>
          <w:ilvl w:val="0"/>
          <w:numId w:val="32"/>
        </w:numPr>
        <w:spacing w:after="0" w:line="360" w:lineRule="auto"/>
        <w:contextualSpacing w:val="0"/>
        <w:jc w:val="both"/>
        <w:rPr>
          <w:rFonts w:asciiTheme="majorHAnsi" w:eastAsiaTheme="minorHAnsi" w:hAnsiTheme="majorHAnsi"/>
          <w:sz w:val="24"/>
          <w:szCs w:val="24"/>
        </w:rPr>
      </w:pPr>
      <w:r w:rsidRPr="00065038">
        <w:rPr>
          <w:rFonts w:asciiTheme="majorHAnsi" w:eastAsiaTheme="minorHAnsi" w:hAnsiTheme="majorHAnsi"/>
          <w:sz w:val="24"/>
          <w:szCs w:val="24"/>
        </w:rPr>
        <w:t>структуру программы (соотношение содержания учебных курсов по годам, организацию руководства студенческими курсовыми и дипломными работами);</w:t>
      </w:r>
    </w:p>
    <w:p w:rsidR="00065038" w:rsidRPr="00065038" w:rsidRDefault="00065038" w:rsidP="002B51DC">
      <w:pPr>
        <w:pStyle w:val="15"/>
        <w:numPr>
          <w:ilvl w:val="0"/>
          <w:numId w:val="32"/>
        </w:numPr>
        <w:spacing w:after="0" w:line="360" w:lineRule="auto"/>
        <w:contextualSpacing w:val="0"/>
        <w:jc w:val="both"/>
        <w:rPr>
          <w:rFonts w:asciiTheme="majorHAnsi" w:eastAsiaTheme="minorHAnsi" w:hAnsiTheme="majorHAnsi"/>
          <w:sz w:val="24"/>
          <w:szCs w:val="24"/>
        </w:rPr>
      </w:pPr>
      <w:r w:rsidRPr="00065038">
        <w:rPr>
          <w:rFonts w:asciiTheme="majorHAnsi" w:eastAsiaTheme="minorHAnsi" w:hAnsiTheme="majorHAnsi"/>
          <w:sz w:val="24"/>
          <w:szCs w:val="24"/>
        </w:rPr>
        <w:t>содержание учебного плана программы, насколько содержание программы отражает современные тенденции в соответствующей области знаний.</w:t>
      </w:r>
    </w:p>
    <w:p w:rsidR="00065038" w:rsidRPr="00065038" w:rsidRDefault="00065038" w:rsidP="002B51DC">
      <w:pPr>
        <w:pStyle w:val="15"/>
        <w:numPr>
          <w:ilvl w:val="0"/>
          <w:numId w:val="29"/>
        </w:numPr>
        <w:spacing w:after="0" w:line="360" w:lineRule="auto"/>
        <w:contextualSpacing w:val="0"/>
        <w:jc w:val="both"/>
        <w:rPr>
          <w:rFonts w:asciiTheme="majorHAnsi" w:eastAsiaTheme="minorHAnsi" w:hAnsiTheme="majorHAnsi"/>
          <w:sz w:val="24"/>
          <w:szCs w:val="24"/>
        </w:rPr>
      </w:pPr>
      <w:r w:rsidRPr="00065038">
        <w:rPr>
          <w:rFonts w:asciiTheme="majorHAnsi" w:eastAsiaTheme="minorHAnsi" w:hAnsiTheme="majorHAnsi"/>
          <w:sz w:val="24"/>
          <w:szCs w:val="24"/>
        </w:rPr>
        <w:t xml:space="preserve">Содержание учебных дисциплин. </w:t>
      </w:r>
    </w:p>
    <w:p w:rsidR="00065038" w:rsidRPr="00065038" w:rsidRDefault="00065038" w:rsidP="00065038">
      <w:pPr>
        <w:pStyle w:val="15"/>
        <w:spacing w:after="0" w:line="360" w:lineRule="auto"/>
        <w:ind w:left="360"/>
        <w:contextualSpacing w:val="0"/>
        <w:jc w:val="both"/>
        <w:rPr>
          <w:rFonts w:asciiTheme="majorHAnsi" w:eastAsiaTheme="minorHAnsi" w:hAnsiTheme="majorHAnsi"/>
          <w:sz w:val="24"/>
          <w:szCs w:val="24"/>
        </w:rPr>
      </w:pPr>
      <w:r w:rsidRPr="00065038">
        <w:rPr>
          <w:rFonts w:asciiTheme="majorHAnsi" w:eastAsiaTheme="minorHAnsi" w:hAnsiTheme="majorHAnsi"/>
          <w:sz w:val="24"/>
          <w:szCs w:val="24"/>
        </w:rPr>
        <w:t>Соответствие теоретического содержания представленных на экспертизу курсов и предъявляемых требований к знаниям студентов современным тенденциям в соответствующей области знаний.</w:t>
      </w:r>
    </w:p>
    <w:p w:rsidR="00065038" w:rsidRPr="00065038" w:rsidRDefault="00065038" w:rsidP="002B51DC">
      <w:pPr>
        <w:pStyle w:val="15"/>
        <w:numPr>
          <w:ilvl w:val="0"/>
          <w:numId w:val="29"/>
        </w:numPr>
        <w:spacing w:after="0" w:line="360" w:lineRule="auto"/>
        <w:contextualSpacing w:val="0"/>
        <w:jc w:val="both"/>
        <w:rPr>
          <w:rFonts w:asciiTheme="majorHAnsi" w:eastAsiaTheme="minorHAnsi" w:hAnsiTheme="majorHAnsi"/>
          <w:sz w:val="24"/>
          <w:szCs w:val="24"/>
        </w:rPr>
      </w:pPr>
      <w:r w:rsidRPr="00065038">
        <w:rPr>
          <w:rFonts w:asciiTheme="majorHAnsi" w:eastAsiaTheme="minorHAnsi" w:hAnsiTheme="majorHAnsi"/>
          <w:sz w:val="24"/>
          <w:szCs w:val="24"/>
        </w:rPr>
        <w:t>Качество текущего контроля знаний.</w:t>
      </w:r>
    </w:p>
    <w:p w:rsidR="00065038" w:rsidRPr="00065038" w:rsidRDefault="00065038" w:rsidP="002B51DC">
      <w:pPr>
        <w:pStyle w:val="15"/>
        <w:numPr>
          <w:ilvl w:val="0"/>
          <w:numId w:val="29"/>
        </w:numPr>
        <w:spacing w:after="0" w:line="360" w:lineRule="auto"/>
        <w:contextualSpacing w:val="0"/>
        <w:jc w:val="both"/>
        <w:rPr>
          <w:rFonts w:asciiTheme="majorHAnsi" w:eastAsiaTheme="minorHAnsi" w:hAnsiTheme="majorHAnsi"/>
          <w:sz w:val="24"/>
          <w:szCs w:val="24"/>
        </w:rPr>
      </w:pPr>
      <w:r w:rsidRPr="00065038">
        <w:rPr>
          <w:rFonts w:asciiTheme="majorHAnsi" w:eastAsiaTheme="minorHAnsi" w:hAnsiTheme="majorHAnsi"/>
          <w:sz w:val="24"/>
          <w:szCs w:val="24"/>
        </w:rPr>
        <w:t>Привлечение студентов к научно-исследовательским проектам.</w:t>
      </w:r>
    </w:p>
    <w:p w:rsidR="00065038" w:rsidRPr="00065038" w:rsidRDefault="00065038" w:rsidP="002B51DC">
      <w:pPr>
        <w:pStyle w:val="15"/>
        <w:numPr>
          <w:ilvl w:val="0"/>
          <w:numId w:val="29"/>
        </w:numPr>
        <w:spacing w:after="0" w:line="360" w:lineRule="auto"/>
        <w:contextualSpacing w:val="0"/>
        <w:jc w:val="both"/>
        <w:rPr>
          <w:rFonts w:asciiTheme="majorHAnsi" w:eastAsiaTheme="minorHAnsi" w:hAnsiTheme="majorHAnsi"/>
          <w:sz w:val="24"/>
          <w:szCs w:val="24"/>
        </w:rPr>
      </w:pPr>
      <w:r w:rsidRPr="00065038">
        <w:rPr>
          <w:rFonts w:asciiTheme="majorHAnsi" w:eastAsiaTheme="minorHAnsi" w:hAnsiTheme="majorHAnsi"/>
          <w:sz w:val="24"/>
          <w:szCs w:val="24"/>
        </w:rPr>
        <w:t>Соответствие набора компетенций выпускников заявленным целям программы и их потребностям, возникающим в процессе работы.</w:t>
      </w:r>
    </w:p>
    <w:p w:rsidR="00065038" w:rsidRPr="00065038" w:rsidRDefault="00065038" w:rsidP="00065038">
      <w:pPr>
        <w:spacing w:after="200" w:line="276" w:lineRule="auto"/>
        <w:jc w:val="both"/>
      </w:pPr>
      <w:r w:rsidRPr="00065038">
        <w:t xml:space="preserve">Факультеты, реализующие указанные программы, подготовили отчеты по </w:t>
      </w:r>
      <w:proofErr w:type="spellStart"/>
      <w:r w:rsidRPr="00065038">
        <w:t>самообследованию</w:t>
      </w:r>
      <w:proofErr w:type="spellEnd"/>
      <w:r w:rsidRPr="00065038">
        <w:t xml:space="preserve"> программ, комплекты документов для заочной экспертизы, согласовали программы очных визитов экспертных комиссий.</w:t>
      </w:r>
    </w:p>
    <w:p w:rsidR="00065038" w:rsidRPr="00065038" w:rsidRDefault="00065038" w:rsidP="00065038">
      <w:pPr>
        <w:spacing w:after="200" w:line="276" w:lineRule="auto"/>
        <w:jc w:val="both"/>
      </w:pPr>
      <w:r w:rsidRPr="00065038">
        <w:t>Заочная экспертиза документов проводилась экспертами в июне- сентябре 2013года. Сами очные визиты состоялись уже в сентябре – октябре 2013 года. В целом были отмечены: высокая квалификация преподавателей ВШЭ, значительный потенциал студентов, динамичность развития программ. На встречах присутствовали преподаватели и научные сотрудники, участвующие в реализации ОП, студенты, выпускники этих программ.</w:t>
      </w:r>
    </w:p>
    <w:p w:rsidR="00065038" w:rsidRDefault="00065038" w:rsidP="00065038">
      <w:pPr>
        <w:spacing w:after="200" w:line="276" w:lineRule="auto"/>
        <w:jc w:val="both"/>
      </w:pPr>
      <w:r w:rsidRPr="00065038">
        <w:t>По итогам проведения очных визитов в рамках международной экспертизы ОП НИУ ВШЭ проведены рабочие встречи с руководством факультетов, даны  оценки текущему состоянию и перспективам развития  программ, представлены экспертные рекомендации и заключения по итогам проведения экспертизы. Окончательные отчеты экспертных комиссий готовятся к началу декабря 2013 года.</w:t>
      </w:r>
    </w:p>
    <w:p w:rsidR="00EF41BF" w:rsidRPr="00EE4AA5" w:rsidRDefault="00EF41BF" w:rsidP="00065038">
      <w:pPr>
        <w:spacing w:after="200" w:line="276" w:lineRule="auto"/>
        <w:jc w:val="both"/>
      </w:pPr>
      <w:r w:rsidRPr="00EE4AA5">
        <w:lastRenderedPageBreak/>
        <w:t>На момент подготовки отчета получены предварительные заключения экспертных комиссий, работавших с программами по экономике, политологии и государственно-муниципальному управлению.</w:t>
      </w:r>
    </w:p>
    <w:p w:rsidR="00EF41BF" w:rsidRPr="00EE4AA5" w:rsidRDefault="00EF41BF" w:rsidP="00065038">
      <w:pPr>
        <w:spacing w:after="200" w:line="276" w:lineRule="auto"/>
        <w:jc w:val="both"/>
      </w:pPr>
      <w:r w:rsidRPr="00EE4AA5">
        <w:t>Для факультета государственно-муниципального управления основные замечания экспертов заключаются в критике системы управления факультетом, одновременно «централизованной и фрагментированной», когда студенты и преподаватели в небольшой степени вовлечены в процессы принятия решений. Как следствие, даны рекомендации в ранке «высоких приоритетов»: «основать консультативный совет   и способствовать регулярной и более прозрачной причастности преподавателей к принятию реше</w:t>
      </w:r>
      <w:r w:rsidR="00CD07FC" w:rsidRPr="00EE4AA5">
        <w:t xml:space="preserve">ния через Академический Совет, </w:t>
      </w:r>
      <w:r w:rsidRPr="00EE4AA5">
        <w:t xml:space="preserve">делегированию некоторой реальной работы большему количеству преподавателей, и не только декану и  его заместителям». Другие важные замечания и рекомендации экспертной комиссии касались организации </w:t>
      </w:r>
      <w:r w:rsidR="0069177B" w:rsidRPr="00EE4AA5">
        <w:t>исследовательской работы преподавателей и студентов и организации более регулярной, прозрачной и понятной системы контроля качества образовательной программы (последнее, как отметили эксперты, является проблемой в целом для направления государственного и муниципального управления в российских вузах).</w:t>
      </w:r>
    </w:p>
    <w:p w:rsidR="000D6648" w:rsidRPr="00EE4AA5" w:rsidRDefault="000D6648" w:rsidP="00065038">
      <w:pPr>
        <w:spacing w:after="200" w:line="276" w:lineRule="auto"/>
        <w:jc w:val="both"/>
      </w:pPr>
      <w:r w:rsidRPr="00EE4AA5">
        <w:t xml:space="preserve">Относительно двух магистерских программ по экономике («Экономика», «Методы математического анализа в экономике») экспертный комитет отметил, что они </w:t>
      </w:r>
      <w:proofErr w:type="gramStart"/>
      <w:r w:rsidRPr="00EE4AA5">
        <w:t>достигли в целом высокого уровня и соответствуют</w:t>
      </w:r>
      <w:proofErr w:type="gramEnd"/>
      <w:r w:rsidRPr="00EE4AA5">
        <w:t xml:space="preserve"> мировым стандартам, а</w:t>
      </w:r>
      <w:r w:rsidR="00CD07FC" w:rsidRPr="00EE4AA5">
        <w:t xml:space="preserve"> </w:t>
      </w:r>
      <w:r w:rsidRPr="00EE4AA5">
        <w:t>в российском образовательном пространстве, вероятно, занимают третье место после программ РЭШ и МИЭФ НИУ ВШЭ. Эксперты подтвердили, что программы пользуются большим спросом и привлекают лучших студентов, обеспечивая им  во время обучения возможности для участия в исследовательской  деятельности (возможно, даже слишком ранние). В то же время эксперты обнаружили рад недостатков, схожих для двух программ, а именно:</w:t>
      </w:r>
    </w:p>
    <w:p w:rsidR="00C31A6C" w:rsidRPr="00EE4AA5" w:rsidRDefault="00C31A6C" w:rsidP="00065038">
      <w:pPr>
        <w:spacing w:after="200" w:line="276" w:lineRule="auto"/>
        <w:jc w:val="both"/>
      </w:pPr>
      <w:r w:rsidRPr="00EE4AA5">
        <w:t>- «довольно слабый рейтинг публикаций ППС в авторитетных экономических журналах, что не способствует международной известности  и не позволяет выйти на уровень лучших мировых программ»;</w:t>
      </w:r>
    </w:p>
    <w:p w:rsidR="00C31A6C" w:rsidRPr="00EE4AA5" w:rsidRDefault="00C31A6C" w:rsidP="00065038">
      <w:pPr>
        <w:spacing w:after="200" w:line="276" w:lineRule="auto"/>
        <w:jc w:val="both"/>
      </w:pPr>
      <w:r w:rsidRPr="00EE4AA5">
        <w:t>- «несоответствие между целями студентов (и даже принципами, заявленными самой магистратурой) и характером предоставляемого образования (хотя разрыв, возможно, не столь ощутим для студентов, чья специальность - «математические методы»)» (в частности,   уровень технический сложности значительно превышает то, что требуется  и является нормой  в традиционных  магистерских программах);</w:t>
      </w:r>
    </w:p>
    <w:p w:rsidR="00C31A6C" w:rsidRPr="00EE4AA5" w:rsidRDefault="00C31A6C" w:rsidP="00065038">
      <w:pPr>
        <w:spacing w:after="200" w:line="276" w:lineRule="auto"/>
        <w:jc w:val="both"/>
      </w:pPr>
      <w:r w:rsidRPr="00EE4AA5">
        <w:t>- «в прикладных курсах мало эмпирического содержания, прикладных эконометрических методов и работы с большими массивами данных, что было бы полезно для подготовки к карьере в бизнесе, аналитике, консалтинге и государственном управлении, к которой стремится большинство студентов».</w:t>
      </w:r>
    </w:p>
    <w:p w:rsidR="000D6648" w:rsidRDefault="00C31A6C" w:rsidP="00065038">
      <w:pPr>
        <w:spacing w:after="200" w:line="276" w:lineRule="auto"/>
        <w:jc w:val="both"/>
      </w:pPr>
      <w:r w:rsidRPr="00EE4AA5">
        <w:t>Были отмечены и другие недостатки, к которым эксперты отнесли, среди прочего, отсутствие личных кабинетов  у преподавателей и большой объем преподавательской нагрузки.</w:t>
      </w:r>
    </w:p>
    <w:p w:rsidR="001711D6" w:rsidRDefault="001711D6" w:rsidP="00065038">
      <w:pPr>
        <w:spacing w:after="200" w:line="276" w:lineRule="auto"/>
        <w:jc w:val="both"/>
      </w:pPr>
      <w:r>
        <w:lastRenderedPageBreak/>
        <w:t>В</w:t>
      </w:r>
      <w:r w:rsidR="009122CE">
        <w:t xml:space="preserve"> отчете международных экспертов, изучавших программу прикладной политологии, были даны следующие рекомендации:</w:t>
      </w:r>
    </w:p>
    <w:p w:rsidR="009122CE" w:rsidRPr="00EE4AA5" w:rsidRDefault="009122CE" w:rsidP="009122CE">
      <w:pPr>
        <w:pStyle w:val="a5"/>
        <w:numPr>
          <w:ilvl w:val="0"/>
          <w:numId w:val="61"/>
        </w:numPr>
        <w:jc w:val="both"/>
        <w:rPr>
          <w:sz w:val="24"/>
          <w:szCs w:val="24"/>
        </w:rPr>
      </w:pPr>
      <w:r w:rsidRPr="00EE4AA5">
        <w:rPr>
          <w:sz w:val="24"/>
          <w:szCs w:val="24"/>
        </w:rPr>
        <w:t xml:space="preserve">Изучить возможность реорганизации факультетов </w:t>
      </w:r>
      <w:proofErr w:type="spellStart"/>
      <w:r w:rsidRPr="00EE4AA5">
        <w:rPr>
          <w:sz w:val="24"/>
          <w:szCs w:val="24"/>
        </w:rPr>
        <w:t>МэиМП</w:t>
      </w:r>
      <w:proofErr w:type="spellEnd"/>
      <w:r w:rsidRPr="00EE4AA5">
        <w:rPr>
          <w:sz w:val="24"/>
          <w:szCs w:val="24"/>
        </w:rPr>
        <w:t>, ГМУ, кафедры Публичной политики в единую Школу Публичной Политики и Международных Отношений с подразделениями внутри неё.</w:t>
      </w:r>
    </w:p>
    <w:p w:rsidR="009122CE" w:rsidRPr="00EE4AA5" w:rsidRDefault="009122CE" w:rsidP="009122CE">
      <w:pPr>
        <w:pStyle w:val="a5"/>
        <w:numPr>
          <w:ilvl w:val="0"/>
          <w:numId w:val="61"/>
        </w:numPr>
        <w:jc w:val="both"/>
        <w:rPr>
          <w:sz w:val="24"/>
          <w:szCs w:val="24"/>
        </w:rPr>
      </w:pPr>
      <w:r w:rsidRPr="00EE4AA5">
        <w:rPr>
          <w:sz w:val="24"/>
          <w:szCs w:val="24"/>
        </w:rPr>
        <w:t>Увеличить количество ППС, работающих по международным контрактам,  до 26% к 2020 году в соответствии с планами НИУ ВШЭ</w:t>
      </w:r>
      <w:proofErr w:type="gramStart"/>
      <w:r w:rsidRPr="00EE4AA5">
        <w:rPr>
          <w:sz w:val="24"/>
          <w:szCs w:val="24"/>
        </w:rPr>
        <w:t xml:space="preserve"> </w:t>
      </w:r>
      <w:r w:rsidRPr="00EE4AA5">
        <w:rPr>
          <w:sz w:val="24"/>
          <w:szCs w:val="24"/>
        </w:rPr>
        <w:t>Д</w:t>
      </w:r>
      <w:proofErr w:type="gramEnd"/>
      <w:r w:rsidRPr="00EE4AA5">
        <w:rPr>
          <w:sz w:val="24"/>
          <w:szCs w:val="24"/>
        </w:rPr>
        <w:t xml:space="preserve">ля этого необходимо будет нанимать 2 иностранных специалистов в год </w:t>
      </w:r>
    </w:p>
    <w:p w:rsidR="009122CE" w:rsidRPr="00EE4AA5" w:rsidRDefault="009122CE" w:rsidP="009122CE">
      <w:pPr>
        <w:pStyle w:val="a5"/>
        <w:numPr>
          <w:ilvl w:val="0"/>
          <w:numId w:val="61"/>
        </w:numPr>
        <w:jc w:val="both"/>
        <w:rPr>
          <w:sz w:val="24"/>
          <w:szCs w:val="24"/>
        </w:rPr>
      </w:pPr>
      <w:r w:rsidRPr="00EE4AA5">
        <w:rPr>
          <w:sz w:val="24"/>
          <w:szCs w:val="24"/>
        </w:rPr>
        <w:t>Активно расширять способы вовлечения иностранных студентов в работу факультета.</w:t>
      </w:r>
    </w:p>
    <w:p w:rsidR="009122CE" w:rsidRPr="00EE4AA5" w:rsidRDefault="009122CE" w:rsidP="009122CE">
      <w:pPr>
        <w:pStyle w:val="a5"/>
        <w:numPr>
          <w:ilvl w:val="0"/>
          <w:numId w:val="61"/>
        </w:numPr>
        <w:jc w:val="both"/>
        <w:rPr>
          <w:sz w:val="24"/>
          <w:szCs w:val="24"/>
        </w:rPr>
      </w:pPr>
      <w:r w:rsidRPr="00EE4AA5">
        <w:rPr>
          <w:sz w:val="24"/>
          <w:szCs w:val="24"/>
        </w:rPr>
        <w:t>Организовывать еженедельные семинары для ППС с целью содействия интеллектуальному обмену и коллегиальности.</w:t>
      </w:r>
    </w:p>
    <w:p w:rsidR="009122CE" w:rsidRPr="00EE4AA5" w:rsidRDefault="009122CE" w:rsidP="009122CE">
      <w:pPr>
        <w:pStyle w:val="a5"/>
        <w:numPr>
          <w:ilvl w:val="0"/>
          <w:numId w:val="61"/>
        </w:numPr>
        <w:jc w:val="both"/>
        <w:rPr>
          <w:sz w:val="24"/>
          <w:szCs w:val="24"/>
        </w:rPr>
      </w:pPr>
      <w:r w:rsidRPr="00EE4AA5">
        <w:rPr>
          <w:sz w:val="24"/>
          <w:szCs w:val="24"/>
        </w:rPr>
        <w:t>В рамках, установленных законами РФ, существенно снизить количество кредитов или, по меньшей мере, дисциплин, необходимых для получения степени, для установления соответствия со степенью бакалавра, установившейся в международной практике.</w:t>
      </w:r>
    </w:p>
    <w:p w:rsidR="009122CE" w:rsidRPr="00EE4AA5" w:rsidRDefault="009122CE" w:rsidP="009122CE">
      <w:pPr>
        <w:pStyle w:val="a5"/>
        <w:numPr>
          <w:ilvl w:val="0"/>
          <w:numId w:val="61"/>
        </w:numPr>
        <w:jc w:val="both"/>
        <w:rPr>
          <w:sz w:val="24"/>
          <w:szCs w:val="24"/>
        </w:rPr>
      </w:pPr>
      <w:r w:rsidRPr="00EE4AA5">
        <w:rPr>
          <w:sz w:val="24"/>
          <w:szCs w:val="24"/>
        </w:rPr>
        <w:t xml:space="preserve">Развивать дополнительные </w:t>
      </w:r>
      <w:proofErr w:type="spellStart"/>
      <w:r w:rsidRPr="00EE4AA5">
        <w:rPr>
          <w:sz w:val="24"/>
          <w:szCs w:val="24"/>
        </w:rPr>
        <w:t>minor</w:t>
      </w:r>
      <w:proofErr w:type="spellEnd"/>
      <w:r w:rsidRPr="00EE4AA5">
        <w:rPr>
          <w:sz w:val="24"/>
          <w:szCs w:val="24"/>
        </w:rPr>
        <w:t xml:space="preserve">-дисциплины на других факультетах НИУ ВШЭ, которые студенты ФПП могли бы слушать, и  дополнительные </w:t>
      </w:r>
      <w:proofErr w:type="spellStart"/>
      <w:r w:rsidRPr="00EE4AA5">
        <w:rPr>
          <w:sz w:val="24"/>
          <w:szCs w:val="24"/>
        </w:rPr>
        <w:t>minor</w:t>
      </w:r>
      <w:proofErr w:type="spellEnd"/>
      <w:r w:rsidRPr="00EE4AA5">
        <w:rPr>
          <w:sz w:val="24"/>
          <w:szCs w:val="24"/>
        </w:rPr>
        <w:t>-дисциплины внутри ФПП, открытые  студентам других факультето</w:t>
      </w:r>
      <w:r w:rsidRPr="00EE4AA5">
        <w:rPr>
          <w:sz w:val="24"/>
          <w:szCs w:val="24"/>
        </w:rPr>
        <w:t>в</w:t>
      </w:r>
    </w:p>
    <w:p w:rsidR="009122CE" w:rsidRPr="00EE4AA5" w:rsidRDefault="009122CE" w:rsidP="00065038">
      <w:pPr>
        <w:pStyle w:val="a5"/>
        <w:numPr>
          <w:ilvl w:val="0"/>
          <w:numId w:val="61"/>
        </w:numPr>
        <w:jc w:val="both"/>
        <w:rPr>
          <w:sz w:val="24"/>
          <w:szCs w:val="24"/>
        </w:rPr>
      </w:pPr>
      <w:r w:rsidRPr="00EE4AA5">
        <w:rPr>
          <w:sz w:val="24"/>
          <w:szCs w:val="24"/>
        </w:rPr>
        <w:t>Интегрировать научно-методическое обучение и теоретическое обучение с реальным практическим обучением.</w:t>
      </w:r>
    </w:p>
    <w:p w:rsidR="00065038" w:rsidRPr="00065038" w:rsidRDefault="00065038" w:rsidP="00065038">
      <w:pPr>
        <w:spacing w:after="200" w:line="276" w:lineRule="auto"/>
        <w:jc w:val="both"/>
      </w:pPr>
      <w:r w:rsidRPr="00065038">
        <w:t xml:space="preserve">Отдельным кейсом международной оценки образовательных программ </w:t>
      </w:r>
      <w:proofErr w:type="spellStart"/>
      <w:r w:rsidRPr="00065038">
        <w:t>бакалавриата</w:t>
      </w:r>
      <w:proofErr w:type="spellEnd"/>
      <w:r w:rsidRPr="00065038">
        <w:t xml:space="preserve"> и магистратуры факультета математики можно считать отчет Международного консультативного комитета, который </w:t>
      </w:r>
      <w:proofErr w:type="gramStart"/>
      <w:r w:rsidRPr="00065038">
        <w:t>проводил очные заседания и встречи с представителями факультета в феврале 2013 года и высоко оценил</w:t>
      </w:r>
      <w:proofErr w:type="gramEnd"/>
      <w:r w:rsidRPr="00065038">
        <w:t xml:space="preserve"> качество математической подготовки, поставив факультет математики НИУ ВШЭ в топ-100 ведущих математических факультетов и исследовательских институтов мира.</w:t>
      </w:r>
    </w:p>
    <w:p w:rsidR="005005BC" w:rsidRDefault="005005BC" w:rsidP="005005BC">
      <w:pPr>
        <w:pStyle w:val="2"/>
        <w:numPr>
          <w:ilvl w:val="1"/>
          <w:numId w:val="1"/>
        </w:numPr>
      </w:pPr>
      <w:bookmarkStart w:id="73" w:name="_Toc374030083"/>
      <w:r>
        <w:t>Оценка качества подготовки выпускников НИУ ВШЭ работодателями</w:t>
      </w:r>
      <w:bookmarkEnd w:id="73"/>
    </w:p>
    <w:p w:rsidR="00E75002" w:rsidRDefault="00926E7E" w:rsidP="00926E7E">
      <w:pPr>
        <w:spacing w:after="200" w:line="276" w:lineRule="auto"/>
        <w:jc w:val="both"/>
      </w:pPr>
      <w:r>
        <w:t>В октябре-ноябре 2012 года был проведен о</w:t>
      </w:r>
      <w:r w:rsidR="00E75002">
        <w:t xml:space="preserve">прос </w:t>
      </w:r>
      <w:r w:rsidR="00E75002" w:rsidRPr="00926E7E">
        <w:t xml:space="preserve">работодателей выпускников НИУ ВШЭ 2011 года в </w:t>
      </w:r>
      <w:proofErr w:type="spellStart"/>
      <w:r w:rsidR="00E75002" w:rsidRPr="00926E7E">
        <w:t>г.г</w:t>
      </w:r>
      <w:proofErr w:type="spellEnd"/>
      <w:r w:rsidR="00E75002" w:rsidRPr="00926E7E">
        <w:t>. Москва, Нижний Новгород, Пермь</w:t>
      </w:r>
      <w:r w:rsidR="00E75002">
        <w:t xml:space="preserve"> </w:t>
      </w:r>
      <w:proofErr w:type="gramStart"/>
      <w:r w:rsidR="00E75002">
        <w:t>проводился Компании РЕСМАРК и включал</w:t>
      </w:r>
      <w:proofErr w:type="gramEnd"/>
      <w:r w:rsidR="00E75002">
        <w:t xml:space="preserve"> в себя два этапа:</w:t>
      </w:r>
    </w:p>
    <w:p w:rsidR="00E75002" w:rsidRDefault="00E75002" w:rsidP="00F27C45">
      <w:pPr>
        <w:numPr>
          <w:ilvl w:val="0"/>
          <w:numId w:val="17"/>
        </w:numPr>
        <w:spacing w:after="200" w:line="276" w:lineRule="auto"/>
        <w:jc w:val="both"/>
      </w:pPr>
      <w:r>
        <w:t>Опрос выпускников НИУ ВШЭ с целью уточнения статуса трудоустройства, выявления данных о работодателе в случае работы по найму, а также выявления оценки уровня подготовки в ВУЗе</w:t>
      </w:r>
    </w:p>
    <w:p w:rsidR="00E75002" w:rsidRDefault="00E75002" w:rsidP="00F27C45">
      <w:pPr>
        <w:numPr>
          <w:ilvl w:val="0"/>
          <w:numId w:val="17"/>
        </w:numPr>
        <w:spacing w:after="200" w:line="276" w:lineRule="auto"/>
        <w:jc w:val="both"/>
      </w:pPr>
      <w:r>
        <w:t>Опрос работодателей выпускников с целью выявления оценок уровня подготовки в ВУЗе, соответствия выпускников занимаемым ими должностям, а также получения рекомендаций относительно дополнений и изменений в программу подготовки выпускников.</w:t>
      </w:r>
    </w:p>
    <w:p w:rsidR="00E75002" w:rsidRPr="00926E7E" w:rsidRDefault="00E75002" w:rsidP="00926E7E">
      <w:pPr>
        <w:spacing w:after="200" w:line="276" w:lineRule="auto"/>
        <w:jc w:val="both"/>
      </w:pPr>
      <w:r w:rsidRPr="00926E7E">
        <w:lastRenderedPageBreak/>
        <w:t xml:space="preserve">В рамках проекта проанкетировано 420 выпускников и 162 работодателя. Доля охваченных проектом работодателей составила 25% от количества работающих по найму выпускников. В выборку работодателей не были включены работодатели выпускников </w:t>
      </w:r>
      <w:proofErr w:type="spellStart"/>
      <w:r w:rsidRPr="00926E7E">
        <w:t>бакалавриата</w:t>
      </w:r>
      <w:proofErr w:type="spellEnd"/>
      <w:r w:rsidRPr="00926E7E">
        <w:t xml:space="preserve">, продолживших обучение в магистратуре НИУ ВШЭ или других ВУЗах, а также трудоустроенных в НИУ ВШЭ выпускников. </w:t>
      </w:r>
    </w:p>
    <w:p w:rsidR="00E75002" w:rsidRPr="00926E7E" w:rsidRDefault="00E75002" w:rsidP="00926E7E">
      <w:pPr>
        <w:spacing w:after="200" w:line="276" w:lineRule="auto"/>
        <w:jc w:val="both"/>
      </w:pPr>
      <w:r w:rsidRPr="00926E7E">
        <w:t>В результате проекта выявлено, что:</w:t>
      </w:r>
    </w:p>
    <w:p w:rsidR="00E75002" w:rsidRDefault="00E75002" w:rsidP="00F27C45">
      <w:pPr>
        <w:numPr>
          <w:ilvl w:val="0"/>
          <w:numId w:val="17"/>
        </w:numPr>
        <w:spacing w:after="200" w:line="276" w:lineRule="auto"/>
        <w:jc w:val="both"/>
      </w:pPr>
      <w:r>
        <w:t xml:space="preserve">После выпуска из НИУ ВШЭ работают по найму 74% выпускников. Из остальных 9% выпускников организовали собственный бизнес либо являются </w:t>
      </w:r>
      <w:proofErr w:type="spellStart"/>
      <w:r>
        <w:t>фрилансерами</w:t>
      </w:r>
      <w:proofErr w:type="spellEnd"/>
      <w:r>
        <w:t>, 17% выпускников не работают (в том числе 12% находятся в поиске работы, 3% - в декретном отпуске, 2% продолжили обучение).</w:t>
      </w:r>
    </w:p>
    <w:p w:rsidR="00E75002" w:rsidRDefault="00E75002" w:rsidP="00F27C45">
      <w:pPr>
        <w:numPr>
          <w:ilvl w:val="0"/>
          <w:numId w:val="17"/>
        </w:numPr>
        <w:spacing w:after="200" w:line="276" w:lineRule="auto"/>
        <w:jc w:val="both"/>
      </w:pPr>
      <w:r>
        <w:t>Большинство работающих по найму выпускников (79%) работают в соответствии со специальностью, полученной в ВУЗе, при этом в зависимости от факультета выпуска их изменяется и по основным направлениям подготовки достигает 88% для выпускников факультета экономики и 95% для выпускников факультета менеджмента.</w:t>
      </w:r>
    </w:p>
    <w:p w:rsidR="00E75002" w:rsidRDefault="00E75002" w:rsidP="00F27C45">
      <w:pPr>
        <w:numPr>
          <w:ilvl w:val="0"/>
          <w:numId w:val="17"/>
        </w:numPr>
        <w:spacing w:after="200" w:line="276" w:lineRule="auto"/>
        <w:jc w:val="both"/>
      </w:pPr>
      <w:r>
        <w:t xml:space="preserve">Большинство выпускников, независимо от специальности и статуса трудоустройства, оценивают, что </w:t>
      </w:r>
      <w:r w:rsidRPr="00D414DA">
        <w:t>уровень подготовки в Высшей Школе Экономики в целом соответствует</w:t>
      </w:r>
      <w:r>
        <w:t xml:space="preserve"> стоящим перед ними задачам. Наибольшую степень соответствия наблюдается у ищущих работу и работающих по специальности выпускников на позициях менеджеров среднего звена, а также у выпускников, продолживших обучение (в текущей выборке – это магистры, поступившие в аспирантуру). Менее всего программы подготовки соответствуют работе на руководящих позициях, в том числе в собственном бизнесе. Также с низким соответствием столкнулись выпускники факультетов философии, права, политологии и ИТ.</w:t>
      </w:r>
    </w:p>
    <w:p w:rsidR="00E75002" w:rsidRDefault="00E75002" w:rsidP="00F27C45">
      <w:pPr>
        <w:numPr>
          <w:ilvl w:val="0"/>
          <w:numId w:val="17"/>
        </w:numPr>
        <w:spacing w:after="200" w:line="276" w:lineRule="auto"/>
        <w:jc w:val="both"/>
      </w:pPr>
      <w:r>
        <w:t>Большинство работающих по найму выпускников (74% в среднем, 84% среди магистров, 61% среди бакалавров) во время обучения совмещали работу с учёбой, и, как правило, затем продолжили работать в той же компании, где работали до выпуска. 26% выпускников вышли на работу после выпуска из ВУЗа.</w:t>
      </w:r>
    </w:p>
    <w:p w:rsidR="00E75002" w:rsidRDefault="00E75002" w:rsidP="00F27C45">
      <w:pPr>
        <w:numPr>
          <w:ilvl w:val="0"/>
          <w:numId w:val="17"/>
        </w:numPr>
        <w:spacing w:after="200" w:line="276" w:lineRule="auto"/>
        <w:jc w:val="both"/>
      </w:pPr>
      <w:r>
        <w:t>При этом почти в половине (49%) опрошенных компаний-работодателей требуется или приветствуются наличие у кандидатов-выпускников ВУЗов предыдущего опыта работы, в том числе опыта прохождения практик и/или стажировок.</w:t>
      </w:r>
    </w:p>
    <w:p w:rsidR="00E75002" w:rsidRDefault="00E75002" w:rsidP="00F27C45">
      <w:pPr>
        <w:numPr>
          <w:ilvl w:val="0"/>
          <w:numId w:val="17"/>
        </w:numPr>
        <w:spacing w:after="200" w:line="276" w:lineRule="auto"/>
        <w:jc w:val="both"/>
      </w:pPr>
      <w:r>
        <w:t>Помимо наличия предыдущего опыта работы, при приёме на работу работодатели в первую очередь оценивают личностные качества кандидатов, уровень профессиональной теоретической подготовки, а также нацеленность кандидатов на карьерный рост и профессиональное развитие. Наличие дипломов приоритетных ВУЗов имеет самый низкий приоритет среди критериев выбора кандидатов при приёме на работу, но учитывая значимую роль играет уровень профессиональной общетеоретической подготовки, можно заключить, что работодатели оценивают не по формальным признаком, а по фактическим знаниям, которыми обладает кандидат.</w:t>
      </w:r>
    </w:p>
    <w:p w:rsidR="00E75002" w:rsidRDefault="00E75002" w:rsidP="00F27C45">
      <w:pPr>
        <w:numPr>
          <w:ilvl w:val="0"/>
          <w:numId w:val="17"/>
        </w:numPr>
        <w:spacing w:after="200" w:line="276" w:lineRule="auto"/>
        <w:jc w:val="both"/>
      </w:pPr>
      <w:r>
        <w:lastRenderedPageBreak/>
        <w:t>Работодатели высоко оценили уровень подготовки выпускников независимо от факультета выпуска и соответствия должности и специальности: 85% работодателей оценили уровень подготовки выпускников на 5 баллов из 5 (подготовка полностью соответствует поставленным задачам) или на 4 балла (высокая степень соответствия). Средневзвешенная оценка работодателями общего уровня подготовки составила 4,18 балла.</w:t>
      </w:r>
    </w:p>
    <w:p w:rsidR="00E75002" w:rsidRDefault="00E75002" w:rsidP="00F27C45">
      <w:pPr>
        <w:numPr>
          <w:ilvl w:val="0"/>
          <w:numId w:val="17"/>
        </w:numPr>
        <w:spacing w:after="200" w:line="276" w:lineRule="auto"/>
        <w:jc w:val="both"/>
      </w:pPr>
      <w:r>
        <w:t>Средневзвешенная оценка работодателями общепрофессиональных компетенций и личностных качеств выпускников составила 4,44 балла по пятибалльной шкале. Распределение оценок в разрезе факультетов и филиалов представлены в отчёте.</w:t>
      </w:r>
    </w:p>
    <w:p w:rsidR="00E75002" w:rsidRDefault="00E75002" w:rsidP="00F27C45">
      <w:pPr>
        <w:numPr>
          <w:ilvl w:val="0"/>
          <w:numId w:val="17"/>
        </w:numPr>
        <w:spacing w:after="200" w:line="276" w:lineRule="auto"/>
        <w:jc w:val="both"/>
      </w:pPr>
      <w:r>
        <w:t>Средневзвешенные оценки работодателями профессионально-специфических компетенций выпускников составили от 4,28 до 4,37 баллов по пятибалльной шкале в зависимости от факультета выпуска. Распределение оценок в разрезе факультетов и филиалов представлены в отчёте.</w:t>
      </w:r>
    </w:p>
    <w:p w:rsidR="00E75002" w:rsidRDefault="00E75002" w:rsidP="00F27C45">
      <w:pPr>
        <w:numPr>
          <w:ilvl w:val="0"/>
          <w:numId w:val="17"/>
        </w:numPr>
        <w:spacing w:after="200" w:line="276" w:lineRule="auto"/>
        <w:jc w:val="both"/>
      </w:pPr>
      <w:r>
        <w:t>Наиболее хорошо, по оценкам работодателей, выпускники проявляют себя при анализе информации, в коммуникациях (как с клиентами и партнёрами, так и с коллегами и менеджментом), а также при решении нестандартных задач. При этом работодатели отмечают высокий уровень исполнительности выпускников при выполнении должностных обязанностей.</w:t>
      </w:r>
    </w:p>
    <w:p w:rsidR="00E75002" w:rsidRDefault="00E75002" w:rsidP="00F27C45">
      <w:pPr>
        <w:numPr>
          <w:ilvl w:val="0"/>
          <w:numId w:val="17"/>
        </w:numPr>
        <w:spacing w:after="200" w:line="276" w:lineRule="auto"/>
        <w:jc w:val="both"/>
      </w:pPr>
      <w:r>
        <w:t>Наиболее слабо, по оценкам работодателей, у выпускников развиты следующие навыки: подготовка и проведение презентаций, инициативность, адаптивность, самостоятельность и умение работать в команде. Особо работодатели отмечают недостаток практических навыков.</w:t>
      </w:r>
    </w:p>
    <w:p w:rsidR="00E75002" w:rsidRDefault="00E75002" w:rsidP="00F27C45">
      <w:pPr>
        <w:numPr>
          <w:ilvl w:val="0"/>
          <w:numId w:val="17"/>
        </w:numPr>
        <w:spacing w:after="200" w:line="276" w:lineRule="auto"/>
        <w:jc w:val="both"/>
      </w:pPr>
      <w:r>
        <w:t>Рекомендации работодателей по усилению процессов подготовки выпускников включили в себя следующее:</w:t>
      </w:r>
    </w:p>
    <w:p w:rsidR="00E75002" w:rsidRDefault="00E75002" w:rsidP="009F097F">
      <w:pPr>
        <w:numPr>
          <w:ilvl w:val="1"/>
          <w:numId w:val="16"/>
        </w:numPr>
        <w:spacing w:after="200" w:line="276" w:lineRule="auto"/>
        <w:jc w:val="both"/>
      </w:pPr>
      <w:r>
        <w:t>Программы подготовки расширить практическими занятиями и мастер-классами с представителями компаний с целью повышения практических навыков выпускников.</w:t>
      </w:r>
      <w:r w:rsidR="009F097F">
        <w:t xml:space="preserve"> </w:t>
      </w:r>
      <w:r>
        <w:t>(Недостаток практического опыта – один из основных моментов, отмеченных работодателями при оценке выпускников).</w:t>
      </w:r>
    </w:p>
    <w:p w:rsidR="00E75002" w:rsidRDefault="00E75002" w:rsidP="00F27C45">
      <w:pPr>
        <w:numPr>
          <w:ilvl w:val="1"/>
          <w:numId w:val="16"/>
        </w:numPr>
        <w:spacing w:after="200" w:line="276" w:lineRule="auto"/>
        <w:jc w:val="both"/>
      </w:pPr>
      <w:r>
        <w:t>Обеспечить студентам возможность прохождения производственной практики, стажировок в компаниях, а также по возможности предоставлять студентам старших курсов возможность трудоустройства.</w:t>
      </w:r>
    </w:p>
    <w:p w:rsidR="00E75002" w:rsidRDefault="00E75002" w:rsidP="00926E7E">
      <w:pPr>
        <w:ind w:left="1134"/>
        <w:jc w:val="both"/>
      </w:pPr>
      <w:r>
        <w:t>(При приёме на работу работодатели, как правило, ожидают от кандидатов-выпускников наличия опыта работы. При этом они готовы рассматривать в качестве практического подтверждённого опыта результаты практик и стажировок. Работодатели настойчиво рекомендовали увеличить количество практических занятий студентов непосредственно в компаниях, работающих в профильных отраслях. Некоторые компании, охваченные проектом, готовы предоставить студентам НИУ ВШЭ такую возможность).</w:t>
      </w:r>
    </w:p>
    <w:p w:rsidR="00E75002" w:rsidRDefault="00E75002" w:rsidP="00F27C45">
      <w:pPr>
        <w:numPr>
          <w:ilvl w:val="1"/>
          <w:numId w:val="16"/>
        </w:numPr>
        <w:spacing w:after="200" w:line="276" w:lineRule="auto"/>
        <w:jc w:val="both"/>
      </w:pPr>
      <w:r>
        <w:lastRenderedPageBreak/>
        <w:t>По возможности расширить программу подготовки рекомендованными курсами (либо углубить существующие).</w:t>
      </w:r>
      <w:r w:rsidR="00926E7E">
        <w:t xml:space="preserve"> </w:t>
      </w:r>
      <w:r>
        <w:t>Перечень рекомендо</w:t>
      </w:r>
      <w:r w:rsidR="00926E7E">
        <w:t>ванных курсов приведён в Отчёте</w:t>
      </w:r>
      <w:r>
        <w:t>.</w:t>
      </w:r>
    </w:p>
    <w:p w:rsidR="00E75002" w:rsidRDefault="00E75002" w:rsidP="00F27C45">
      <w:pPr>
        <w:numPr>
          <w:ilvl w:val="1"/>
          <w:numId w:val="16"/>
        </w:numPr>
        <w:spacing w:after="200" w:line="276" w:lineRule="auto"/>
        <w:jc w:val="both"/>
      </w:pPr>
      <w:r>
        <w:t>Рекомендовать студентам получать дополнительные квалификационные сертификаты и где допустимо обеспечивать им такую возможность.</w:t>
      </w:r>
    </w:p>
    <w:p w:rsidR="00E75002" w:rsidRDefault="00E75002" w:rsidP="00926E7E">
      <w:pPr>
        <w:ind w:left="1134"/>
        <w:jc w:val="both"/>
      </w:pPr>
      <w:r>
        <w:t>(Студентам, планирующим работу в таких отраслях, как консалтинг, банки и финансы, информационные технологии и телеком, необходимо учитывать, что от кандидатов-выпускников ВУЗов работодатели уже будут ожидать наличия квалификационных сертификатов финансового рынка. Независимо от отрасли и направления деятельности работодателя будут очень востребованы знания иностранного языка, в том числе и подтверждённые сертификатами. Получившие сертификаты выпускники отмечали, что несмотря на то, что иногда квалификационные сертификаты не требуются работодателями, полученные знания очень полезны как на работе, так и в жизни).</w:t>
      </w:r>
    </w:p>
    <w:p w:rsidR="00E75002" w:rsidRDefault="00E75002" w:rsidP="00926E7E">
      <w:pPr>
        <w:spacing w:after="200" w:line="276" w:lineRule="auto"/>
        <w:jc w:val="both"/>
      </w:pPr>
      <w:r>
        <w:t xml:space="preserve">Дополнительно к основным целям и задачам проекта, в </w:t>
      </w:r>
      <w:r w:rsidR="00550CCB">
        <w:t>о</w:t>
      </w:r>
      <w:r>
        <w:t>тчёте</w:t>
      </w:r>
      <w:r w:rsidR="00550CCB">
        <w:t xml:space="preserve"> </w:t>
      </w:r>
      <w:r w:rsidR="00646FB7">
        <w:t xml:space="preserve">Компании </w:t>
      </w:r>
      <w:r w:rsidR="00646FB7" w:rsidRPr="004D16D1">
        <w:t xml:space="preserve">РЕСМАРК </w:t>
      </w:r>
      <w:r w:rsidR="00550CCB">
        <w:t>(приложение</w:t>
      </w:r>
      <w:r w:rsidR="00646FB7">
        <w:t xml:space="preserve"> 14</w:t>
      </w:r>
      <w:r w:rsidR="00550CCB">
        <w:t>)</w:t>
      </w:r>
      <w:r>
        <w:t xml:space="preserve"> отражены следующие моменты:</w:t>
      </w:r>
    </w:p>
    <w:p w:rsidR="00E75002" w:rsidRDefault="00E75002" w:rsidP="001415B3">
      <w:pPr>
        <w:numPr>
          <w:ilvl w:val="0"/>
          <w:numId w:val="17"/>
        </w:numPr>
        <w:spacing w:after="200"/>
        <w:jc w:val="both"/>
      </w:pPr>
      <w:r>
        <w:t>Для каждого факультета определены приоритетные сферы занятости выпускников, в том числе отрасли и направления деятельности компаний, должностные позиции и типовые должностные обязанности</w:t>
      </w:r>
    </w:p>
    <w:p w:rsidR="00E75002" w:rsidRDefault="00E75002" w:rsidP="001415B3">
      <w:pPr>
        <w:numPr>
          <w:ilvl w:val="0"/>
          <w:numId w:val="17"/>
        </w:numPr>
        <w:spacing w:after="200"/>
        <w:jc w:val="both"/>
      </w:pPr>
      <w:r>
        <w:t>Сформирован перечень значимых при приёме на работу личностных качеств и деловых навыков выпускников в формулировке работодателей</w:t>
      </w:r>
    </w:p>
    <w:p w:rsidR="00E75002" w:rsidRDefault="00E75002" w:rsidP="001415B3">
      <w:pPr>
        <w:numPr>
          <w:ilvl w:val="0"/>
          <w:numId w:val="17"/>
        </w:numPr>
        <w:spacing w:after="200"/>
        <w:jc w:val="both"/>
      </w:pPr>
      <w:r>
        <w:t>Представлены оценки работодателями профессионально-специфических компетенций выпускников в разрезе факультетов выпуска</w:t>
      </w:r>
    </w:p>
    <w:p w:rsidR="00E75002" w:rsidRDefault="00E75002" w:rsidP="001415B3">
      <w:pPr>
        <w:numPr>
          <w:ilvl w:val="0"/>
          <w:numId w:val="17"/>
        </w:numPr>
        <w:spacing w:after="200"/>
        <w:jc w:val="both"/>
      </w:pPr>
      <w:r>
        <w:t>Определены компетенции выпускников, которые по рекомендациям работодателей желательно усилить. Компетенции приведены в разрезе факультетов выпуска.</w:t>
      </w:r>
    </w:p>
    <w:p w:rsidR="00E75002" w:rsidRDefault="00E75002" w:rsidP="001415B3">
      <w:pPr>
        <w:numPr>
          <w:ilvl w:val="0"/>
          <w:numId w:val="17"/>
        </w:numPr>
        <w:spacing w:after="200"/>
        <w:jc w:val="both"/>
      </w:pPr>
      <w:r>
        <w:t>Сформулированы темы рекомендованных работодателями курсов, направленных на усиление программ подготовки в ВУЗе</w:t>
      </w:r>
    </w:p>
    <w:p w:rsidR="00E75002" w:rsidRDefault="00E75002" w:rsidP="001415B3">
      <w:pPr>
        <w:numPr>
          <w:ilvl w:val="0"/>
          <w:numId w:val="17"/>
        </w:numPr>
        <w:spacing w:after="200"/>
        <w:jc w:val="both"/>
      </w:pPr>
      <w:r>
        <w:t xml:space="preserve">Составлен рейтинг ВУЗов, в магистратуру которых поступают выпускники </w:t>
      </w:r>
      <w:proofErr w:type="spellStart"/>
      <w:r>
        <w:t>бакалавриата</w:t>
      </w:r>
      <w:proofErr w:type="spellEnd"/>
      <w:r>
        <w:t xml:space="preserve"> НИУ ВШЭ</w:t>
      </w:r>
    </w:p>
    <w:p w:rsidR="00E75002" w:rsidRDefault="00E75002" w:rsidP="002107E0">
      <w:pPr>
        <w:spacing w:after="200" w:line="276" w:lineRule="auto"/>
        <w:jc w:val="both"/>
      </w:pPr>
      <w:r w:rsidRPr="00403572">
        <w:t xml:space="preserve">В Отчёте </w:t>
      </w:r>
      <w:r w:rsidR="00926E7E">
        <w:t xml:space="preserve">Компании </w:t>
      </w:r>
      <w:r w:rsidR="00926E7E" w:rsidRPr="004D16D1">
        <w:t>РЕСМАРК (</w:t>
      </w:r>
      <w:r w:rsidR="005B33CB" w:rsidRPr="004D16D1">
        <w:t>Приложение к отчету</w:t>
      </w:r>
      <w:r w:rsidR="00FA2206" w:rsidRPr="004D16D1">
        <w:t xml:space="preserve"> </w:t>
      </w:r>
      <w:r w:rsidR="00AD66FD" w:rsidRPr="004D16D1">
        <w:t xml:space="preserve">№ </w:t>
      </w:r>
      <w:r w:rsidR="00FA2206" w:rsidRPr="004D16D1">
        <w:t>14</w:t>
      </w:r>
      <w:r w:rsidR="00926E7E" w:rsidRPr="004D16D1">
        <w:t xml:space="preserve">) </w:t>
      </w:r>
      <w:r w:rsidRPr="004D16D1">
        <w:t>приведены</w:t>
      </w:r>
      <w:r w:rsidRPr="00403572">
        <w:t xml:space="preserve"> статистика проекта и результаты анализа ответов респондентов. Отчёт содержит 56  страниц, 12  таблиц и  36  диаграмм.</w:t>
      </w:r>
    </w:p>
    <w:p w:rsidR="00646FB7" w:rsidRDefault="00646FB7" w:rsidP="00646FB7">
      <w:pPr>
        <w:spacing w:after="200" w:line="276" w:lineRule="auto"/>
        <w:jc w:val="both"/>
      </w:pPr>
      <w:r>
        <w:t>Еще одним свидетельством высокой оценки работодателями выпускников НИУ ВШЭ является оценка рейтингового агентства «Эксперт РА»:  Высшая школа экономики занимает второе место среди отечественных университетов, попавших в топ-200 вузов мира.</w:t>
      </w:r>
    </w:p>
    <w:p w:rsidR="00646FB7" w:rsidRDefault="007909E4" w:rsidP="00646FB7">
      <w:pPr>
        <w:spacing w:after="200" w:line="276" w:lineRule="auto"/>
        <w:jc w:val="both"/>
      </w:pPr>
      <w:hyperlink r:id="rId204" w:history="1">
        <w:r w:rsidR="00646FB7" w:rsidRPr="00646FB7">
          <w:t>«Международный рейтинг университетов: российская версия»</w:t>
        </w:r>
      </w:hyperlink>
      <w:r w:rsidR="00572FB9">
        <w:t xml:space="preserve"> </w:t>
      </w:r>
      <w:r w:rsidR="00646FB7">
        <w:t xml:space="preserve"> был составлен специалистами агентства, «чтобы по нему можно было судить о полезности университета </w:t>
      </w:r>
      <w:r w:rsidR="00646FB7">
        <w:lastRenderedPageBreak/>
        <w:t>с точки зрения нужд нашей страны». Основной вопрос, на который отвечает рейтинг: где готовят кадры для лучших компаний мира.</w:t>
      </w:r>
    </w:p>
    <w:p w:rsidR="00646FB7" w:rsidRDefault="00646FB7" w:rsidP="00646FB7">
      <w:pPr>
        <w:spacing w:after="200" w:line="276" w:lineRule="auto"/>
        <w:jc w:val="both"/>
      </w:pPr>
      <w:r>
        <w:t xml:space="preserve">Во-первых, агентство определило шорт-лист, в </w:t>
      </w:r>
      <w:proofErr w:type="gramStart"/>
      <w:r>
        <w:t>который</w:t>
      </w:r>
      <w:proofErr w:type="gramEnd"/>
      <w:r>
        <w:t xml:space="preserve"> вошло 234 зарубежных вуза из топ-200 рейтинга </w:t>
      </w:r>
      <w:proofErr w:type="spellStart"/>
      <w:r>
        <w:t>The</w:t>
      </w:r>
      <w:proofErr w:type="spellEnd"/>
      <w:r>
        <w:t xml:space="preserve"> </w:t>
      </w:r>
      <w:proofErr w:type="spellStart"/>
      <w:r>
        <w:t>Times</w:t>
      </w:r>
      <w:proofErr w:type="spellEnd"/>
      <w:r>
        <w:t xml:space="preserve"> </w:t>
      </w:r>
      <w:proofErr w:type="spellStart"/>
      <w:r>
        <w:t>Higher</w:t>
      </w:r>
      <w:proofErr w:type="spellEnd"/>
      <w:r>
        <w:t xml:space="preserve"> </w:t>
      </w:r>
      <w:proofErr w:type="spellStart"/>
      <w:r>
        <w:t>Education</w:t>
      </w:r>
      <w:proofErr w:type="spellEnd"/>
      <w:r>
        <w:t xml:space="preserve"> </w:t>
      </w:r>
      <w:proofErr w:type="spellStart"/>
      <w:r>
        <w:t>World</w:t>
      </w:r>
      <w:proofErr w:type="spellEnd"/>
      <w:r>
        <w:t xml:space="preserve"> </w:t>
      </w:r>
      <w:proofErr w:type="spellStart"/>
      <w:r>
        <w:t>University</w:t>
      </w:r>
      <w:proofErr w:type="spellEnd"/>
      <w:r>
        <w:t xml:space="preserve"> </w:t>
      </w:r>
      <w:proofErr w:type="spellStart"/>
      <w:r>
        <w:t>Rankings</w:t>
      </w:r>
      <w:proofErr w:type="spellEnd"/>
      <w:r>
        <w:t xml:space="preserve"> (THE) и из топ-200 </w:t>
      </w:r>
      <w:proofErr w:type="spellStart"/>
      <w:r>
        <w:t>World</w:t>
      </w:r>
      <w:proofErr w:type="spellEnd"/>
      <w:r>
        <w:t xml:space="preserve"> </w:t>
      </w:r>
      <w:proofErr w:type="spellStart"/>
      <w:r>
        <w:t>University</w:t>
      </w:r>
      <w:proofErr w:type="spellEnd"/>
      <w:r>
        <w:t xml:space="preserve"> </w:t>
      </w:r>
      <w:proofErr w:type="spellStart"/>
      <w:r>
        <w:t>Rankings</w:t>
      </w:r>
      <w:proofErr w:type="spellEnd"/>
      <w:r>
        <w:t xml:space="preserve"> компании </w:t>
      </w:r>
      <w:proofErr w:type="spellStart"/>
      <w:r>
        <w:t>Quacquarelli</w:t>
      </w:r>
      <w:proofErr w:type="spellEnd"/>
      <w:r>
        <w:t xml:space="preserve"> </w:t>
      </w:r>
      <w:proofErr w:type="spellStart"/>
      <w:r>
        <w:t>Symonds</w:t>
      </w:r>
      <w:proofErr w:type="spellEnd"/>
      <w:r>
        <w:t>. К ним добавили 50 лучших российских вузов по версии рейтингового агентства «Эксперт РА». Итого — 284 университета.</w:t>
      </w:r>
    </w:p>
    <w:p w:rsidR="00646FB7" w:rsidRDefault="00646FB7" w:rsidP="00646FB7">
      <w:pPr>
        <w:spacing w:after="200" w:line="276" w:lineRule="auto"/>
        <w:jc w:val="both"/>
      </w:pPr>
      <w:r>
        <w:t xml:space="preserve">Затем в агентстве отобрали «лучшие компании мира, интересные для России». </w:t>
      </w:r>
      <w:proofErr w:type="gramStart"/>
      <w:r>
        <w:t xml:space="preserve">«После долгих поисков мы решили довериться выбору шведской компании </w:t>
      </w:r>
      <w:proofErr w:type="spellStart"/>
      <w:r>
        <w:t>Universum</w:t>
      </w:r>
      <w:proofErr w:type="spellEnd"/>
      <w:r>
        <w:t>, регулярно составляющей список наиболее привлекательных работодателей (</w:t>
      </w:r>
      <w:proofErr w:type="spellStart"/>
      <w:r>
        <w:t>The</w:t>
      </w:r>
      <w:proofErr w:type="spellEnd"/>
      <w:r>
        <w:t xml:space="preserve"> </w:t>
      </w:r>
      <w:proofErr w:type="spellStart"/>
      <w:r>
        <w:t>World’s</w:t>
      </w:r>
      <w:proofErr w:type="spellEnd"/>
      <w:r>
        <w:t xml:space="preserve"> </w:t>
      </w:r>
      <w:proofErr w:type="spellStart"/>
      <w:r>
        <w:t>Most</w:t>
      </w:r>
      <w:proofErr w:type="spellEnd"/>
      <w:r>
        <w:t xml:space="preserve"> </w:t>
      </w:r>
      <w:proofErr w:type="spellStart"/>
      <w:r>
        <w:t>Attractive</w:t>
      </w:r>
      <w:proofErr w:type="spellEnd"/>
      <w:r>
        <w:t xml:space="preserve"> </w:t>
      </w:r>
      <w:proofErr w:type="spellStart"/>
      <w:r>
        <w:t>Employers</w:t>
      </w:r>
      <w:proofErr w:type="spellEnd"/>
      <w:r>
        <w:t xml:space="preserve"> 2013 составлен на основании опроса около 200 тысяч студентов из 12 ведущих экономик мира:</w:t>
      </w:r>
      <w:proofErr w:type="gramEnd"/>
      <w:r>
        <w:t xml:space="preserve"> </w:t>
      </w:r>
      <w:proofErr w:type="gramStart"/>
      <w:r>
        <w:t>Австралия, Бразилия, Великобритания, Германия, Канада, Китай, Индия, Италия, Россия, США, Франция, Япония)», — отмечают сотрудники агентства.</w:t>
      </w:r>
      <w:proofErr w:type="gramEnd"/>
      <w:r>
        <w:t xml:space="preserve"> По данным </w:t>
      </w:r>
      <w:proofErr w:type="spellStart"/>
      <w:r>
        <w:t>Universum</w:t>
      </w:r>
      <w:proofErr w:type="spellEnd"/>
      <w:r>
        <w:t xml:space="preserve">, подавляющее большинство наиболее привлекательных работодателей — американские и европейские компании. В </w:t>
      </w:r>
      <w:proofErr w:type="gramStart"/>
      <w:r>
        <w:t>итоговый</w:t>
      </w:r>
      <w:proofErr w:type="gramEnd"/>
      <w:r>
        <w:t xml:space="preserve"> шорт-лист были включены 30 организаций из списка </w:t>
      </w:r>
      <w:proofErr w:type="spellStart"/>
      <w:r>
        <w:t>Universum</w:t>
      </w:r>
      <w:proofErr w:type="spellEnd"/>
      <w:r>
        <w:t xml:space="preserve">, наиболее широко представленных в России (с точки зрения числа занятых россиян с высшим образованием), такие как </w:t>
      </w:r>
      <w:proofErr w:type="spellStart"/>
      <w:r>
        <w:t>Adidas</w:t>
      </w:r>
      <w:proofErr w:type="spellEnd"/>
      <w:r>
        <w:t xml:space="preserve">, BMW, </w:t>
      </w:r>
      <w:proofErr w:type="spellStart"/>
      <w:r>
        <w:t>Citigroup</w:t>
      </w:r>
      <w:proofErr w:type="spellEnd"/>
      <w:r>
        <w:t xml:space="preserve">, </w:t>
      </w:r>
      <w:proofErr w:type="spellStart"/>
      <w:r>
        <w:t>Deloitte</w:t>
      </w:r>
      <w:proofErr w:type="spellEnd"/>
      <w:r>
        <w:t xml:space="preserve">, </w:t>
      </w:r>
      <w:proofErr w:type="spellStart"/>
      <w:r>
        <w:t>Deutsche</w:t>
      </w:r>
      <w:proofErr w:type="spellEnd"/>
      <w:r>
        <w:t xml:space="preserve"> </w:t>
      </w:r>
      <w:proofErr w:type="spellStart"/>
      <w:r>
        <w:t>Bank</w:t>
      </w:r>
      <w:proofErr w:type="spellEnd"/>
      <w:r>
        <w:t xml:space="preserve">, </w:t>
      </w:r>
      <w:proofErr w:type="spellStart"/>
      <w:r>
        <w:t>Ernst</w:t>
      </w:r>
      <w:proofErr w:type="spellEnd"/>
      <w:r>
        <w:t xml:space="preserve"> &amp; </w:t>
      </w:r>
      <w:proofErr w:type="spellStart"/>
      <w:r>
        <w:t>Young</w:t>
      </w:r>
      <w:proofErr w:type="spellEnd"/>
      <w:r>
        <w:t xml:space="preserve"> и другие.</w:t>
      </w:r>
    </w:p>
    <w:p w:rsidR="00646FB7" w:rsidRDefault="00646FB7" w:rsidP="00646FB7">
      <w:pPr>
        <w:spacing w:after="200" w:line="276" w:lineRule="auto"/>
        <w:jc w:val="both"/>
      </w:pPr>
      <w:r>
        <w:t>И наконец, агентство сравнило, сколько выпускников каждого из 284 университетов работают в отобранных 30 компаниях. Всего было проанализировано трудоустройство более 300 тысяч человек.</w:t>
      </w:r>
    </w:p>
    <w:p w:rsidR="00646FB7" w:rsidRDefault="00646FB7" w:rsidP="00646FB7">
      <w:pPr>
        <w:spacing w:after="200" w:line="276" w:lineRule="auto"/>
        <w:jc w:val="both"/>
      </w:pPr>
      <w:r>
        <w:t>В международный список топ-200 вошло семь российских университетов: Московский государственный университет имени М.В. Ломоносова, Высшая школа экономики, Санкт-Петербургский государственный университет, Московский государственный технический университет имени Н.Э. Баумана, Финансовый университет при Правительстве РФ, Российский экономический университет имени Г.В. Плеханова, Новосибирский национальный исследовательский государственный университет.</w:t>
      </w:r>
    </w:p>
    <w:p w:rsidR="005005BC" w:rsidRDefault="005005BC" w:rsidP="005005BC">
      <w:pPr>
        <w:pStyle w:val="2"/>
        <w:numPr>
          <w:ilvl w:val="1"/>
          <w:numId w:val="1"/>
        </w:numPr>
      </w:pPr>
      <w:bookmarkStart w:id="74" w:name="_Toc374030084"/>
      <w:r>
        <w:t>Анализ обращений студентов на горячую линию «Выразительная кнопка»</w:t>
      </w:r>
      <w:bookmarkEnd w:id="74"/>
      <w:r>
        <w:t xml:space="preserve"> </w:t>
      </w:r>
    </w:p>
    <w:p w:rsidR="006D1236" w:rsidRPr="002D77BC" w:rsidRDefault="006D1236" w:rsidP="006D1236">
      <w:pPr>
        <w:spacing w:after="200" w:line="276" w:lineRule="auto"/>
        <w:jc w:val="both"/>
        <w:rPr>
          <w:lang w:eastAsia="en-US"/>
        </w:rPr>
      </w:pPr>
      <w:r w:rsidRPr="00516E8A">
        <w:rPr>
          <w:lang w:eastAsia="en-US"/>
        </w:rPr>
        <w:t>В 2012/2013 учебном году на корпоративном портале НИУ ВШЭ продолжала  работать горячая линия «Выразительная кнопка».</w:t>
      </w:r>
      <w:r w:rsidRPr="002D77BC">
        <w:rPr>
          <w:lang w:eastAsia="en-US"/>
        </w:rPr>
        <w:t xml:space="preserve"> Главной целью организации горячей линии является сбор информации о качестве оказываемых в Университете  образовательных услуг. Воспользовавшись «Выразительной кнопкой» любой участник образовательного процесса (студент, преподаватель, сотрудник, иное лицо) может оставить описание возникшей проблемы, выразить свое отношении к той или иной стороне учебного процесса, обратиться к администрации Университета с предложением по улучшению деятельности.</w:t>
      </w:r>
    </w:p>
    <w:p w:rsidR="006D1236" w:rsidRPr="00610A59" w:rsidRDefault="006D1236" w:rsidP="006D1236">
      <w:pPr>
        <w:spacing w:after="200" w:line="276" w:lineRule="auto"/>
        <w:jc w:val="both"/>
        <w:rPr>
          <w:b/>
          <w:lang w:eastAsia="en-US"/>
        </w:rPr>
      </w:pPr>
      <w:r w:rsidRPr="002D77BC">
        <w:rPr>
          <w:lang w:eastAsia="en-US"/>
        </w:rPr>
        <w:t xml:space="preserve">Анализ спектра проблем, </w:t>
      </w:r>
      <w:r w:rsidRPr="00410E5C">
        <w:rPr>
          <w:lang w:eastAsia="en-US"/>
        </w:rPr>
        <w:t>отраженных на «Выразительной кнопке», сделан</w:t>
      </w:r>
      <w:r w:rsidRPr="002D77BC">
        <w:rPr>
          <w:lang w:eastAsia="en-US"/>
        </w:rPr>
        <w:t xml:space="preserve"> на основе выборки сообщений, поступивших с 01.09.201</w:t>
      </w:r>
      <w:r>
        <w:rPr>
          <w:lang w:eastAsia="en-US"/>
        </w:rPr>
        <w:t>2</w:t>
      </w:r>
      <w:r w:rsidRPr="002D77BC">
        <w:rPr>
          <w:lang w:eastAsia="en-US"/>
        </w:rPr>
        <w:t xml:space="preserve"> года по 31.08.201</w:t>
      </w:r>
      <w:r>
        <w:rPr>
          <w:lang w:eastAsia="en-US"/>
        </w:rPr>
        <w:t>3</w:t>
      </w:r>
      <w:r w:rsidRPr="002D77BC">
        <w:rPr>
          <w:lang w:eastAsia="en-US"/>
        </w:rPr>
        <w:t xml:space="preserve"> года. Всего за данный п</w:t>
      </w:r>
      <w:r>
        <w:rPr>
          <w:lang w:eastAsia="en-US"/>
        </w:rPr>
        <w:t xml:space="preserve">ериод  оставили свои сообщения </w:t>
      </w:r>
      <w:r w:rsidRPr="0079128A">
        <w:rPr>
          <w:lang w:eastAsia="en-US"/>
        </w:rPr>
        <w:t>180</w:t>
      </w:r>
      <w:r>
        <w:rPr>
          <w:lang w:eastAsia="en-US"/>
        </w:rPr>
        <w:t>5 респондентов</w:t>
      </w:r>
      <w:r w:rsidRPr="002D77BC">
        <w:rPr>
          <w:lang w:eastAsia="en-US"/>
        </w:rPr>
        <w:t xml:space="preserve">. </w:t>
      </w:r>
      <w:r w:rsidRPr="00410E5C">
        <w:rPr>
          <w:lang w:eastAsia="en-US"/>
        </w:rPr>
        <w:t>3%</w:t>
      </w:r>
      <w:r w:rsidRPr="002D77BC">
        <w:rPr>
          <w:lang w:eastAsia="en-US"/>
        </w:rPr>
        <w:t xml:space="preserve"> сообщений можно </w:t>
      </w:r>
      <w:r w:rsidRPr="002D77BC">
        <w:rPr>
          <w:lang w:eastAsia="en-US"/>
        </w:rPr>
        <w:lastRenderedPageBreak/>
        <w:t xml:space="preserve">квалифицировать как спам (сообщения, не несущие смысловой нагрузки,  не связанные напрямую с образовательным процессом в НИУ ВШЭ, а также откровенно оскорбительного содержания), </w:t>
      </w:r>
      <w:r>
        <w:rPr>
          <w:lang w:eastAsia="en-US"/>
        </w:rPr>
        <w:t>9%</w:t>
      </w:r>
      <w:r w:rsidRPr="002D77BC">
        <w:rPr>
          <w:lang w:eastAsia="en-US"/>
        </w:rPr>
        <w:t xml:space="preserve"> выражают одобрение и </w:t>
      </w:r>
      <w:r>
        <w:rPr>
          <w:lang w:eastAsia="en-US"/>
        </w:rPr>
        <w:t>88%</w:t>
      </w:r>
      <w:r w:rsidRPr="002D77BC">
        <w:rPr>
          <w:lang w:eastAsia="en-US"/>
        </w:rPr>
        <w:t xml:space="preserve"> – неодобрение</w:t>
      </w:r>
      <w:r w:rsidRPr="00E237CE">
        <w:rPr>
          <w:rStyle w:val="ac"/>
          <w:rFonts w:ascii="Times New Roman" w:hAnsi="Times New Roman"/>
          <w:bCs/>
        </w:rPr>
        <w:footnoteReference w:id="29"/>
      </w:r>
      <w:r w:rsidRPr="00E237CE">
        <w:rPr>
          <w:rFonts w:ascii="Times New Roman" w:hAnsi="Times New Roman"/>
          <w:bCs/>
        </w:rPr>
        <w:t>.</w:t>
      </w:r>
      <w:r w:rsidRPr="002D77BC">
        <w:rPr>
          <w:lang w:eastAsia="en-US"/>
        </w:rPr>
        <w:t xml:space="preserve"> </w:t>
      </w:r>
    </w:p>
    <w:p w:rsidR="006D1236" w:rsidRDefault="006D1236" w:rsidP="006D1236">
      <w:pPr>
        <w:spacing w:after="200" w:line="276" w:lineRule="auto"/>
        <w:jc w:val="center"/>
        <w:rPr>
          <w:noProof/>
          <w:sz w:val="22"/>
          <w:szCs w:val="26"/>
        </w:rPr>
      </w:pPr>
      <w:r w:rsidRPr="0079128A">
        <w:rPr>
          <w:noProof/>
          <w:sz w:val="22"/>
          <w:szCs w:val="26"/>
        </w:rPr>
        <w:drawing>
          <wp:inline distT="0" distB="0" distL="0" distR="0">
            <wp:extent cx="4026716" cy="2483141"/>
            <wp:effectExtent l="0" t="0" r="12065" b="12700"/>
            <wp:docPr id="450" name="Диаграмма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6D1236" w:rsidRPr="002D77BC" w:rsidRDefault="006D1236" w:rsidP="006D1236">
      <w:pPr>
        <w:spacing w:after="200" w:line="276" w:lineRule="auto"/>
        <w:jc w:val="both"/>
        <w:rPr>
          <w:lang w:eastAsia="en-US"/>
        </w:rPr>
      </w:pPr>
      <w:r>
        <w:rPr>
          <w:lang w:eastAsia="en-US"/>
        </w:rPr>
        <w:t>29</w:t>
      </w:r>
      <w:r w:rsidRPr="002D77BC">
        <w:rPr>
          <w:lang w:eastAsia="en-US"/>
        </w:rPr>
        <w:t xml:space="preserve"> сообщений касались различных сторон студенческой жизни в Санкт-Петербургском филиале; </w:t>
      </w:r>
      <w:r>
        <w:rPr>
          <w:lang w:eastAsia="en-US"/>
        </w:rPr>
        <w:t>7</w:t>
      </w:r>
      <w:r w:rsidRPr="002D77BC">
        <w:rPr>
          <w:lang w:eastAsia="en-US"/>
        </w:rPr>
        <w:t xml:space="preserve">- в Нижегородском филиале НИУ ВШЭ, остальные обращения принадлежат студентам, сотрудникам головного вуза (включая МИЭМ НИУ ВШЭ)  и иным лицам. </w:t>
      </w:r>
    </w:p>
    <w:p w:rsidR="006D1236" w:rsidRPr="00610A59" w:rsidRDefault="006D1236" w:rsidP="006D1236">
      <w:pPr>
        <w:spacing w:after="200" w:line="276" w:lineRule="auto"/>
        <w:jc w:val="both"/>
        <w:rPr>
          <w:lang w:eastAsia="en-US"/>
        </w:rPr>
      </w:pPr>
      <w:r w:rsidRPr="002D77BC">
        <w:rPr>
          <w:lang w:eastAsia="en-US"/>
        </w:rPr>
        <w:t xml:space="preserve">Наиболее часто в указанный период к «Выразительной кнопке» прибегали студенты-бакалавры </w:t>
      </w:r>
      <w:r w:rsidRPr="00831BD1">
        <w:rPr>
          <w:lang w:eastAsia="en-US"/>
        </w:rPr>
        <w:t>1-2-го</w:t>
      </w:r>
      <w:r w:rsidRPr="002D77BC">
        <w:rPr>
          <w:lang w:eastAsia="en-US"/>
        </w:rPr>
        <w:t xml:space="preserve"> курсов. В общей сложности, студентам </w:t>
      </w:r>
      <w:proofErr w:type="spellStart"/>
      <w:r w:rsidRPr="002D77BC">
        <w:rPr>
          <w:lang w:eastAsia="en-US"/>
        </w:rPr>
        <w:t>бакалавриата</w:t>
      </w:r>
      <w:proofErr w:type="spellEnd"/>
      <w:r w:rsidRPr="002D77BC">
        <w:rPr>
          <w:lang w:eastAsia="en-US"/>
        </w:rPr>
        <w:t xml:space="preserve">/ </w:t>
      </w:r>
      <w:proofErr w:type="spellStart"/>
      <w:r w:rsidRPr="002D77BC">
        <w:rPr>
          <w:lang w:eastAsia="en-US"/>
        </w:rPr>
        <w:t>специалитета</w:t>
      </w:r>
      <w:proofErr w:type="spellEnd"/>
      <w:r w:rsidRPr="002D77BC">
        <w:rPr>
          <w:lang w:eastAsia="en-US"/>
        </w:rPr>
        <w:t xml:space="preserve"> принадлежит </w:t>
      </w:r>
      <w:r w:rsidRPr="00831BD1">
        <w:rPr>
          <w:lang w:eastAsia="en-US"/>
        </w:rPr>
        <w:t>7</w:t>
      </w:r>
      <w:r w:rsidRPr="007308A8">
        <w:rPr>
          <w:lang w:eastAsia="en-US"/>
        </w:rPr>
        <w:t>4</w:t>
      </w:r>
      <w:r w:rsidRPr="00831BD1">
        <w:rPr>
          <w:lang w:eastAsia="en-US"/>
        </w:rPr>
        <w:t>%</w:t>
      </w:r>
      <w:r w:rsidRPr="002D77BC">
        <w:rPr>
          <w:lang w:eastAsia="en-US"/>
        </w:rPr>
        <w:t xml:space="preserve"> обращений на горячую линию. Более подробная информация, характеризующая контингент лиц, воспользовавшихся горячей линией, содержится в </w:t>
      </w:r>
      <w:r>
        <w:rPr>
          <w:lang w:eastAsia="en-US"/>
        </w:rPr>
        <w:t>диаграммах ниже.</w:t>
      </w:r>
    </w:p>
    <w:p w:rsidR="006D1236" w:rsidRPr="00185DAE" w:rsidRDefault="006D1236" w:rsidP="006D1236">
      <w:pPr>
        <w:autoSpaceDE w:val="0"/>
        <w:autoSpaceDN w:val="0"/>
        <w:adjustRightInd w:val="0"/>
        <w:spacing w:line="360" w:lineRule="auto"/>
        <w:jc w:val="center"/>
        <w:rPr>
          <w:b/>
          <w:bCs/>
          <w:highlight w:val="yellow"/>
        </w:rPr>
      </w:pPr>
      <w:r w:rsidRPr="0042470C">
        <w:rPr>
          <w:b/>
          <w:bCs/>
          <w:noProof/>
        </w:rPr>
        <w:drawing>
          <wp:inline distT="0" distB="0" distL="0" distR="0">
            <wp:extent cx="5672380" cy="3440624"/>
            <wp:effectExtent l="0" t="0" r="24130" b="26670"/>
            <wp:docPr id="45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6D1236" w:rsidRDefault="006D1236" w:rsidP="006D1236">
      <w:pPr>
        <w:spacing w:after="200" w:line="276" w:lineRule="auto"/>
        <w:jc w:val="both"/>
        <w:rPr>
          <w:b/>
          <w:lang w:eastAsia="en-US"/>
        </w:rPr>
      </w:pPr>
      <w:r w:rsidRPr="00E608B0">
        <w:rPr>
          <w:b/>
          <w:noProof/>
        </w:rPr>
        <w:lastRenderedPageBreak/>
        <w:drawing>
          <wp:inline distT="0" distB="0" distL="0" distR="0">
            <wp:extent cx="6065240" cy="6501468"/>
            <wp:effectExtent l="0" t="0" r="12065" b="13970"/>
            <wp:docPr id="452" name="Диаграмма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6D1236" w:rsidRDefault="006D1236" w:rsidP="006D1236">
      <w:pPr>
        <w:spacing w:after="200" w:line="276" w:lineRule="auto"/>
        <w:jc w:val="both"/>
        <w:rPr>
          <w:b/>
          <w:lang w:eastAsia="en-US"/>
        </w:rPr>
      </w:pPr>
      <w:r w:rsidRPr="00FD5317">
        <w:rPr>
          <w:lang w:eastAsia="en-US"/>
        </w:rPr>
        <w:t>9%</w:t>
      </w:r>
      <w:r w:rsidRPr="00FF455F">
        <w:rPr>
          <w:lang w:eastAsia="en-US"/>
        </w:rPr>
        <w:t xml:space="preserve"> респондентов (без учета спама) выразили удовлетворение процессами, проходящими в НИУ ВШЭ. </w:t>
      </w:r>
      <w:r w:rsidRPr="00516E8A">
        <w:rPr>
          <w:lang w:eastAsia="en-US"/>
        </w:rPr>
        <w:t>Эти сообщения в основном выражают благодарность преподавателям, сотрудникам факультетов и учебных частей, кураторам курсов. Различные аспекты деятельности сотрудников отдельных Управлений НИУ ВШЭ также пол</w:t>
      </w:r>
      <w:r>
        <w:rPr>
          <w:lang w:eastAsia="en-US"/>
        </w:rPr>
        <w:t xml:space="preserve">учили одобрение. </w:t>
      </w:r>
    </w:p>
    <w:p w:rsidR="006D1236" w:rsidRPr="00FF455F" w:rsidRDefault="006D1236" w:rsidP="006D1236">
      <w:pPr>
        <w:spacing w:after="200" w:line="276" w:lineRule="auto"/>
        <w:jc w:val="both"/>
        <w:rPr>
          <w:lang w:eastAsia="en-US"/>
        </w:rPr>
      </w:pPr>
      <w:r w:rsidRPr="00FF455F">
        <w:rPr>
          <w:lang w:eastAsia="en-US"/>
        </w:rPr>
        <w:t>Наибольшую активность в выражении неодобрения, как демонстрирует след</w:t>
      </w:r>
      <w:r>
        <w:rPr>
          <w:lang w:eastAsia="en-US"/>
        </w:rPr>
        <w:t>ующая диаграмма</w:t>
      </w:r>
      <w:r w:rsidRPr="00FF455F">
        <w:rPr>
          <w:lang w:eastAsia="en-US"/>
        </w:rPr>
        <w:t>, в 201</w:t>
      </w:r>
      <w:r>
        <w:rPr>
          <w:lang w:eastAsia="en-US"/>
        </w:rPr>
        <w:t>2</w:t>
      </w:r>
      <w:r w:rsidRPr="00FF455F">
        <w:rPr>
          <w:lang w:eastAsia="en-US"/>
        </w:rPr>
        <w:t>/201</w:t>
      </w:r>
      <w:r>
        <w:rPr>
          <w:lang w:eastAsia="en-US"/>
        </w:rPr>
        <w:t>3</w:t>
      </w:r>
      <w:r w:rsidRPr="00FF455F">
        <w:rPr>
          <w:lang w:eastAsia="en-US"/>
        </w:rPr>
        <w:t xml:space="preserve"> учебном году проявили студенты факультетов </w:t>
      </w:r>
      <w:r w:rsidRPr="00BE0886">
        <w:rPr>
          <w:lang w:eastAsia="en-US"/>
        </w:rPr>
        <w:t>экономики</w:t>
      </w:r>
      <w:r>
        <w:rPr>
          <w:lang w:eastAsia="en-US"/>
        </w:rPr>
        <w:t xml:space="preserve"> (14</w:t>
      </w:r>
      <w:r w:rsidRPr="00BE0886">
        <w:rPr>
          <w:lang w:eastAsia="en-US"/>
        </w:rPr>
        <w:t>% от общего количества неодобрительных сообщений, не отнесенных к спаму), менеджмента (8%) и право (7%).</w:t>
      </w:r>
      <w:r w:rsidRPr="00FF455F">
        <w:rPr>
          <w:lang w:eastAsia="en-US"/>
        </w:rPr>
        <w:t xml:space="preserve"> </w:t>
      </w:r>
    </w:p>
    <w:p w:rsidR="006D1236" w:rsidRDefault="006D1236" w:rsidP="006D1236">
      <w:pPr>
        <w:spacing w:after="200" w:line="276" w:lineRule="auto"/>
        <w:jc w:val="both"/>
        <w:rPr>
          <w:sz w:val="22"/>
          <w:szCs w:val="26"/>
          <w:lang w:eastAsia="en-US"/>
        </w:rPr>
      </w:pPr>
    </w:p>
    <w:p w:rsidR="006D1236" w:rsidRDefault="00C73B2A" w:rsidP="006D1236">
      <w:pPr>
        <w:spacing w:after="200" w:line="276" w:lineRule="auto"/>
        <w:jc w:val="both"/>
        <w:rPr>
          <w:sz w:val="22"/>
          <w:szCs w:val="26"/>
          <w:lang w:eastAsia="en-US"/>
        </w:rPr>
      </w:pPr>
      <w:r w:rsidRPr="007073E5">
        <w:rPr>
          <w:b/>
          <w:noProof/>
        </w:rPr>
        <w:lastRenderedPageBreak/>
        <w:drawing>
          <wp:inline distT="0" distB="0" distL="0" distR="0" wp14:anchorId="3CCE6E85" wp14:editId="5672C067">
            <wp:extent cx="5780868" cy="5904854"/>
            <wp:effectExtent l="0" t="0" r="10795" b="20320"/>
            <wp:docPr id="45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6D1236" w:rsidRDefault="006D1236" w:rsidP="006D1236">
      <w:pPr>
        <w:spacing w:after="200" w:line="276" w:lineRule="auto"/>
        <w:jc w:val="both"/>
        <w:rPr>
          <w:sz w:val="22"/>
          <w:szCs w:val="26"/>
          <w:lang w:eastAsia="en-US"/>
        </w:rPr>
      </w:pPr>
    </w:p>
    <w:p w:rsidR="006D1236" w:rsidRDefault="006D1236" w:rsidP="006D1236">
      <w:pPr>
        <w:spacing w:after="200" w:line="276" w:lineRule="auto"/>
        <w:jc w:val="both"/>
        <w:rPr>
          <w:sz w:val="22"/>
          <w:szCs w:val="26"/>
          <w:lang w:eastAsia="en-US"/>
        </w:rPr>
      </w:pPr>
    </w:p>
    <w:p w:rsidR="006D1236" w:rsidRDefault="006D1236" w:rsidP="006D1236">
      <w:pPr>
        <w:spacing w:after="200" w:line="276" w:lineRule="auto"/>
        <w:jc w:val="both"/>
        <w:rPr>
          <w:sz w:val="22"/>
          <w:szCs w:val="26"/>
          <w:lang w:eastAsia="en-US"/>
        </w:rPr>
      </w:pPr>
    </w:p>
    <w:p w:rsidR="006D1236" w:rsidRDefault="006D1236" w:rsidP="006D1236">
      <w:pPr>
        <w:spacing w:after="200" w:line="276" w:lineRule="auto"/>
        <w:jc w:val="both"/>
        <w:rPr>
          <w:sz w:val="22"/>
          <w:szCs w:val="26"/>
          <w:lang w:eastAsia="en-US"/>
        </w:rPr>
      </w:pPr>
    </w:p>
    <w:p w:rsidR="006D1236" w:rsidRDefault="006D1236" w:rsidP="006D1236">
      <w:pPr>
        <w:spacing w:after="200" w:line="276" w:lineRule="auto"/>
        <w:jc w:val="both"/>
        <w:rPr>
          <w:sz w:val="22"/>
          <w:szCs w:val="26"/>
          <w:lang w:eastAsia="en-US"/>
        </w:rPr>
      </w:pPr>
    </w:p>
    <w:p w:rsidR="006D1236" w:rsidRDefault="006D1236" w:rsidP="006D1236">
      <w:pPr>
        <w:spacing w:after="200" w:line="276" w:lineRule="auto"/>
        <w:jc w:val="both"/>
        <w:rPr>
          <w:b/>
          <w:sz w:val="22"/>
          <w:szCs w:val="26"/>
          <w:lang w:eastAsia="en-US"/>
        </w:rPr>
      </w:pPr>
      <w:r w:rsidRPr="00246D01">
        <w:rPr>
          <w:b/>
          <w:noProof/>
          <w:sz w:val="22"/>
          <w:szCs w:val="26"/>
        </w:rPr>
        <w:lastRenderedPageBreak/>
        <w:drawing>
          <wp:inline distT="0" distB="0" distL="0" distR="0">
            <wp:extent cx="5940425" cy="8544240"/>
            <wp:effectExtent l="0" t="0" r="3175" b="0"/>
            <wp:docPr id="454" name="Диаграмма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6D1236" w:rsidRPr="00FF455F" w:rsidRDefault="006D1236" w:rsidP="006D1236">
      <w:pPr>
        <w:spacing w:after="200" w:line="276" w:lineRule="auto"/>
        <w:jc w:val="both"/>
        <w:rPr>
          <w:lang w:eastAsia="en-US"/>
        </w:rPr>
      </w:pPr>
      <w:r w:rsidRPr="00FF455F">
        <w:rPr>
          <w:lang w:eastAsia="en-US"/>
        </w:rPr>
        <w:lastRenderedPageBreak/>
        <w:t xml:space="preserve">Описание тех или иных проблем, просьбы разобраться в них, предоставить необходимую информацию содержатся в </w:t>
      </w:r>
      <w:r w:rsidRPr="007073E5">
        <w:rPr>
          <w:lang w:eastAsia="en-US"/>
        </w:rPr>
        <w:t>91%</w:t>
      </w:r>
      <w:r w:rsidRPr="00FF455F">
        <w:rPr>
          <w:lang w:eastAsia="en-US"/>
        </w:rPr>
        <w:t xml:space="preserve"> сообщений. Основные проблемы могут быть сгруппированы по нескольким направлениям:</w:t>
      </w:r>
    </w:p>
    <w:p w:rsidR="006D1236" w:rsidRPr="00F06194" w:rsidRDefault="006D1236" w:rsidP="00F27C45">
      <w:pPr>
        <w:pStyle w:val="15"/>
        <w:numPr>
          <w:ilvl w:val="0"/>
          <w:numId w:val="15"/>
        </w:numPr>
        <w:spacing w:line="240" w:lineRule="auto"/>
        <w:jc w:val="both"/>
        <w:rPr>
          <w:sz w:val="24"/>
        </w:rPr>
      </w:pPr>
      <w:r w:rsidRPr="00F06194">
        <w:rPr>
          <w:sz w:val="24"/>
        </w:rPr>
        <w:t xml:space="preserve">Учебный процесс: вопросы, напрямую связанные с учебным процессом, среди которых качество и своевременная доступность расписания занятий, в том числе доступность информации о расписании </w:t>
      </w:r>
      <w:proofErr w:type="spellStart"/>
      <w:r w:rsidRPr="00F06194">
        <w:rPr>
          <w:sz w:val="24"/>
        </w:rPr>
        <w:t>зачетно</w:t>
      </w:r>
      <w:proofErr w:type="spellEnd"/>
      <w:r w:rsidRPr="00F06194">
        <w:rPr>
          <w:sz w:val="24"/>
        </w:rPr>
        <w:t xml:space="preserve">-экзаменационных недель; расчет студенческого рейтинга, публикации и открытость рейтингов студентов; качество преподавания (в частности, английского языка); просьбы создать нулевую группу по английскому языку; работа сотрудников учебных частей (кураторов); недовольство графиком учебного процесса, вопросы, связанные с выбором дисциплин индивидуального учебного плана. В период  </w:t>
      </w:r>
      <w:proofErr w:type="spellStart"/>
      <w:r w:rsidRPr="00F06194">
        <w:rPr>
          <w:sz w:val="24"/>
        </w:rPr>
        <w:t>зачетно</w:t>
      </w:r>
      <w:proofErr w:type="spellEnd"/>
      <w:r w:rsidRPr="00F06194">
        <w:rPr>
          <w:sz w:val="24"/>
        </w:rPr>
        <w:t xml:space="preserve">-экзаменационных недель были получены вопросы </w:t>
      </w:r>
      <w:r>
        <w:rPr>
          <w:sz w:val="24"/>
        </w:rPr>
        <w:t>об</w:t>
      </w:r>
      <w:r w:rsidRPr="00F06194">
        <w:rPr>
          <w:sz w:val="24"/>
        </w:rPr>
        <w:t xml:space="preserve"> организации и процедуре оценивания в период пересдач, вопросы, связанные с системой оценивания (в частности, является ли оценка за зачет блокирующей или нет), подведение итогов международного экзамена IELTS, вопросы, связанные с организацией международной академической мобильности студентов, жалобы на нарушения проведения итогового контроля, неудобное расписание – отсутствие свободных дней на подготовку к экзаменам/ зачетам; вопросы об организации практики и др.</w:t>
      </w:r>
    </w:p>
    <w:p w:rsidR="006D1236" w:rsidRPr="0027794E" w:rsidRDefault="006D1236" w:rsidP="006D1236">
      <w:pPr>
        <w:pStyle w:val="15"/>
        <w:spacing w:line="240" w:lineRule="auto"/>
        <w:jc w:val="both"/>
        <w:rPr>
          <w:rFonts w:ascii="Times New Roman" w:hAnsi="Times New Roman"/>
          <w:sz w:val="24"/>
        </w:rPr>
      </w:pPr>
    </w:p>
    <w:p w:rsidR="006D1236" w:rsidRPr="0059176B" w:rsidRDefault="006D1236" w:rsidP="00F27C45">
      <w:pPr>
        <w:numPr>
          <w:ilvl w:val="0"/>
          <w:numId w:val="15"/>
        </w:numPr>
        <w:spacing w:after="200" w:line="276" w:lineRule="auto"/>
        <w:jc w:val="both"/>
        <w:rPr>
          <w:lang w:eastAsia="en-US"/>
        </w:rPr>
      </w:pPr>
      <w:r w:rsidRPr="0059176B">
        <w:rPr>
          <w:lang w:eastAsia="en-US"/>
        </w:rPr>
        <w:t xml:space="preserve">Административные здания: комфортность условий, в которых проходит учебный процесс (состояние аудиторий и преподавательских, безопасность дворов, соблюдение комфортного температурного режима в холодное время года, туалеты, парковка автомобилей, работа сотрудников гардероба и др.) </w:t>
      </w:r>
    </w:p>
    <w:p w:rsidR="006D1236" w:rsidRPr="000E352A" w:rsidRDefault="006D1236" w:rsidP="00F27C45">
      <w:pPr>
        <w:numPr>
          <w:ilvl w:val="0"/>
          <w:numId w:val="15"/>
        </w:numPr>
        <w:spacing w:after="200" w:line="276" w:lineRule="auto"/>
        <w:jc w:val="both"/>
        <w:rPr>
          <w:lang w:eastAsia="en-US"/>
        </w:rPr>
      </w:pPr>
      <w:r w:rsidRPr="000E352A">
        <w:rPr>
          <w:lang w:eastAsia="en-US"/>
        </w:rPr>
        <w:t xml:space="preserve">Безопасность: работа охраны, пропускной режим в учебных корпусах и общежитиях, получение </w:t>
      </w:r>
      <w:r>
        <w:rPr>
          <w:lang w:eastAsia="en-US"/>
        </w:rPr>
        <w:t xml:space="preserve">электронного </w:t>
      </w:r>
      <w:r w:rsidRPr="000E352A">
        <w:rPr>
          <w:lang w:eastAsia="en-US"/>
        </w:rPr>
        <w:t xml:space="preserve">пропуска и </w:t>
      </w:r>
      <w:r>
        <w:rPr>
          <w:lang w:eastAsia="en-US"/>
        </w:rPr>
        <w:t>замена его на пропуск</w:t>
      </w:r>
      <w:r w:rsidRPr="000E352A">
        <w:rPr>
          <w:lang w:eastAsia="en-US"/>
        </w:rPr>
        <w:t xml:space="preserve"> выпускника, сохранность личных вещей и т.д. </w:t>
      </w:r>
    </w:p>
    <w:p w:rsidR="006D1236" w:rsidRPr="0059176B" w:rsidRDefault="006D1236" w:rsidP="00F27C45">
      <w:pPr>
        <w:numPr>
          <w:ilvl w:val="0"/>
          <w:numId w:val="15"/>
        </w:numPr>
        <w:spacing w:after="200" w:line="276" w:lineRule="auto"/>
        <w:jc w:val="both"/>
        <w:rPr>
          <w:lang w:eastAsia="en-US"/>
        </w:rPr>
      </w:pPr>
      <w:r w:rsidRPr="0059176B">
        <w:rPr>
          <w:lang w:eastAsia="en-US"/>
        </w:rPr>
        <w:t>Библиотека:  вопросы, связанные с обеспечением студентов учебной литературой (режим работы библиотеки, в том числе в летнее время; отношение сотрудников; комфортность читальных залов;  доступ к электронным ресурсам библиотеки; претензии к существующим правилам возврата литературы и др.</w:t>
      </w:r>
    </w:p>
    <w:p w:rsidR="006D1236" w:rsidRPr="007D79E4" w:rsidRDefault="006D1236" w:rsidP="00F27C45">
      <w:pPr>
        <w:numPr>
          <w:ilvl w:val="0"/>
          <w:numId w:val="15"/>
        </w:numPr>
        <w:spacing w:after="200"/>
        <w:jc w:val="both"/>
        <w:rPr>
          <w:lang w:eastAsia="en-US"/>
        </w:rPr>
      </w:pPr>
      <w:r w:rsidRPr="000E352A">
        <w:rPr>
          <w:lang w:eastAsia="en-US"/>
        </w:rPr>
        <w:t>Организация питания студентов: режим работы столовых, качество предлагаемого ассортимента, отсутствие мобильных точек питания, очереди в столовых, отношение пер</w:t>
      </w:r>
      <w:r>
        <w:rPr>
          <w:lang w:eastAsia="en-US"/>
        </w:rPr>
        <w:t xml:space="preserve">сонала к служебным обязанностям. </w:t>
      </w:r>
      <w:r w:rsidRPr="007D79E4">
        <w:rPr>
          <w:lang w:eastAsia="en-US"/>
        </w:rPr>
        <w:t>С декабря в связи с окончанием действия аренды в разный период поступали жалобы на закрытие буфетов и столовых в учебных зданиях и общежитиях, например, в АУЗ № 6 (ул. Петровка, д.12), АУЗ № 9 (ул. Малая Пионерская, д.12-18/4-6, стр.1) в общежитии №8 в общежитии №7 (п. Дубки).</w:t>
      </w:r>
    </w:p>
    <w:p w:rsidR="006D1236" w:rsidRPr="000D505F" w:rsidRDefault="006D1236" w:rsidP="00F27C45">
      <w:pPr>
        <w:numPr>
          <w:ilvl w:val="0"/>
          <w:numId w:val="15"/>
        </w:numPr>
        <w:spacing w:after="200" w:line="276" w:lineRule="auto"/>
        <w:jc w:val="both"/>
        <w:rPr>
          <w:lang w:eastAsia="en-US"/>
        </w:rPr>
      </w:pPr>
      <w:r w:rsidRPr="000D505F">
        <w:rPr>
          <w:lang w:eastAsia="en-US"/>
        </w:rPr>
        <w:t xml:space="preserve">Социальная сфера: вопросы, касающиеся различных сторон социального обеспечения обучающихся: получение места в общежитии, возможность </w:t>
      </w:r>
      <w:r>
        <w:rPr>
          <w:lang w:eastAsia="en-US"/>
        </w:rPr>
        <w:t>совместного</w:t>
      </w:r>
      <w:r w:rsidRPr="000D505F">
        <w:rPr>
          <w:lang w:eastAsia="en-US"/>
        </w:rPr>
        <w:t xml:space="preserve"> проживания семейны</w:t>
      </w:r>
      <w:r>
        <w:rPr>
          <w:lang w:eastAsia="en-US"/>
        </w:rPr>
        <w:t>м</w:t>
      </w:r>
      <w:r w:rsidRPr="000D505F">
        <w:rPr>
          <w:lang w:eastAsia="en-US"/>
        </w:rPr>
        <w:t xml:space="preserve"> пар</w:t>
      </w:r>
      <w:r>
        <w:rPr>
          <w:lang w:eastAsia="en-US"/>
        </w:rPr>
        <w:t>ам</w:t>
      </w:r>
      <w:r w:rsidRPr="000D505F">
        <w:rPr>
          <w:lang w:eastAsia="en-US"/>
        </w:rPr>
        <w:t xml:space="preserve">, </w:t>
      </w:r>
      <w:r>
        <w:rPr>
          <w:lang w:eastAsia="en-US"/>
        </w:rPr>
        <w:t>переселение</w:t>
      </w:r>
      <w:r w:rsidRPr="000D505F">
        <w:rPr>
          <w:lang w:eastAsia="en-US"/>
        </w:rPr>
        <w:t xml:space="preserve"> из разных общежитий </w:t>
      </w:r>
      <w:proofErr w:type="spellStart"/>
      <w:r>
        <w:rPr>
          <w:lang w:eastAsia="en-US"/>
        </w:rPr>
        <w:t>одногруппников</w:t>
      </w:r>
      <w:proofErr w:type="spellEnd"/>
      <w:r w:rsidRPr="000D505F">
        <w:rPr>
          <w:lang w:eastAsia="en-US"/>
        </w:rPr>
        <w:t xml:space="preserve"> или родственников, также обучающихся в НИУ ВШЭ</w:t>
      </w:r>
      <w:r>
        <w:rPr>
          <w:lang w:eastAsia="en-US"/>
        </w:rPr>
        <w:t>;</w:t>
      </w:r>
      <w:r w:rsidRPr="000D505F">
        <w:rPr>
          <w:lang w:eastAsia="en-US"/>
        </w:rPr>
        <w:t xml:space="preserve"> медицинское обслуживание студентов (вопросы о работе врачей в общежитии в п. Дубки; </w:t>
      </w:r>
      <w:r w:rsidRPr="000D505F">
        <w:rPr>
          <w:lang w:eastAsia="en-US"/>
        </w:rPr>
        <w:lastRenderedPageBreak/>
        <w:t>актуальность и доступность информации о медицинских услугах, оказываемых студентам и др.)</w:t>
      </w:r>
    </w:p>
    <w:p w:rsidR="006D1236" w:rsidRDefault="006D1236" w:rsidP="00F27C45">
      <w:pPr>
        <w:numPr>
          <w:ilvl w:val="0"/>
          <w:numId w:val="15"/>
        </w:numPr>
        <w:spacing w:after="200" w:line="276" w:lineRule="auto"/>
        <w:jc w:val="both"/>
        <w:rPr>
          <w:lang w:eastAsia="en-US"/>
        </w:rPr>
      </w:pPr>
      <w:r w:rsidRPr="00516E8A">
        <w:rPr>
          <w:lang w:eastAsia="en-US"/>
        </w:rPr>
        <w:t>Стипендии и скидки на оплату обучения: вопросы, связанные с материальным обеспечением студентов (условия и сроки получения академической, социальной стипендий, материальной помощи; повышение размера академической стипендии; оплата обучения студентов, обучающихся на местах, обеспеченных государственным финансированием; предоставление скидки и т.д.).</w:t>
      </w:r>
    </w:p>
    <w:p w:rsidR="006D1236" w:rsidRPr="0059176B" w:rsidRDefault="006D1236" w:rsidP="00F27C45">
      <w:pPr>
        <w:pStyle w:val="15"/>
        <w:numPr>
          <w:ilvl w:val="0"/>
          <w:numId w:val="15"/>
        </w:numPr>
        <w:spacing w:line="240" w:lineRule="auto"/>
        <w:jc w:val="both"/>
        <w:rPr>
          <w:sz w:val="24"/>
          <w:szCs w:val="24"/>
        </w:rPr>
      </w:pPr>
      <w:r w:rsidRPr="0059176B">
        <w:rPr>
          <w:sz w:val="24"/>
          <w:szCs w:val="24"/>
        </w:rPr>
        <w:t>Информация в сети Интернет: жалобы студентов о существовании в соц. сетях информации, порочащей имидж Вышки;</w:t>
      </w:r>
    </w:p>
    <w:p w:rsidR="006D1236" w:rsidRPr="00516E8A" w:rsidRDefault="006D1236" w:rsidP="00F27C45">
      <w:pPr>
        <w:numPr>
          <w:ilvl w:val="0"/>
          <w:numId w:val="15"/>
        </w:numPr>
        <w:spacing w:after="200" w:line="276" w:lineRule="auto"/>
        <w:jc w:val="both"/>
        <w:rPr>
          <w:lang w:eastAsia="en-US"/>
        </w:rPr>
      </w:pPr>
      <w:r w:rsidRPr="00516E8A">
        <w:rPr>
          <w:lang w:eastAsia="en-US"/>
        </w:rPr>
        <w:t xml:space="preserve">Техника: вопросы, относящиеся к компетенции Дирекции информационных технологий (работа оборудования в компьютерных классах; вопросы функционирования сети Интернет в учебных корпусах и общежитиях;  доступность студентам ТСО; программного обеспечения и т.д.).  </w:t>
      </w:r>
    </w:p>
    <w:p w:rsidR="006D1236" w:rsidRPr="00BF32C6" w:rsidRDefault="006D1236" w:rsidP="00F27C45">
      <w:pPr>
        <w:numPr>
          <w:ilvl w:val="0"/>
          <w:numId w:val="15"/>
        </w:numPr>
        <w:spacing w:after="200"/>
        <w:jc w:val="both"/>
      </w:pPr>
      <w:r w:rsidRPr="00FD0B06">
        <w:rPr>
          <w:lang w:eastAsia="en-US"/>
        </w:rPr>
        <w:t>Общежития: вопросы проживания студентов на выделенных университетом территориях (комфортность условий; взаимоотношения с администрацией;</w:t>
      </w:r>
      <w:r>
        <w:rPr>
          <w:lang w:eastAsia="en-US"/>
        </w:rPr>
        <w:t xml:space="preserve"> </w:t>
      </w:r>
      <w:r w:rsidRPr="00FD0B06">
        <w:rPr>
          <w:lang w:eastAsia="en-US"/>
        </w:rPr>
        <w:t>ремонт в общежитии; курение в жилых помещениях; оплата проживания и т.д.) Судя по количеству обращений, наиболее острыми темами были следующие.</w:t>
      </w:r>
      <w:r>
        <w:rPr>
          <w:lang w:eastAsia="en-US"/>
        </w:rPr>
        <w:t xml:space="preserve"> И</w:t>
      </w:r>
      <w:r w:rsidRPr="00BF32C6">
        <w:t xml:space="preserve">зменения в Правилах внутреннего </w:t>
      </w:r>
      <w:r w:rsidRPr="00BF32C6">
        <w:rPr>
          <w:rFonts w:eastAsia="Calibri"/>
          <w:szCs w:val="22"/>
        </w:rPr>
        <w:t>распорядка  студенческого общежития (утверждены приказом ректора от 1 июня № 6.18.1-06/0106), которое установило время посещения гостей проживающих с 15.00 до 22.00. Даны разъяснения о причинах данного решения. Потребовались разъяснения относительно норм распределения мест в общежитиях ВШЭ и правил поведения проживающих. Кроме того, с</w:t>
      </w:r>
      <w:r w:rsidRPr="00BF32C6">
        <w:rPr>
          <w:szCs w:val="22"/>
        </w:rPr>
        <w:t xml:space="preserve"> ноября </w:t>
      </w:r>
      <w:r w:rsidRPr="00BF32C6">
        <w:rPr>
          <w:rFonts w:eastAsia="Calibri"/>
          <w:szCs w:val="22"/>
        </w:rPr>
        <w:t xml:space="preserve">поступали </w:t>
      </w:r>
      <w:r w:rsidRPr="00BF32C6">
        <w:rPr>
          <w:szCs w:val="22"/>
        </w:rPr>
        <w:t xml:space="preserve">жалобы на низкий температурный режим в комнатах общежития № 4, на строительство подземного перехода под Можайским шоссе в районе общежития №7 (Дубки); </w:t>
      </w:r>
      <w:r w:rsidRPr="00BF32C6">
        <w:t>сокращения численности персонала общежития; вопрос водоснабжения общежитий; соблюдения правил внутреннего распорядка студенческого общежития НИУ ВШЭ студентами, в частности «Закона о тишине»; об использовании громкоговорителей студ. советом общежитий и др.;</w:t>
      </w:r>
    </w:p>
    <w:p w:rsidR="006D1236" w:rsidRPr="00BF32C6" w:rsidRDefault="006D1236" w:rsidP="00F27C45">
      <w:pPr>
        <w:numPr>
          <w:ilvl w:val="0"/>
          <w:numId w:val="15"/>
        </w:numPr>
        <w:spacing w:after="200" w:line="276" w:lineRule="auto"/>
        <w:jc w:val="both"/>
        <w:rPr>
          <w:lang w:eastAsia="en-US"/>
        </w:rPr>
      </w:pPr>
      <w:r w:rsidRPr="00BF32C6">
        <w:rPr>
          <w:lang w:eastAsia="en-US"/>
        </w:rPr>
        <w:t>Транспорт -  потребовались разъяснения о графике движения автобусов, обслуживающих общежитие в п. Дубки, в том числе о причинах его изменения и сокращении маршрутов.</w:t>
      </w:r>
    </w:p>
    <w:p w:rsidR="006D1236" w:rsidRPr="0059176B" w:rsidRDefault="006D1236" w:rsidP="00F27C45">
      <w:pPr>
        <w:numPr>
          <w:ilvl w:val="0"/>
          <w:numId w:val="15"/>
        </w:numPr>
        <w:spacing w:after="200" w:line="276" w:lineRule="auto"/>
        <w:jc w:val="both"/>
        <w:rPr>
          <w:lang w:eastAsia="en-US"/>
        </w:rPr>
      </w:pPr>
      <w:r w:rsidRPr="0059176B">
        <w:rPr>
          <w:lang w:eastAsia="en-US"/>
        </w:rPr>
        <w:t>Злоупотребления (попытки обмана со стороны студентов в период контроля знаний и ликвидации задолженностей; сообщения о подозрении во взяточничестве (не подтвердившиеся) и плагиате со стороны преподавателей).</w:t>
      </w:r>
    </w:p>
    <w:p w:rsidR="006D1236" w:rsidRDefault="006D1236" w:rsidP="00F27C45">
      <w:pPr>
        <w:numPr>
          <w:ilvl w:val="0"/>
          <w:numId w:val="15"/>
        </w:numPr>
        <w:spacing w:after="200" w:line="276" w:lineRule="auto"/>
        <w:jc w:val="both"/>
        <w:rPr>
          <w:lang w:eastAsia="en-US"/>
        </w:rPr>
      </w:pPr>
      <w:r w:rsidRPr="00516E8A">
        <w:rPr>
          <w:lang w:eastAsia="en-US"/>
        </w:rPr>
        <w:t>Сайт: структура и дизайн портала НИУ ВШЭ, вопросы функционирования портала и качество информации на отдельных его страницах: поиск информации на портале и ее доступность, наличие и актуальность информации на страницах факультетов; отсутствие контактных данных на личных страницах ППС; вопросы функционирования системы «</w:t>
      </w:r>
      <w:proofErr w:type="spellStart"/>
      <w:r w:rsidRPr="00516E8A">
        <w:rPr>
          <w:lang w:eastAsia="en-US"/>
        </w:rPr>
        <w:t>Антиплагиат</w:t>
      </w:r>
      <w:proofErr w:type="spellEnd"/>
      <w:r w:rsidRPr="00516E8A">
        <w:rPr>
          <w:lang w:eastAsia="en-US"/>
        </w:rPr>
        <w:t xml:space="preserve">» и т.д. </w:t>
      </w:r>
    </w:p>
    <w:p w:rsidR="006D1236" w:rsidRPr="00E247FA" w:rsidRDefault="006D1236" w:rsidP="00F27C45">
      <w:pPr>
        <w:numPr>
          <w:ilvl w:val="0"/>
          <w:numId w:val="15"/>
        </w:numPr>
        <w:spacing w:after="200"/>
        <w:jc w:val="both"/>
        <w:rPr>
          <w:lang w:eastAsia="en-US"/>
        </w:rPr>
      </w:pPr>
      <w:r w:rsidRPr="009F63E3">
        <w:rPr>
          <w:lang w:eastAsia="en-US"/>
        </w:rPr>
        <w:lastRenderedPageBreak/>
        <w:t xml:space="preserve"> Физическая культура и спорт в НИУ ВШЭ: перспективы работы тренажерного зала в общежитии № 8; информация о работе секций и перспективы открытия новых; обеспечение </w:t>
      </w:r>
      <w:r>
        <w:rPr>
          <w:lang w:eastAsia="en-US"/>
        </w:rPr>
        <w:t>секций, в том числе</w:t>
      </w:r>
      <w:r w:rsidRPr="00E247FA">
        <w:rPr>
          <w:lang w:eastAsia="en-US"/>
        </w:rPr>
        <w:t xml:space="preserve"> по рукопашному бою</w:t>
      </w:r>
      <w:r>
        <w:rPr>
          <w:lang w:eastAsia="en-US"/>
        </w:rPr>
        <w:t>,</w:t>
      </w:r>
      <w:r w:rsidRPr="00E247FA">
        <w:rPr>
          <w:lang w:eastAsia="en-US"/>
        </w:rPr>
        <w:t xml:space="preserve"> местом проведения занятий, спортивным инвентарем (беговыми дорожками, тренажерами) и т.д.</w:t>
      </w:r>
    </w:p>
    <w:p w:rsidR="006D1236" w:rsidRPr="00FF455F" w:rsidRDefault="006D1236" w:rsidP="006D1236">
      <w:pPr>
        <w:spacing w:after="200" w:line="276" w:lineRule="auto"/>
        <w:jc w:val="both"/>
        <w:rPr>
          <w:b/>
          <w:lang w:eastAsia="en-US"/>
        </w:rPr>
      </w:pPr>
      <w:r w:rsidRPr="00FF455F">
        <w:rPr>
          <w:lang w:eastAsia="en-US"/>
        </w:rPr>
        <w:t>Наглядно распределение обращени</w:t>
      </w:r>
      <w:r>
        <w:rPr>
          <w:lang w:eastAsia="en-US"/>
        </w:rPr>
        <w:t xml:space="preserve">й представлено в Диаграмме </w:t>
      </w:r>
    </w:p>
    <w:p w:rsidR="006D1236" w:rsidRPr="00185DAE" w:rsidRDefault="006D1236" w:rsidP="006D1236">
      <w:pPr>
        <w:spacing w:after="200" w:line="276" w:lineRule="auto"/>
        <w:jc w:val="both"/>
        <w:rPr>
          <w:b/>
          <w:szCs w:val="22"/>
          <w:lang w:eastAsia="en-US"/>
        </w:rPr>
      </w:pPr>
      <w:r w:rsidRPr="00957F11">
        <w:rPr>
          <w:b/>
          <w:noProof/>
          <w:szCs w:val="22"/>
        </w:rPr>
        <w:drawing>
          <wp:inline distT="0" distB="0" distL="0" distR="0">
            <wp:extent cx="5486401" cy="6334124"/>
            <wp:effectExtent l="19050" t="0" r="19049" b="0"/>
            <wp:docPr id="4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6D1236" w:rsidRPr="00614F4F" w:rsidRDefault="006D1236" w:rsidP="006D1236">
      <w:pPr>
        <w:spacing w:after="200" w:line="276" w:lineRule="auto"/>
        <w:jc w:val="both"/>
        <w:rPr>
          <w:lang w:eastAsia="en-US"/>
        </w:rPr>
      </w:pPr>
      <w:r w:rsidRPr="00FF455F">
        <w:rPr>
          <w:lang w:eastAsia="en-US"/>
        </w:rPr>
        <w:t xml:space="preserve">Анализ заявок свидетельствует о том, что процент обратившихся на горячую линию студентов, которых волнуют проблемы, связанные с учебным процессом, составил </w:t>
      </w:r>
      <w:r w:rsidRPr="0042470C">
        <w:rPr>
          <w:lang w:eastAsia="en-US"/>
        </w:rPr>
        <w:t>52</w:t>
      </w:r>
      <w:r w:rsidRPr="004964F1">
        <w:rPr>
          <w:lang w:eastAsia="en-US"/>
        </w:rPr>
        <w:t>%.</w:t>
      </w:r>
      <w:r w:rsidRPr="00FF455F">
        <w:rPr>
          <w:lang w:eastAsia="en-US"/>
        </w:rPr>
        <w:t xml:space="preserve">  Степень активности студентов различных факультетов/отделений, иных лиц, выражающих недовольство отдельными аспектами учебного процесса и иными проблемами, представл</w:t>
      </w:r>
      <w:bookmarkStart w:id="75" w:name="_Ref277692925"/>
      <w:r>
        <w:rPr>
          <w:lang w:eastAsia="en-US"/>
        </w:rPr>
        <w:t>ена в Диаграмме ниже</w:t>
      </w:r>
      <w:r w:rsidRPr="00FF455F">
        <w:rPr>
          <w:lang w:eastAsia="en-US"/>
        </w:rPr>
        <w:t>.</w:t>
      </w:r>
      <w:bookmarkEnd w:id="75"/>
    </w:p>
    <w:p w:rsidR="006D1236" w:rsidRDefault="006D1236" w:rsidP="006D1236">
      <w:pPr>
        <w:spacing w:after="200" w:line="276" w:lineRule="auto"/>
        <w:jc w:val="both"/>
        <w:rPr>
          <w:b/>
          <w:lang w:val="en-US" w:eastAsia="en-US"/>
        </w:rPr>
      </w:pPr>
      <w:r w:rsidRPr="004C30DE">
        <w:rPr>
          <w:b/>
          <w:noProof/>
        </w:rPr>
        <w:lastRenderedPageBreak/>
        <w:drawing>
          <wp:inline distT="0" distB="0" distL="0" distR="0">
            <wp:extent cx="5810250" cy="8782050"/>
            <wp:effectExtent l="0" t="0" r="31750" b="31750"/>
            <wp:docPr id="45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6D1236" w:rsidRPr="00516E8A" w:rsidRDefault="006D1236" w:rsidP="006D1236">
      <w:pPr>
        <w:spacing w:after="200" w:line="276" w:lineRule="auto"/>
        <w:jc w:val="both"/>
        <w:rPr>
          <w:lang w:eastAsia="en-US"/>
        </w:rPr>
      </w:pPr>
      <w:r w:rsidRPr="00FF455F">
        <w:rPr>
          <w:lang w:eastAsia="en-US"/>
        </w:rPr>
        <w:lastRenderedPageBreak/>
        <w:t>Основные проблемы учебного процесса распределились в процентном отношении сл</w:t>
      </w:r>
      <w:r>
        <w:rPr>
          <w:lang w:eastAsia="en-US"/>
        </w:rPr>
        <w:t>едующим образом</w:t>
      </w:r>
      <w:r w:rsidRPr="00FF455F">
        <w:rPr>
          <w:lang w:eastAsia="en-US"/>
        </w:rPr>
        <w:t>:</w:t>
      </w:r>
    </w:p>
    <w:p w:rsidR="006D1236" w:rsidRDefault="006D1236" w:rsidP="006D1236">
      <w:pPr>
        <w:spacing w:after="200" w:line="276" w:lineRule="auto"/>
        <w:jc w:val="both"/>
        <w:rPr>
          <w:b/>
          <w:lang w:val="en-US" w:eastAsia="en-US"/>
        </w:rPr>
      </w:pPr>
      <w:r w:rsidRPr="0097361C">
        <w:rPr>
          <w:b/>
          <w:noProof/>
        </w:rPr>
        <w:drawing>
          <wp:inline distT="0" distB="0" distL="0" distR="0">
            <wp:extent cx="5940425" cy="4144012"/>
            <wp:effectExtent l="19050" t="0" r="22225" b="8888"/>
            <wp:docPr id="45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6D1236" w:rsidRPr="00FF455F" w:rsidRDefault="006D1236" w:rsidP="006D1236">
      <w:pPr>
        <w:spacing w:after="200" w:line="276" w:lineRule="auto"/>
        <w:jc w:val="both"/>
      </w:pPr>
      <w:r w:rsidRPr="00FF455F">
        <w:t>Сообщения с выражением одобрения были направлены адресатам в ознакомительном порядке.</w:t>
      </w:r>
    </w:p>
    <w:p w:rsidR="006D1236" w:rsidRPr="006D1236" w:rsidRDefault="006D1236" w:rsidP="006D1236">
      <w:pPr>
        <w:spacing w:after="200" w:line="276" w:lineRule="auto"/>
        <w:jc w:val="both"/>
      </w:pPr>
      <w:r w:rsidRPr="00FF455F">
        <w:t xml:space="preserve">Неодобрительные </w:t>
      </w:r>
      <w:r w:rsidRPr="007073E5">
        <w:t>сообщения (</w:t>
      </w:r>
      <w:r>
        <w:t>93</w:t>
      </w:r>
      <w:r w:rsidRPr="007073E5">
        <w:t>%</w:t>
      </w:r>
      <w:r w:rsidRPr="00FF455F">
        <w:t xml:space="preserve"> от всех сообщений неодобрения), были направлены руководителям подразделений, в ведении которых находится решение  описанных проблем (заместители деканов по учебной работе, начальники учебных частей, заведующие кафедрами, начальники дирекций,</w:t>
      </w:r>
      <w:r>
        <w:t xml:space="preserve"> департаментов,</w:t>
      </w:r>
      <w:r w:rsidRPr="00FF455F">
        <w:t xml:space="preserve"> управлений, центров, отделов и т.д.). Не направлялся ряд сообщений </w:t>
      </w:r>
      <w:r w:rsidRPr="007073E5">
        <w:t>(</w:t>
      </w:r>
      <w:r>
        <w:t>7</w:t>
      </w:r>
      <w:r w:rsidRPr="007073E5">
        <w:t>%),</w:t>
      </w:r>
      <w:r w:rsidRPr="00FF455F">
        <w:t xml:space="preserve"> имеющих слишком общий, неконкретный характер (нельзя напрямую отнести к спаму, но нецелесообразно направлять для последующего разбирательства), в </w:t>
      </w:r>
      <w:proofErr w:type="spellStart"/>
      <w:r w:rsidRPr="00FF455F">
        <w:t>т.ч</w:t>
      </w:r>
      <w:proofErr w:type="spellEnd"/>
      <w:r w:rsidRPr="00FF455F">
        <w:t>. без указания контактных данных.</w:t>
      </w:r>
      <w:r w:rsidRPr="006D1236">
        <w:t xml:space="preserve"> </w:t>
      </w:r>
    </w:p>
    <w:p w:rsidR="006D1236" w:rsidRPr="00FF455F" w:rsidRDefault="006D1236" w:rsidP="006D1236">
      <w:pPr>
        <w:spacing w:after="200" w:line="276" w:lineRule="auto"/>
        <w:jc w:val="both"/>
      </w:pPr>
      <w:r w:rsidRPr="00FF455F">
        <w:t xml:space="preserve">Получена реакция по </w:t>
      </w:r>
      <w:r>
        <w:t>71</w:t>
      </w:r>
      <w:r w:rsidRPr="007073E5">
        <w:t>% направленных</w:t>
      </w:r>
      <w:r w:rsidRPr="00FF455F">
        <w:t xml:space="preserve"> неодобрительных обращений в виде ответного объяснительного письма (телефонного/личного разговора). Заявленная проблема была решена или по ней было получено удовлетворительное объяснение, то есть разъяснена сложившаяся ситуация и (или) проблема поставлена на контроль. В ряде случаев показано субъективное видение вопроса студентом. В </w:t>
      </w:r>
      <w:r>
        <w:t>43</w:t>
      </w:r>
      <w:r w:rsidRPr="007073E5">
        <w:t>%</w:t>
      </w:r>
      <w:r w:rsidRPr="00FF455F">
        <w:t xml:space="preserve"> случаев (от числа направленных неодобрительных обращений) руководители структурных подразделений ответили студентам/ сотрудникам/ родителям студентов/ иным лицам, обратившимся на горячую линию: письменно, в телефонном разговоре, в личном разговоре, а также посредством решения заявленной проблемы, о чем студент, не указавший контактных данных, мог легко узнать. </w:t>
      </w:r>
      <w:r w:rsidRPr="00367FBD">
        <w:t xml:space="preserve">Например, это публикация расписаний, внесение в них </w:t>
      </w:r>
      <w:r w:rsidRPr="00367FBD">
        <w:lastRenderedPageBreak/>
        <w:t>изменений, размещение требуемой информации на странице факультета/отделения, решение возникающих проблем с интернетом и т.д.</w:t>
      </w:r>
      <w:r w:rsidRPr="00FF455F">
        <w:t xml:space="preserve"> Остальным респондентам, обратившимся на горячую линию с целью выразить неодобрение, ответ не направлялся в основном по причине отсутствия контактных данных (e-</w:t>
      </w:r>
      <w:proofErr w:type="spellStart"/>
      <w:r w:rsidRPr="00FF455F">
        <w:t>mail</w:t>
      </w:r>
      <w:proofErr w:type="spellEnd"/>
      <w:r w:rsidRPr="00FF455F">
        <w:t xml:space="preserve">, действующий номер телефона). В ряде случаев ответ не направлялся при наличии контактных данных – нецелесообразно по мнению ответственного лица. Среди студентов, воспользовавшихся в указанный период «Выразительной кнопкой» с целью выразить одобрение/неодобрение, указало свои контактные данные </w:t>
      </w:r>
      <w:r>
        <w:t>64</w:t>
      </w:r>
      <w:r w:rsidRPr="007073E5">
        <w:t>%.</w:t>
      </w:r>
      <w:r w:rsidRPr="00FF455F">
        <w:t xml:space="preserve"> </w:t>
      </w:r>
    </w:p>
    <w:p w:rsidR="006D1236" w:rsidRPr="006D1236" w:rsidRDefault="006D1236" w:rsidP="006D1236">
      <w:pPr>
        <w:spacing w:after="200" w:line="276" w:lineRule="auto"/>
        <w:jc w:val="both"/>
      </w:pPr>
      <w:r w:rsidRPr="00FF455F">
        <w:t xml:space="preserve">Подробная информация по, так называемой, «обратной связи» содержится в </w:t>
      </w:r>
      <w:r w:rsidR="005B33CB" w:rsidRPr="004D16D1">
        <w:t xml:space="preserve">Приложении к отчету </w:t>
      </w:r>
      <w:r w:rsidR="00243B4B" w:rsidRPr="004D16D1">
        <w:t xml:space="preserve"> № 15</w:t>
      </w:r>
    </w:p>
    <w:p w:rsidR="002107E0" w:rsidRDefault="002107E0">
      <w:pPr>
        <w:rPr>
          <w:rFonts w:asciiTheme="majorHAnsi" w:eastAsiaTheme="majorEastAsia" w:hAnsiTheme="majorHAnsi" w:cstheme="majorBidi"/>
          <w:b/>
          <w:bCs/>
          <w:color w:val="345A8A" w:themeColor="accent1" w:themeShade="B5"/>
          <w:sz w:val="32"/>
          <w:szCs w:val="32"/>
        </w:rPr>
      </w:pPr>
      <w:r>
        <w:br w:type="page"/>
      </w:r>
    </w:p>
    <w:p w:rsidR="005005BC" w:rsidRPr="005005BC" w:rsidRDefault="005005BC" w:rsidP="005005BC">
      <w:pPr>
        <w:pStyle w:val="1"/>
        <w:keepLines w:val="0"/>
        <w:spacing w:before="240" w:after="60" w:line="276" w:lineRule="auto"/>
      </w:pPr>
      <w:bookmarkStart w:id="76" w:name="_Toc374030085"/>
      <w:r>
        <w:lastRenderedPageBreak/>
        <w:t>Профессионализация сопровождения образовательных программам</w:t>
      </w:r>
      <w:bookmarkEnd w:id="76"/>
    </w:p>
    <w:p w:rsidR="00625FFD" w:rsidRDefault="005005BC" w:rsidP="002107E0">
      <w:pPr>
        <w:pStyle w:val="2"/>
        <w:numPr>
          <w:ilvl w:val="1"/>
          <w:numId w:val="1"/>
        </w:numPr>
      </w:pPr>
      <w:bookmarkStart w:id="77" w:name="_Toc374030086"/>
      <w:r w:rsidRPr="005005BC">
        <w:t>Реализация проекта "Учебный офис"</w:t>
      </w:r>
      <w:bookmarkEnd w:id="77"/>
    </w:p>
    <w:p w:rsidR="00625FFD" w:rsidRDefault="00625FFD" w:rsidP="00625FFD">
      <w:pPr>
        <w:spacing w:after="200" w:line="276" w:lineRule="auto"/>
        <w:jc w:val="both"/>
      </w:pPr>
      <w:r>
        <w:t xml:space="preserve">Переход от управления учебным процессом в рамках факультетов к управлению образовательными программами предполагает изменение квалификации административно-управленческого персонала (сотрудников учебных частей и менеджеров образовательных программ). Определение необходимых менеджеру учебного процесса компетенций было начато в ноябре 2011 года в рамках проектировочного семинара  с участием заместителей деканов, сотрудников учебных частей, Управления организации учебного процесса, Методического управления, проректора.  </w:t>
      </w:r>
    </w:p>
    <w:p w:rsidR="00625FFD" w:rsidRDefault="00625FFD" w:rsidP="00625FFD">
      <w:pPr>
        <w:spacing w:after="200" w:line="276" w:lineRule="auto"/>
        <w:jc w:val="both"/>
      </w:pPr>
      <w:r>
        <w:t>В продолжение этой работы была проделана следующее:</w:t>
      </w:r>
    </w:p>
    <w:p w:rsidR="00625FFD" w:rsidRDefault="00625FFD" w:rsidP="00F27C45">
      <w:pPr>
        <w:numPr>
          <w:ilvl w:val="0"/>
          <w:numId w:val="18"/>
        </w:numPr>
        <w:spacing w:after="200" w:line="276" w:lineRule="auto"/>
        <w:jc w:val="both"/>
        <w:rPr>
          <w:lang w:eastAsia="en-US"/>
        </w:rPr>
      </w:pPr>
      <w:r w:rsidRPr="002C0084">
        <w:rPr>
          <w:lang w:eastAsia="en-US"/>
        </w:rPr>
        <w:t>описана концепция построения учебного офиса, модель формирования структуры и штатов офиса в зависимости от количества студентов, обучающихся по образовательной программе,</w:t>
      </w:r>
    </w:p>
    <w:p w:rsidR="00625FFD" w:rsidRDefault="00625FFD" w:rsidP="00F27C45">
      <w:pPr>
        <w:numPr>
          <w:ilvl w:val="0"/>
          <w:numId w:val="18"/>
        </w:numPr>
        <w:spacing w:after="200" w:line="276" w:lineRule="auto"/>
        <w:jc w:val="both"/>
        <w:rPr>
          <w:lang w:eastAsia="en-US"/>
        </w:rPr>
      </w:pPr>
      <w:r w:rsidRPr="002C0084">
        <w:rPr>
          <w:lang w:eastAsia="en-US"/>
        </w:rPr>
        <w:t>согласованы и на 19 факультетах созданы новые структуры для управления образовательным процессом по образовательным программам,</w:t>
      </w:r>
    </w:p>
    <w:p w:rsidR="00625FFD" w:rsidRDefault="00625FFD" w:rsidP="00F27C45">
      <w:pPr>
        <w:numPr>
          <w:ilvl w:val="0"/>
          <w:numId w:val="18"/>
        </w:numPr>
        <w:spacing w:after="200" w:line="276" w:lineRule="auto"/>
        <w:jc w:val="both"/>
        <w:rPr>
          <w:lang w:eastAsia="en-US"/>
        </w:rPr>
      </w:pPr>
      <w:r w:rsidRPr="002C0084">
        <w:rPr>
          <w:lang w:eastAsia="en-US"/>
        </w:rPr>
        <w:t>подготовлены описания должностей для четырех категорий сотрудников учебных частей: администратора, методиста, диспетчера, менеджера образовательной программы,</w:t>
      </w:r>
    </w:p>
    <w:p w:rsidR="00625FFD" w:rsidRDefault="00625FFD" w:rsidP="00F27C45">
      <w:pPr>
        <w:numPr>
          <w:ilvl w:val="0"/>
          <w:numId w:val="18"/>
        </w:numPr>
        <w:spacing w:after="200" w:line="276" w:lineRule="auto"/>
        <w:jc w:val="both"/>
        <w:rPr>
          <w:lang w:eastAsia="en-US"/>
        </w:rPr>
      </w:pPr>
      <w:r w:rsidRPr="002C0084">
        <w:rPr>
          <w:lang w:eastAsia="en-US"/>
        </w:rPr>
        <w:t>разработано положение об отделе сопровождения учебного процесса,</w:t>
      </w:r>
    </w:p>
    <w:p w:rsidR="00625FFD" w:rsidRDefault="00625FFD" w:rsidP="00F27C45">
      <w:pPr>
        <w:numPr>
          <w:ilvl w:val="0"/>
          <w:numId w:val="18"/>
        </w:numPr>
        <w:spacing w:after="200" w:line="276" w:lineRule="auto"/>
        <w:jc w:val="both"/>
        <w:rPr>
          <w:lang w:eastAsia="en-US"/>
        </w:rPr>
      </w:pPr>
      <w:r w:rsidRPr="002C0084">
        <w:rPr>
          <w:lang w:eastAsia="en-US"/>
        </w:rPr>
        <w:t>для кадровой службы сформулированы параметры оценки соискателя на трех уровнях:  личностные характеристики,  профессиональные компетенции,</w:t>
      </w:r>
    </w:p>
    <w:p w:rsidR="00625FFD" w:rsidRDefault="00625FFD" w:rsidP="00F27C45">
      <w:pPr>
        <w:numPr>
          <w:ilvl w:val="0"/>
          <w:numId w:val="18"/>
        </w:numPr>
        <w:spacing w:after="200" w:line="276" w:lineRule="auto"/>
        <w:jc w:val="both"/>
        <w:rPr>
          <w:lang w:eastAsia="en-US"/>
        </w:rPr>
      </w:pPr>
      <w:r w:rsidRPr="002C0084">
        <w:rPr>
          <w:lang w:eastAsia="en-US"/>
        </w:rPr>
        <w:t>составлены тестовые кейсы и проведено тестирование сотрудников учебных частей и внешних соискателей (всего 172 чел).</w:t>
      </w:r>
    </w:p>
    <w:p w:rsidR="00625FFD" w:rsidRDefault="00625FFD" w:rsidP="002C0084">
      <w:pPr>
        <w:spacing w:after="200" w:line="276" w:lineRule="auto"/>
        <w:jc w:val="both"/>
      </w:pPr>
      <w:r>
        <w:t xml:space="preserve">На проектировочном семинаре 10-12 октября 2013 года совместно с заместителями деканов, менеджерами образовательного процесса, представителями УОУП, МУ были, в том числе, сформулированы основные дефициты компетенций и  направления  повышения квалификации сотрудников учебных офисов и менеджеров образовательных программ. На их основе планируется переработка модульной программы повышения квалификации «Инструменты и технологии организации  управления образовательным процессом в вузе», и повышение квалификации для двух отдельных групп сотрудников: для сотрудников НИУ ВШЭ, перешедших на работу в учебные офисы и для нанятых на внешнем рынке специалистов. </w:t>
      </w:r>
    </w:p>
    <w:p w:rsidR="00625FFD" w:rsidRDefault="00625FFD" w:rsidP="002C0084">
      <w:pPr>
        <w:spacing w:after="200" w:line="276" w:lineRule="auto"/>
        <w:jc w:val="both"/>
      </w:pPr>
      <w:r>
        <w:t xml:space="preserve">Продолжаются работы по формированию единой информационной среды. Кроме сообщества «Справочник учебного процесса» в LMS, формируется единый календарь на </w:t>
      </w:r>
      <w:r>
        <w:lastRenderedPageBreak/>
        <w:t xml:space="preserve">базе корпоративного почтового клиента </w:t>
      </w:r>
      <w:proofErr w:type="spellStart"/>
      <w:r>
        <w:t>OutLook</w:t>
      </w:r>
      <w:proofErr w:type="spellEnd"/>
      <w:r>
        <w:t xml:space="preserve">, чтобы обеспечить общее понятийное и информационное поле, своевременность и непрерывность бизнес-процессов учебного офиса.  </w:t>
      </w:r>
    </w:p>
    <w:p w:rsidR="00625FFD" w:rsidRDefault="00625FFD" w:rsidP="002C0084">
      <w:pPr>
        <w:spacing w:after="200" w:line="276" w:lineRule="auto"/>
        <w:jc w:val="both"/>
      </w:pPr>
      <w:r>
        <w:t>Разработана система аттестации менеджеров образовательного процесса, которая ориентирована на оценку квалификаций,  обеспечивающих ключевые направления развития университета (выход на международный рынок образовательных услуг, обеспечение мобильности студентов, принципиальный пересмотр моделей управления знанием, внедрение современных информационных систем управления, обеспечение запроса на индивидуальные образовательные траектории от разных групп потребителей образовательных услуг).</w:t>
      </w:r>
    </w:p>
    <w:p w:rsidR="00625FFD" w:rsidRDefault="00625FFD" w:rsidP="002C0084">
      <w:pPr>
        <w:spacing w:after="200" w:line="276" w:lineRule="auto"/>
        <w:jc w:val="both"/>
      </w:pPr>
      <w:r>
        <w:t>Создание такой системы аттестации позволяет решить две встречные задачи:</w:t>
      </w:r>
    </w:p>
    <w:p w:rsidR="00625FFD" w:rsidRDefault="00625FFD" w:rsidP="00F27C45">
      <w:pPr>
        <w:numPr>
          <w:ilvl w:val="0"/>
          <w:numId w:val="19"/>
        </w:numPr>
        <w:spacing w:after="200" w:line="276" w:lineRule="auto"/>
        <w:jc w:val="both"/>
        <w:rPr>
          <w:lang w:eastAsia="en-US"/>
        </w:rPr>
      </w:pPr>
      <w:r w:rsidRPr="002C0084">
        <w:rPr>
          <w:lang w:eastAsia="en-US"/>
        </w:rPr>
        <w:t>выявление дефицитов компетенций административно-управленческого персонала университета  и формирование программы их устранения,</w:t>
      </w:r>
    </w:p>
    <w:p w:rsidR="00625FFD" w:rsidRDefault="00625FFD" w:rsidP="00F27C45">
      <w:pPr>
        <w:numPr>
          <w:ilvl w:val="0"/>
          <w:numId w:val="19"/>
        </w:numPr>
        <w:spacing w:after="200" w:line="276" w:lineRule="auto"/>
        <w:jc w:val="both"/>
        <w:rPr>
          <w:lang w:eastAsia="en-US"/>
        </w:rPr>
      </w:pPr>
      <w:r w:rsidRPr="002C0084">
        <w:rPr>
          <w:lang w:eastAsia="en-US"/>
        </w:rPr>
        <w:t xml:space="preserve">определение современных требований к кандидатам на замещение должностей администраторов учебного процесса, пересмотр кадровой политики при приеме на работу или продолжении контракта с существующими сотрудниками, и, тем самым, создание профессиональных служб сопровождения учебного процесса, способных выполнять функции, которые требует от менеджера учебного блока инновационное развитие вуза. </w:t>
      </w:r>
    </w:p>
    <w:p w:rsidR="00625FFD" w:rsidRDefault="00625FFD" w:rsidP="002C0084">
      <w:pPr>
        <w:spacing w:after="200" w:line="276" w:lineRule="auto"/>
        <w:jc w:val="both"/>
      </w:pPr>
      <w:r>
        <w:t>Для реализации разработанной концепции аттестации менеджеров учебного процесса подготовлены пакеты аттестационных материалов, включающие в себя:</w:t>
      </w:r>
    </w:p>
    <w:p w:rsidR="00625FFD" w:rsidRDefault="00625FFD" w:rsidP="00F27C45">
      <w:pPr>
        <w:numPr>
          <w:ilvl w:val="0"/>
          <w:numId w:val="20"/>
        </w:numPr>
        <w:spacing w:after="200" w:line="276" w:lineRule="auto"/>
        <w:jc w:val="both"/>
        <w:rPr>
          <w:lang w:eastAsia="en-US"/>
        </w:rPr>
      </w:pPr>
      <w:r w:rsidRPr="002C0084">
        <w:rPr>
          <w:lang w:eastAsia="en-US"/>
        </w:rPr>
        <w:t>Тесты на знание нормативной базы образования;</w:t>
      </w:r>
    </w:p>
    <w:p w:rsidR="00625FFD" w:rsidRDefault="00625FFD" w:rsidP="00F27C45">
      <w:pPr>
        <w:numPr>
          <w:ilvl w:val="0"/>
          <w:numId w:val="20"/>
        </w:numPr>
        <w:spacing w:after="200" w:line="276" w:lineRule="auto"/>
        <w:jc w:val="both"/>
        <w:rPr>
          <w:lang w:eastAsia="en-US"/>
        </w:rPr>
      </w:pPr>
      <w:r w:rsidRPr="002C0084">
        <w:rPr>
          <w:lang w:eastAsia="en-US"/>
        </w:rPr>
        <w:t>Тесты на знание информационных корпоративных системы;</w:t>
      </w:r>
    </w:p>
    <w:p w:rsidR="00625FFD" w:rsidRDefault="00625FFD" w:rsidP="00F27C45">
      <w:pPr>
        <w:numPr>
          <w:ilvl w:val="0"/>
          <w:numId w:val="20"/>
        </w:numPr>
        <w:spacing w:after="200" w:line="276" w:lineRule="auto"/>
        <w:jc w:val="both"/>
        <w:rPr>
          <w:lang w:eastAsia="en-US"/>
        </w:rPr>
      </w:pPr>
      <w:r w:rsidRPr="002C0084">
        <w:rPr>
          <w:lang w:eastAsia="en-US"/>
        </w:rPr>
        <w:t xml:space="preserve">Тесты, проверяющие знание </w:t>
      </w:r>
      <w:proofErr w:type="spellStart"/>
      <w:r w:rsidRPr="002C0084">
        <w:rPr>
          <w:lang w:eastAsia="en-US"/>
        </w:rPr>
        <w:t>алогоритмов</w:t>
      </w:r>
      <w:proofErr w:type="spellEnd"/>
      <w:r w:rsidRPr="002C0084">
        <w:rPr>
          <w:lang w:eastAsia="en-US"/>
        </w:rPr>
        <w:t xml:space="preserve"> действий для реализации основных бизнес-процессов;</w:t>
      </w:r>
    </w:p>
    <w:p w:rsidR="00625FFD" w:rsidRDefault="00625FFD" w:rsidP="00F27C45">
      <w:pPr>
        <w:numPr>
          <w:ilvl w:val="0"/>
          <w:numId w:val="20"/>
        </w:numPr>
        <w:spacing w:after="200" w:line="276" w:lineRule="auto"/>
        <w:jc w:val="both"/>
        <w:rPr>
          <w:lang w:eastAsia="en-US"/>
        </w:rPr>
      </w:pPr>
      <w:r w:rsidRPr="002C0084">
        <w:rPr>
          <w:lang w:eastAsia="en-US"/>
        </w:rPr>
        <w:t>Тесты на знание английского языка, деловой коммуникации;</w:t>
      </w:r>
    </w:p>
    <w:p w:rsidR="005005BC" w:rsidRDefault="00625FFD" w:rsidP="00F27C45">
      <w:pPr>
        <w:numPr>
          <w:ilvl w:val="0"/>
          <w:numId w:val="20"/>
        </w:numPr>
        <w:spacing w:after="200" w:line="276" w:lineRule="auto"/>
        <w:jc w:val="both"/>
        <w:rPr>
          <w:lang w:eastAsia="en-US"/>
        </w:rPr>
      </w:pPr>
      <w:r w:rsidRPr="002C0084">
        <w:rPr>
          <w:lang w:eastAsia="en-US"/>
        </w:rPr>
        <w:t>Кейсы практических заданий для оценки компетенций менеджеров учебного процесса.</w:t>
      </w:r>
    </w:p>
    <w:p w:rsidR="005005BC" w:rsidRDefault="005005BC" w:rsidP="005005BC">
      <w:pPr>
        <w:pStyle w:val="2"/>
        <w:numPr>
          <w:ilvl w:val="1"/>
          <w:numId w:val="1"/>
        </w:numPr>
      </w:pPr>
      <w:bookmarkStart w:id="78" w:name="_Toc374030087"/>
      <w:r w:rsidRPr="005005BC">
        <w:t>Кадровый резерв (группа высокого профессионального потенциала НИУ ВШЭ)</w:t>
      </w:r>
      <w:bookmarkEnd w:id="78"/>
      <w:r>
        <w:t xml:space="preserve"> </w:t>
      </w:r>
    </w:p>
    <w:p w:rsidR="00842CF4" w:rsidRPr="00842CF4" w:rsidRDefault="00842CF4" w:rsidP="00842CF4">
      <w:pPr>
        <w:spacing w:after="200" w:line="276" w:lineRule="auto"/>
        <w:jc w:val="both"/>
      </w:pPr>
      <w:r w:rsidRPr="00842CF4">
        <w:t>В 2013 году продолжилась работа с группой высокого профессионального потенциала (кадрового резерва НИУ ВШЭ), направленная на профессиональный рост и интеграцию в академическую среду  университета перспективных молодых преподавателей и исследователей.</w:t>
      </w:r>
    </w:p>
    <w:p w:rsidR="00842CF4" w:rsidRPr="00842CF4" w:rsidRDefault="00842CF4" w:rsidP="00842CF4">
      <w:pPr>
        <w:spacing w:after="200" w:line="276" w:lineRule="auto"/>
        <w:jc w:val="both"/>
      </w:pPr>
      <w:r w:rsidRPr="00842CF4">
        <w:t xml:space="preserve">По итогам рассмотрения заявок Кадровой комиссией на 2013 год в кадровый резерв зачислено 253 человека, из них: в категорию «Будущие профессора» - 38 человек, в </w:t>
      </w:r>
      <w:r w:rsidRPr="00842CF4">
        <w:lastRenderedPageBreak/>
        <w:t>категорию «Новые преподаватели» - 132 человека, в категорию «Будущие преподаватели» - 35 человека, в категорию «Новые исследователи» - 48 человек.</w:t>
      </w:r>
    </w:p>
    <w:p w:rsidR="00842CF4" w:rsidRPr="00842CF4" w:rsidRDefault="00842CF4" w:rsidP="00842CF4">
      <w:pPr>
        <w:spacing w:line="360" w:lineRule="auto"/>
        <w:jc w:val="both"/>
        <w:rPr>
          <w:rFonts w:ascii="Times New Roman" w:hAnsi="Times New Roman"/>
          <w:b/>
        </w:rPr>
      </w:pPr>
      <w:r w:rsidRPr="00842CF4">
        <w:rPr>
          <w:rFonts w:ascii="Times New Roman" w:hAnsi="Times New Roman"/>
          <w:b/>
        </w:rPr>
        <w:t>Диаграмма 11.3.1. Распределение членов кадрового резерва по категориям, 2007-2013 годы</w:t>
      </w:r>
    </w:p>
    <w:p w:rsidR="00842CF4" w:rsidRPr="00842CF4" w:rsidRDefault="00842CF4" w:rsidP="000759B9">
      <w:pPr>
        <w:spacing w:line="360" w:lineRule="auto"/>
        <w:jc w:val="both"/>
      </w:pPr>
      <w:r>
        <w:rPr>
          <w:rFonts w:ascii="Times New Roman" w:hAnsi="Times New Roman"/>
          <w:noProof/>
          <w:sz w:val="26"/>
          <w:szCs w:val="26"/>
        </w:rPr>
        <w:drawing>
          <wp:anchor distT="5715" distB="6350" distL="120015" distR="118110" simplePos="0" relativeHeight="251664384" behindDoc="0" locked="0" layoutInCell="1" allowOverlap="1" wp14:anchorId="236AB85D" wp14:editId="502F8B5F">
            <wp:simplePos x="0" y="0"/>
            <wp:positionH relativeFrom="column">
              <wp:posOffset>-19050</wp:posOffset>
            </wp:positionH>
            <wp:positionV relativeFrom="paragraph">
              <wp:posOffset>102870</wp:posOffset>
            </wp:positionV>
            <wp:extent cx="6028055" cy="2868930"/>
            <wp:effectExtent l="0" t="0" r="0" b="1270"/>
            <wp:wrapTight wrapText="bothSides">
              <wp:wrapPolygon edited="0">
                <wp:start x="0" y="0"/>
                <wp:lineTo x="0" y="21418"/>
                <wp:lineTo x="21479" y="21418"/>
                <wp:lineTo x="21479" y="0"/>
                <wp:lineTo x="0" y="0"/>
              </wp:wrapPolygon>
            </wp:wrapTight>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028055" cy="2868930"/>
                    </a:xfrm>
                    <a:prstGeom prst="rect">
                      <a:avLst/>
                    </a:prstGeom>
                    <a:solidFill>
                      <a:srgbClr val="FFFFFF"/>
                    </a:solidFill>
                    <a:ln>
                      <a:noFill/>
                    </a:ln>
                  </pic:spPr>
                </pic:pic>
              </a:graphicData>
            </a:graphic>
          </wp:anchor>
        </w:drawing>
      </w:r>
      <w:r w:rsidRPr="00842CF4">
        <w:t>При увеличении общего количества заявок в кадровый резерв на 2013 год (314 заявок), по сравнению с 2012 годом (301 заявка) отмечается снижение общей численности кадрового резерва (с 270 до 253 резервистов) за счет снижения численности категорий «Будущие профессора» и «Будущие преподаватели». Это обусловлено усилением критериев отбора в эти категории. В категории «Новые преподаватели» численность сохранилась, а категория «Новые исследователи» выросла на 23,1%  (на 9 человек).</w:t>
      </w:r>
    </w:p>
    <w:p w:rsidR="00842CF4" w:rsidRPr="00842CF4" w:rsidRDefault="00842CF4" w:rsidP="00842CF4">
      <w:pPr>
        <w:spacing w:after="200" w:line="276" w:lineRule="auto"/>
        <w:jc w:val="both"/>
      </w:pPr>
      <w:r w:rsidRPr="00842CF4">
        <w:t>При отборе кандидатов в каждую из категорий кадрового резерва учитываются следующие обязательные критерии.</w:t>
      </w:r>
    </w:p>
    <w:p w:rsidR="00842CF4" w:rsidRPr="00842CF4" w:rsidRDefault="00842CF4" w:rsidP="00842CF4">
      <w:pPr>
        <w:spacing w:after="200" w:line="276" w:lineRule="auto"/>
        <w:jc w:val="both"/>
      </w:pPr>
      <w:r w:rsidRPr="00842CF4">
        <w:t>«Будущие преподаватели», отбираются из числа лучших студентов, обучающихся по магистерским программам, и аспирантов, наиболее перспективных для будущей академической работы:</w:t>
      </w:r>
    </w:p>
    <w:p w:rsidR="00842CF4" w:rsidRPr="00797CA9" w:rsidRDefault="00842CF4" w:rsidP="000759B9">
      <w:pPr>
        <w:pStyle w:val="a5"/>
        <w:numPr>
          <w:ilvl w:val="0"/>
          <w:numId w:val="13"/>
        </w:numPr>
        <w:spacing w:line="240" w:lineRule="auto"/>
        <w:jc w:val="both"/>
        <w:rPr>
          <w:sz w:val="24"/>
          <w:szCs w:val="26"/>
        </w:rPr>
      </w:pPr>
      <w:r w:rsidRPr="00797CA9">
        <w:rPr>
          <w:sz w:val="24"/>
          <w:szCs w:val="26"/>
        </w:rPr>
        <w:t>готовность кафедры принять студента или аспиранта на работу в качестве преподавателя на полную ставку после завершения обучения;</w:t>
      </w:r>
    </w:p>
    <w:p w:rsidR="00842CF4" w:rsidRPr="00797CA9" w:rsidRDefault="00842CF4" w:rsidP="000759B9">
      <w:pPr>
        <w:pStyle w:val="a5"/>
        <w:numPr>
          <w:ilvl w:val="0"/>
          <w:numId w:val="13"/>
        </w:numPr>
        <w:spacing w:line="240" w:lineRule="auto"/>
        <w:jc w:val="both"/>
        <w:rPr>
          <w:sz w:val="24"/>
          <w:szCs w:val="26"/>
        </w:rPr>
      </w:pPr>
      <w:r w:rsidRPr="00797CA9">
        <w:rPr>
          <w:sz w:val="24"/>
          <w:szCs w:val="26"/>
        </w:rPr>
        <w:t>наличие опыта преподавательской работы или участие в программе «Учебные ассистенты».</w:t>
      </w:r>
    </w:p>
    <w:p w:rsidR="00842CF4" w:rsidRPr="00797CA9" w:rsidRDefault="00842CF4" w:rsidP="00797CA9">
      <w:pPr>
        <w:spacing w:after="200" w:line="276" w:lineRule="auto"/>
        <w:jc w:val="both"/>
      </w:pPr>
      <w:r w:rsidRPr="00797CA9">
        <w:t>«Новые преподаватели», отбираются из числа молодых перспективных преподавателей:</w:t>
      </w:r>
    </w:p>
    <w:p w:rsidR="00842CF4" w:rsidRPr="00797CA9" w:rsidRDefault="00842CF4" w:rsidP="000759B9">
      <w:pPr>
        <w:pStyle w:val="a5"/>
        <w:numPr>
          <w:ilvl w:val="0"/>
          <w:numId w:val="13"/>
        </w:numPr>
        <w:spacing w:line="240" w:lineRule="auto"/>
        <w:jc w:val="both"/>
        <w:rPr>
          <w:sz w:val="24"/>
          <w:szCs w:val="26"/>
        </w:rPr>
      </w:pPr>
      <w:r w:rsidRPr="00797CA9">
        <w:rPr>
          <w:sz w:val="24"/>
          <w:szCs w:val="26"/>
        </w:rPr>
        <w:t>возраст до 30 лет (включительно);</w:t>
      </w:r>
    </w:p>
    <w:p w:rsidR="00842CF4" w:rsidRPr="00797CA9" w:rsidRDefault="00842CF4" w:rsidP="000759B9">
      <w:pPr>
        <w:pStyle w:val="a5"/>
        <w:numPr>
          <w:ilvl w:val="0"/>
          <w:numId w:val="13"/>
        </w:numPr>
        <w:spacing w:line="240" w:lineRule="auto"/>
        <w:jc w:val="both"/>
        <w:rPr>
          <w:sz w:val="24"/>
          <w:szCs w:val="26"/>
        </w:rPr>
      </w:pPr>
      <w:r w:rsidRPr="00797CA9">
        <w:rPr>
          <w:sz w:val="24"/>
          <w:szCs w:val="26"/>
        </w:rPr>
        <w:t>работа на преподавательской должности на полной ставке в Университете непрерывно в течение менее 24 месяцев на момент подачи документов в группу кадрового резерва.</w:t>
      </w:r>
    </w:p>
    <w:p w:rsidR="00842CF4" w:rsidRPr="00797CA9" w:rsidRDefault="00842CF4" w:rsidP="00797CA9">
      <w:pPr>
        <w:spacing w:after="200" w:line="276" w:lineRule="auto"/>
        <w:jc w:val="both"/>
      </w:pPr>
      <w:r w:rsidRPr="00797CA9">
        <w:lastRenderedPageBreak/>
        <w:t xml:space="preserve"> </w:t>
      </w:r>
      <w:proofErr w:type="gramStart"/>
      <w:r w:rsidRPr="00797CA9">
        <w:t>«Будущие профессора», отбираются из числа молодых преподавателей, наиболее перспективных с точки зрения профессионального развития в педагогической и научной сферах:</w:t>
      </w:r>
      <w:proofErr w:type="gramEnd"/>
    </w:p>
    <w:p w:rsidR="00842CF4" w:rsidRPr="00797CA9" w:rsidRDefault="00842CF4" w:rsidP="000759B9">
      <w:pPr>
        <w:pStyle w:val="a5"/>
        <w:numPr>
          <w:ilvl w:val="0"/>
          <w:numId w:val="13"/>
        </w:numPr>
        <w:spacing w:line="240" w:lineRule="auto"/>
        <w:jc w:val="both"/>
        <w:rPr>
          <w:sz w:val="24"/>
          <w:szCs w:val="26"/>
        </w:rPr>
      </w:pPr>
      <w:r w:rsidRPr="00797CA9">
        <w:rPr>
          <w:sz w:val="24"/>
          <w:szCs w:val="26"/>
        </w:rPr>
        <w:t>работа на преподавательской должности в Университете на полной ставке;</w:t>
      </w:r>
    </w:p>
    <w:p w:rsidR="00842CF4" w:rsidRPr="00797CA9" w:rsidRDefault="00842CF4" w:rsidP="000759B9">
      <w:pPr>
        <w:pStyle w:val="a5"/>
        <w:numPr>
          <w:ilvl w:val="0"/>
          <w:numId w:val="13"/>
        </w:numPr>
        <w:spacing w:line="240" w:lineRule="auto"/>
        <w:jc w:val="both"/>
        <w:rPr>
          <w:sz w:val="24"/>
          <w:szCs w:val="26"/>
        </w:rPr>
      </w:pPr>
      <w:r w:rsidRPr="00797CA9">
        <w:rPr>
          <w:sz w:val="24"/>
          <w:szCs w:val="26"/>
        </w:rPr>
        <w:t>возраст до 35 лет (включительно);</w:t>
      </w:r>
    </w:p>
    <w:p w:rsidR="00842CF4" w:rsidRPr="00797CA9" w:rsidRDefault="00842CF4" w:rsidP="000759B9">
      <w:pPr>
        <w:pStyle w:val="a5"/>
        <w:numPr>
          <w:ilvl w:val="0"/>
          <w:numId w:val="13"/>
        </w:numPr>
        <w:spacing w:line="240" w:lineRule="auto"/>
        <w:jc w:val="both"/>
        <w:rPr>
          <w:sz w:val="24"/>
          <w:szCs w:val="26"/>
        </w:rPr>
      </w:pPr>
      <w:r w:rsidRPr="00797CA9">
        <w:rPr>
          <w:sz w:val="24"/>
          <w:szCs w:val="26"/>
        </w:rPr>
        <w:t xml:space="preserve">наличие ученой степени кандидата наук или </w:t>
      </w:r>
      <w:proofErr w:type="spellStart"/>
      <w:r w:rsidRPr="00797CA9">
        <w:rPr>
          <w:sz w:val="24"/>
          <w:szCs w:val="26"/>
        </w:rPr>
        <w:t>Ph.D</w:t>
      </w:r>
      <w:proofErr w:type="spellEnd"/>
      <w:r w:rsidRPr="00797CA9">
        <w:rPr>
          <w:sz w:val="24"/>
          <w:szCs w:val="26"/>
        </w:rPr>
        <w:t>. зарубежного университета, полученной не менее чем за 2 года до даты представления документов в кадровый резерв.</w:t>
      </w:r>
    </w:p>
    <w:p w:rsidR="00842CF4" w:rsidRPr="00797CA9" w:rsidRDefault="00842CF4" w:rsidP="00797CA9">
      <w:pPr>
        <w:spacing w:after="200" w:line="276" w:lineRule="auto"/>
        <w:jc w:val="both"/>
      </w:pPr>
      <w:r w:rsidRPr="00797CA9">
        <w:t>«Новые исследователи», отбираются из числа молодых научных работников, работающих в научных подразделениях Университета:</w:t>
      </w:r>
    </w:p>
    <w:p w:rsidR="00842CF4" w:rsidRPr="00797CA9" w:rsidRDefault="00842CF4" w:rsidP="000759B9">
      <w:pPr>
        <w:pStyle w:val="a5"/>
        <w:numPr>
          <w:ilvl w:val="0"/>
          <w:numId w:val="13"/>
        </w:numPr>
        <w:spacing w:line="240" w:lineRule="auto"/>
        <w:jc w:val="both"/>
        <w:rPr>
          <w:sz w:val="24"/>
          <w:szCs w:val="26"/>
        </w:rPr>
      </w:pPr>
      <w:r w:rsidRPr="00797CA9">
        <w:rPr>
          <w:sz w:val="24"/>
          <w:szCs w:val="26"/>
        </w:rPr>
        <w:t>возраст до 30 лет (включительно);</w:t>
      </w:r>
    </w:p>
    <w:p w:rsidR="00842CF4" w:rsidRPr="00797CA9" w:rsidRDefault="00842CF4" w:rsidP="000759B9">
      <w:pPr>
        <w:pStyle w:val="a5"/>
        <w:numPr>
          <w:ilvl w:val="0"/>
          <w:numId w:val="13"/>
        </w:numPr>
        <w:spacing w:line="240" w:lineRule="auto"/>
        <w:jc w:val="both"/>
        <w:rPr>
          <w:sz w:val="24"/>
          <w:szCs w:val="26"/>
        </w:rPr>
      </w:pPr>
      <w:r w:rsidRPr="00797CA9">
        <w:rPr>
          <w:sz w:val="24"/>
          <w:szCs w:val="26"/>
        </w:rPr>
        <w:t>работа на должности научных работников на полной ставке непрерывно в течение не более 24 месяцев;</w:t>
      </w:r>
    </w:p>
    <w:p w:rsidR="00842CF4" w:rsidRPr="00797CA9" w:rsidRDefault="00842CF4" w:rsidP="000759B9">
      <w:pPr>
        <w:pStyle w:val="a5"/>
        <w:numPr>
          <w:ilvl w:val="0"/>
          <w:numId w:val="13"/>
        </w:numPr>
        <w:spacing w:line="240" w:lineRule="auto"/>
        <w:jc w:val="both"/>
        <w:rPr>
          <w:sz w:val="24"/>
          <w:szCs w:val="26"/>
        </w:rPr>
      </w:pPr>
      <w:r w:rsidRPr="00797CA9">
        <w:rPr>
          <w:sz w:val="24"/>
          <w:szCs w:val="26"/>
        </w:rPr>
        <w:t>соответствие критериям оценки публикационной активности, установленным в Университете, в соответствии с занимаемой научной должностью (при условии обязательного прохождения процедуры оценки публикационной активности).</w:t>
      </w:r>
    </w:p>
    <w:p w:rsidR="00842CF4" w:rsidRPr="00797CA9" w:rsidRDefault="00842CF4" w:rsidP="00797CA9">
      <w:pPr>
        <w:spacing w:after="200" w:line="276" w:lineRule="auto"/>
        <w:jc w:val="both"/>
      </w:pPr>
      <w:r w:rsidRPr="00797CA9">
        <w:t>Помимо этого, учитываются: успеваемость в ходе обучения, в том числе уровень рейтинга (для студентов); выполнение индивидуального учебного плана (для аспирантов); качество преподавания (для преподавателей); участие в научно-исследовательской работе; уровень знания иностранных языков.</w:t>
      </w:r>
    </w:p>
    <w:p w:rsidR="00842CF4" w:rsidRPr="0017526D" w:rsidRDefault="00842CF4" w:rsidP="0017526D">
      <w:pPr>
        <w:spacing w:after="200" w:line="276" w:lineRule="auto"/>
        <w:jc w:val="both"/>
      </w:pPr>
      <w:r w:rsidRPr="00797CA9">
        <w:t xml:space="preserve">Стоит отметить рост количества резервистов в Москве на 10% (18 человек) и уменьшение количества резервистов в филиалах. </w:t>
      </w:r>
    </w:p>
    <w:p w:rsidR="00842CF4" w:rsidRPr="00797CA9" w:rsidRDefault="00842CF4" w:rsidP="00842CF4">
      <w:pPr>
        <w:suppressAutoHyphens/>
        <w:jc w:val="both"/>
        <w:rPr>
          <w:rFonts w:ascii="Times New Roman" w:hAnsi="Times New Roman"/>
          <w:b/>
          <w:lang w:eastAsia="ar-SA"/>
        </w:rPr>
      </w:pPr>
      <w:r w:rsidRPr="00797CA9">
        <w:rPr>
          <w:rFonts w:ascii="Times New Roman" w:hAnsi="Times New Roman"/>
          <w:b/>
          <w:lang w:eastAsia="ar-SA"/>
        </w:rPr>
        <w:t>Таблица 1</w:t>
      </w:r>
      <w:r w:rsidR="00797CA9">
        <w:rPr>
          <w:rFonts w:ascii="Times New Roman" w:hAnsi="Times New Roman"/>
          <w:b/>
          <w:lang w:eastAsia="ar-SA"/>
        </w:rPr>
        <w:t>1.3.1</w:t>
      </w:r>
      <w:r w:rsidRPr="00797CA9">
        <w:rPr>
          <w:rFonts w:ascii="Times New Roman" w:hAnsi="Times New Roman"/>
          <w:b/>
          <w:lang w:eastAsia="ar-SA"/>
        </w:rPr>
        <w:t>. Распределение членов кадрового резерва по филиалам, 2007-2013 годы</w:t>
      </w:r>
    </w:p>
    <w:p w:rsidR="00842CF4" w:rsidRPr="00797CA9" w:rsidRDefault="00842CF4" w:rsidP="00842CF4">
      <w:pPr>
        <w:suppressAutoHyphens/>
        <w:jc w:val="both"/>
        <w:rPr>
          <w:rFonts w:ascii="Times New Roman" w:hAnsi="Times New Roman"/>
          <w:b/>
          <w:lang w:eastAsia="ar-SA"/>
        </w:rPr>
      </w:pPr>
    </w:p>
    <w:tbl>
      <w:tblPr>
        <w:tblW w:w="0" w:type="auto"/>
        <w:tblInd w:w="108" w:type="dxa"/>
        <w:tblLayout w:type="fixed"/>
        <w:tblLook w:val="0000" w:firstRow="0" w:lastRow="0" w:firstColumn="0" w:lastColumn="0" w:noHBand="0" w:noVBand="0"/>
      </w:tblPr>
      <w:tblGrid>
        <w:gridCol w:w="2122"/>
        <w:gridCol w:w="1134"/>
        <w:gridCol w:w="992"/>
        <w:gridCol w:w="992"/>
        <w:gridCol w:w="992"/>
        <w:gridCol w:w="1134"/>
        <w:gridCol w:w="993"/>
        <w:gridCol w:w="1108"/>
      </w:tblGrid>
      <w:tr w:rsidR="00842CF4" w:rsidRPr="00E15036" w:rsidTr="00842CF4">
        <w:trPr>
          <w:trHeight w:val="512"/>
        </w:trPr>
        <w:tc>
          <w:tcPr>
            <w:tcW w:w="2122"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b/>
                <w:lang w:eastAsia="ar-SA"/>
              </w:rPr>
            </w:pPr>
            <w:r w:rsidRPr="00E15036">
              <w:rPr>
                <w:rFonts w:ascii="Times New Roman" w:hAnsi="Times New Roman"/>
                <w:b/>
                <w:lang w:eastAsia="ar-SA"/>
              </w:rPr>
              <w:t>Кампусы</w:t>
            </w:r>
          </w:p>
        </w:tc>
        <w:tc>
          <w:tcPr>
            <w:tcW w:w="1134"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b/>
                <w:lang w:eastAsia="ar-SA"/>
              </w:rPr>
            </w:pPr>
            <w:r w:rsidRPr="00E15036">
              <w:rPr>
                <w:rFonts w:ascii="Times New Roman" w:hAnsi="Times New Roman"/>
                <w:b/>
                <w:lang w:eastAsia="ar-SA"/>
              </w:rPr>
              <w:t>2007</w:t>
            </w:r>
          </w:p>
        </w:tc>
        <w:tc>
          <w:tcPr>
            <w:tcW w:w="992"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b/>
                <w:lang w:eastAsia="ar-SA"/>
              </w:rPr>
            </w:pPr>
            <w:r w:rsidRPr="00E15036">
              <w:rPr>
                <w:rFonts w:ascii="Times New Roman" w:hAnsi="Times New Roman"/>
                <w:b/>
                <w:lang w:eastAsia="ar-SA"/>
              </w:rPr>
              <w:t>2008</w:t>
            </w:r>
          </w:p>
        </w:tc>
        <w:tc>
          <w:tcPr>
            <w:tcW w:w="992"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b/>
                <w:lang w:eastAsia="ar-SA"/>
              </w:rPr>
            </w:pPr>
            <w:r w:rsidRPr="00E15036">
              <w:rPr>
                <w:rFonts w:ascii="Times New Roman" w:hAnsi="Times New Roman"/>
                <w:b/>
                <w:lang w:eastAsia="ar-SA"/>
              </w:rPr>
              <w:t>2009</w:t>
            </w:r>
          </w:p>
        </w:tc>
        <w:tc>
          <w:tcPr>
            <w:tcW w:w="992"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b/>
                <w:lang w:eastAsia="ar-SA"/>
              </w:rPr>
            </w:pPr>
            <w:r w:rsidRPr="00E15036">
              <w:rPr>
                <w:rFonts w:ascii="Times New Roman" w:hAnsi="Times New Roman"/>
                <w:b/>
                <w:lang w:eastAsia="ar-SA"/>
              </w:rPr>
              <w:t>2010</w:t>
            </w:r>
          </w:p>
        </w:tc>
        <w:tc>
          <w:tcPr>
            <w:tcW w:w="1134"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b/>
                <w:lang w:eastAsia="ar-SA"/>
              </w:rPr>
            </w:pPr>
            <w:r w:rsidRPr="00E15036">
              <w:rPr>
                <w:rFonts w:ascii="Times New Roman" w:hAnsi="Times New Roman"/>
                <w:b/>
                <w:lang w:eastAsia="ar-SA"/>
              </w:rPr>
              <w:t>2011</w:t>
            </w:r>
          </w:p>
        </w:tc>
        <w:tc>
          <w:tcPr>
            <w:tcW w:w="993"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b/>
                <w:lang w:eastAsia="ar-SA"/>
              </w:rPr>
            </w:pPr>
            <w:r w:rsidRPr="00E15036">
              <w:rPr>
                <w:rFonts w:ascii="Times New Roman" w:hAnsi="Times New Roman"/>
                <w:b/>
                <w:lang w:eastAsia="ar-SA"/>
              </w:rPr>
              <w:t>2012</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b/>
                <w:lang w:eastAsia="ar-SA"/>
              </w:rPr>
            </w:pPr>
            <w:r w:rsidRPr="00E15036">
              <w:rPr>
                <w:rFonts w:ascii="Times New Roman" w:hAnsi="Times New Roman"/>
                <w:b/>
                <w:lang w:eastAsia="ar-SA"/>
              </w:rPr>
              <w:t>2013</w:t>
            </w:r>
          </w:p>
        </w:tc>
      </w:tr>
      <w:tr w:rsidR="00842CF4" w:rsidRPr="00E15036" w:rsidTr="00842CF4">
        <w:trPr>
          <w:trHeight w:val="512"/>
        </w:trPr>
        <w:tc>
          <w:tcPr>
            <w:tcW w:w="2122"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b/>
                <w:lang w:eastAsia="ar-SA"/>
              </w:rPr>
              <w:t>Москва</w:t>
            </w:r>
          </w:p>
        </w:tc>
        <w:tc>
          <w:tcPr>
            <w:tcW w:w="1134"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24</w:t>
            </w:r>
          </w:p>
        </w:tc>
        <w:tc>
          <w:tcPr>
            <w:tcW w:w="992"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78</w:t>
            </w:r>
          </w:p>
        </w:tc>
        <w:tc>
          <w:tcPr>
            <w:tcW w:w="992"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70</w:t>
            </w:r>
          </w:p>
        </w:tc>
        <w:tc>
          <w:tcPr>
            <w:tcW w:w="992"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114</w:t>
            </w:r>
          </w:p>
        </w:tc>
        <w:tc>
          <w:tcPr>
            <w:tcW w:w="1134"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156</w:t>
            </w:r>
          </w:p>
        </w:tc>
        <w:tc>
          <w:tcPr>
            <w:tcW w:w="993"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180</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b/>
                <w:lang w:eastAsia="ar-SA"/>
              </w:rPr>
            </w:pPr>
            <w:r w:rsidRPr="00E15036">
              <w:rPr>
                <w:rFonts w:ascii="Times New Roman" w:hAnsi="Times New Roman"/>
                <w:lang w:eastAsia="ar-SA"/>
              </w:rPr>
              <w:t>198</w:t>
            </w:r>
          </w:p>
        </w:tc>
      </w:tr>
      <w:tr w:rsidR="00842CF4" w:rsidRPr="00E15036" w:rsidTr="00842CF4">
        <w:trPr>
          <w:trHeight w:val="488"/>
        </w:trPr>
        <w:tc>
          <w:tcPr>
            <w:tcW w:w="2122"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b/>
                <w:lang w:eastAsia="ar-SA"/>
              </w:rPr>
              <w:t>Санкт – Петербург</w:t>
            </w:r>
          </w:p>
        </w:tc>
        <w:tc>
          <w:tcPr>
            <w:tcW w:w="1134"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w:t>
            </w:r>
          </w:p>
        </w:tc>
        <w:tc>
          <w:tcPr>
            <w:tcW w:w="992"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w:t>
            </w:r>
          </w:p>
        </w:tc>
        <w:tc>
          <w:tcPr>
            <w:tcW w:w="992"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8</w:t>
            </w:r>
          </w:p>
        </w:tc>
        <w:tc>
          <w:tcPr>
            <w:tcW w:w="992"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14</w:t>
            </w:r>
          </w:p>
        </w:tc>
        <w:tc>
          <w:tcPr>
            <w:tcW w:w="1134"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23</w:t>
            </w:r>
          </w:p>
        </w:tc>
        <w:tc>
          <w:tcPr>
            <w:tcW w:w="993"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29</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b/>
                <w:lang w:eastAsia="ar-SA"/>
              </w:rPr>
            </w:pPr>
            <w:r w:rsidRPr="00E15036">
              <w:rPr>
                <w:rFonts w:ascii="Times New Roman" w:hAnsi="Times New Roman"/>
                <w:lang w:eastAsia="ar-SA"/>
              </w:rPr>
              <w:t>13</w:t>
            </w:r>
          </w:p>
        </w:tc>
      </w:tr>
      <w:tr w:rsidR="00842CF4" w:rsidRPr="00E15036" w:rsidTr="00842CF4">
        <w:trPr>
          <w:trHeight w:val="524"/>
        </w:trPr>
        <w:tc>
          <w:tcPr>
            <w:tcW w:w="2122"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b/>
                <w:lang w:eastAsia="ar-SA"/>
              </w:rPr>
              <w:t>Нижний Новгород</w:t>
            </w:r>
          </w:p>
        </w:tc>
        <w:tc>
          <w:tcPr>
            <w:tcW w:w="1134"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w:t>
            </w:r>
          </w:p>
        </w:tc>
        <w:tc>
          <w:tcPr>
            <w:tcW w:w="992"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w:t>
            </w:r>
          </w:p>
        </w:tc>
        <w:tc>
          <w:tcPr>
            <w:tcW w:w="992"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18</w:t>
            </w:r>
          </w:p>
        </w:tc>
        <w:tc>
          <w:tcPr>
            <w:tcW w:w="992"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48</w:t>
            </w:r>
          </w:p>
        </w:tc>
        <w:tc>
          <w:tcPr>
            <w:tcW w:w="1134"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39</w:t>
            </w:r>
          </w:p>
        </w:tc>
        <w:tc>
          <w:tcPr>
            <w:tcW w:w="993"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39</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b/>
                <w:lang w:eastAsia="ar-SA"/>
              </w:rPr>
            </w:pPr>
            <w:r w:rsidRPr="00E15036">
              <w:rPr>
                <w:rFonts w:ascii="Times New Roman" w:hAnsi="Times New Roman"/>
                <w:lang w:eastAsia="ar-SA"/>
              </w:rPr>
              <w:t>24</w:t>
            </w:r>
          </w:p>
        </w:tc>
      </w:tr>
      <w:tr w:rsidR="00842CF4" w:rsidRPr="00E15036" w:rsidTr="00842CF4">
        <w:trPr>
          <w:trHeight w:val="313"/>
        </w:trPr>
        <w:tc>
          <w:tcPr>
            <w:tcW w:w="2122"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b/>
                <w:lang w:eastAsia="ar-SA"/>
              </w:rPr>
            </w:pPr>
            <w:r w:rsidRPr="00E15036">
              <w:rPr>
                <w:rFonts w:ascii="Times New Roman" w:hAnsi="Times New Roman"/>
                <w:b/>
                <w:lang w:eastAsia="ar-SA"/>
              </w:rPr>
              <w:t>Пермь</w:t>
            </w:r>
          </w:p>
          <w:p w:rsidR="00842CF4" w:rsidRPr="00E15036" w:rsidRDefault="00842CF4" w:rsidP="00842CF4">
            <w:pPr>
              <w:suppressAutoHyphens/>
              <w:jc w:val="center"/>
              <w:rPr>
                <w:rFonts w:ascii="Times New Roman" w:hAnsi="Times New Roman"/>
                <w:b/>
                <w:lang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w:t>
            </w:r>
          </w:p>
        </w:tc>
        <w:tc>
          <w:tcPr>
            <w:tcW w:w="992"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w:t>
            </w:r>
          </w:p>
        </w:tc>
        <w:tc>
          <w:tcPr>
            <w:tcW w:w="992"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2</w:t>
            </w:r>
          </w:p>
        </w:tc>
        <w:tc>
          <w:tcPr>
            <w:tcW w:w="992"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11</w:t>
            </w:r>
          </w:p>
        </w:tc>
        <w:tc>
          <w:tcPr>
            <w:tcW w:w="1134"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20</w:t>
            </w:r>
          </w:p>
        </w:tc>
        <w:tc>
          <w:tcPr>
            <w:tcW w:w="993" w:type="dxa"/>
            <w:tcBorders>
              <w:top w:val="single" w:sz="4" w:space="0" w:color="000000"/>
              <w:left w:val="single" w:sz="4" w:space="0" w:color="000000"/>
              <w:bottom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22</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2CF4" w:rsidRPr="00E15036" w:rsidRDefault="00842CF4" w:rsidP="00842CF4">
            <w:pPr>
              <w:suppressAutoHyphens/>
              <w:jc w:val="center"/>
              <w:rPr>
                <w:rFonts w:ascii="Times New Roman" w:hAnsi="Times New Roman"/>
                <w:lang w:eastAsia="ar-SA"/>
              </w:rPr>
            </w:pPr>
            <w:r w:rsidRPr="00E15036">
              <w:rPr>
                <w:rFonts w:ascii="Times New Roman" w:hAnsi="Times New Roman"/>
                <w:lang w:eastAsia="ar-SA"/>
              </w:rPr>
              <w:t>18</w:t>
            </w:r>
          </w:p>
        </w:tc>
      </w:tr>
    </w:tbl>
    <w:p w:rsidR="00842CF4" w:rsidRPr="00797CA9" w:rsidRDefault="00842CF4" w:rsidP="00797CA9">
      <w:pPr>
        <w:spacing w:after="200" w:line="276" w:lineRule="auto"/>
        <w:jc w:val="both"/>
      </w:pPr>
      <w:r w:rsidRPr="00797CA9">
        <w:t xml:space="preserve">Программа работы с группой высокого профессионального потенциала предусматривает реализацию цикла специальных мероприятий. В 2013 году для членов кадрового резерва проведено 5 выездных семинаров, в которых приняли участие более 200 резервистов, 14 экспертов и 16 наставников (выпускников кадрового резерва). Более 130 резервистов приняли участие в конкурсах кадрового резерва, ими проведено 7 междисциплинарных научных семинаров в филиалах ВШЭ, реализовано 3 инициативных образовательных проекта. В рамках работы с кадровым резервом организованы 11 методических мастерских, участниками которых стали более 220 резервистов, сотрудников и гостей </w:t>
      </w:r>
      <w:r w:rsidRPr="00797CA9">
        <w:lastRenderedPageBreak/>
        <w:t>университета. 25 из 38 резервистов категории «Будущие профессора» прошли </w:t>
      </w:r>
      <w:hyperlink r:id="rId214" w:history="1">
        <w:r w:rsidRPr="00797CA9">
          <w:t>стажировки</w:t>
        </w:r>
      </w:hyperlink>
      <w:r w:rsidRPr="00797CA9">
        <w:t xml:space="preserve"> в ведущих мировых университетах и исследовательских центрах. Категории «Будущие профессора» и «Новые преподаватели» пользуются правом на 25-процентное снижение учебной нагрузки, а категории «Новые преподаватели» и «Новые исследователи» — получают стартовый грант. </w:t>
      </w:r>
    </w:p>
    <w:p w:rsidR="00842CF4" w:rsidRPr="00797CA9" w:rsidRDefault="00842CF4" w:rsidP="00797CA9">
      <w:pPr>
        <w:spacing w:after="200" w:line="276" w:lineRule="auto"/>
        <w:jc w:val="both"/>
      </w:pPr>
      <w:r w:rsidRPr="00797CA9">
        <w:t>В 2013 году было уделено внимание организации системной работы с группами кадрового резерва в учебных и научных подразделениях университета. Управлением академического развития проведен выездной семинар для ответственных за работу с группами кадрового резерва подразделений.</w:t>
      </w:r>
    </w:p>
    <w:p w:rsidR="00842CF4" w:rsidRPr="00797CA9" w:rsidRDefault="00842CF4" w:rsidP="00797CA9">
      <w:pPr>
        <w:spacing w:after="200" w:line="276" w:lineRule="auto"/>
        <w:jc w:val="both"/>
      </w:pPr>
      <w:r w:rsidRPr="00797CA9">
        <w:t>Сотрудники могут состоять в одной из категорий кадрового резерва в течение 2 лет. По окончании года резервисты сдают индивидуальные отчеты о результатах своей профессиональной деятельности. Индивидуальные отчеты служат основанием для решения Кадровой комиссии Ученого совета о продолжении участия в программе кадрового резерва резервистом в следующем году. При принятии решения учитываются публикационная активность и уровень научных работ резервиста, а также участие в научных мероприятиях, выполнение учебного плана аспирантами, преподавательский рейтинг, подготовка к защите/защита кандидатской/докторской диссертации, программы повышение квалификации и успешное прохождение стажировок. Состав кадрового резерва ежегодно утверждается ректором НИУ ВШЭ.</w:t>
      </w:r>
    </w:p>
    <w:p w:rsidR="00842CF4" w:rsidRPr="00842CF4" w:rsidRDefault="00842CF4" w:rsidP="00842CF4"/>
    <w:p w:rsidR="002107E0" w:rsidRDefault="002107E0">
      <w:pPr>
        <w:rPr>
          <w:rFonts w:asciiTheme="majorHAnsi" w:eastAsiaTheme="majorEastAsia" w:hAnsiTheme="majorHAnsi" w:cstheme="majorBidi"/>
          <w:b/>
          <w:bCs/>
          <w:color w:val="345A8A" w:themeColor="accent1" w:themeShade="B5"/>
          <w:sz w:val="32"/>
          <w:szCs w:val="32"/>
        </w:rPr>
      </w:pPr>
      <w:r>
        <w:br w:type="page"/>
      </w:r>
    </w:p>
    <w:p w:rsidR="005005BC" w:rsidRDefault="00C01B75" w:rsidP="005005BC">
      <w:pPr>
        <w:pStyle w:val="1"/>
        <w:keepLines w:val="0"/>
        <w:spacing w:before="240" w:after="60" w:line="276" w:lineRule="auto"/>
      </w:pPr>
      <w:bookmarkStart w:id="79" w:name="_Toc374030088"/>
      <w:bookmarkStart w:id="80" w:name="_GoBack"/>
      <w:bookmarkEnd w:id="80"/>
      <w:r>
        <w:lastRenderedPageBreak/>
        <w:t>О</w:t>
      </w:r>
      <w:r w:rsidR="005005BC">
        <w:t>сновные задачи учебно-методической работы на следующий учебный год</w:t>
      </w:r>
      <w:bookmarkEnd w:id="79"/>
    </w:p>
    <w:p w:rsidR="00993888" w:rsidRDefault="00993888" w:rsidP="003C6736">
      <w:pPr>
        <w:spacing w:after="200" w:line="276" w:lineRule="auto"/>
        <w:jc w:val="both"/>
        <w:rPr>
          <w:szCs w:val="26"/>
          <w:lang w:eastAsia="en-US"/>
        </w:rPr>
      </w:pPr>
      <w:r w:rsidRPr="00993888">
        <w:rPr>
          <w:szCs w:val="26"/>
          <w:lang w:eastAsia="en-US"/>
        </w:rPr>
        <w:t>Новый учебный 2013-2014 учебный год ст</w:t>
      </w:r>
      <w:r>
        <w:rPr>
          <w:szCs w:val="26"/>
          <w:lang w:eastAsia="en-US"/>
        </w:rPr>
        <w:t>артовал вместе с началом действия нового Закона об образования в Российской Федерации. Для всех учебных заведений, и для НИУ ВШЭ, в частности, это означает, во-первых, что мы не менее года будем наблюдать смену нормативных правил в связи с поэтапным введением подзаконных актов, детализирующих пункты Закона об образовании. В частности, изменятся правила предоставления студентам образовательных кредитов, введены новые нормы назначения студентам стипендий разных типов, предоставления академических отпусков, прохождения итоговой государственной аттестации, будут введены новые требования к лицензированию и аккредитации образовательных программ.</w:t>
      </w:r>
    </w:p>
    <w:p w:rsidR="00C54EFC" w:rsidRDefault="00C54EFC" w:rsidP="003C6736">
      <w:pPr>
        <w:spacing w:after="200" w:line="276" w:lineRule="auto"/>
        <w:jc w:val="both"/>
        <w:rPr>
          <w:szCs w:val="26"/>
          <w:lang w:eastAsia="en-US"/>
        </w:rPr>
      </w:pPr>
      <w:r>
        <w:rPr>
          <w:szCs w:val="26"/>
          <w:lang w:eastAsia="en-US"/>
        </w:rPr>
        <w:t>Во-вторых, система высшего образования в Российской Федерации теперь включает с себя аспирантуру, как уровень высшего образования, что, безусловно,  определяет новые вызовы по отношению ко всем вузам, реализующим образовательные программы уровня аспирантуры по существенному изменению дизайна, технологий, содержательного наполнения о сопровождения и магистерских и аспирантских программ.</w:t>
      </w:r>
    </w:p>
    <w:p w:rsidR="009D7074" w:rsidRDefault="00C54EFC" w:rsidP="003C6736">
      <w:pPr>
        <w:spacing w:after="200" w:line="276" w:lineRule="auto"/>
        <w:jc w:val="both"/>
        <w:rPr>
          <w:szCs w:val="26"/>
          <w:lang w:eastAsia="en-US"/>
        </w:rPr>
      </w:pPr>
      <w:r>
        <w:rPr>
          <w:szCs w:val="26"/>
          <w:lang w:eastAsia="en-US"/>
        </w:rPr>
        <w:t xml:space="preserve">В-третьих, изменяется на федеральном </w:t>
      </w:r>
      <w:proofErr w:type="gramStart"/>
      <w:r>
        <w:rPr>
          <w:szCs w:val="26"/>
          <w:lang w:eastAsia="en-US"/>
        </w:rPr>
        <w:t>уровне</w:t>
      </w:r>
      <w:proofErr w:type="gramEnd"/>
      <w:r>
        <w:rPr>
          <w:szCs w:val="26"/>
          <w:lang w:eastAsia="en-US"/>
        </w:rPr>
        <w:t xml:space="preserve"> подход к нормативам, в соответствии с которыми строится образовательная программа (включая нормативный срок обучения, обеспеченность ППС, материально-технической базой и пр.) – теперь эти позиции определяются не в целом на всю страну, а в конкретным образовательных стандартах по направлениям подготовки. Что усиливает роль стандартов как «нормативного» документа. Вполне конкретно Закон об образовании устанавливает требования и к образовательной программе (ее состав, наполнение)</w:t>
      </w:r>
      <w:r w:rsidR="009D7074">
        <w:rPr>
          <w:szCs w:val="26"/>
          <w:lang w:eastAsia="en-US"/>
        </w:rPr>
        <w:t>, которая становится крупной и основной единицей управления в учебном заведении, осуществляющем образовательную деятельность по программам высшего образования.</w:t>
      </w:r>
    </w:p>
    <w:p w:rsidR="00D236BF" w:rsidRDefault="009D7074" w:rsidP="00D236BF">
      <w:pPr>
        <w:spacing w:after="200" w:line="276" w:lineRule="auto"/>
        <w:jc w:val="both"/>
      </w:pPr>
      <w:r>
        <w:t>В связи с новыми вызовами, а также в рамках реализации мероприятий НИУ ВШЭ в рамках участия в программе «5-100-2020», о</w:t>
      </w:r>
      <w:r w:rsidR="00D236BF">
        <w:t xml:space="preserve">сновными задачами учебно-методической работы на следующий год являются задачи </w:t>
      </w:r>
      <w:proofErr w:type="gramStart"/>
      <w:r w:rsidR="00D236BF">
        <w:t>по</w:t>
      </w:r>
      <w:proofErr w:type="gramEnd"/>
      <w:r w:rsidR="00D236BF">
        <w:t>.</w:t>
      </w:r>
    </w:p>
    <w:p w:rsidR="00D236BF" w:rsidRDefault="00D236BF" w:rsidP="00D236BF">
      <w:pPr>
        <w:spacing w:after="200" w:line="276" w:lineRule="auto"/>
        <w:jc w:val="both"/>
      </w:pPr>
      <w:r>
        <w:t>Из задач, закрепленных в дорожной карте программы, планируемых к реализации в 2013-2014 учебном году, к учебно-методической деятельности относятся:</w:t>
      </w:r>
    </w:p>
    <w:p w:rsidR="00AF5056" w:rsidRPr="0014788A" w:rsidRDefault="00AF5056" w:rsidP="002B51DC">
      <w:pPr>
        <w:pStyle w:val="a5"/>
        <w:numPr>
          <w:ilvl w:val="0"/>
          <w:numId w:val="47"/>
        </w:numPr>
        <w:jc w:val="both"/>
        <w:rPr>
          <w:b/>
          <w:sz w:val="24"/>
        </w:rPr>
      </w:pPr>
      <w:r w:rsidRPr="0014788A">
        <w:rPr>
          <w:b/>
          <w:sz w:val="24"/>
        </w:rPr>
        <w:t>В рамках реализации проекта «Новая модель образовательной программы»</w:t>
      </w:r>
    </w:p>
    <w:p w:rsidR="00AF5056" w:rsidRPr="00F273CF" w:rsidRDefault="00AF5056" w:rsidP="002B51DC">
      <w:pPr>
        <w:pStyle w:val="a5"/>
        <w:numPr>
          <w:ilvl w:val="1"/>
          <w:numId w:val="47"/>
        </w:numPr>
        <w:jc w:val="both"/>
        <w:rPr>
          <w:i/>
          <w:sz w:val="24"/>
        </w:rPr>
      </w:pPr>
      <w:r w:rsidRPr="00F273CF">
        <w:rPr>
          <w:i/>
          <w:sz w:val="24"/>
        </w:rPr>
        <w:t xml:space="preserve">Разработка и внедрение новой модели образовательной программы на уровне </w:t>
      </w:r>
      <w:proofErr w:type="spellStart"/>
      <w:r w:rsidRPr="00F273CF">
        <w:rPr>
          <w:i/>
          <w:sz w:val="24"/>
        </w:rPr>
        <w:t>бакалавриата</w:t>
      </w:r>
      <w:proofErr w:type="spellEnd"/>
      <w:r w:rsidRPr="00F273CF">
        <w:rPr>
          <w:i/>
          <w:sz w:val="24"/>
        </w:rPr>
        <w:t xml:space="preserve"> с обеспечением вариативности траекторий студентов и включения блоков </w:t>
      </w:r>
      <w:proofErr w:type="spellStart"/>
      <w:r w:rsidRPr="00F273CF">
        <w:rPr>
          <w:i/>
          <w:sz w:val="24"/>
        </w:rPr>
        <w:t>major-minor</w:t>
      </w:r>
      <w:proofErr w:type="spellEnd"/>
    </w:p>
    <w:p w:rsidR="00AF5056" w:rsidRPr="00F273CF" w:rsidRDefault="00AF5056" w:rsidP="002B51DC">
      <w:pPr>
        <w:pStyle w:val="a5"/>
        <w:numPr>
          <w:ilvl w:val="1"/>
          <w:numId w:val="47"/>
        </w:numPr>
        <w:jc w:val="both"/>
        <w:rPr>
          <w:i/>
          <w:sz w:val="24"/>
        </w:rPr>
      </w:pPr>
      <w:r w:rsidRPr="00F273CF">
        <w:rPr>
          <w:i/>
          <w:sz w:val="24"/>
        </w:rPr>
        <w:t>Разработка механизмов встраивания программ студенческой мобильности в образовательный процесс</w:t>
      </w:r>
    </w:p>
    <w:p w:rsidR="00AF5056" w:rsidRPr="00F273CF" w:rsidRDefault="00FD0C6F" w:rsidP="002B51DC">
      <w:pPr>
        <w:pStyle w:val="a5"/>
        <w:numPr>
          <w:ilvl w:val="1"/>
          <w:numId w:val="47"/>
        </w:numPr>
        <w:jc w:val="both"/>
        <w:rPr>
          <w:i/>
          <w:sz w:val="24"/>
        </w:rPr>
      </w:pPr>
      <w:r w:rsidRPr="00F273CF">
        <w:rPr>
          <w:i/>
          <w:sz w:val="24"/>
        </w:rPr>
        <w:t>Формирование системы управления самостоятельной работой студентов</w:t>
      </w:r>
    </w:p>
    <w:p w:rsidR="00F273CF" w:rsidRPr="00F273CF" w:rsidRDefault="00F273CF" w:rsidP="002B51DC">
      <w:pPr>
        <w:pStyle w:val="a5"/>
        <w:numPr>
          <w:ilvl w:val="1"/>
          <w:numId w:val="47"/>
        </w:numPr>
        <w:jc w:val="both"/>
        <w:rPr>
          <w:i/>
          <w:sz w:val="24"/>
        </w:rPr>
      </w:pPr>
      <w:r w:rsidRPr="00F273CF">
        <w:rPr>
          <w:i/>
          <w:sz w:val="24"/>
        </w:rPr>
        <w:t xml:space="preserve">Учет </w:t>
      </w:r>
      <w:proofErr w:type="spellStart"/>
      <w:r w:rsidRPr="00F273CF">
        <w:rPr>
          <w:i/>
          <w:sz w:val="24"/>
        </w:rPr>
        <w:t>MOOC’s</w:t>
      </w:r>
      <w:proofErr w:type="spellEnd"/>
      <w:r w:rsidRPr="00F273CF">
        <w:rPr>
          <w:i/>
          <w:sz w:val="24"/>
        </w:rPr>
        <w:t xml:space="preserve"> как части образовательной программы</w:t>
      </w:r>
    </w:p>
    <w:p w:rsidR="00F273CF" w:rsidRPr="00F273CF" w:rsidRDefault="00F273CF" w:rsidP="002B51DC">
      <w:pPr>
        <w:pStyle w:val="a5"/>
        <w:numPr>
          <w:ilvl w:val="1"/>
          <w:numId w:val="47"/>
        </w:numPr>
        <w:jc w:val="both"/>
        <w:rPr>
          <w:i/>
          <w:sz w:val="24"/>
        </w:rPr>
      </w:pPr>
      <w:r w:rsidRPr="00F273CF">
        <w:rPr>
          <w:i/>
          <w:sz w:val="24"/>
        </w:rPr>
        <w:lastRenderedPageBreak/>
        <w:t>Обновление образовательных стандартов (</w:t>
      </w:r>
      <w:proofErr w:type="spellStart"/>
      <w:r w:rsidRPr="00F273CF">
        <w:rPr>
          <w:i/>
          <w:sz w:val="24"/>
        </w:rPr>
        <w:t>бакалавриат</w:t>
      </w:r>
      <w:proofErr w:type="spellEnd"/>
      <w:r w:rsidRPr="00F273CF">
        <w:rPr>
          <w:i/>
          <w:sz w:val="24"/>
        </w:rPr>
        <w:t xml:space="preserve"> и магистратура) (обновлено не менее 22 стандартов )</w:t>
      </w:r>
    </w:p>
    <w:p w:rsidR="0014788A" w:rsidRDefault="00734B6B" w:rsidP="002B51DC">
      <w:pPr>
        <w:pStyle w:val="a5"/>
        <w:numPr>
          <w:ilvl w:val="1"/>
          <w:numId w:val="47"/>
        </w:numPr>
        <w:jc w:val="both"/>
        <w:rPr>
          <w:i/>
          <w:sz w:val="24"/>
        </w:rPr>
      </w:pPr>
      <w:r>
        <w:rPr>
          <w:i/>
          <w:sz w:val="24"/>
        </w:rPr>
        <w:t>Создание центров</w:t>
      </w:r>
      <w:r w:rsidRPr="00734B6B">
        <w:rPr>
          <w:i/>
          <w:sz w:val="24"/>
        </w:rPr>
        <w:t xml:space="preserve"> </w:t>
      </w:r>
      <w:proofErr w:type="spellStart"/>
      <w:r w:rsidRPr="00734B6B">
        <w:rPr>
          <w:i/>
          <w:sz w:val="24"/>
        </w:rPr>
        <w:t>тьюторинга</w:t>
      </w:r>
      <w:proofErr w:type="spellEnd"/>
      <w:r w:rsidRPr="00734B6B">
        <w:rPr>
          <w:i/>
          <w:sz w:val="24"/>
        </w:rPr>
        <w:t xml:space="preserve"> для выстраивания индивидуальных образовательных траекторий студентов, включая  организацию проектной и исследовательской работы, а также академической мобильности студентов </w:t>
      </w:r>
      <w:r w:rsidR="0014788A">
        <w:rPr>
          <w:i/>
          <w:sz w:val="24"/>
        </w:rPr>
        <w:t>(не менее 4)</w:t>
      </w:r>
      <w:r w:rsidR="0087206F">
        <w:rPr>
          <w:i/>
          <w:sz w:val="24"/>
        </w:rPr>
        <w:t>.</w:t>
      </w:r>
    </w:p>
    <w:p w:rsidR="00F273CF" w:rsidRPr="000759B9" w:rsidRDefault="00F273CF" w:rsidP="002B51DC">
      <w:pPr>
        <w:pStyle w:val="a5"/>
        <w:numPr>
          <w:ilvl w:val="1"/>
          <w:numId w:val="47"/>
        </w:numPr>
        <w:jc w:val="both"/>
        <w:rPr>
          <w:i/>
          <w:sz w:val="24"/>
        </w:rPr>
      </w:pPr>
      <w:r w:rsidRPr="000759B9">
        <w:rPr>
          <w:i/>
          <w:sz w:val="24"/>
        </w:rPr>
        <w:t>Разработка каталога форм проектной и исследовательской работы. Разработка регламент их проведения и учета в качестве элемента образовательной программы</w:t>
      </w:r>
      <w:r w:rsidR="0087206F" w:rsidRPr="000759B9">
        <w:rPr>
          <w:i/>
          <w:sz w:val="24"/>
        </w:rPr>
        <w:t>.</w:t>
      </w:r>
    </w:p>
    <w:p w:rsidR="00F273CF" w:rsidRPr="000759B9" w:rsidRDefault="0087206F" w:rsidP="002B51DC">
      <w:pPr>
        <w:pStyle w:val="a5"/>
        <w:numPr>
          <w:ilvl w:val="1"/>
          <w:numId w:val="47"/>
        </w:numPr>
        <w:jc w:val="both"/>
        <w:rPr>
          <w:i/>
          <w:sz w:val="24"/>
        </w:rPr>
      </w:pPr>
      <w:r w:rsidRPr="000759B9">
        <w:rPr>
          <w:i/>
          <w:sz w:val="24"/>
        </w:rPr>
        <w:t>Увеличение числа дисциплин</w:t>
      </w:r>
      <w:r w:rsidR="00734B6B" w:rsidRPr="000759B9">
        <w:rPr>
          <w:i/>
          <w:sz w:val="24"/>
        </w:rPr>
        <w:t xml:space="preserve">, читаемых на английском языке (не менее 8 процентов </w:t>
      </w:r>
      <w:r w:rsidRPr="000759B9">
        <w:rPr>
          <w:i/>
          <w:sz w:val="24"/>
        </w:rPr>
        <w:t xml:space="preserve">дисциплин </w:t>
      </w:r>
      <w:r w:rsidR="00734B6B" w:rsidRPr="000759B9">
        <w:rPr>
          <w:i/>
          <w:sz w:val="24"/>
        </w:rPr>
        <w:t>должны реализовываться на английском языке)</w:t>
      </w:r>
    </w:p>
    <w:p w:rsidR="00734B6B" w:rsidRPr="000759B9" w:rsidRDefault="00734B6B" w:rsidP="002B51DC">
      <w:pPr>
        <w:pStyle w:val="a5"/>
        <w:numPr>
          <w:ilvl w:val="1"/>
          <w:numId w:val="47"/>
        </w:numPr>
        <w:jc w:val="both"/>
        <w:rPr>
          <w:i/>
          <w:sz w:val="24"/>
        </w:rPr>
      </w:pPr>
      <w:r w:rsidRPr="000759B9">
        <w:rPr>
          <w:i/>
          <w:sz w:val="24"/>
        </w:rPr>
        <w:t xml:space="preserve">Открытие новых и развитие существующих магистерских программ на английском языке (не менее 10 программ </w:t>
      </w:r>
      <w:r w:rsidR="0087206F" w:rsidRPr="000759B9">
        <w:rPr>
          <w:i/>
          <w:sz w:val="24"/>
        </w:rPr>
        <w:t>должны реализоваться</w:t>
      </w:r>
      <w:r w:rsidRPr="000759B9">
        <w:rPr>
          <w:i/>
          <w:sz w:val="24"/>
        </w:rPr>
        <w:t xml:space="preserve"> на английском языке)</w:t>
      </w:r>
    </w:p>
    <w:p w:rsidR="00734B6B" w:rsidRPr="000759B9" w:rsidRDefault="00AD7F09" w:rsidP="002B51DC">
      <w:pPr>
        <w:pStyle w:val="a5"/>
        <w:numPr>
          <w:ilvl w:val="1"/>
          <w:numId w:val="47"/>
        </w:numPr>
        <w:jc w:val="both"/>
        <w:rPr>
          <w:i/>
          <w:sz w:val="24"/>
        </w:rPr>
      </w:pPr>
      <w:r w:rsidRPr="000759B9">
        <w:rPr>
          <w:i/>
          <w:sz w:val="24"/>
        </w:rPr>
        <w:t>Реформа системы преподавания английского языка</w:t>
      </w:r>
      <w:r w:rsidR="0087206F" w:rsidRPr="000759B9">
        <w:rPr>
          <w:i/>
          <w:sz w:val="24"/>
        </w:rPr>
        <w:t>.</w:t>
      </w:r>
    </w:p>
    <w:p w:rsidR="00AD7F09" w:rsidRPr="000759B9" w:rsidRDefault="00AD7F09" w:rsidP="002B51DC">
      <w:pPr>
        <w:pStyle w:val="a5"/>
        <w:numPr>
          <w:ilvl w:val="1"/>
          <w:numId w:val="47"/>
        </w:numPr>
        <w:jc w:val="both"/>
        <w:rPr>
          <w:i/>
          <w:sz w:val="24"/>
        </w:rPr>
      </w:pPr>
      <w:r w:rsidRPr="000759B9">
        <w:rPr>
          <w:i/>
          <w:sz w:val="24"/>
        </w:rPr>
        <w:t>Создание "Летнего университета" для иностранных студентов</w:t>
      </w:r>
      <w:r w:rsidR="0087206F" w:rsidRPr="000759B9">
        <w:rPr>
          <w:i/>
          <w:sz w:val="24"/>
        </w:rPr>
        <w:t>.</w:t>
      </w:r>
    </w:p>
    <w:p w:rsidR="00085F93" w:rsidRPr="000759B9" w:rsidRDefault="00085F93" w:rsidP="002B51DC">
      <w:pPr>
        <w:pStyle w:val="a5"/>
        <w:numPr>
          <w:ilvl w:val="1"/>
          <w:numId w:val="47"/>
        </w:numPr>
        <w:jc w:val="both"/>
        <w:rPr>
          <w:i/>
          <w:sz w:val="24"/>
        </w:rPr>
      </w:pPr>
      <w:r w:rsidRPr="000759B9">
        <w:rPr>
          <w:i/>
          <w:sz w:val="24"/>
        </w:rPr>
        <w:t>Создание учебного офиса для работы с иностранными студентами</w:t>
      </w:r>
      <w:r w:rsidR="0087206F" w:rsidRPr="000759B9">
        <w:rPr>
          <w:i/>
          <w:sz w:val="24"/>
        </w:rPr>
        <w:t>.</w:t>
      </w:r>
    </w:p>
    <w:p w:rsidR="00AD7F09" w:rsidRPr="000759B9" w:rsidRDefault="008F2CC5" w:rsidP="002B51DC">
      <w:pPr>
        <w:pStyle w:val="a5"/>
        <w:numPr>
          <w:ilvl w:val="1"/>
          <w:numId w:val="47"/>
        </w:numPr>
        <w:jc w:val="both"/>
        <w:rPr>
          <w:i/>
          <w:sz w:val="24"/>
        </w:rPr>
      </w:pPr>
      <w:r w:rsidRPr="000759B9">
        <w:rPr>
          <w:i/>
          <w:sz w:val="24"/>
        </w:rPr>
        <w:t>Разработка электронной системы конструирования образовательного процесса (составление расписания, наличие и заказ аудиторий, учет и планирование контактн</w:t>
      </w:r>
      <w:r w:rsidR="0087206F" w:rsidRPr="000759B9">
        <w:rPr>
          <w:i/>
          <w:sz w:val="24"/>
        </w:rPr>
        <w:t>ых часов преподавателей и т.п.).</w:t>
      </w:r>
    </w:p>
    <w:p w:rsidR="008F2CC5" w:rsidRPr="000759B9" w:rsidRDefault="008F2CC5" w:rsidP="002B51DC">
      <w:pPr>
        <w:pStyle w:val="a5"/>
        <w:numPr>
          <w:ilvl w:val="0"/>
          <w:numId w:val="47"/>
        </w:numPr>
        <w:jc w:val="both"/>
        <w:rPr>
          <w:i/>
          <w:sz w:val="24"/>
        </w:rPr>
      </w:pPr>
      <w:r w:rsidRPr="000759B9">
        <w:rPr>
          <w:b/>
          <w:sz w:val="24"/>
        </w:rPr>
        <w:t>В рамках реализации проекта «Профессионализация управления образовательными программами»</w:t>
      </w:r>
    </w:p>
    <w:p w:rsidR="0070110E" w:rsidRPr="000759B9" w:rsidRDefault="0070110E" w:rsidP="002B51DC">
      <w:pPr>
        <w:pStyle w:val="a5"/>
        <w:numPr>
          <w:ilvl w:val="1"/>
          <w:numId w:val="47"/>
        </w:numPr>
        <w:jc w:val="both"/>
        <w:rPr>
          <w:i/>
          <w:sz w:val="24"/>
        </w:rPr>
      </w:pPr>
      <w:r w:rsidRPr="000759B9">
        <w:rPr>
          <w:i/>
          <w:sz w:val="24"/>
        </w:rPr>
        <w:t xml:space="preserve">Разработка </w:t>
      </w:r>
      <w:r w:rsidR="005255AC" w:rsidRPr="000759B9">
        <w:rPr>
          <w:i/>
          <w:sz w:val="24"/>
        </w:rPr>
        <w:t xml:space="preserve">и апробация </w:t>
      </w:r>
      <w:r w:rsidRPr="000759B9">
        <w:rPr>
          <w:i/>
          <w:sz w:val="24"/>
        </w:rPr>
        <w:t>программы аттестации менеджеров образовательных программ</w:t>
      </w:r>
      <w:r w:rsidR="0087206F" w:rsidRPr="000759B9">
        <w:rPr>
          <w:i/>
          <w:sz w:val="24"/>
        </w:rPr>
        <w:t>.</w:t>
      </w:r>
    </w:p>
    <w:p w:rsidR="0070110E" w:rsidRPr="000759B9" w:rsidRDefault="0070110E" w:rsidP="002B51DC">
      <w:pPr>
        <w:pStyle w:val="a5"/>
        <w:numPr>
          <w:ilvl w:val="1"/>
          <w:numId w:val="47"/>
        </w:numPr>
        <w:jc w:val="both"/>
        <w:rPr>
          <w:i/>
          <w:sz w:val="24"/>
        </w:rPr>
      </w:pPr>
      <w:r w:rsidRPr="000759B9">
        <w:rPr>
          <w:i/>
          <w:sz w:val="24"/>
        </w:rPr>
        <w:t>Разработка программы развития и профессиональной поддержки менеджеров образовательных программ (не менее 30% менеджеров повысили квалификацию)</w:t>
      </w:r>
      <w:r w:rsidR="0087206F" w:rsidRPr="000759B9">
        <w:rPr>
          <w:i/>
          <w:sz w:val="24"/>
        </w:rPr>
        <w:t>.</w:t>
      </w:r>
    </w:p>
    <w:p w:rsidR="0070110E" w:rsidRPr="000759B9" w:rsidRDefault="004F6EEF" w:rsidP="002B51DC">
      <w:pPr>
        <w:pStyle w:val="a5"/>
        <w:numPr>
          <w:ilvl w:val="1"/>
          <w:numId w:val="47"/>
        </w:numPr>
        <w:jc w:val="both"/>
        <w:rPr>
          <w:i/>
          <w:sz w:val="24"/>
        </w:rPr>
      </w:pPr>
      <w:r w:rsidRPr="000759B9">
        <w:rPr>
          <w:i/>
          <w:sz w:val="24"/>
        </w:rPr>
        <w:t xml:space="preserve">Создание системы  академического управления образовательными программами (уровня </w:t>
      </w:r>
      <w:proofErr w:type="spellStart"/>
      <w:r w:rsidRPr="000759B9">
        <w:rPr>
          <w:i/>
          <w:sz w:val="24"/>
        </w:rPr>
        <w:t>бакалавриата</w:t>
      </w:r>
      <w:proofErr w:type="spellEnd"/>
      <w:r w:rsidRPr="000759B9">
        <w:rPr>
          <w:i/>
          <w:sz w:val="24"/>
        </w:rPr>
        <w:t>, магистратуры)</w:t>
      </w:r>
      <w:r w:rsidR="0087206F" w:rsidRPr="000759B9">
        <w:rPr>
          <w:i/>
          <w:sz w:val="24"/>
        </w:rPr>
        <w:t>.</w:t>
      </w:r>
    </w:p>
    <w:p w:rsidR="004F6EEF" w:rsidRPr="000759B9" w:rsidRDefault="004F6EEF" w:rsidP="002B51DC">
      <w:pPr>
        <w:pStyle w:val="a5"/>
        <w:numPr>
          <w:ilvl w:val="0"/>
          <w:numId w:val="47"/>
        </w:numPr>
        <w:jc w:val="both"/>
        <w:rPr>
          <w:i/>
          <w:sz w:val="24"/>
        </w:rPr>
      </w:pPr>
      <w:r w:rsidRPr="000759B9">
        <w:rPr>
          <w:b/>
          <w:sz w:val="24"/>
        </w:rPr>
        <w:t>В рамках реализации проекта «Внешняя экспертиза образовательных программ и их элементов»</w:t>
      </w:r>
    </w:p>
    <w:p w:rsidR="004F6EEF" w:rsidRPr="000759B9" w:rsidRDefault="006864A5" w:rsidP="002B51DC">
      <w:pPr>
        <w:pStyle w:val="a5"/>
        <w:numPr>
          <w:ilvl w:val="1"/>
          <w:numId w:val="47"/>
        </w:numPr>
        <w:jc w:val="both"/>
        <w:rPr>
          <w:i/>
          <w:sz w:val="24"/>
        </w:rPr>
      </w:pPr>
      <w:r w:rsidRPr="000759B9">
        <w:rPr>
          <w:i/>
          <w:sz w:val="24"/>
        </w:rPr>
        <w:t xml:space="preserve">Подготовка образовательных программ к проведению международной экспертизы (не менее </w:t>
      </w:r>
      <w:r w:rsidR="0087206F" w:rsidRPr="000759B9">
        <w:rPr>
          <w:i/>
          <w:sz w:val="24"/>
        </w:rPr>
        <w:t>10</w:t>
      </w:r>
      <w:r w:rsidRPr="000759B9">
        <w:rPr>
          <w:i/>
          <w:sz w:val="24"/>
        </w:rPr>
        <w:t xml:space="preserve"> программ </w:t>
      </w:r>
      <w:r w:rsidR="0087206F" w:rsidRPr="000759B9">
        <w:rPr>
          <w:i/>
          <w:sz w:val="24"/>
        </w:rPr>
        <w:t xml:space="preserve">должны пройти </w:t>
      </w:r>
      <w:r w:rsidRPr="000759B9">
        <w:rPr>
          <w:i/>
          <w:sz w:val="24"/>
        </w:rPr>
        <w:t xml:space="preserve"> </w:t>
      </w:r>
      <w:proofErr w:type="spellStart"/>
      <w:r w:rsidRPr="000759B9">
        <w:rPr>
          <w:i/>
          <w:sz w:val="24"/>
        </w:rPr>
        <w:t>самообследование</w:t>
      </w:r>
      <w:proofErr w:type="spellEnd"/>
      <w:r w:rsidRPr="000759B9">
        <w:rPr>
          <w:i/>
          <w:sz w:val="24"/>
        </w:rPr>
        <w:t xml:space="preserve"> для международной экспертизы)</w:t>
      </w:r>
    </w:p>
    <w:p w:rsidR="006864A5" w:rsidRPr="000759B9" w:rsidRDefault="006864A5" w:rsidP="002B51DC">
      <w:pPr>
        <w:pStyle w:val="a5"/>
        <w:numPr>
          <w:ilvl w:val="1"/>
          <w:numId w:val="47"/>
        </w:numPr>
        <w:jc w:val="both"/>
        <w:rPr>
          <w:i/>
          <w:sz w:val="24"/>
        </w:rPr>
      </w:pPr>
      <w:r w:rsidRPr="000759B9">
        <w:rPr>
          <w:i/>
          <w:sz w:val="24"/>
        </w:rPr>
        <w:t xml:space="preserve">Проведение экспертизы образовательных программ (не менее </w:t>
      </w:r>
      <w:r w:rsidR="0087206F" w:rsidRPr="000759B9">
        <w:rPr>
          <w:i/>
          <w:sz w:val="24"/>
        </w:rPr>
        <w:t>10</w:t>
      </w:r>
      <w:r w:rsidRPr="000759B9">
        <w:rPr>
          <w:i/>
          <w:sz w:val="24"/>
        </w:rPr>
        <w:t xml:space="preserve"> программ </w:t>
      </w:r>
      <w:r w:rsidR="0087206F" w:rsidRPr="000759B9">
        <w:rPr>
          <w:i/>
          <w:sz w:val="24"/>
        </w:rPr>
        <w:t xml:space="preserve">должны пройти </w:t>
      </w:r>
      <w:r w:rsidRPr="000759B9">
        <w:rPr>
          <w:i/>
          <w:sz w:val="24"/>
        </w:rPr>
        <w:t xml:space="preserve"> международную экспертизу)</w:t>
      </w:r>
    </w:p>
    <w:p w:rsidR="005E0084" w:rsidRPr="000759B9" w:rsidRDefault="006864A5" w:rsidP="002B51DC">
      <w:pPr>
        <w:pStyle w:val="a5"/>
        <w:numPr>
          <w:ilvl w:val="1"/>
          <w:numId w:val="47"/>
        </w:numPr>
        <w:jc w:val="both"/>
        <w:rPr>
          <w:i/>
          <w:sz w:val="24"/>
        </w:rPr>
      </w:pPr>
      <w:r w:rsidRPr="000759B9">
        <w:rPr>
          <w:i/>
          <w:sz w:val="24"/>
        </w:rPr>
        <w:t xml:space="preserve">Проведение общественно-профессиональной аккредитации (не менее 2 программ </w:t>
      </w:r>
      <w:r w:rsidR="0087206F" w:rsidRPr="000759B9">
        <w:rPr>
          <w:i/>
          <w:sz w:val="24"/>
        </w:rPr>
        <w:t xml:space="preserve">должны пройти </w:t>
      </w:r>
      <w:r w:rsidRPr="000759B9">
        <w:rPr>
          <w:i/>
          <w:sz w:val="24"/>
        </w:rPr>
        <w:t xml:space="preserve"> общественно-профессиональную аккредитацию)</w:t>
      </w:r>
      <w:r w:rsidR="009B54E3" w:rsidRPr="000759B9">
        <w:rPr>
          <w:i/>
          <w:sz w:val="24"/>
        </w:rPr>
        <w:t>.</w:t>
      </w:r>
    </w:p>
    <w:p w:rsidR="009B54E3" w:rsidRPr="000759B9" w:rsidRDefault="009B54E3" w:rsidP="002B51DC">
      <w:pPr>
        <w:pStyle w:val="a5"/>
        <w:numPr>
          <w:ilvl w:val="1"/>
          <w:numId w:val="47"/>
        </w:numPr>
        <w:jc w:val="both"/>
        <w:rPr>
          <w:i/>
          <w:sz w:val="24"/>
        </w:rPr>
      </w:pPr>
      <w:r w:rsidRPr="000759B9">
        <w:rPr>
          <w:i/>
          <w:sz w:val="24"/>
        </w:rPr>
        <w:t>Разработка пакетов контрольно-измерительных материалов к образовательным стандартам НИУ ВШЭ и их сертификация.</w:t>
      </w:r>
    </w:p>
    <w:p w:rsidR="002900EC" w:rsidRPr="000759B9" w:rsidRDefault="002900EC" w:rsidP="002B51DC">
      <w:pPr>
        <w:pStyle w:val="a5"/>
        <w:numPr>
          <w:ilvl w:val="0"/>
          <w:numId w:val="47"/>
        </w:numPr>
        <w:jc w:val="both"/>
        <w:rPr>
          <w:b/>
          <w:sz w:val="24"/>
        </w:rPr>
      </w:pPr>
      <w:r w:rsidRPr="000759B9">
        <w:rPr>
          <w:b/>
          <w:sz w:val="24"/>
        </w:rPr>
        <w:t>В рамках реализации проекта «Профессионализация административного персонала научно-образовательных подразделений ВШЭ (факультеты, департаменты, кафедры, институты) и учебных офисов образовательных программ»</w:t>
      </w:r>
    </w:p>
    <w:p w:rsidR="002900EC" w:rsidRPr="000759B9" w:rsidRDefault="002900EC" w:rsidP="002B51DC">
      <w:pPr>
        <w:pStyle w:val="a5"/>
        <w:numPr>
          <w:ilvl w:val="1"/>
          <w:numId w:val="47"/>
        </w:numPr>
        <w:jc w:val="both"/>
        <w:rPr>
          <w:i/>
          <w:sz w:val="24"/>
        </w:rPr>
      </w:pPr>
      <w:r w:rsidRPr="000759B9">
        <w:rPr>
          <w:i/>
          <w:sz w:val="24"/>
        </w:rPr>
        <w:lastRenderedPageBreak/>
        <w:t>Кадровое обеспечение перехода к новой модели управления образовательными программами (от управления на факультетах к управлению образовательными программами)</w:t>
      </w:r>
    </w:p>
    <w:p w:rsidR="002900EC" w:rsidRPr="000759B9" w:rsidRDefault="00AD5E36" w:rsidP="002B51DC">
      <w:pPr>
        <w:pStyle w:val="a5"/>
        <w:numPr>
          <w:ilvl w:val="1"/>
          <w:numId w:val="47"/>
        </w:numPr>
        <w:jc w:val="both"/>
        <w:rPr>
          <w:i/>
          <w:sz w:val="24"/>
        </w:rPr>
      </w:pPr>
      <w:r w:rsidRPr="000759B9">
        <w:rPr>
          <w:i/>
          <w:sz w:val="24"/>
        </w:rPr>
        <w:t>Мероприятия по профессиональному развитию персонала учебных офисов (</w:t>
      </w:r>
      <w:r w:rsidR="0087206F" w:rsidRPr="000759B9">
        <w:rPr>
          <w:i/>
          <w:sz w:val="24"/>
        </w:rPr>
        <w:t xml:space="preserve">должно быть </w:t>
      </w:r>
      <w:r w:rsidRPr="000759B9">
        <w:rPr>
          <w:i/>
          <w:sz w:val="24"/>
        </w:rPr>
        <w:t>проведено не менее 6)</w:t>
      </w:r>
    </w:p>
    <w:p w:rsidR="00AD5E36" w:rsidRPr="000759B9" w:rsidRDefault="00AD5E36" w:rsidP="002B51DC">
      <w:pPr>
        <w:pStyle w:val="a5"/>
        <w:numPr>
          <w:ilvl w:val="1"/>
          <w:numId w:val="47"/>
        </w:numPr>
        <w:jc w:val="both"/>
        <w:rPr>
          <w:i/>
          <w:sz w:val="24"/>
        </w:rPr>
      </w:pPr>
      <w:r w:rsidRPr="000759B9">
        <w:rPr>
          <w:i/>
          <w:sz w:val="24"/>
        </w:rPr>
        <w:t xml:space="preserve">Внедрение системы регулярной оценки эффективности и </w:t>
      </w:r>
      <w:proofErr w:type="spellStart"/>
      <w:r w:rsidRPr="000759B9">
        <w:rPr>
          <w:i/>
          <w:sz w:val="24"/>
        </w:rPr>
        <w:t>клиентоориентированности</w:t>
      </w:r>
      <w:proofErr w:type="spellEnd"/>
      <w:r w:rsidRPr="000759B9">
        <w:rPr>
          <w:i/>
          <w:sz w:val="24"/>
        </w:rPr>
        <w:t xml:space="preserve"> административного и организационного сопровождения студентов</w:t>
      </w:r>
    </w:p>
    <w:p w:rsidR="003658EA" w:rsidRPr="000759B9" w:rsidRDefault="003658EA" w:rsidP="002B51DC">
      <w:pPr>
        <w:pStyle w:val="a5"/>
        <w:numPr>
          <w:ilvl w:val="1"/>
          <w:numId w:val="47"/>
        </w:numPr>
        <w:jc w:val="both"/>
        <w:rPr>
          <w:i/>
          <w:sz w:val="24"/>
        </w:rPr>
      </w:pPr>
      <w:r w:rsidRPr="000759B9">
        <w:rPr>
          <w:i/>
          <w:sz w:val="24"/>
        </w:rPr>
        <w:t>Распространение новых технологий (ИКТ, поддержки образовательного процесса) с помощью системы "</w:t>
      </w:r>
      <w:proofErr w:type="spellStart"/>
      <w:r w:rsidRPr="000759B9">
        <w:rPr>
          <w:i/>
          <w:sz w:val="24"/>
        </w:rPr>
        <w:t>тьюторов</w:t>
      </w:r>
      <w:proofErr w:type="spellEnd"/>
      <w:r w:rsidRPr="000759B9">
        <w:rPr>
          <w:i/>
          <w:sz w:val="24"/>
        </w:rPr>
        <w:t>" из числа учебно-вспомогательного персонала научно-образовательных подразделений (факультетов, департаментов, кафедр, институтов)</w:t>
      </w:r>
    </w:p>
    <w:p w:rsidR="003658EA" w:rsidRPr="000759B9" w:rsidRDefault="003658EA" w:rsidP="002B51DC">
      <w:pPr>
        <w:pStyle w:val="a5"/>
        <w:numPr>
          <w:ilvl w:val="0"/>
          <w:numId w:val="47"/>
        </w:numPr>
        <w:jc w:val="both"/>
        <w:rPr>
          <w:i/>
          <w:sz w:val="24"/>
        </w:rPr>
      </w:pPr>
      <w:r w:rsidRPr="000759B9">
        <w:rPr>
          <w:b/>
          <w:sz w:val="24"/>
        </w:rPr>
        <w:t>В рамках реализации проекта «Распространение знаний в области социального развития и повышение стандартов образования»</w:t>
      </w:r>
    </w:p>
    <w:p w:rsidR="003658EA" w:rsidRPr="000759B9" w:rsidRDefault="002D268E" w:rsidP="002B51DC">
      <w:pPr>
        <w:pStyle w:val="a5"/>
        <w:numPr>
          <w:ilvl w:val="1"/>
          <w:numId w:val="47"/>
        </w:numPr>
        <w:jc w:val="both"/>
        <w:rPr>
          <w:i/>
          <w:sz w:val="24"/>
        </w:rPr>
      </w:pPr>
      <w:r w:rsidRPr="000759B9">
        <w:rPr>
          <w:i/>
          <w:sz w:val="24"/>
        </w:rPr>
        <w:t>Разработка и продвижение открытых дистанционных курсов на платформах MOOC (</w:t>
      </w:r>
      <w:proofErr w:type="spellStart"/>
      <w:r w:rsidRPr="000759B9">
        <w:rPr>
          <w:i/>
          <w:sz w:val="24"/>
        </w:rPr>
        <w:t>Massive</w:t>
      </w:r>
      <w:proofErr w:type="spellEnd"/>
      <w:r w:rsidRPr="000759B9">
        <w:rPr>
          <w:i/>
          <w:sz w:val="24"/>
        </w:rPr>
        <w:t xml:space="preserve"> </w:t>
      </w:r>
      <w:proofErr w:type="spellStart"/>
      <w:r w:rsidRPr="000759B9">
        <w:rPr>
          <w:i/>
          <w:sz w:val="24"/>
        </w:rPr>
        <w:t>Open</w:t>
      </w:r>
      <w:proofErr w:type="spellEnd"/>
      <w:r w:rsidRPr="000759B9">
        <w:rPr>
          <w:i/>
          <w:sz w:val="24"/>
        </w:rPr>
        <w:t xml:space="preserve"> </w:t>
      </w:r>
      <w:proofErr w:type="spellStart"/>
      <w:r w:rsidRPr="000759B9">
        <w:rPr>
          <w:i/>
          <w:sz w:val="24"/>
        </w:rPr>
        <w:t>On-line</w:t>
      </w:r>
      <w:proofErr w:type="spellEnd"/>
      <w:r w:rsidRPr="000759B9">
        <w:rPr>
          <w:i/>
          <w:sz w:val="24"/>
        </w:rPr>
        <w:t xml:space="preserve"> </w:t>
      </w:r>
      <w:proofErr w:type="spellStart"/>
      <w:r w:rsidRPr="000759B9">
        <w:rPr>
          <w:i/>
          <w:sz w:val="24"/>
        </w:rPr>
        <w:t>Courses</w:t>
      </w:r>
      <w:proofErr w:type="spellEnd"/>
      <w:r w:rsidRPr="000759B9">
        <w:rPr>
          <w:i/>
          <w:sz w:val="24"/>
        </w:rPr>
        <w:t xml:space="preserve">) (не менее 20 курсов </w:t>
      </w:r>
      <w:r w:rsidR="0087206F" w:rsidRPr="000759B9">
        <w:rPr>
          <w:i/>
          <w:sz w:val="24"/>
        </w:rPr>
        <w:t xml:space="preserve">должны быть </w:t>
      </w:r>
      <w:r w:rsidRPr="000759B9">
        <w:rPr>
          <w:i/>
          <w:sz w:val="24"/>
        </w:rPr>
        <w:t>запущены)</w:t>
      </w:r>
    </w:p>
    <w:p w:rsidR="002D268E" w:rsidRPr="000759B9" w:rsidRDefault="00FC0FA0" w:rsidP="002B51DC">
      <w:pPr>
        <w:pStyle w:val="a5"/>
        <w:numPr>
          <w:ilvl w:val="1"/>
          <w:numId w:val="47"/>
        </w:numPr>
        <w:jc w:val="both"/>
        <w:rPr>
          <w:i/>
          <w:sz w:val="24"/>
        </w:rPr>
      </w:pPr>
      <w:r w:rsidRPr="000759B9">
        <w:rPr>
          <w:i/>
          <w:sz w:val="24"/>
        </w:rPr>
        <w:t>Участие НИУ ВШЭ в разработке проектов ФГОС и примерных образовательных программ в соответствии с ФГОС по направлениям подготовки</w:t>
      </w:r>
      <w:r w:rsidR="0087206F" w:rsidRPr="000759B9">
        <w:rPr>
          <w:i/>
          <w:sz w:val="24"/>
        </w:rPr>
        <w:t xml:space="preserve"> (не менее 5)</w:t>
      </w:r>
    </w:p>
    <w:p w:rsidR="009B54E3" w:rsidRPr="000759B9" w:rsidRDefault="009B54E3" w:rsidP="002B51DC">
      <w:pPr>
        <w:pStyle w:val="a5"/>
        <w:numPr>
          <w:ilvl w:val="1"/>
          <w:numId w:val="47"/>
        </w:numPr>
        <w:jc w:val="both"/>
        <w:rPr>
          <w:i/>
          <w:sz w:val="24"/>
        </w:rPr>
      </w:pPr>
      <w:r w:rsidRPr="000759B9">
        <w:rPr>
          <w:i/>
          <w:sz w:val="24"/>
        </w:rPr>
        <w:t>Развитие механизмов профессионально-общественной аккредитации и независимой оценки качества образовательных программ в области экономики и управления.</w:t>
      </w:r>
    </w:p>
    <w:p w:rsidR="00925288" w:rsidRDefault="00925288">
      <w:r>
        <w:br w:type="page"/>
      </w:r>
    </w:p>
    <w:p w:rsidR="00D236BF" w:rsidRDefault="00925288" w:rsidP="00925288">
      <w:pPr>
        <w:pStyle w:val="1"/>
        <w:keepLines w:val="0"/>
        <w:spacing w:before="240" w:after="60" w:line="276" w:lineRule="auto"/>
        <w:rPr>
          <w:lang w:val="en-US"/>
        </w:rPr>
      </w:pPr>
      <w:bookmarkStart w:id="81" w:name="_Toc374030089"/>
      <w:r w:rsidRPr="00925288">
        <w:lastRenderedPageBreak/>
        <w:t xml:space="preserve">Приложения </w:t>
      </w:r>
      <w:r>
        <w:t>к отчету</w:t>
      </w:r>
      <w:bookmarkEnd w:id="81"/>
    </w:p>
    <w:p w:rsidR="00925288" w:rsidRDefault="00925288" w:rsidP="00925288">
      <w:pPr>
        <w:rPr>
          <w:lang w:val="en-US"/>
        </w:rPr>
      </w:pPr>
    </w:p>
    <w:tbl>
      <w:tblPr>
        <w:tblStyle w:val="aff9"/>
        <w:tblW w:w="10207" w:type="dxa"/>
        <w:tblInd w:w="-601" w:type="dxa"/>
        <w:tblLayout w:type="fixed"/>
        <w:tblLook w:val="04A0" w:firstRow="1" w:lastRow="0" w:firstColumn="1" w:lastColumn="0" w:noHBand="0" w:noVBand="1"/>
      </w:tblPr>
      <w:tblGrid>
        <w:gridCol w:w="928"/>
        <w:gridCol w:w="9279"/>
      </w:tblGrid>
      <w:tr w:rsidR="00925288" w:rsidRPr="00292172" w:rsidTr="00733484">
        <w:tc>
          <w:tcPr>
            <w:tcW w:w="709" w:type="dxa"/>
            <w:vAlign w:val="center"/>
          </w:tcPr>
          <w:p w:rsidR="00925288" w:rsidRPr="0080038D" w:rsidRDefault="00925288" w:rsidP="0080038D">
            <w:pPr>
              <w:rPr>
                <w:sz w:val="24"/>
                <w:szCs w:val="24"/>
              </w:rPr>
            </w:pPr>
            <w:r w:rsidRPr="0080038D">
              <w:rPr>
                <w:sz w:val="24"/>
                <w:szCs w:val="24"/>
              </w:rPr>
              <w:t xml:space="preserve">№ </w:t>
            </w:r>
            <w:proofErr w:type="spellStart"/>
            <w:proofErr w:type="gramStart"/>
            <w:r w:rsidRPr="0080038D">
              <w:rPr>
                <w:sz w:val="24"/>
                <w:szCs w:val="24"/>
              </w:rPr>
              <w:t>прил</w:t>
            </w:r>
            <w:proofErr w:type="spellEnd"/>
            <w:proofErr w:type="gramEnd"/>
          </w:p>
        </w:tc>
        <w:tc>
          <w:tcPr>
            <w:tcW w:w="7088" w:type="dxa"/>
            <w:vAlign w:val="center"/>
          </w:tcPr>
          <w:p w:rsidR="00925288" w:rsidRPr="0080038D" w:rsidRDefault="00925288" w:rsidP="0080038D">
            <w:pPr>
              <w:rPr>
                <w:sz w:val="24"/>
                <w:szCs w:val="24"/>
              </w:rPr>
            </w:pPr>
            <w:r w:rsidRPr="0080038D">
              <w:rPr>
                <w:sz w:val="24"/>
                <w:szCs w:val="24"/>
              </w:rPr>
              <w:t>Наименование приложения</w:t>
            </w:r>
          </w:p>
        </w:tc>
      </w:tr>
      <w:tr w:rsidR="00925288" w:rsidRPr="00292172" w:rsidTr="00733484">
        <w:tc>
          <w:tcPr>
            <w:tcW w:w="709" w:type="dxa"/>
          </w:tcPr>
          <w:p w:rsidR="00925288" w:rsidRPr="00292172" w:rsidRDefault="00925288" w:rsidP="002B51DC">
            <w:pPr>
              <w:pStyle w:val="a5"/>
              <w:numPr>
                <w:ilvl w:val="0"/>
                <w:numId w:val="49"/>
              </w:numPr>
              <w:spacing w:after="0" w:line="240" w:lineRule="auto"/>
              <w:ind w:left="317"/>
              <w:jc w:val="center"/>
              <w:rPr>
                <w:sz w:val="24"/>
                <w:szCs w:val="24"/>
              </w:rPr>
            </w:pPr>
          </w:p>
        </w:tc>
        <w:tc>
          <w:tcPr>
            <w:tcW w:w="7088" w:type="dxa"/>
          </w:tcPr>
          <w:p w:rsidR="00925288" w:rsidRPr="000120D0" w:rsidRDefault="00925288" w:rsidP="00733484">
            <w:pPr>
              <w:rPr>
                <w:sz w:val="24"/>
                <w:szCs w:val="24"/>
              </w:rPr>
            </w:pPr>
            <w:r w:rsidRPr="00292172">
              <w:rPr>
                <w:sz w:val="24"/>
                <w:szCs w:val="24"/>
              </w:rPr>
              <w:t>Перечень направлений подготовки, реализуемых в НИУ ВШЭ 2012-2013 учебн</w:t>
            </w:r>
            <w:r w:rsidR="000120D0">
              <w:rPr>
                <w:sz w:val="24"/>
                <w:szCs w:val="24"/>
              </w:rPr>
              <w:t>ом году (отдельно по кампусам)</w:t>
            </w:r>
          </w:p>
        </w:tc>
      </w:tr>
      <w:tr w:rsidR="00925288" w:rsidRPr="00292172" w:rsidTr="00733484">
        <w:tc>
          <w:tcPr>
            <w:tcW w:w="709" w:type="dxa"/>
          </w:tcPr>
          <w:p w:rsidR="00925288" w:rsidRPr="00292172" w:rsidRDefault="00925288" w:rsidP="002B51DC">
            <w:pPr>
              <w:pStyle w:val="a5"/>
              <w:numPr>
                <w:ilvl w:val="0"/>
                <w:numId w:val="49"/>
              </w:numPr>
              <w:spacing w:after="0" w:line="240" w:lineRule="auto"/>
              <w:ind w:left="317"/>
              <w:jc w:val="center"/>
              <w:rPr>
                <w:sz w:val="24"/>
                <w:szCs w:val="24"/>
              </w:rPr>
            </w:pPr>
          </w:p>
        </w:tc>
        <w:tc>
          <w:tcPr>
            <w:tcW w:w="7088" w:type="dxa"/>
          </w:tcPr>
          <w:p w:rsidR="00925288" w:rsidRPr="00292172" w:rsidRDefault="00925288" w:rsidP="00733484">
            <w:pPr>
              <w:rPr>
                <w:sz w:val="24"/>
                <w:szCs w:val="24"/>
              </w:rPr>
            </w:pPr>
            <w:r w:rsidRPr="00292172">
              <w:rPr>
                <w:sz w:val="24"/>
                <w:szCs w:val="24"/>
              </w:rPr>
              <w:t xml:space="preserve">Доля самостоятельной работы на факультетах и отделениях НИУ ВШЭ (Москва) и по филиалам университета за 2010/2011-2012/2013 учебные годы </w:t>
            </w:r>
          </w:p>
        </w:tc>
      </w:tr>
      <w:tr w:rsidR="00925288" w:rsidRPr="006C5065" w:rsidTr="00733484">
        <w:tc>
          <w:tcPr>
            <w:tcW w:w="709" w:type="dxa"/>
          </w:tcPr>
          <w:p w:rsidR="00925288" w:rsidRPr="00292172" w:rsidRDefault="00925288" w:rsidP="002B51DC">
            <w:pPr>
              <w:pStyle w:val="a5"/>
              <w:numPr>
                <w:ilvl w:val="0"/>
                <w:numId w:val="49"/>
              </w:numPr>
              <w:spacing w:after="0" w:line="240" w:lineRule="auto"/>
              <w:ind w:left="317"/>
              <w:jc w:val="center"/>
              <w:rPr>
                <w:sz w:val="24"/>
                <w:szCs w:val="24"/>
              </w:rPr>
            </w:pPr>
          </w:p>
        </w:tc>
        <w:tc>
          <w:tcPr>
            <w:tcW w:w="7088" w:type="dxa"/>
          </w:tcPr>
          <w:p w:rsidR="00925288" w:rsidRPr="00C749FA" w:rsidRDefault="00925288" w:rsidP="00733484">
            <w:pPr>
              <w:rPr>
                <w:sz w:val="24"/>
                <w:szCs w:val="24"/>
              </w:rPr>
            </w:pPr>
            <w:r w:rsidRPr="00C749FA">
              <w:rPr>
                <w:sz w:val="24"/>
                <w:szCs w:val="24"/>
              </w:rPr>
              <w:t xml:space="preserve">Динамика размещения  программ учебных дисциплин </w:t>
            </w:r>
          </w:p>
          <w:p w:rsidR="00925288" w:rsidRPr="007F7E4F" w:rsidRDefault="00925288" w:rsidP="00733484">
            <w:pPr>
              <w:rPr>
                <w:sz w:val="24"/>
                <w:szCs w:val="24"/>
              </w:rPr>
            </w:pPr>
            <w:r w:rsidRPr="00C749FA">
              <w:rPr>
                <w:sz w:val="24"/>
                <w:szCs w:val="24"/>
              </w:rPr>
              <w:t xml:space="preserve">за 2010/2011, 2011/2012 и 2012/2013 учебные годы </w:t>
            </w:r>
          </w:p>
        </w:tc>
      </w:tr>
      <w:tr w:rsidR="00925288" w:rsidRPr="00292172" w:rsidTr="00733484">
        <w:tc>
          <w:tcPr>
            <w:tcW w:w="709" w:type="dxa"/>
          </w:tcPr>
          <w:p w:rsidR="00925288" w:rsidRPr="00292172" w:rsidRDefault="00925288" w:rsidP="002B51DC">
            <w:pPr>
              <w:pStyle w:val="a5"/>
              <w:numPr>
                <w:ilvl w:val="0"/>
                <w:numId w:val="49"/>
              </w:numPr>
              <w:spacing w:after="0" w:line="240" w:lineRule="auto"/>
              <w:ind w:left="317"/>
              <w:jc w:val="center"/>
              <w:rPr>
                <w:sz w:val="24"/>
                <w:szCs w:val="24"/>
              </w:rPr>
            </w:pPr>
          </w:p>
        </w:tc>
        <w:tc>
          <w:tcPr>
            <w:tcW w:w="7088" w:type="dxa"/>
          </w:tcPr>
          <w:p w:rsidR="00925288" w:rsidRPr="00292172" w:rsidRDefault="00925288" w:rsidP="00733484">
            <w:pPr>
              <w:rPr>
                <w:sz w:val="24"/>
                <w:szCs w:val="24"/>
              </w:rPr>
            </w:pPr>
            <w:r w:rsidRPr="00292172">
              <w:rPr>
                <w:sz w:val="24"/>
                <w:szCs w:val="24"/>
              </w:rPr>
              <w:t xml:space="preserve">Контингент студентов на 1 октября 2013 года </w:t>
            </w:r>
          </w:p>
        </w:tc>
      </w:tr>
      <w:tr w:rsidR="00925288" w:rsidRPr="00292172" w:rsidTr="00733484">
        <w:tc>
          <w:tcPr>
            <w:tcW w:w="709" w:type="dxa"/>
          </w:tcPr>
          <w:p w:rsidR="00925288" w:rsidRPr="00292172" w:rsidRDefault="00925288" w:rsidP="002B51DC">
            <w:pPr>
              <w:pStyle w:val="a5"/>
              <w:numPr>
                <w:ilvl w:val="0"/>
                <w:numId w:val="49"/>
              </w:numPr>
              <w:spacing w:after="0" w:line="240" w:lineRule="auto"/>
              <w:ind w:left="317"/>
              <w:jc w:val="center"/>
              <w:rPr>
                <w:sz w:val="24"/>
                <w:szCs w:val="24"/>
              </w:rPr>
            </w:pPr>
          </w:p>
        </w:tc>
        <w:tc>
          <w:tcPr>
            <w:tcW w:w="7088" w:type="dxa"/>
          </w:tcPr>
          <w:p w:rsidR="00925288" w:rsidRPr="00292172" w:rsidRDefault="00925288" w:rsidP="00733484">
            <w:pPr>
              <w:rPr>
                <w:sz w:val="24"/>
                <w:szCs w:val="24"/>
              </w:rPr>
            </w:pPr>
            <w:r w:rsidRPr="00292172">
              <w:rPr>
                <w:sz w:val="24"/>
                <w:szCs w:val="24"/>
              </w:rPr>
              <w:t xml:space="preserve">Успеваемость студентов после пересдач по факультетам и курсам за 1-ый и 2-ой семестры 2012-2013 учебного года </w:t>
            </w:r>
          </w:p>
        </w:tc>
      </w:tr>
      <w:tr w:rsidR="00925288" w:rsidRPr="00292172" w:rsidTr="00733484">
        <w:tc>
          <w:tcPr>
            <w:tcW w:w="709" w:type="dxa"/>
          </w:tcPr>
          <w:p w:rsidR="00925288" w:rsidRPr="00292172" w:rsidRDefault="00925288" w:rsidP="002B51DC">
            <w:pPr>
              <w:pStyle w:val="a5"/>
              <w:numPr>
                <w:ilvl w:val="0"/>
                <w:numId w:val="49"/>
              </w:numPr>
              <w:spacing w:after="0" w:line="240" w:lineRule="auto"/>
              <w:ind w:left="317"/>
              <w:jc w:val="center"/>
              <w:rPr>
                <w:sz w:val="24"/>
                <w:szCs w:val="24"/>
              </w:rPr>
            </w:pPr>
          </w:p>
        </w:tc>
        <w:tc>
          <w:tcPr>
            <w:tcW w:w="7088" w:type="dxa"/>
          </w:tcPr>
          <w:p w:rsidR="00925288" w:rsidRPr="00292172" w:rsidRDefault="00925288" w:rsidP="00733484">
            <w:pPr>
              <w:rPr>
                <w:sz w:val="24"/>
                <w:szCs w:val="24"/>
              </w:rPr>
            </w:pPr>
            <w:r>
              <w:rPr>
                <w:sz w:val="24"/>
                <w:szCs w:val="24"/>
              </w:rPr>
              <w:t>Отчисления студентов в целом по НИУ ВШЭ</w:t>
            </w:r>
            <w:r w:rsidRPr="00292172">
              <w:rPr>
                <w:sz w:val="24"/>
                <w:szCs w:val="24"/>
              </w:rPr>
              <w:t xml:space="preserve"> </w:t>
            </w:r>
          </w:p>
        </w:tc>
      </w:tr>
      <w:tr w:rsidR="00925288" w:rsidRPr="00292172" w:rsidTr="00733484">
        <w:tc>
          <w:tcPr>
            <w:tcW w:w="709" w:type="dxa"/>
          </w:tcPr>
          <w:p w:rsidR="00925288" w:rsidRPr="00292172" w:rsidRDefault="00925288" w:rsidP="002B51DC">
            <w:pPr>
              <w:pStyle w:val="a5"/>
              <w:numPr>
                <w:ilvl w:val="0"/>
                <w:numId w:val="49"/>
              </w:numPr>
              <w:spacing w:after="0" w:line="240" w:lineRule="auto"/>
              <w:ind w:left="317"/>
              <w:jc w:val="center"/>
              <w:rPr>
                <w:sz w:val="24"/>
                <w:szCs w:val="24"/>
              </w:rPr>
            </w:pPr>
          </w:p>
        </w:tc>
        <w:tc>
          <w:tcPr>
            <w:tcW w:w="7088" w:type="dxa"/>
          </w:tcPr>
          <w:p w:rsidR="00925288" w:rsidRPr="00292172" w:rsidRDefault="00925288" w:rsidP="00733484">
            <w:pPr>
              <w:rPr>
                <w:sz w:val="24"/>
                <w:szCs w:val="24"/>
              </w:rPr>
            </w:pPr>
            <w:r w:rsidRPr="00292172">
              <w:rPr>
                <w:sz w:val="24"/>
                <w:szCs w:val="24"/>
              </w:rPr>
              <w:t xml:space="preserve">Отчисление студентов </w:t>
            </w:r>
            <w:r>
              <w:rPr>
                <w:sz w:val="24"/>
                <w:szCs w:val="24"/>
              </w:rPr>
              <w:t xml:space="preserve">по курсам и факультетам </w:t>
            </w:r>
            <w:r w:rsidRPr="00292172">
              <w:rPr>
                <w:sz w:val="24"/>
                <w:szCs w:val="24"/>
              </w:rPr>
              <w:t xml:space="preserve"> </w:t>
            </w:r>
          </w:p>
        </w:tc>
      </w:tr>
      <w:tr w:rsidR="00925288" w:rsidRPr="00292172" w:rsidTr="00733484">
        <w:tc>
          <w:tcPr>
            <w:tcW w:w="709" w:type="dxa"/>
          </w:tcPr>
          <w:p w:rsidR="00925288" w:rsidRPr="00292172" w:rsidRDefault="00925288" w:rsidP="002B51DC">
            <w:pPr>
              <w:pStyle w:val="a5"/>
              <w:numPr>
                <w:ilvl w:val="0"/>
                <w:numId w:val="49"/>
              </w:numPr>
              <w:spacing w:after="0" w:line="240" w:lineRule="auto"/>
              <w:ind w:left="317"/>
              <w:jc w:val="center"/>
              <w:rPr>
                <w:sz w:val="24"/>
                <w:szCs w:val="24"/>
              </w:rPr>
            </w:pPr>
          </w:p>
        </w:tc>
        <w:tc>
          <w:tcPr>
            <w:tcW w:w="7088" w:type="dxa"/>
          </w:tcPr>
          <w:p w:rsidR="00925288" w:rsidRPr="00292172" w:rsidRDefault="00925288" w:rsidP="00733484">
            <w:pPr>
              <w:rPr>
                <w:sz w:val="24"/>
                <w:szCs w:val="24"/>
              </w:rPr>
            </w:pPr>
            <w:r w:rsidRPr="00482936">
              <w:rPr>
                <w:sz w:val="24"/>
                <w:szCs w:val="24"/>
              </w:rPr>
              <w:t>Переход студентов на обучение по ИУП в 2012-2013 учебном году</w:t>
            </w:r>
            <w:r w:rsidRPr="00292172">
              <w:rPr>
                <w:sz w:val="24"/>
                <w:szCs w:val="24"/>
              </w:rPr>
              <w:t xml:space="preserve"> </w:t>
            </w:r>
          </w:p>
        </w:tc>
      </w:tr>
      <w:tr w:rsidR="00925288" w:rsidRPr="00292172" w:rsidTr="00733484">
        <w:tc>
          <w:tcPr>
            <w:tcW w:w="709" w:type="dxa"/>
          </w:tcPr>
          <w:p w:rsidR="00925288" w:rsidRPr="00292172" w:rsidRDefault="00925288" w:rsidP="002B51DC">
            <w:pPr>
              <w:pStyle w:val="a5"/>
              <w:numPr>
                <w:ilvl w:val="0"/>
                <w:numId w:val="49"/>
              </w:numPr>
              <w:spacing w:after="0" w:line="240" w:lineRule="auto"/>
              <w:ind w:left="317"/>
              <w:jc w:val="center"/>
              <w:rPr>
                <w:sz w:val="24"/>
                <w:szCs w:val="24"/>
              </w:rPr>
            </w:pPr>
          </w:p>
        </w:tc>
        <w:tc>
          <w:tcPr>
            <w:tcW w:w="7088" w:type="dxa"/>
          </w:tcPr>
          <w:p w:rsidR="00925288" w:rsidRPr="00292172" w:rsidRDefault="00925288" w:rsidP="00733484">
            <w:pPr>
              <w:rPr>
                <w:sz w:val="24"/>
                <w:szCs w:val="24"/>
              </w:rPr>
            </w:pPr>
            <w:r w:rsidRPr="00292172">
              <w:rPr>
                <w:sz w:val="24"/>
                <w:szCs w:val="24"/>
              </w:rPr>
              <w:t xml:space="preserve">Перевод студентов НИУ ВШЭ (бакалавры) внутри университета с 01.10.2013 по 01.10.2013 (по кампусам) </w:t>
            </w:r>
          </w:p>
        </w:tc>
      </w:tr>
      <w:tr w:rsidR="00925288" w:rsidRPr="00292172" w:rsidTr="00733484">
        <w:tc>
          <w:tcPr>
            <w:tcW w:w="709" w:type="dxa"/>
          </w:tcPr>
          <w:p w:rsidR="00925288" w:rsidRPr="00292172" w:rsidRDefault="00925288" w:rsidP="002B51DC">
            <w:pPr>
              <w:pStyle w:val="a5"/>
              <w:numPr>
                <w:ilvl w:val="0"/>
                <w:numId w:val="49"/>
              </w:numPr>
              <w:spacing w:after="0" w:line="240" w:lineRule="auto"/>
              <w:ind w:left="317"/>
              <w:jc w:val="center"/>
              <w:rPr>
                <w:sz w:val="24"/>
                <w:szCs w:val="24"/>
              </w:rPr>
            </w:pPr>
          </w:p>
        </w:tc>
        <w:tc>
          <w:tcPr>
            <w:tcW w:w="7088" w:type="dxa"/>
          </w:tcPr>
          <w:p w:rsidR="00925288" w:rsidRPr="00292172" w:rsidRDefault="00925288" w:rsidP="00733484">
            <w:pPr>
              <w:rPr>
                <w:sz w:val="24"/>
                <w:szCs w:val="24"/>
              </w:rPr>
            </w:pPr>
            <w:proofErr w:type="spellStart"/>
            <w:r w:rsidRPr="00292172">
              <w:rPr>
                <w:sz w:val="24"/>
                <w:szCs w:val="24"/>
              </w:rPr>
              <w:t>Перезачет</w:t>
            </w:r>
            <w:proofErr w:type="spellEnd"/>
            <w:r w:rsidRPr="00292172">
              <w:rPr>
                <w:sz w:val="24"/>
                <w:szCs w:val="24"/>
              </w:rPr>
              <w:t xml:space="preserve"> результатов международных сертификатов по английскому языку с 01.01.2013 по 01.10.2013 </w:t>
            </w:r>
          </w:p>
        </w:tc>
      </w:tr>
      <w:tr w:rsidR="00925288" w:rsidRPr="00292172" w:rsidTr="00733484">
        <w:tc>
          <w:tcPr>
            <w:tcW w:w="709" w:type="dxa"/>
          </w:tcPr>
          <w:p w:rsidR="00925288" w:rsidRPr="00292172" w:rsidRDefault="00925288" w:rsidP="002B51DC">
            <w:pPr>
              <w:pStyle w:val="a5"/>
              <w:numPr>
                <w:ilvl w:val="0"/>
                <w:numId w:val="49"/>
              </w:numPr>
              <w:spacing w:after="0" w:line="240" w:lineRule="auto"/>
              <w:ind w:left="317"/>
              <w:jc w:val="center"/>
              <w:rPr>
                <w:sz w:val="24"/>
                <w:szCs w:val="24"/>
              </w:rPr>
            </w:pPr>
          </w:p>
        </w:tc>
        <w:tc>
          <w:tcPr>
            <w:tcW w:w="7088" w:type="dxa"/>
          </w:tcPr>
          <w:p w:rsidR="00925288" w:rsidRPr="00292172" w:rsidRDefault="00925288" w:rsidP="00733484">
            <w:pPr>
              <w:rPr>
                <w:sz w:val="24"/>
                <w:szCs w:val="24"/>
              </w:rPr>
            </w:pPr>
            <w:r w:rsidRPr="00292172">
              <w:rPr>
                <w:sz w:val="24"/>
                <w:szCs w:val="24"/>
              </w:rPr>
              <w:t xml:space="preserve">Сводные данные по выпуску студентов НИУ ВШЭ (включая МИЭМ НИУ ВШЭ и филиалы) в 2012/2013 учебном году </w:t>
            </w:r>
          </w:p>
        </w:tc>
      </w:tr>
      <w:tr w:rsidR="00925288" w:rsidRPr="00292172" w:rsidTr="00733484">
        <w:tc>
          <w:tcPr>
            <w:tcW w:w="709" w:type="dxa"/>
          </w:tcPr>
          <w:p w:rsidR="00925288" w:rsidRPr="00292172" w:rsidRDefault="00925288" w:rsidP="002B51DC">
            <w:pPr>
              <w:pStyle w:val="a5"/>
              <w:numPr>
                <w:ilvl w:val="0"/>
                <w:numId w:val="49"/>
              </w:numPr>
              <w:spacing w:after="0" w:line="240" w:lineRule="auto"/>
              <w:ind w:left="317"/>
              <w:jc w:val="center"/>
              <w:rPr>
                <w:sz w:val="24"/>
                <w:szCs w:val="24"/>
              </w:rPr>
            </w:pPr>
          </w:p>
        </w:tc>
        <w:tc>
          <w:tcPr>
            <w:tcW w:w="7088" w:type="dxa"/>
          </w:tcPr>
          <w:p w:rsidR="00925288" w:rsidRPr="00292172" w:rsidRDefault="00925288" w:rsidP="00733484">
            <w:pPr>
              <w:rPr>
                <w:sz w:val="24"/>
                <w:szCs w:val="24"/>
              </w:rPr>
            </w:pPr>
            <w:r w:rsidRPr="00292172">
              <w:rPr>
                <w:sz w:val="24"/>
                <w:szCs w:val="24"/>
              </w:rPr>
              <w:t xml:space="preserve">Сводные данные по результатам сдачи итогового государственного экзамена (включая МИЭМ НИУ ВШЭ и филиалы) в 2012/2013 учебном году </w:t>
            </w:r>
          </w:p>
        </w:tc>
      </w:tr>
      <w:tr w:rsidR="00925288" w:rsidRPr="00292172" w:rsidTr="00733484">
        <w:tc>
          <w:tcPr>
            <w:tcW w:w="709" w:type="dxa"/>
          </w:tcPr>
          <w:p w:rsidR="00925288" w:rsidRPr="00292172" w:rsidRDefault="00925288" w:rsidP="002B51DC">
            <w:pPr>
              <w:pStyle w:val="a5"/>
              <w:numPr>
                <w:ilvl w:val="0"/>
                <w:numId w:val="49"/>
              </w:numPr>
              <w:spacing w:after="0" w:line="240" w:lineRule="auto"/>
              <w:ind w:left="317"/>
              <w:jc w:val="center"/>
              <w:rPr>
                <w:sz w:val="24"/>
                <w:szCs w:val="24"/>
              </w:rPr>
            </w:pPr>
          </w:p>
        </w:tc>
        <w:tc>
          <w:tcPr>
            <w:tcW w:w="7088" w:type="dxa"/>
          </w:tcPr>
          <w:p w:rsidR="00925288" w:rsidRPr="00292172" w:rsidRDefault="00925288" w:rsidP="00733484">
            <w:pPr>
              <w:rPr>
                <w:sz w:val="24"/>
                <w:szCs w:val="24"/>
              </w:rPr>
            </w:pPr>
            <w:r w:rsidRPr="00292172">
              <w:rPr>
                <w:sz w:val="24"/>
                <w:szCs w:val="24"/>
              </w:rPr>
              <w:t xml:space="preserve">Сводные данные по результатам защит выпускных квалификационных работ в НИУ ВШЭ (включая МИЭМ НИУ ВШЭ и филиалы) в 2012/2013 учебном году </w:t>
            </w:r>
          </w:p>
        </w:tc>
      </w:tr>
      <w:tr w:rsidR="00925288" w:rsidRPr="00292172" w:rsidTr="00733484">
        <w:tc>
          <w:tcPr>
            <w:tcW w:w="709" w:type="dxa"/>
          </w:tcPr>
          <w:p w:rsidR="00925288" w:rsidRPr="00292172" w:rsidRDefault="00925288" w:rsidP="002B51DC">
            <w:pPr>
              <w:pStyle w:val="a5"/>
              <w:numPr>
                <w:ilvl w:val="0"/>
                <w:numId w:val="49"/>
              </w:numPr>
              <w:spacing w:after="0" w:line="240" w:lineRule="auto"/>
              <w:ind w:left="317"/>
              <w:jc w:val="center"/>
              <w:rPr>
                <w:sz w:val="24"/>
                <w:szCs w:val="24"/>
              </w:rPr>
            </w:pPr>
          </w:p>
        </w:tc>
        <w:tc>
          <w:tcPr>
            <w:tcW w:w="7088" w:type="dxa"/>
          </w:tcPr>
          <w:p w:rsidR="00925288" w:rsidRPr="00292172" w:rsidRDefault="00925288" w:rsidP="00733484">
            <w:pPr>
              <w:rPr>
                <w:sz w:val="24"/>
                <w:szCs w:val="24"/>
              </w:rPr>
            </w:pPr>
            <w:r w:rsidRPr="00292172">
              <w:rPr>
                <w:sz w:val="24"/>
                <w:szCs w:val="24"/>
              </w:rPr>
              <w:t xml:space="preserve">Отчёт Компании РЕСМАРК о проведении маркетингового исследования «ОПРОС РАБОТОДАТЕЛЕЙ ВЫПУСКНИКОВ НИУ ВШЭ» </w:t>
            </w:r>
          </w:p>
        </w:tc>
      </w:tr>
      <w:tr w:rsidR="00925288" w:rsidRPr="00292172" w:rsidTr="00733484">
        <w:tc>
          <w:tcPr>
            <w:tcW w:w="709" w:type="dxa"/>
          </w:tcPr>
          <w:p w:rsidR="00925288" w:rsidRPr="00292172" w:rsidRDefault="00925288" w:rsidP="002B51DC">
            <w:pPr>
              <w:pStyle w:val="a5"/>
              <w:numPr>
                <w:ilvl w:val="0"/>
                <w:numId w:val="49"/>
              </w:numPr>
              <w:spacing w:after="0" w:line="240" w:lineRule="auto"/>
              <w:ind w:left="317"/>
              <w:jc w:val="center"/>
              <w:rPr>
                <w:sz w:val="24"/>
                <w:szCs w:val="24"/>
              </w:rPr>
            </w:pPr>
          </w:p>
        </w:tc>
        <w:tc>
          <w:tcPr>
            <w:tcW w:w="7088" w:type="dxa"/>
          </w:tcPr>
          <w:p w:rsidR="00925288" w:rsidRPr="00292172" w:rsidRDefault="00925288" w:rsidP="00733484">
            <w:pPr>
              <w:rPr>
                <w:sz w:val="24"/>
                <w:szCs w:val="24"/>
              </w:rPr>
            </w:pPr>
            <w:r w:rsidRPr="00292172">
              <w:rPr>
                <w:sz w:val="24"/>
                <w:szCs w:val="24"/>
              </w:rPr>
              <w:t xml:space="preserve">Информация о неодобрительных обращениях, оставленных на горячей линии «Выразительная кнопка». Обратная связь </w:t>
            </w:r>
          </w:p>
        </w:tc>
      </w:tr>
      <w:tr w:rsidR="00925288" w:rsidRPr="00292172" w:rsidTr="00733484">
        <w:tc>
          <w:tcPr>
            <w:tcW w:w="709" w:type="dxa"/>
          </w:tcPr>
          <w:p w:rsidR="00925288" w:rsidRPr="00292172" w:rsidRDefault="00925288" w:rsidP="002B51DC">
            <w:pPr>
              <w:pStyle w:val="a5"/>
              <w:numPr>
                <w:ilvl w:val="0"/>
                <w:numId w:val="49"/>
              </w:numPr>
              <w:spacing w:after="0" w:line="240" w:lineRule="auto"/>
              <w:ind w:left="317"/>
              <w:jc w:val="center"/>
              <w:rPr>
                <w:sz w:val="24"/>
                <w:szCs w:val="24"/>
              </w:rPr>
            </w:pPr>
          </w:p>
        </w:tc>
        <w:tc>
          <w:tcPr>
            <w:tcW w:w="7088" w:type="dxa"/>
          </w:tcPr>
          <w:p w:rsidR="00925288" w:rsidRPr="0080038D" w:rsidRDefault="00925288" w:rsidP="00733484">
            <w:pPr>
              <w:rPr>
                <w:sz w:val="24"/>
                <w:szCs w:val="24"/>
              </w:rPr>
            </w:pPr>
            <w:r w:rsidRPr="0080038D">
              <w:rPr>
                <w:sz w:val="24"/>
                <w:szCs w:val="24"/>
              </w:rPr>
              <w:t xml:space="preserve">Характеристика профессорско-преподавательского состава НИУ ВШЭ (Москва и филиалы) </w:t>
            </w:r>
          </w:p>
        </w:tc>
      </w:tr>
      <w:tr w:rsidR="00925288" w:rsidRPr="00264D80" w:rsidTr="00733484">
        <w:tc>
          <w:tcPr>
            <w:tcW w:w="709" w:type="dxa"/>
          </w:tcPr>
          <w:p w:rsidR="00925288" w:rsidRPr="00292172" w:rsidRDefault="00925288" w:rsidP="002B51DC">
            <w:pPr>
              <w:pStyle w:val="a5"/>
              <w:numPr>
                <w:ilvl w:val="0"/>
                <w:numId w:val="49"/>
              </w:numPr>
              <w:spacing w:after="0" w:line="240" w:lineRule="auto"/>
              <w:ind w:left="317"/>
              <w:jc w:val="center"/>
              <w:rPr>
                <w:sz w:val="24"/>
                <w:szCs w:val="24"/>
              </w:rPr>
            </w:pPr>
          </w:p>
        </w:tc>
        <w:tc>
          <w:tcPr>
            <w:tcW w:w="7088" w:type="dxa"/>
          </w:tcPr>
          <w:p w:rsidR="00925288" w:rsidRPr="0080038D" w:rsidRDefault="00925288" w:rsidP="00733484">
            <w:pPr>
              <w:rPr>
                <w:sz w:val="24"/>
                <w:szCs w:val="24"/>
              </w:rPr>
            </w:pPr>
            <w:r w:rsidRPr="0080038D">
              <w:rPr>
                <w:sz w:val="24"/>
                <w:szCs w:val="24"/>
              </w:rPr>
              <w:t xml:space="preserve">Сводный отчет о выполнении учебной нагрузки профессорско-преподавательского состава в 2012/2013 учебном году </w:t>
            </w:r>
          </w:p>
        </w:tc>
      </w:tr>
    </w:tbl>
    <w:p w:rsidR="00925288" w:rsidRPr="00925288" w:rsidRDefault="00925288" w:rsidP="00925288"/>
    <w:p w:rsidR="00C01B75" w:rsidRPr="00C01B75" w:rsidRDefault="00D236BF" w:rsidP="00D236BF">
      <w:pPr>
        <w:spacing w:after="200" w:line="276" w:lineRule="auto"/>
        <w:jc w:val="both"/>
      </w:pPr>
      <w:r>
        <w:t xml:space="preserve"> </w:t>
      </w:r>
    </w:p>
    <w:p w:rsidR="00132386" w:rsidRDefault="00132386" w:rsidP="00D236BF">
      <w:pPr>
        <w:spacing w:after="200" w:line="276" w:lineRule="auto"/>
        <w:jc w:val="both"/>
      </w:pPr>
    </w:p>
    <w:sectPr w:rsidR="00132386" w:rsidSect="00B2101F">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E3F" w:rsidRDefault="00A04E3F" w:rsidP="00A112F1">
      <w:r>
        <w:separator/>
      </w:r>
    </w:p>
  </w:endnote>
  <w:endnote w:type="continuationSeparator" w:id="0">
    <w:p w:rsidR="00A04E3F" w:rsidRDefault="00A04E3F" w:rsidP="00A11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Lucida Grande CY">
    <w:altName w:val="Times New Roman"/>
    <w:charset w:val="59"/>
    <w:family w:val="auto"/>
    <w:pitch w:val="variable"/>
    <w:sig w:usb0="00000000" w:usb1="5000A1FF" w:usb2="00000000" w:usb3="00000000" w:csb0="000001B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E3F" w:rsidRDefault="00A04E3F" w:rsidP="00A112F1">
      <w:r>
        <w:separator/>
      </w:r>
    </w:p>
  </w:footnote>
  <w:footnote w:type="continuationSeparator" w:id="0">
    <w:p w:rsidR="00A04E3F" w:rsidRDefault="00A04E3F" w:rsidP="00A112F1">
      <w:r>
        <w:continuationSeparator/>
      </w:r>
    </w:p>
  </w:footnote>
  <w:footnote w:id="1">
    <w:p w:rsidR="007909E4" w:rsidRPr="004E137D" w:rsidRDefault="007909E4" w:rsidP="00C25BAF">
      <w:pPr>
        <w:pStyle w:val="af2"/>
        <w:rPr>
          <w:rFonts w:asciiTheme="majorHAnsi" w:hAnsiTheme="majorHAnsi"/>
        </w:rPr>
      </w:pPr>
      <w:r w:rsidRPr="004E137D">
        <w:rPr>
          <w:rStyle w:val="ac"/>
          <w:rFonts w:asciiTheme="majorHAnsi" w:hAnsiTheme="majorHAnsi"/>
        </w:rPr>
        <w:footnoteRef/>
      </w:r>
      <w:r w:rsidRPr="004E137D">
        <w:rPr>
          <w:rFonts w:asciiTheme="majorHAnsi" w:hAnsiTheme="majorHAnsi"/>
        </w:rPr>
        <w:t xml:space="preserve"> В данных учитывается разница направлений под</w:t>
      </w:r>
      <w:r>
        <w:rPr>
          <w:rFonts w:asciiTheme="majorHAnsi" w:hAnsiTheme="majorHAnsi"/>
        </w:rPr>
        <w:t>готовки, реализуемых по образова</w:t>
      </w:r>
      <w:r w:rsidRPr="004E137D">
        <w:rPr>
          <w:rFonts w:asciiTheme="majorHAnsi" w:hAnsiTheme="majorHAnsi"/>
        </w:rPr>
        <w:t>тельным стандартам разных поколений (имеющим разные коды).</w:t>
      </w:r>
    </w:p>
  </w:footnote>
  <w:footnote w:id="2">
    <w:p w:rsidR="007909E4" w:rsidRDefault="007909E4">
      <w:pPr>
        <w:pStyle w:val="af2"/>
      </w:pPr>
      <w:r>
        <w:rPr>
          <w:rStyle w:val="ac"/>
        </w:rPr>
        <w:footnoteRef/>
      </w:r>
      <w:r>
        <w:t xml:space="preserve"> Данные даются с учетом </w:t>
      </w:r>
      <w:proofErr w:type="gramStart"/>
      <w:r>
        <w:t>присоединившегося</w:t>
      </w:r>
      <w:proofErr w:type="gramEnd"/>
      <w:r>
        <w:t xml:space="preserve"> МИЭМ.</w:t>
      </w:r>
    </w:p>
  </w:footnote>
  <w:footnote w:id="3">
    <w:p w:rsidR="007909E4" w:rsidRPr="00115339" w:rsidRDefault="007909E4" w:rsidP="008421CC">
      <w:pPr>
        <w:rPr>
          <w:rFonts w:ascii="Times New Roman" w:hAnsi="Times New Roman"/>
          <w:sz w:val="20"/>
          <w:szCs w:val="20"/>
        </w:rPr>
      </w:pPr>
      <w:r w:rsidRPr="00FD445B">
        <w:rPr>
          <w:rFonts w:ascii="Times New Roman" w:hAnsi="Times New Roman"/>
          <w:sz w:val="20"/>
          <w:szCs w:val="20"/>
          <w:vertAlign w:val="superscript"/>
        </w:rPr>
        <w:footnoteRef/>
      </w:r>
      <w:r w:rsidRPr="00115339">
        <w:rPr>
          <w:rFonts w:ascii="Times New Roman" w:hAnsi="Times New Roman"/>
          <w:sz w:val="20"/>
          <w:szCs w:val="20"/>
        </w:rPr>
        <w:t xml:space="preserve"> Самостоятельная работа может быть частично или полностью организована как проектная.</w:t>
      </w:r>
    </w:p>
  </w:footnote>
  <w:footnote w:id="4">
    <w:p w:rsidR="007909E4" w:rsidRDefault="007909E4">
      <w:pPr>
        <w:pStyle w:val="af2"/>
      </w:pPr>
      <w:r>
        <w:rPr>
          <w:rStyle w:val="ac"/>
        </w:rPr>
        <w:footnoteRef/>
      </w:r>
      <w:r>
        <w:t xml:space="preserve"> </w:t>
      </w:r>
      <w:r w:rsidRPr="00E96760">
        <w:rPr>
          <w:rFonts w:asciiTheme="majorHAnsi" w:hAnsiTheme="majorHAnsi"/>
        </w:rPr>
        <w:t>Ответственность за ввод данных о статусе программы учебной дисциплины в базе данных «Учебные курсы» несет заведующий кафедрой, за которой закреплена дисциплина</w:t>
      </w:r>
    </w:p>
  </w:footnote>
  <w:footnote w:id="5">
    <w:p w:rsidR="007909E4" w:rsidRPr="00F95747" w:rsidRDefault="007909E4" w:rsidP="00E96760">
      <w:pPr>
        <w:pStyle w:val="af2"/>
      </w:pPr>
      <w:r>
        <w:rPr>
          <w:rStyle w:val="ac"/>
        </w:rPr>
        <w:footnoteRef/>
      </w:r>
      <w:r>
        <w:t xml:space="preserve"> Данные приведены на конец </w:t>
      </w:r>
      <w:r w:rsidRPr="00EF63D1">
        <w:t xml:space="preserve"> 20</w:t>
      </w:r>
      <w:r>
        <w:t>1</w:t>
      </w:r>
      <w:r w:rsidRPr="00EF63D1">
        <w:t>0/201</w:t>
      </w:r>
      <w:r>
        <w:t>1,</w:t>
      </w:r>
      <w:r w:rsidRPr="00EF63D1">
        <w:t xml:space="preserve"> 201</w:t>
      </w:r>
      <w:r>
        <w:t>1</w:t>
      </w:r>
      <w:r w:rsidRPr="00EF63D1">
        <w:t>/201</w:t>
      </w:r>
      <w:r>
        <w:t>2, 2012/2013</w:t>
      </w:r>
      <w:r w:rsidRPr="00EF63D1">
        <w:t xml:space="preserve"> учебных лет на </w:t>
      </w:r>
      <w:proofErr w:type="gramStart"/>
      <w:r w:rsidRPr="00EF63D1">
        <w:t>основании</w:t>
      </w:r>
      <w:proofErr w:type="gramEnd"/>
      <w:r w:rsidRPr="00EF63D1">
        <w:t xml:space="preserve"> статистики базы данных «Учебные курсы» на портале университета</w:t>
      </w:r>
    </w:p>
  </w:footnote>
  <w:footnote w:id="6">
    <w:p w:rsidR="007909E4" w:rsidRPr="007B7BEF" w:rsidRDefault="007909E4" w:rsidP="00E96760">
      <w:pPr>
        <w:pStyle w:val="af2"/>
      </w:pPr>
      <w:r>
        <w:rPr>
          <w:rStyle w:val="ac"/>
        </w:rPr>
        <w:footnoteRef/>
      </w:r>
      <w:r w:rsidRPr="007B7BEF">
        <w:t xml:space="preserve"> </w:t>
      </w:r>
      <w:r>
        <w:t>Здесь и далее приведены данные по всем дисциплинам, без учета их выборности.</w:t>
      </w:r>
    </w:p>
  </w:footnote>
  <w:footnote w:id="7">
    <w:p w:rsidR="007909E4" w:rsidRDefault="007909E4" w:rsidP="00E04CAD">
      <w:pPr>
        <w:pStyle w:val="af2"/>
      </w:pPr>
      <w:r>
        <w:rPr>
          <w:rStyle w:val="ac"/>
        </w:rPr>
        <w:footnoteRef/>
      </w:r>
      <w:r>
        <w:t xml:space="preserve"> Эти факультеты имеют малочисленную магистратуру</w:t>
      </w:r>
    </w:p>
  </w:footnote>
  <w:footnote w:id="8">
    <w:p w:rsidR="007909E4" w:rsidRDefault="007909E4" w:rsidP="00E04CAD">
      <w:pPr>
        <w:pStyle w:val="af2"/>
      </w:pPr>
      <w:r>
        <w:rPr>
          <w:rStyle w:val="ac"/>
        </w:rPr>
        <w:footnoteRef/>
      </w:r>
      <w:r>
        <w:t xml:space="preserve"> Отделение имело на 2012/13 учебный год только два курса студентов</w:t>
      </w:r>
    </w:p>
  </w:footnote>
  <w:footnote w:id="9">
    <w:p w:rsidR="007909E4" w:rsidRDefault="007909E4" w:rsidP="000C28EF">
      <w:pPr>
        <w:pStyle w:val="af2"/>
      </w:pPr>
      <w:r>
        <w:rPr>
          <w:rStyle w:val="ac"/>
        </w:rPr>
        <w:footnoteRef/>
      </w:r>
      <w:r>
        <w:t xml:space="preserve"> Количество студентов, переведенных на места, финансируемые за счет средств государственного бюджета.</w:t>
      </w:r>
    </w:p>
  </w:footnote>
  <w:footnote w:id="10">
    <w:p w:rsidR="007909E4" w:rsidRDefault="007909E4" w:rsidP="000C28EF">
      <w:pPr>
        <w:pStyle w:val="af2"/>
      </w:pPr>
      <w:r>
        <w:rPr>
          <w:rStyle w:val="ac"/>
        </w:rPr>
        <w:footnoteRef/>
      </w:r>
      <w:r>
        <w:t xml:space="preserve"> Количество студентов, получивших 100% скидку на оплату обучения.</w:t>
      </w:r>
    </w:p>
  </w:footnote>
  <w:footnote w:id="11">
    <w:p w:rsidR="007909E4" w:rsidRDefault="007909E4" w:rsidP="000C28EF">
      <w:pPr>
        <w:pStyle w:val="af2"/>
      </w:pPr>
      <w:r>
        <w:rPr>
          <w:rStyle w:val="ac"/>
        </w:rPr>
        <w:footnoteRef/>
      </w:r>
      <w:r>
        <w:t xml:space="preserve"> </w:t>
      </w:r>
      <w:r w:rsidRPr="00E21AC8">
        <w:t>http://www.rg.ru/2013/07/25/minobrnauki-dok.html</w:t>
      </w:r>
    </w:p>
  </w:footnote>
  <w:footnote w:id="12">
    <w:p w:rsidR="007909E4" w:rsidRDefault="007909E4" w:rsidP="00436C74">
      <w:pPr>
        <w:pStyle w:val="af2"/>
        <w:jc w:val="both"/>
      </w:pPr>
      <w:r>
        <w:rPr>
          <w:rStyle w:val="ac"/>
        </w:rPr>
        <w:footnoteRef/>
      </w:r>
      <w:r>
        <w:t xml:space="preserve"> Приказ № 6.18.1-01/1601-03  от 16 января 2013 «</w:t>
      </w:r>
      <w:r w:rsidRPr="00DD4ABA">
        <w:t>Об утверждении новой редакции Положения об организации контроля знаний, об утверждении новой редакции Порядка отчисления студентов по инициативе Национального исследовательского университета «Высшая школа экономики»</w:t>
      </w:r>
      <w:r>
        <w:t xml:space="preserve">  </w:t>
      </w:r>
      <w:hyperlink r:id="rId1" w:history="1">
        <w:r w:rsidRPr="00933FB2">
          <w:rPr>
            <w:rStyle w:val="a4"/>
          </w:rPr>
          <w:t>http://www.hse.ru/docs/35010753.html</w:t>
        </w:r>
      </w:hyperlink>
      <w:r>
        <w:t xml:space="preserve"> </w:t>
      </w:r>
    </w:p>
  </w:footnote>
  <w:footnote w:id="13">
    <w:p w:rsidR="007909E4" w:rsidRDefault="007909E4" w:rsidP="00436C74">
      <w:pPr>
        <w:pStyle w:val="af2"/>
        <w:jc w:val="both"/>
      </w:pPr>
      <w:r>
        <w:rPr>
          <w:rStyle w:val="ac"/>
        </w:rPr>
        <w:footnoteRef/>
      </w:r>
      <w:r>
        <w:t xml:space="preserve"> В зависимости от времени проведения государственного экзамена по английскому языку.</w:t>
      </w:r>
    </w:p>
  </w:footnote>
  <w:footnote w:id="14">
    <w:p w:rsidR="007909E4" w:rsidRDefault="007909E4" w:rsidP="00436C74">
      <w:pPr>
        <w:pStyle w:val="af2"/>
        <w:jc w:val="both"/>
      </w:pPr>
      <w:r>
        <w:rPr>
          <w:rStyle w:val="ac"/>
        </w:rPr>
        <w:footnoteRef/>
      </w:r>
      <w:r>
        <w:t xml:space="preserve"> Студентам факультета мировой экономики и мировой политики </w:t>
      </w:r>
      <w:proofErr w:type="spellStart"/>
      <w:r>
        <w:t>перезачитывались</w:t>
      </w:r>
      <w:proofErr w:type="spellEnd"/>
      <w:r>
        <w:t xml:space="preserve"> результаты сертификата BEC </w:t>
      </w:r>
      <w:proofErr w:type="spellStart"/>
      <w:r>
        <w:t>Higher</w:t>
      </w:r>
      <w:proofErr w:type="spellEnd"/>
      <w:r>
        <w:t xml:space="preserve"> (</w:t>
      </w:r>
      <w:proofErr w:type="spellStart"/>
      <w:r>
        <w:t>Business</w:t>
      </w:r>
      <w:proofErr w:type="spellEnd"/>
      <w:r>
        <w:t xml:space="preserve"> </w:t>
      </w:r>
      <w:proofErr w:type="spellStart"/>
      <w:r>
        <w:t>English</w:t>
      </w:r>
      <w:proofErr w:type="spellEnd"/>
      <w:r>
        <w:t xml:space="preserve"> </w:t>
      </w:r>
      <w:proofErr w:type="spellStart"/>
      <w:r>
        <w:t>Certificate</w:t>
      </w:r>
      <w:proofErr w:type="spellEnd"/>
      <w:r>
        <w:t>).</w:t>
      </w:r>
    </w:p>
  </w:footnote>
  <w:footnote w:id="15">
    <w:p w:rsidR="007909E4" w:rsidRPr="002D10EF" w:rsidRDefault="007909E4" w:rsidP="00436C74">
      <w:pPr>
        <w:pStyle w:val="af2"/>
        <w:jc w:val="both"/>
      </w:pPr>
      <w:r>
        <w:rPr>
          <w:rStyle w:val="ac"/>
        </w:rPr>
        <w:footnoteRef/>
      </w:r>
      <w:r>
        <w:t xml:space="preserve"> </w:t>
      </w:r>
      <w:r>
        <w:rPr>
          <w:rStyle w:val="aff8"/>
        </w:rPr>
        <w:t>IELTS</w:t>
      </w:r>
      <w:r>
        <w:rPr>
          <w:rStyle w:val="st"/>
        </w:rPr>
        <w:t xml:space="preserve"> (англ. International </w:t>
      </w:r>
      <w:proofErr w:type="spellStart"/>
      <w:r>
        <w:rPr>
          <w:rStyle w:val="st"/>
        </w:rPr>
        <w:t>English</w:t>
      </w:r>
      <w:proofErr w:type="spellEnd"/>
      <w:r>
        <w:rPr>
          <w:rStyle w:val="st"/>
        </w:rPr>
        <w:t xml:space="preserve"> </w:t>
      </w:r>
      <w:proofErr w:type="spellStart"/>
      <w:r>
        <w:rPr>
          <w:rStyle w:val="st"/>
        </w:rPr>
        <w:t>Language</w:t>
      </w:r>
      <w:proofErr w:type="spellEnd"/>
      <w:r>
        <w:rPr>
          <w:rStyle w:val="st"/>
        </w:rPr>
        <w:t xml:space="preserve"> </w:t>
      </w:r>
      <w:proofErr w:type="spellStart"/>
      <w:r>
        <w:rPr>
          <w:rStyle w:val="st"/>
        </w:rPr>
        <w:t>Testing</w:t>
      </w:r>
      <w:proofErr w:type="spellEnd"/>
      <w:r>
        <w:rPr>
          <w:rStyle w:val="st"/>
        </w:rPr>
        <w:t xml:space="preserve"> </w:t>
      </w:r>
      <w:proofErr w:type="spellStart"/>
      <w:r>
        <w:rPr>
          <w:rStyle w:val="st"/>
        </w:rPr>
        <w:t>System</w:t>
      </w:r>
      <w:proofErr w:type="spellEnd"/>
      <w:r>
        <w:rPr>
          <w:rStyle w:val="st"/>
        </w:rPr>
        <w:t xml:space="preserve">) — международная система тестирования по английскому языку. </w:t>
      </w:r>
      <w:hyperlink r:id="rId2" w:history="1">
        <w:r w:rsidRPr="00CF32CA">
          <w:rPr>
            <w:rStyle w:val="a4"/>
            <w:lang w:val="en-US"/>
          </w:rPr>
          <w:t>http</w:t>
        </w:r>
        <w:r w:rsidRPr="002D10EF">
          <w:rPr>
            <w:rStyle w:val="a4"/>
          </w:rPr>
          <w:t>://</w:t>
        </w:r>
        <w:r w:rsidRPr="00CF32CA">
          <w:rPr>
            <w:rStyle w:val="a4"/>
            <w:lang w:val="en-US"/>
          </w:rPr>
          <w:t>www</w:t>
        </w:r>
        <w:r w:rsidRPr="002D10EF">
          <w:rPr>
            <w:rStyle w:val="a4"/>
          </w:rPr>
          <w:t>.</w:t>
        </w:r>
        <w:proofErr w:type="spellStart"/>
        <w:r w:rsidRPr="00CF32CA">
          <w:rPr>
            <w:rStyle w:val="a4"/>
            <w:lang w:val="en-US"/>
          </w:rPr>
          <w:t>ielts</w:t>
        </w:r>
        <w:proofErr w:type="spellEnd"/>
        <w:r w:rsidRPr="002D10EF">
          <w:rPr>
            <w:rStyle w:val="a4"/>
          </w:rPr>
          <w:t>.</w:t>
        </w:r>
        <w:r w:rsidRPr="00CF32CA">
          <w:rPr>
            <w:rStyle w:val="a4"/>
            <w:lang w:val="en-US"/>
          </w:rPr>
          <w:t>org</w:t>
        </w:r>
      </w:hyperlink>
      <w:r w:rsidRPr="002D10EF">
        <w:rPr>
          <w:rStyle w:val="st"/>
        </w:rPr>
        <w:t xml:space="preserve"> </w:t>
      </w:r>
    </w:p>
  </w:footnote>
  <w:footnote w:id="16">
    <w:p w:rsidR="007909E4" w:rsidRDefault="007909E4" w:rsidP="00436C74">
      <w:pPr>
        <w:pStyle w:val="af2"/>
        <w:jc w:val="both"/>
      </w:pPr>
      <w:r>
        <w:rPr>
          <w:rStyle w:val="ac"/>
        </w:rPr>
        <w:footnoteRef/>
      </w:r>
      <w:r w:rsidRPr="002D10EF">
        <w:t xml:space="preserve"> </w:t>
      </w:r>
      <w:r w:rsidRPr="00DD77E7">
        <w:rPr>
          <w:rStyle w:val="aff8"/>
          <w:lang w:val="en-US"/>
        </w:rPr>
        <w:t>TOEFL</w:t>
      </w:r>
      <w:r w:rsidRPr="002D10EF">
        <w:rPr>
          <w:rStyle w:val="st"/>
        </w:rPr>
        <w:t xml:space="preserve"> (</w:t>
      </w:r>
      <w:r>
        <w:rPr>
          <w:rStyle w:val="st"/>
        </w:rPr>
        <w:t>англ</w:t>
      </w:r>
      <w:r w:rsidRPr="002D10EF">
        <w:rPr>
          <w:rStyle w:val="st"/>
        </w:rPr>
        <w:t>.</w:t>
      </w:r>
      <w:r w:rsidRPr="00DD77E7">
        <w:rPr>
          <w:rStyle w:val="st"/>
          <w:lang w:val="en-US"/>
        </w:rPr>
        <w:t>Test</w:t>
      </w:r>
      <w:r w:rsidRPr="002D10EF">
        <w:rPr>
          <w:rStyle w:val="st"/>
        </w:rPr>
        <w:t xml:space="preserve"> </w:t>
      </w:r>
      <w:r w:rsidRPr="00DD77E7">
        <w:rPr>
          <w:rStyle w:val="st"/>
          <w:lang w:val="en-US"/>
        </w:rPr>
        <w:t>of</w:t>
      </w:r>
      <w:r w:rsidRPr="002D10EF">
        <w:rPr>
          <w:rStyle w:val="st"/>
        </w:rPr>
        <w:t xml:space="preserve"> </w:t>
      </w:r>
      <w:r w:rsidRPr="00DD77E7">
        <w:rPr>
          <w:rStyle w:val="st"/>
          <w:lang w:val="en-US"/>
        </w:rPr>
        <w:t>English</w:t>
      </w:r>
      <w:r w:rsidRPr="002D10EF">
        <w:rPr>
          <w:rStyle w:val="st"/>
        </w:rPr>
        <w:t xml:space="preserve"> </w:t>
      </w:r>
      <w:r w:rsidRPr="00DD77E7">
        <w:rPr>
          <w:rStyle w:val="st"/>
          <w:lang w:val="en-US"/>
        </w:rPr>
        <w:t>as</w:t>
      </w:r>
      <w:r w:rsidRPr="002D10EF">
        <w:rPr>
          <w:rStyle w:val="st"/>
        </w:rPr>
        <w:t xml:space="preserve"> </w:t>
      </w:r>
      <w:r w:rsidRPr="00DD77E7">
        <w:rPr>
          <w:rStyle w:val="st"/>
          <w:lang w:val="en-US"/>
        </w:rPr>
        <w:t>a</w:t>
      </w:r>
      <w:r w:rsidRPr="002D10EF">
        <w:rPr>
          <w:rStyle w:val="st"/>
        </w:rPr>
        <w:t xml:space="preserve"> </w:t>
      </w:r>
      <w:r w:rsidRPr="00DD77E7">
        <w:rPr>
          <w:rStyle w:val="st"/>
          <w:lang w:val="en-US"/>
        </w:rPr>
        <w:t>Foreign</w:t>
      </w:r>
      <w:r w:rsidRPr="002D10EF">
        <w:rPr>
          <w:rStyle w:val="st"/>
        </w:rPr>
        <w:t xml:space="preserve"> </w:t>
      </w:r>
      <w:r w:rsidRPr="00DD77E7">
        <w:rPr>
          <w:rStyle w:val="st"/>
          <w:lang w:val="en-US"/>
        </w:rPr>
        <w:t>Language</w:t>
      </w:r>
      <w:r w:rsidRPr="002D10EF">
        <w:rPr>
          <w:rStyle w:val="st"/>
        </w:rPr>
        <w:t xml:space="preserve">) - </w:t>
      </w:r>
      <w:r>
        <w:rPr>
          <w:rStyle w:val="st"/>
        </w:rPr>
        <w:t>тест</w:t>
      </w:r>
      <w:r w:rsidRPr="002D10EF">
        <w:rPr>
          <w:rStyle w:val="st"/>
        </w:rPr>
        <w:t xml:space="preserve"> </w:t>
      </w:r>
      <w:r>
        <w:rPr>
          <w:rStyle w:val="st"/>
        </w:rPr>
        <w:t>на</w:t>
      </w:r>
      <w:r w:rsidRPr="002D10EF">
        <w:rPr>
          <w:rStyle w:val="st"/>
        </w:rPr>
        <w:t xml:space="preserve"> </w:t>
      </w:r>
      <w:r>
        <w:rPr>
          <w:rStyle w:val="st"/>
        </w:rPr>
        <w:t>знание</w:t>
      </w:r>
      <w:r w:rsidRPr="002D10EF">
        <w:rPr>
          <w:rStyle w:val="st"/>
        </w:rPr>
        <w:t xml:space="preserve"> </w:t>
      </w:r>
      <w:r>
        <w:rPr>
          <w:rStyle w:val="st"/>
        </w:rPr>
        <w:t>английского</w:t>
      </w:r>
      <w:r w:rsidRPr="002D10EF">
        <w:rPr>
          <w:rStyle w:val="st"/>
        </w:rPr>
        <w:t xml:space="preserve"> </w:t>
      </w:r>
      <w:r>
        <w:rPr>
          <w:rStyle w:val="st"/>
        </w:rPr>
        <w:t>языка</w:t>
      </w:r>
      <w:r w:rsidRPr="002D10EF">
        <w:rPr>
          <w:rStyle w:val="st"/>
        </w:rPr>
        <w:t xml:space="preserve"> </w:t>
      </w:r>
      <w:r>
        <w:rPr>
          <w:rStyle w:val="st"/>
        </w:rPr>
        <w:t>как</w:t>
      </w:r>
      <w:r w:rsidRPr="002D10EF">
        <w:rPr>
          <w:rStyle w:val="st"/>
        </w:rPr>
        <w:t xml:space="preserve"> </w:t>
      </w:r>
      <w:r>
        <w:rPr>
          <w:rStyle w:val="st"/>
        </w:rPr>
        <w:t>иностранного</w:t>
      </w:r>
      <w:r w:rsidRPr="002D10EF">
        <w:rPr>
          <w:rStyle w:val="st"/>
        </w:rPr>
        <w:t>.</w:t>
      </w:r>
      <w:r w:rsidRPr="002D10EF">
        <w:t xml:space="preserve">          </w:t>
      </w:r>
      <w:hyperlink r:id="rId3" w:history="1">
        <w:r w:rsidRPr="00933FB2">
          <w:rPr>
            <w:rStyle w:val="a4"/>
          </w:rPr>
          <w:t>http://www.ets.org/toefl</w:t>
        </w:r>
      </w:hyperlink>
      <w:r>
        <w:t xml:space="preserve"> </w:t>
      </w:r>
    </w:p>
  </w:footnote>
  <w:footnote w:id="17">
    <w:p w:rsidR="007909E4" w:rsidRDefault="007909E4" w:rsidP="00436C74">
      <w:pPr>
        <w:pStyle w:val="af2"/>
        <w:jc w:val="both"/>
      </w:pPr>
      <w:r>
        <w:rPr>
          <w:rStyle w:val="ac"/>
        </w:rPr>
        <w:footnoteRef/>
      </w:r>
      <w:r>
        <w:t xml:space="preserve"> </w:t>
      </w:r>
      <w:r>
        <w:rPr>
          <w:rStyle w:val="aff8"/>
        </w:rPr>
        <w:t>BEC</w:t>
      </w:r>
      <w:r>
        <w:rPr>
          <w:rStyle w:val="st"/>
        </w:rPr>
        <w:t xml:space="preserve"> (англ. </w:t>
      </w:r>
      <w:proofErr w:type="spellStart"/>
      <w:r>
        <w:rPr>
          <w:rStyle w:val="st"/>
        </w:rPr>
        <w:t>Business</w:t>
      </w:r>
      <w:proofErr w:type="spellEnd"/>
      <w:r>
        <w:rPr>
          <w:rStyle w:val="st"/>
        </w:rPr>
        <w:t xml:space="preserve"> </w:t>
      </w:r>
      <w:proofErr w:type="spellStart"/>
      <w:r>
        <w:rPr>
          <w:rStyle w:val="st"/>
        </w:rPr>
        <w:t>English</w:t>
      </w:r>
      <w:proofErr w:type="spellEnd"/>
      <w:r>
        <w:rPr>
          <w:rStyle w:val="st"/>
        </w:rPr>
        <w:t xml:space="preserve"> </w:t>
      </w:r>
      <w:proofErr w:type="spellStart"/>
      <w:r>
        <w:rPr>
          <w:rStyle w:val="st"/>
        </w:rPr>
        <w:t>Certificate</w:t>
      </w:r>
      <w:proofErr w:type="spellEnd"/>
      <w:r>
        <w:rPr>
          <w:rStyle w:val="st"/>
        </w:rPr>
        <w:t xml:space="preserve">) – экзамен Кембриджского университета, разработанные для сертификации навыков владения деловым английским. </w:t>
      </w:r>
      <w:hyperlink r:id="rId4" w:history="1">
        <w:r w:rsidRPr="00933FB2">
          <w:rPr>
            <w:rStyle w:val="a4"/>
          </w:rPr>
          <w:t>http://www.languagelink.ru/exams/bec</w:t>
        </w:r>
      </w:hyperlink>
      <w:r>
        <w:rPr>
          <w:rStyle w:val="st"/>
        </w:rPr>
        <w:t xml:space="preserve"> </w:t>
      </w:r>
    </w:p>
  </w:footnote>
  <w:footnote w:id="18">
    <w:p w:rsidR="007909E4" w:rsidRPr="002D10EF" w:rsidRDefault="007909E4" w:rsidP="00436C74">
      <w:pPr>
        <w:pStyle w:val="af2"/>
        <w:jc w:val="both"/>
      </w:pPr>
      <w:r>
        <w:rPr>
          <w:rStyle w:val="ac"/>
        </w:rPr>
        <w:footnoteRef/>
      </w:r>
      <w:r>
        <w:t xml:space="preserve"> </w:t>
      </w:r>
      <w:r>
        <w:rPr>
          <w:rStyle w:val="aff8"/>
        </w:rPr>
        <w:t>CAE</w:t>
      </w:r>
      <w:r>
        <w:rPr>
          <w:rStyle w:val="st"/>
        </w:rPr>
        <w:t xml:space="preserve"> (англ. </w:t>
      </w:r>
      <w:proofErr w:type="spellStart"/>
      <w:r>
        <w:rPr>
          <w:rStyle w:val="st"/>
        </w:rPr>
        <w:t>Certificate</w:t>
      </w:r>
      <w:proofErr w:type="spellEnd"/>
      <w:r>
        <w:rPr>
          <w:rStyle w:val="st"/>
        </w:rPr>
        <w:t xml:space="preserve"> </w:t>
      </w:r>
      <w:proofErr w:type="spellStart"/>
      <w:r>
        <w:rPr>
          <w:rStyle w:val="st"/>
        </w:rPr>
        <w:t>in</w:t>
      </w:r>
      <w:proofErr w:type="spellEnd"/>
      <w:r>
        <w:rPr>
          <w:rStyle w:val="st"/>
        </w:rPr>
        <w:t xml:space="preserve"> </w:t>
      </w:r>
      <w:proofErr w:type="spellStart"/>
      <w:r>
        <w:rPr>
          <w:rStyle w:val="st"/>
        </w:rPr>
        <w:t>Advanced</w:t>
      </w:r>
      <w:proofErr w:type="spellEnd"/>
      <w:r>
        <w:rPr>
          <w:rStyle w:val="st"/>
        </w:rPr>
        <w:t xml:space="preserve"> </w:t>
      </w:r>
      <w:proofErr w:type="spellStart"/>
      <w:r>
        <w:rPr>
          <w:rStyle w:val="st"/>
        </w:rPr>
        <w:t>English</w:t>
      </w:r>
      <w:proofErr w:type="spellEnd"/>
      <w:r>
        <w:rPr>
          <w:rStyle w:val="st"/>
        </w:rPr>
        <w:t xml:space="preserve">) - четвертая ступень Кембриджских экзаменов по общему английскому языку. </w:t>
      </w:r>
      <w:hyperlink r:id="rId5" w:history="1">
        <w:r w:rsidRPr="00015189">
          <w:rPr>
            <w:rStyle w:val="a4"/>
            <w:lang w:val="en-US"/>
          </w:rPr>
          <w:t>http</w:t>
        </w:r>
        <w:r w:rsidRPr="002D10EF">
          <w:rPr>
            <w:rStyle w:val="a4"/>
          </w:rPr>
          <w:t>://</w:t>
        </w:r>
        <w:r w:rsidRPr="00015189">
          <w:rPr>
            <w:rStyle w:val="a4"/>
            <w:lang w:val="en-US"/>
          </w:rPr>
          <w:t>www</w:t>
        </w:r>
        <w:r w:rsidRPr="002D10EF">
          <w:rPr>
            <w:rStyle w:val="a4"/>
          </w:rPr>
          <w:t>.</w:t>
        </w:r>
        <w:proofErr w:type="spellStart"/>
        <w:r w:rsidRPr="00015189">
          <w:rPr>
            <w:rStyle w:val="a4"/>
            <w:lang w:val="en-US"/>
          </w:rPr>
          <w:t>cambridgeenglish</w:t>
        </w:r>
        <w:proofErr w:type="spellEnd"/>
        <w:r w:rsidRPr="002D10EF">
          <w:rPr>
            <w:rStyle w:val="a4"/>
          </w:rPr>
          <w:t>.</w:t>
        </w:r>
        <w:r w:rsidRPr="00015189">
          <w:rPr>
            <w:rStyle w:val="a4"/>
            <w:lang w:val="en-US"/>
          </w:rPr>
          <w:t>org</w:t>
        </w:r>
        <w:r w:rsidRPr="002D10EF">
          <w:rPr>
            <w:rStyle w:val="a4"/>
          </w:rPr>
          <w:t>/</w:t>
        </w:r>
        <w:r w:rsidRPr="00015189">
          <w:rPr>
            <w:rStyle w:val="a4"/>
            <w:lang w:val="en-US"/>
          </w:rPr>
          <w:t>exams</w:t>
        </w:r>
        <w:r w:rsidRPr="002D10EF">
          <w:rPr>
            <w:rStyle w:val="a4"/>
          </w:rPr>
          <w:t>-</w:t>
        </w:r>
        <w:r w:rsidRPr="00015189">
          <w:rPr>
            <w:rStyle w:val="a4"/>
            <w:lang w:val="en-US"/>
          </w:rPr>
          <w:t>and</w:t>
        </w:r>
        <w:r w:rsidRPr="002D10EF">
          <w:rPr>
            <w:rStyle w:val="a4"/>
          </w:rPr>
          <w:t>-</w:t>
        </w:r>
        <w:r w:rsidRPr="00015189">
          <w:rPr>
            <w:rStyle w:val="a4"/>
            <w:lang w:val="en-US"/>
          </w:rPr>
          <w:t>qualifications</w:t>
        </w:r>
        <w:r w:rsidRPr="002D10EF">
          <w:rPr>
            <w:rStyle w:val="a4"/>
          </w:rPr>
          <w:t>/</w:t>
        </w:r>
        <w:r w:rsidRPr="00015189">
          <w:rPr>
            <w:rStyle w:val="a4"/>
            <w:lang w:val="en-US"/>
          </w:rPr>
          <w:t>advanced</w:t>
        </w:r>
      </w:hyperlink>
      <w:r w:rsidRPr="002D10EF">
        <w:rPr>
          <w:rStyle w:val="st"/>
        </w:rPr>
        <w:t xml:space="preserve"> </w:t>
      </w:r>
    </w:p>
  </w:footnote>
  <w:footnote w:id="19">
    <w:p w:rsidR="007909E4" w:rsidRPr="002D10EF" w:rsidRDefault="007909E4" w:rsidP="00436C74">
      <w:pPr>
        <w:pStyle w:val="af2"/>
        <w:jc w:val="both"/>
      </w:pPr>
      <w:r>
        <w:rPr>
          <w:rStyle w:val="ac"/>
        </w:rPr>
        <w:footnoteRef/>
      </w:r>
      <w:r w:rsidRPr="002D10EF">
        <w:t xml:space="preserve"> </w:t>
      </w:r>
      <w:proofErr w:type="gramStart"/>
      <w:r w:rsidRPr="00015189">
        <w:rPr>
          <w:lang w:val="en-US"/>
        </w:rPr>
        <w:t>CPE</w:t>
      </w:r>
      <w:r w:rsidRPr="002D10EF">
        <w:t xml:space="preserve"> (</w:t>
      </w:r>
      <w:r>
        <w:t>англ</w:t>
      </w:r>
      <w:r w:rsidRPr="002D10EF">
        <w:t>.</w:t>
      </w:r>
      <w:proofErr w:type="gramEnd"/>
      <w:r w:rsidRPr="002D10EF">
        <w:t xml:space="preserve"> </w:t>
      </w:r>
      <w:r w:rsidRPr="00015189">
        <w:rPr>
          <w:lang w:val="en-US"/>
        </w:rPr>
        <w:t>Certificate</w:t>
      </w:r>
      <w:r w:rsidRPr="002D10EF">
        <w:t xml:space="preserve"> </w:t>
      </w:r>
      <w:r w:rsidRPr="00015189">
        <w:rPr>
          <w:lang w:val="en-US"/>
        </w:rPr>
        <w:t>of</w:t>
      </w:r>
      <w:r w:rsidRPr="002D10EF">
        <w:t xml:space="preserve"> </w:t>
      </w:r>
      <w:r w:rsidRPr="00015189">
        <w:rPr>
          <w:lang w:val="en-US"/>
        </w:rPr>
        <w:t>Proficiency</w:t>
      </w:r>
      <w:r w:rsidRPr="002D10EF">
        <w:t xml:space="preserve"> </w:t>
      </w:r>
      <w:r w:rsidRPr="00015189">
        <w:rPr>
          <w:lang w:val="en-US"/>
        </w:rPr>
        <w:t>in</w:t>
      </w:r>
      <w:r w:rsidRPr="002D10EF">
        <w:t xml:space="preserve"> </w:t>
      </w:r>
      <w:r w:rsidRPr="00015189">
        <w:rPr>
          <w:lang w:val="en-US"/>
        </w:rPr>
        <w:t>English</w:t>
      </w:r>
      <w:r w:rsidRPr="002D10EF">
        <w:t xml:space="preserve"> ) – </w:t>
      </w:r>
      <w:r>
        <w:t>пятая</w:t>
      </w:r>
      <w:r w:rsidRPr="002D10EF">
        <w:t xml:space="preserve"> </w:t>
      </w:r>
      <w:r>
        <w:t>ступень</w:t>
      </w:r>
      <w:r w:rsidRPr="002D10EF">
        <w:t xml:space="preserve"> </w:t>
      </w:r>
      <w:r>
        <w:t>Кембриджских</w:t>
      </w:r>
      <w:r w:rsidRPr="002D10EF">
        <w:t xml:space="preserve"> </w:t>
      </w:r>
      <w:r>
        <w:t>экзаменов</w:t>
      </w:r>
      <w:r w:rsidRPr="002D10EF">
        <w:t xml:space="preserve">  </w:t>
      </w:r>
      <w:r>
        <w:t>по</w:t>
      </w:r>
      <w:r w:rsidRPr="002D10EF">
        <w:t xml:space="preserve"> </w:t>
      </w:r>
      <w:r>
        <w:t>английскому</w:t>
      </w:r>
      <w:r w:rsidRPr="002D10EF">
        <w:t xml:space="preserve"> </w:t>
      </w:r>
      <w:r>
        <w:t>языку</w:t>
      </w:r>
      <w:r w:rsidRPr="002D10EF">
        <w:t xml:space="preserve"> </w:t>
      </w:r>
      <w:hyperlink r:id="rId6" w:history="1">
        <w:r w:rsidRPr="00933FB2">
          <w:rPr>
            <w:rStyle w:val="a4"/>
            <w:lang w:val="en-US"/>
          </w:rPr>
          <w:t>http</w:t>
        </w:r>
        <w:r w:rsidRPr="002D10EF">
          <w:rPr>
            <w:rStyle w:val="a4"/>
          </w:rPr>
          <w:t>://</w:t>
        </w:r>
        <w:r w:rsidRPr="00933FB2">
          <w:rPr>
            <w:rStyle w:val="a4"/>
            <w:lang w:val="en-US"/>
          </w:rPr>
          <w:t>www</w:t>
        </w:r>
        <w:r w:rsidRPr="002D10EF">
          <w:rPr>
            <w:rStyle w:val="a4"/>
          </w:rPr>
          <w:t>.</w:t>
        </w:r>
        <w:proofErr w:type="spellStart"/>
        <w:r w:rsidRPr="00933FB2">
          <w:rPr>
            <w:rStyle w:val="a4"/>
            <w:lang w:val="en-US"/>
          </w:rPr>
          <w:t>cambridgeenglish</w:t>
        </w:r>
        <w:proofErr w:type="spellEnd"/>
        <w:r w:rsidRPr="002D10EF">
          <w:rPr>
            <w:rStyle w:val="a4"/>
          </w:rPr>
          <w:t>.</w:t>
        </w:r>
        <w:r w:rsidRPr="00933FB2">
          <w:rPr>
            <w:rStyle w:val="a4"/>
            <w:lang w:val="en-US"/>
          </w:rPr>
          <w:t>org</w:t>
        </w:r>
        <w:r w:rsidRPr="002D10EF">
          <w:rPr>
            <w:rStyle w:val="a4"/>
          </w:rPr>
          <w:t>/</w:t>
        </w:r>
        <w:r w:rsidRPr="00933FB2">
          <w:rPr>
            <w:rStyle w:val="a4"/>
            <w:lang w:val="en-US"/>
          </w:rPr>
          <w:t>exams</w:t>
        </w:r>
        <w:r w:rsidRPr="002D10EF">
          <w:rPr>
            <w:rStyle w:val="a4"/>
          </w:rPr>
          <w:t>-</w:t>
        </w:r>
        <w:r w:rsidRPr="00933FB2">
          <w:rPr>
            <w:rStyle w:val="a4"/>
            <w:lang w:val="en-US"/>
          </w:rPr>
          <w:t>and</w:t>
        </w:r>
        <w:r w:rsidRPr="002D10EF">
          <w:rPr>
            <w:rStyle w:val="a4"/>
          </w:rPr>
          <w:t>-</w:t>
        </w:r>
        <w:r w:rsidRPr="00933FB2">
          <w:rPr>
            <w:rStyle w:val="a4"/>
            <w:lang w:val="en-US"/>
          </w:rPr>
          <w:t>qualifications</w:t>
        </w:r>
        <w:r w:rsidRPr="002D10EF">
          <w:rPr>
            <w:rStyle w:val="a4"/>
          </w:rPr>
          <w:t>/</w:t>
        </w:r>
        <w:r w:rsidRPr="00933FB2">
          <w:rPr>
            <w:rStyle w:val="a4"/>
            <w:lang w:val="en-US"/>
          </w:rPr>
          <w:t>proficiency</w:t>
        </w:r>
      </w:hyperlink>
      <w:r w:rsidRPr="002D10EF">
        <w:t xml:space="preserve">  </w:t>
      </w:r>
    </w:p>
  </w:footnote>
  <w:footnote w:id="20">
    <w:p w:rsidR="007909E4" w:rsidRDefault="007909E4" w:rsidP="00A878A8">
      <w:pPr>
        <w:pStyle w:val="af2"/>
      </w:pPr>
      <w:r>
        <w:rPr>
          <w:rStyle w:val="ac"/>
        </w:rPr>
        <w:footnoteRef/>
      </w:r>
      <w:r>
        <w:t xml:space="preserve"> В это число вошли студенты, не сдавшие итоговый государственный экзамен, не представившие выпускные квалификационные работы в срок, не явившиеся на экзамен без уважительной причины, отчисленные по собственному желанию после сдачи итогового государственного экзамена</w:t>
      </w:r>
    </w:p>
  </w:footnote>
  <w:footnote w:id="21">
    <w:p w:rsidR="007909E4" w:rsidRDefault="007909E4" w:rsidP="00A878A8">
      <w:pPr>
        <w:pStyle w:val="af2"/>
      </w:pPr>
      <w:r>
        <w:rPr>
          <w:rStyle w:val="ac"/>
        </w:rPr>
        <w:footnoteRef/>
      </w:r>
      <w:r>
        <w:t xml:space="preserve"> С учетом того, </w:t>
      </w:r>
      <w:r w:rsidRPr="00A11718">
        <w:t>что 79,3% выпускников</w:t>
      </w:r>
      <w:r>
        <w:t xml:space="preserve">-магистров </w:t>
      </w:r>
      <w:proofErr w:type="gramStart"/>
      <w:r>
        <w:t>допущены</w:t>
      </w:r>
      <w:proofErr w:type="gramEnd"/>
      <w:r>
        <w:t xml:space="preserve"> сразу к защите ВКР </w:t>
      </w:r>
    </w:p>
  </w:footnote>
  <w:footnote w:id="22">
    <w:p w:rsidR="007909E4" w:rsidRDefault="007909E4" w:rsidP="00A878A8">
      <w:pPr>
        <w:pStyle w:val="af2"/>
      </w:pPr>
      <w:r>
        <w:rPr>
          <w:rStyle w:val="ac"/>
        </w:rPr>
        <w:footnoteRef/>
      </w:r>
      <w:r>
        <w:t xml:space="preserve"> С выпуском факультета дизайна, выведенного из числа структурных подразделений МИЭМ НИУ ВШЭ</w:t>
      </w:r>
    </w:p>
  </w:footnote>
  <w:footnote w:id="23">
    <w:p w:rsidR="007909E4" w:rsidRDefault="007909E4" w:rsidP="00A878A8">
      <w:pPr>
        <w:pStyle w:val="af2"/>
      </w:pPr>
      <w:r>
        <w:rPr>
          <w:rStyle w:val="ac"/>
        </w:rPr>
        <w:footnoteRef/>
      </w:r>
      <w:r>
        <w:t xml:space="preserve"> По данным предоставленным филиалами НИУ ВШЭ</w:t>
      </w:r>
    </w:p>
  </w:footnote>
  <w:footnote w:id="24">
    <w:p w:rsidR="007909E4" w:rsidRPr="00F07897" w:rsidRDefault="007909E4" w:rsidP="004D7210">
      <w:pPr>
        <w:rPr>
          <w:sz w:val="20"/>
          <w:szCs w:val="20"/>
        </w:rPr>
      </w:pPr>
      <w:r>
        <w:rPr>
          <w:rStyle w:val="ac"/>
          <w:rFonts w:eastAsiaTheme="majorEastAsia"/>
        </w:rPr>
        <w:footnoteRef/>
      </w:r>
      <w:r>
        <w:t xml:space="preserve"> </w:t>
      </w:r>
      <w:r w:rsidRPr="00F07897">
        <w:rPr>
          <w:sz w:val="20"/>
          <w:szCs w:val="20"/>
        </w:rPr>
        <w:t>Классификация степеней дипломов Лондонского университета.</w:t>
      </w:r>
    </w:p>
    <w:p w:rsidR="007909E4" w:rsidRPr="00F07897" w:rsidRDefault="007909E4" w:rsidP="004D7210">
      <w:pPr>
        <w:rPr>
          <w:sz w:val="20"/>
          <w:szCs w:val="20"/>
        </w:rPr>
      </w:pPr>
      <w:r w:rsidRPr="00F07897">
        <w:rPr>
          <w:sz w:val="20"/>
          <w:szCs w:val="20"/>
        </w:rPr>
        <w:t>Диплом с отличием 1 класса (</w:t>
      </w:r>
      <w:r w:rsidRPr="00F07897">
        <w:rPr>
          <w:sz w:val="20"/>
          <w:szCs w:val="20"/>
          <w:lang w:val="en-US"/>
        </w:rPr>
        <w:t>first</w:t>
      </w:r>
      <w:r w:rsidRPr="00F07897">
        <w:rPr>
          <w:sz w:val="20"/>
          <w:szCs w:val="20"/>
        </w:rPr>
        <w:t>) – В Лондонском университете получают около 3-4% выпускников. Выпускники с дипломом этого класса принимаются на постдипломные программы лучших  университетов мира. Как правило, им назначается стипендия.</w:t>
      </w:r>
    </w:p>
    <w:p w:rsidR="007909E4" w:rsidRPr="00F07897" w:rsidRDefault="007909E4" w:rsidP="004D7210">
      <w:pPr>
        <w:rPr>
          <w:sz w:val="20"/>
          <w:szCs w:val="20"/>
        </w:rPr>
      </w:pPr>
      <w:r w:rsidRPr="00F07897">
        <w:rPr>
          <w:sz w:val="20"/>
          <w:szCs w:val="20"/>
        </w:rPr>
        <w:t>Диплом с отличием 2 класса, высшая категория (</w:t>
      </w:r>
      <w:r w:rsidRPr="00F07897">
        <w:rPr>
          <w:sz w:val="20"/>
          <w:szCs w:val="20"/>
          <w:lang w:val="en-US"/>
        </w:rPr>
        <w:t>second</w:t>
      </w:r>
      <w:r w:rsidRPr="00F07897">
        <w:rPr>
          <w:sz w:val="20"/>
          <w:szCs w:val="20"/>
        </w:rPr>
        <w:t xml:space="preserve"> </w:t>
      </w:r>
      <w:r w:rsidRPr="00F07897">
        <w:rPr>
          <w:sz w:val="20"/>
          <w:szCs w:val="20"/>
          <w:lang w:val="en-US"/>
        </w:rPr>
        <w:t>upper</w:t>
      </w:r>
      <w:r w:rsidRPr="00F07897">
        <w:rPr>
          <w:sz w:val="20"/>
          <w:szCs w:val="20"/>
        </w:rPr>
        <w:t>) – Выпускники с дипломом этого класса принимаются на постдипломные программы признанных в мире университетов.</w:t>
      </w:r>
    </w:p>
    <w:p w:rsidR="007909E4" w:rsidRPr="00F07897" w:rsidRDefault="007909E4" w:rsidP="004D7210">
      <w:pPr>
        <w:rPr>
          <w:sz w:val="20"/>
          <w:szCs w:val="20"/>
        </w:rPr>
      </w:pPr>
      <w:r w:rsidRPr="00F07897">
        <w:rPr>
          <w:sz w:val="20"/>
          <w:szCs w:val="20"/>
        </w:rPr>
        <w:t>Диплом с отличием 2 класса, низшая категория (</w:t>
      </w:r>
      <w:r w:rsidRPr="00F07897">
        <w:rPr>
          <w:sz w:val="20"/>
          <w:szCs w:val="20"/>
          <w:lang w:val="en-US"/>
        </w:rPr>
        <w:t>second</w:t>
      </w:r>
      <w:r w:rsidRPr="00F07897">
        <w:rPr>
          <w:sz w:val="20"/>
          <w:szCs w:val="20"/>
        </w:rPr>
        <w:t xml:space="preserve"> </w:t>
      </w:r>
      <w:r w:rsidRPr="00F07897">
        <w:rPr>
          <w:sz w:val="20"/>
          <w:szCs w:val="20"/>
          <w:lang w:val="en-US"/>
        </w:rPr>
        <w:t>lower</w:t>
      </w:r>
      <w:r w:rsidRPr="00F07897">
        <w:rPr>
          <w:sz w:val="20"/>
          <w:szCs w:val="20"/>
        </w:rPr>
        <w:t>) – Выпускники с дипломом этого класса принимаются на постдипломные программы большинства западных университетов.</w:t>
      </w:r>
    </w:p>
    <w:p w:rsidR="007909E4" w:rsidRPr="00D17064" w:rsidRDefault="007909E4" w:rsidP="004D7210">
      <w:r w:rsidRPr="00F07897">
        <w:rPr>
          <w:sz w:val="20"/>
          <w:szCs w:val="20"/>
        </w:rPr>
        <w:t>Диплом с отличием 3 класса (</w:t>
      </w:r>
      <w:r w:rsidRPr="00F07897">
        <w:rPr>
          <w:sz w:val="20"/>
          <w:szCs w:val="20"/>
          <w:lang w:val="en-US"/>
        </w:rPr>
        <w:t>third</w:t>
      </w:r>
      <w:r w:rsidRPr="00F07897">
        <w:rPr>
          <w:sz w:val="20"/>
          <w:szCs w:val="20"/>
        </w:rPr>
        <w:t>) – Диплом, ко</w:t>
      </w:r>
      <w:r>
        <w:rPr>
          <w:sz w:val="20"/>
          <w:szCs w:val="20"/>
        </w:rPr>
        <w:t>торый признаётся работодателями, как диплом достаточно высокого уровня (по сравнению с дипломом без отличия «</w:t>
      </w:r>
      <w:r>
        <w:rPr>
          <w:sz w:val="20"/>
          <w:szCs w:val="20"/>
          <w:lang w:val="en-US"/>
        </w:rPr>
        <w:t>pass</w:t>
      </w:r>
      <w:r>
        <w:rPr>
          <w:sz w:val="20"/>
          <w:szCs w:val="20"/>
        </w:rPr>
        <w:t>»).</w:t>
      </w:r>
    </w:p>
  </w:footnote>
  <w:footnote w:id="25">
    <w:p w:rsidR="007909E4" w:rsidRPr="006B7F12" w:rsidRDefault="007909E4">
      <w:pPr>
        <w:pStyle w:val="af2"/>
      </w:pPr>
      <w:r>
        <w:rPr>
          <w:rStyle w:val="ac"/>
        </w:rPr>
        <w:footnoteRef/>
      </w:r>
      <w:r w:rsidRPr="006B7F12">
        <w:t xml:space="preserve"> </w:t>
      </w:r>
      <w:r w:rsidRPr="006B7F12">
        <w:rPr>
          <w:rFonts w:asciiTheme="majorHAnsi" w:hAnsiTheme="majorHAnsi"/>
        </w:rPr>
        <w:t>в соответствие с разъяснительным письмом МОН: соотечественники, проживающие на территории стран СНГ и Балтии, относятся к иностранным гражданам (критерий – они не имеют внутреннего паспорта РФ, загранпаспорт РФ выдан на территории иностранного государства)</w:t>
      </w:r>
      <w:r>
        <w:t xml:space="preserve"> </w:t>
      </w:r>
    </w:p>
  </w:footnote>
  <w:footnote w:id="26">
    <w:p w:rsidR="007909E4" w:rsidRDefault="007909E4">
      <w:pPr>
        <w:pStyle w:val="af2"/>
      </w:pPr>
      <w:r>
        <w:rPr>
          <w:rStyle w:val="ac"/>
        </w:rPr>
        <w:footnoteRef/>
      </w:r>
      <w:r>
        <w:t xml:space="preserve"> </w:t>
      </w:r>
      <w:proofErr w:type="gramStart"/>
      <w:r>
        <w:t>Данные</w:t>
      </w:r>
      <w:proofErr w:type="gramEnd"/>
      <w:r>
        <w:t xml:space="preserve"> о которых имеются в Управлении персонала</w:t>
      </w:r>
    </w:p>
  </w:footnote>
  <w:footnote w:id="27">
    <w:p w:rsidR="007909E4" w:rsidRPr="006C410F" w:rsidRDefault="007909E4" w:rsidP="00FF13DB">
      <w:pPr>
        <w:pStyle w:val="af2"/>
      </w:pPr>
      <w:r w:rsidRPr="006C410F">
        <w:rPr>
          <w:rStyle w:val="ac"/>
        </w:rPr>
        <w:footnoteRef/>
      </w:r>
      <w:r w:rsidRPr="006C410F">
        <w:t xml:space="preserve"> Под «единицами» здесь понимаем факты повышения квалификации. Один человек может иметь несколько случаев повышения квалификации </w:t>
      </w:r>
      <w:r>
        <w:t>за отчетный период</w:t>
      </w:r>
    </w:p>
  </w:footnote>
  <w:footnote w:id="28">
    <w:p w:rsidR="007909E4" w:rsidRDefault="007909E4" w:rsidP="00733484">
      <w:pPr>
        <w:pStyle w:val="af2"/>
      </w:pPr>
      <w:r>
        <w:rPr>
          <w:rStyle w:val="ac"/>
        </w:rPr>
        <w:footnoteRef/>
      </w:r>
      <w:r>
        <w:t xml:space="preserve"> «Активно использующие» в рамках  нашего  статистического исследования – это преподаватели и студенты, которые с начала учебного года не менее трех раз заходили в дисциплину и проводили там не менее 30 минут.</w:t>
      </w:r>
    </w:p>
  </w:footnote>
  <w:footnote w:id="29">
    <w:p w:rsidR="007909E4" w:rsidRPr="00A12DF5" w:rsidRDefault="007909E4" w:rsidP="006D1236">
      <w:pPr>
        <w:pStyle w:val="af2"/>
      </w:pPr>
      <w:r w:rsidRPr="00967354">
        <w:rPr>
          <w:rStyle w:val="ac"/>
        </w:rPr>
        <w:footnoteRef/>
      </w:r>
      <w:r w:rsidRPr="00967354">
        <w:t xml:space="preserve"> Далее идет речь о сообщениях, не относящихся к спаму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9E4" w:rsidRDefault="007909E4" w:rsidP="00A112F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7909E4" w:rsidRDefault="007909E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9E4" w:rsidRDefault="007909E4" w:rsidP="00A112F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A92FA1">
      <w:rPr>
        <w:rStyle w:val="a9"/>
        <w:noProof/>
      </w:rPr>
      <w:t>202</w:t>
    </w:r>
    <w:r>
      <w:rPr>
        <w:rStyle w:val="a9"/>
      </w:rPr>
      <w:fldChar w:fldCharType="end"/>
    </w:r>
  </w:p>
  <w:p w:rsidR="007909E4" w:rsidRDefault="007909E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6689"/>
    <w:multiLevelType w:val="hybridMultilevel"/>
    <w:tmpl w:val="A8D0BF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F1CBB"/>
    <w:multiLevelType w:val="hybridMultilevel"/>
    <w:tmpl w:val="DC90FEB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A23B3C"/>
    <w:multiLevelType w:val="hybridMultilevel"/>
    <w:tmpl w:val="6E7C0F8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5454E5"/>
    <w:multiLevelType w:val="hybridMultilevel"/>
    <w:tmpl w:val="1444CDD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A35C84"/>
    <w:multiLevelType w:val="hybridMultilevel"/>
    <w:tmpl w:val="D8BAEE9E"/>
    <w:lvl w:ilvl="0" w:tplc="FFFFFFFF">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4C1597"/>
    <w:multiLevelType w:val="hybridMultilevel"/>
    <w:tmpl w:val="02EEDFD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EA463F"/>
    <w:multiLevelType w:val="hybridMultilevel"/>
    <w:tmpl w:val="565468D8"/>
    <w:lvl w:ilvl="0" w:tplc="FFFFFFFF">
      <w:numFmt w:val="bullet"/>
      <w:lvlText w:val="-"/>
      <w:lvlJc w:val="left"/>
      <w:pPr>
        <w:ind w:left="720" w:hanging="360"/>
      </w:pPr>
      <w:rPr>
        <w:rFonts w:ascii="Times New Roman" w:eastAsia="Times New Roman" w:hAnsi="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8345BF3"/>
    <w:multiLevelType w:val="hybridMultilevel"/>
    <w:tmpl w:val="75D4CF2A"/>
    <w:lvl w:ilvl="0" w:tplc="FFFFFFFF">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5A76E8"/>
    <w:multiLevelType w:val="hybridMultilevel"/>
    <w:tmpl w:val="C94273C8"/>
    <w:lvl w:ilvl="0" w:tplc="FFFFFFFF">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D02C76"/>
    <w:multiLevelType w:val="hybridMultilevel"/>
    <w:tmpl w:val="B48625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AD428D6"/>
    <w:multiLevelType w:val="hybridMultilevel"/>
    <w:tmpl w:val="ADDA0CAA"/>
    <w:lvl w:ilvl="0" w:tplc="306AA5DE">
      <w:start w:val="6"/>
      <w:numFmt w:val="bullet"/>
      <w:lvlText w:val="-"/>
      <w:lvlJc w:val="left"/>
      <w:pPr>
        <w:ind w:left="720" w:hanging="360"/>
      </w:pPr>
      <w:rPr>
        <w:rFonts w:ascii="Times New Roman" w:eastAsia="Times New Roman" w:hAnsi="Times New Roman" w:cs="Times New Roman" w:hint="default"/>
        <w:i w: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2B6876"/>
    <w:multiLevelType w:val="hybridMultilevel"/>
    <w:tmpl w:val="654A4E9E"/>
    <w:lvl w:ilvl="0" w:tplc="306AA5DE">
      <w:start w:val="6"/>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13122C"/>
    <w:multiLevelType w:val="hybridMultilevel"/>
    <w:tmpl w:val="CDE2E23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FFD21FC"/>
    <w:multiLevelType w:val="hybridMultilevel"/>
    <w:tmpl w:val="D806D6C4"/>
    <w:lvl w:ilvl="0" w:tplc="306AA5DE">
      <w:start w:val="6"/>
      <w:numFmt w:val="bullet"/>
      <w:lvlText w:val="-"/>
      <w:lvlJc w:val="left"/>
      <w:pPr>
        <w:ind w:left="1080" w:hanging="360"/>
      </w:pPr>
      <w:rPr>
        <w:rFonts w:ascii="Times New Roman" w:eastAsia="Times New Roman" w:hAnsi="Times New Roman" w:cs="Times New Roman" w:hint="default"/>
        <w:i w:val="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1BD4287"/>
    <w:multiLevelType w:val="hybridMultilevel"/>
    <w:tmpl w:val="CB1A2D2E"/>
    <w:lvl w:ilvl="0" w:tplc="306AA5DE">
      <w:start w:val="6"/>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2D5995"/>
    <w:multiLevelType w:val="hybridMultilevel"/>
    <w:tmpl w:val="FFD647E4"/>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4BAA4898">
      <w:start w:val="65"/>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7E2738"/>
    <w:multiLevelType w:val="multilevel"/>
    <w:tmpl w:val="59DA6370"/>
    <w:lvl w:ilvl="0">
      <w:start w:val="1"/>
      <w:numFmt w:val="decimal"/>
      <w:pStyle w:val="1"/>
      <w:lvlText w:val="%1."/>
      <w:lvlJc w:val="left"/>
      <w:pPr>
        <w:ind w:left="360" w:hanging="360"/>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b/>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nsid w:val="1B966D8C"/>
    <w:multiLevelType w:val="hybridMultilevel"/>
    <w:tmpl w:val="BE3CB874"/>
    <w:lvl w:ilvl="0" w:tplc="FFFFFFFF">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C4E088B"/>
    <w:multiLevelType w:val="hybridMultilevel"/>
    <w:tmpl w:val="EAAECDCC"/>
    <w:lvl w:ilvl="0" w:tplc="FFFFFFFF">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CCB47E6"/>
    <w:multiLevelType w:val="hybridMultilevel"/>
    <w:tmpl w:val="2DCC3ACA"/>
    <w:lvl w:ilvl="0" w:tplc="FFFFFFFF">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DE75151"/>
    <w:multiLevelType w:val="hybridMultilevel"/>
    <w:tmpl w:val="CA025E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1F1A4ECD"/>
    <w:multiLevelType w:val="hybridMultilevel"/>
    <w:tmpl w:val="8CCE36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19247A"/>
    <w:multiLevelType w:val="hybridMultilevel"/>
    <w:tmpl w:val="1F484D94"/>
    <w:lvl w:ilvl="0" w:tplc="45D2F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347597"/>
    <w:multiLevelType w:val="hybridMultilevel"/>
    <w:tmpl w:val="FA460938"/>
    <w:lvl w:ilvl="0" w:tplc="FFFFFFFF">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A13B3B"/>
    <w:multiLevelType w:val="hybridMultilevel"/>
    <w:tmpl w:val="209E9868"/>
    <w:lvl w:ilvl="0" w:tplc="306AA5DE">
      <w:start w:val="6"/>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21" w:hanging="360"/>
      </w:pPr>
      <w:rPr>
        <w:rFonts w:ascii="Courier New" w:hAnsi="Courier New" w:cs="Courier New" w:hint="default"/>
      </w:rPr>
    </w:lvl>
    <w:lvl w:ilvl="2" w:tplc="04190005" w:tentative="1">
      <w:start w:val="1"/>
      <w:numFmt w:val="bullet"/>
      <w:lvlText w:val=""/>
      <w:lvlJc w:val="left"/>
      <w:pPr>
        <w:ind w:left="2141" w:hanging="360"/>
      </w:pPr>
      <w:rPr>
        <w:rFonts w:ascii="Wingdings" w:hAnsi="Wingdings" w:hint="default"/>
      </w:rPr>
    </w:lvl>
    <w:lvl w:ilvl="3" w:tplc="04190001" w:tentative="1">
      <w:start w:val="1"/>
      <w:numFmt w:val="bullet"/>
      <w:lvlText w:val=""/>
      <w:lvlJc w:val="left"/>
      <w:pPr>
        <w:ind w:left="2861" w:hanging="360"/>
      </w:pPr>
      <w:rPr>
        <w:rFonts w:ascii="Symbol" w:hAnsi="Symbol" w:hint="default"/>
      </w:rPr>
    </w:lvl>
    <w:lvl w:ilvl="4" w:tplc="04190003" w:tentative="1">
      <w:start w:val="1"/>
      <w:numFmt w:val="bullet"/>
      <w:lvlText w:val="o"/>
      <w:lvlJc w:val="left"/>
      <w:pPr>
        <w:ind w:left="3581" w:hanging="360"/>
      </w:pPr>
      <w:rPr>
        <w:rFonts w:ascii="Courier New" w:hAnsi="Courier New" w:cs="Courier New" w:hint="default"/>
      </w:rPr>
    </w:lvl>
    <w:lvl w:ilvl="5" w:tplc="04190005" w:tentative="1">
      <w:start w:val="1"/>
      <w:numFmt w:val="bullet"/>
      <w:lvlText w:val=""/>
      <w:lvlJc w:val="left"/>
      <w:pPr>
        <w:ind w:left="4301" w:hanging="360"/>
      </w:pPr>
      <w:rPr>
        <w:rFonts w:ascii="Wingdings" w:hAnsi="Wingdings" w:hint="default"/>
      </w:rPr>
    </w:lvl>
    <w:lvl w:ilvl="6" w:tplc="04190001" w:tentative="1">
      <w:start w:val="1"/>
      <w:numFmt w:val="bullet"/>
      <w:lvlText w:val=""/>
      <w:lvlJc w:val="left"/>
      <w:pPr>
        <w:ind w:left="5021" w:hanging="360"/>
      </w:pPr>
      <w:rPr>
        <w:rFonts w:ascii="Symbol" w:hAnsi="Symbol" w:hint="default"/>
      </w:rPr>
    </w:lvl>
    <w:lvl w:ilvl="7" w:tplc="04190003" w:tentative="1">
      <w:start w:val="1"/>
      <w:numFmt w:val="bullet"/>
      <w:lvlText w:val="o"/>
      <w:lvlJc w:val="left"/>
      <w:pPr>
        <w:ind w:left="5741" w:hanging="360"/>
      </w:pPr>
      <w:rPr>
        <w:rFonts w:ascii="Courier New" w:hAnsi="Courier New" w:cs="Courier New" w:hint="default"/>
      </w:rPr>
    </w:lvl>
    <w:lvl w:ilvl="8" w:tplc="04190005" w:tentative="1">
      <w:start w:val="1"/>
      <w:numFmt w:val="bullet"/>
      <w:lvlText w:val=""/>
      <w:lvlJc w:val="left"/>
      <w:pPr>
        <w:ind w:left="6461" w:hanging="360"/>
      </w:pPr>
      <w:rPr>
        <w:rFonts w:ascii="Wingdings" w:hAnsi="Wingdings" w:hint="default"/>
      </w:rPr>
    </w:lvl>
  </w:abstractNum>
  <w:abstractNum w:abstractNumId="25">
    <w:nsid w:val="322E4ADA"/>
    <w:multiLevelType w:val="hybridMultilevel"/>
    <w:tmpl w:val="B8CC088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60B7666"/>
    <w:multiLevelType w:val="hybridMultilevel"/>
    <w:tmpl w:val="04CA26C0"/>
    <w:lvl w:ilvl="0" w:tplc="45D2F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BD7325"/>
    <w:multiLevelType w:val="hybridMultilevel"/>
    <w:tmpl w:val="2D9ABC30"/>
    <w:lvl w:ilvl="0" w:tplc="306AA5DE">
      <w:start w:val="6"/>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A229FD"/>
    <w:multiLevelType w:val="hybridMultilevel"/>
    <w:tmpl w:val="15B4F0B4"/>
    <w:lvl w:ilvl="0" w:tplc="040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20C7874"/>
    <w:multiLevelType w:val="hybridMultilevel"/>
    <w:tmpl w:val="A22AB356"/>
    <w:lvl w:ilvl="0" w:tplc="306AA5DE">
      <w:start w:val="6"/>
      <w:numFmt w:val="bullet"/>
      <w:lvlText w:val="-"/>
      <w:lvlJc w:val="left"/>
      <w:pPr>
        <w:ind w:left="720" w:hanging="360"/>
      </w:pPr>
      <w:rPr>
        <w:rFonts w:ascii="Times New Roman" w:eastAsia="Times New Roman" w:hAnsi="Times New Roman" w:cs="Times New Roman" w:hint="default"/>
        <w:i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424E6B4A"/>
    <w:multiLevelType w:val="hybridMultilevel"/>
    <w:tmpl w:val="7D3A9162"/>
    <w:lvl w:ilvl="0" w:tplc="306AA5DE">
      <w:start w:val="6"/>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0D744B"/>
    <w:multiLevelType w:val="hybridMultilevel"/>
    <w:tmpl w:val="6374E0F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5D968E1"/>
    <w:multiLevelType w:val="hybridMultilevel"/>
    <w:tmpl w:val="866EB85E"/>
    <w:lvl w:ilvl="0" w:tplc="FFFFFFFF">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7A07EF3"/>
    <w:multiLevelType w:val="hybridMultilevel"/>
    <w:tmpl w:val="1676EA62"/>
    <w:lvl w:ilvl="0" w:tplc="FFFFFFFF">
      <w:numFmt w:val="bullet"/>
      <w:lvlText w:val="-"/>
      <w:lvlJc w:val="left"/>
      <w:pPr>
        <w:ind w:left="769" w:hanging="360"/>
      </w:pPr>
      <w:rPr>
        <w:rFonts w:ascii="Times New Roman" w:eastAsia="Times New Roman" w:hAnsi="Times New Roman"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34">
    <w:nsid w:val="48454D19"/>
    <w:multiLevelType w:val="hybridMultilevel"/>
    <w:tmpl w:val="706E9C2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9730AF2"/>
    <w:multiLevelType w:val="hybridMultilevel"/>
    <w:tmpl w:val="3C2E448E"/>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BD01FA2"/>
    <w:multiLevelType w:val="hybridMultilevel"/>
    <w:tmpl w:val="A6849C68"/>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D642938"/>
    <w:multiLevelType w:val="hybridMultilevel"/>
    <w:tmpl w:val="EA7C5372"/>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306AA5DE">
      <w:start w:val="6"/>
      <w:numFmt w:val="bullet"/>
      <w:lvlText w:val="-"/>
      <w:lvlJc w:val="left"/>
      <w:pPr>
        <w:ind w:left="720" w:hanging="360"/>
      </w:pPr>
      <w:rPr>
        <w:rFonts w:ascii="Times New Roman" w:eastAsia="Times New Roman" w:hAnsi="Times New Roman" w:cs="Times New Roman" w:hint="default"/>
        <w:i w:val="0"/>
      </w:rPr>
    </w:lvl>
    <w:lvl w:ilvl="3" w:tplc="306AA5DE">
      <w:start w:val="6"/>
      <w:numFmt w:val="bullet"/>
      <w:lvlText w:val="-"/>
      <w:lvlJc w:val="left"/>
      <w:pPr>
        <w:ind w:left="720" w:hanging="360"/>
      </w:pPr>
      <w:rPr>
        <w:rFonts w:ascii="Times New Roman" w:eastAsia="Times New Roman" w:hAnsi="Times New Roman" w:cs="Times New Roman" w:hint="default"/>
        <w:i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DF208DD"/>
    <w:multiLevelType w:val="hybridMultilevel"/>
    <w:tmpl w:val="70A6F210"/>
    <w:lvl w:ilvl="0" w:tplc="306AA5DE">
      <w:start w:val="6"/>
      <w:numFmt w:val="bullet"/>
      <w:lvlText w:val="-"/>
      <w:lvlJc w:val="left"/>
      <w:pPr>
        <w:ind w:left="720" w:hanging="360"/>
      </w:pPr>
      <w:rPr>
        <w:rFonts w:ascii="Times New Roman" w:eastAsia="Times New Roman" w:hAnsi="Times New Roman" w:cs="Times New Roman" w:hint="default"/>
        <w:i w: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E7F2138"/>
    <w:multiLevelType w:val="hybridMultilevel"/>
    <w:tmpl w:val="57108304"/>
    <w:lvl w:ilvl="0" w:tplc="FFFFFFFF">
      <w:numFmt w:val="bullet"/>
      <w:lvlText w:val="-"/>
      <w:lvlJc w:val="left"/>
      <w:pPr>
        <w:ind w:left="720" w:hanging="360"/>
      </w:pPr>
      <w:rPr>
        <w:rFonts w:ascii="Times New Roman" w:eastAsia="Times New Roman" w:hAnsi="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51765D5B"/>
    <w:multiLevelType w:val="hybridMultilevel"/>
    <w:tmpl w:val="8B1AD4D0"/>
    <w:lvl w:ilvl="0" w:tplc="FFFFFFFF">
      <w:numFmt w:val="bullet"/>
      <w:lvlText w:val="-"/>
      <w:lvlJc w:val="left"/>
      <w:pPr>
        <w:ind w:left="1440" w:hanging="360"/>
      </w:pPr>
      <w:rPr>
        <w:rFonts w:ascii="Times New Roman" w:eastAsia="Times New Roman" w:hAnsi="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2455715"/>
    <w:multiLevelType w:val="hybridMultilevel"/>
    <w:tmpl w:val="EC16BB3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31C2E9E"/>
    <w:multiLevelType w:val="hybridMultilevel"/>
    <w:tmpl w:val="65525FAC"/>
    <w:lvl w:ilvl="0" w:tplc="8CAE7C94">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535C3ABA"/>
    <w:multiLevelType w:val="hybridMultilevel"/>
    <w:tmpl w:val="4D32E1FA"/>
    <w:lvl w:ilvl="0" w:tplc="CBC856EE">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625236B"/>
    <w:multiLevelType w:val="hybridMultilevel"/>
    <w:tmpl w:val="174C107C"/>
    <w:lvl w:ilvl="0" w:tplc="FFFFFFFF">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76460A6"/>
    <w:multiLevelType w:val="hybridMultilevel"/>
    <w:tmpl w:val="0278FE6A"/>
    <w:lvl w:ilvl="0" w:tplc="306AA5DE">
      <w:start w:val="6"/>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5865583B"/>
    <w:multiLevelType w:val="hybridMultilevel"/>
    <w:tmpl w:val="546E90CE"/>
    <w:lvl w:ilvl="0" w:tplc="306AA5DE">
      <w:start w:val="6"/>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ABF0865"/>
    <w:multiLevelType w:val="hybridMultilevel"/>
    <w:tmpl w:val="65A4B072"/>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DDB75CD"/>
    <w:multiLevelType w:val="hybridMultilevel"/>
    <w:tmpl w:val="005648C4"/>
    <w:lvl w:ilvl="0" w:tplc="D1ECD4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2260EF9"/>
    <w:multiLevelType w:val="hybridMultilevel"/>
    <w:tmpl w:val="386E1D6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6338230E"/>
    <w:multiLevelType w:val="hybridMultilevel"/>
    <w:tmpl w:val="02C6E38C"/>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697863AC"/>
    <w:multiLevelType w:val="hybridMultilevel"/>
    <w:tmpl w:val="FA66DC54"/>
    <w:lvl w:ilvl="0" w:tplc="306AA5DE">
      <w:start w:val="6"/>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A131EB9"/>
    <w:multiLevelType w:val="hybridMultilevel"/>
    <w:tmpl w:val="C7F469CA"/>
    <w:lvl w:ilvl="0" w:tplc="45D2FD5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6C4C5C90"/>
    <w:multiLevelType w:val="hybridMultilevel"/>
    <w:tmpl w:val="AEEAC984"/>
    <w:lvl w:ilvl="0" w:tplc="306AA5DE">
      <w:start w:val="6"/>
      <w:numFmt w:val="bullet"/>
      <w:lvlText w:val="-"/>
      <w:lvlJc w:val="left"/>
      <w:pPr>
        <w:ind w:left="720" w:hanging="360"/>
      </w:pPr>
      <w:rPr>
        <w:rFonts w:ascii="Times New Roman" w:eastAsia="Times New Roman" w:hAnsi="Times New Roman" w:cs="Times New Roman" w:hint="default"/>
        <w:i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6FF85907"/>
    <w:multiLevelType w:val="hybridMultilevel"/>
    <w:tmpl w:val="430A5348"/>
    <w:lvl w:ilvl="0" w:tplc="45D2FD5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70774488"/>
    <w:multiLevelType w:val="multilevel"/>
    <w:tmpl w:val="53F8B40C"/>
    <w:lvl w:ilvl="0">
      <w:start w:val="1"/>
      <w:numFmt w:val="decimal"/>
      <w:lvlText w:val="%1"/>
      <w:lvlJc w:val="left"/>
      <w:pPr>
        <w:ind w:left="432" w:hanging="432"/>
      </w:pPr>
      <w:rPr>
        <w:b/>
        <w:i w:val="0"/>
      </w:rPr>
    </w:lvl>
    <w:lvl w:ilvl="1">
      <w:start w:val="1"/>
      <w:numFmt w:val="decimal"/>
      <w:lvlText w:val="%1.%2"/>
      <w:lvlJc w:val="left"/>
      <w:pPr>
        <w:ind w:left="576" w:hanging="576"/>
      </w:pPr>
      <w:rPr>
        <w:b w:val="0"/>
        <w:i/>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71B151E3"/>
    <w:multiLevelType w:val="hybridMultilevel"/>
    <w:tmpl w:val="653409DE"/>
    <w:lvl w:ilvl="0" w:tplc="FFFFFFFF">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7402F45"/>
    <w:multiLevelType w:val="hybridMultilevel"/>
    <w:tmpl w:val="62D868F0"/>
    <w:lvl w:ilvl="0" w:tplc="306AA5DE">
      <w:start w:val="6"/>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CE773AA"/>
    <w:multiLevelType w:val="hybridMultilevel"/>
    <w:tmpl w:val="3BB4F264"/>
    <w:lvl w:ilvl="0" w:tplc="FFFFFFFF">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7E303877"/>
    <w:multiLevelType w:val="hybridMultilevel"/>
    <w:tmpl w:val="92D44836"/>
    <w:lvl w:ilvl="0" w:tplc="58D8EE1E">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56"/>
  </w:num>
  <w:num w:numId="5">
    <w:abstractNumId w:val="17"/>
  </w:num>
  <w:num w:numId="6">
    <w:abstractNumId w:val="32"/>
  </w:num>
  <w:num w:numId="7">
    <w:abstractNumId w:val="8"/>
  </w:num>
  <w:num w:numId="8">
    <w:abstractNumId w:val="18"/>
  </w:num>
  <w:num w:numId="9">
    <w:abstractNumId w:val="7"/>
  </w:num>
  <w:num w:numId="10">
    <w:abstractNumId w:val="27"/>
  </w:num>
  <w:num w:numId="11">
    <w:abstractNumId w:val="59"/>
  </w:num>
  <w:num w:numId="12">
    <w:abstractNumId w:val="38"/>
  </w:num>
  <w:num w:numId="13">
    <w:abstractNumId w:val="13"/>
  </w:num>
  <w:num w:numId="14">
    <w:abstractNumId w:val="47"/>
  </w:num>
  <w:num w:numId="15">
    <w:abstractNumId w:val="49"/>
  </w:num>
  <w:num w:numId="16">
    <w:abstractNumId w:val="20"/>
  </w:num>
  <w:num w:numId="17">
    <w:abstractNumId w:val="52"/>
  </w:num>
  <w:num w:numId="18">
    <w:abstractNumId w:val="39"/>
  </w:num>
  <w:num w:numId="19">
    <w:abstractNumId w:val="28"/>
  </w:num>
  <w:num w:numId="20">
    <w:abstractNumId w:val="6"/>
  </w:num>
  <w:num w:numId="21">
    <w:abstractNumId w:val="5"/>
  </w:num>
  <w:num w:numId="22">
    <w:abstractNumId w:val="9"/>
  </w:num>
  <w:num w:numId="23">
    <w:abstractNumId w:val="40"/>
  </w:num>
  <w:num w:numId="24">
    <w:abstractNumId w:val="26"/>
  </w:num>
  <w:num w:numId="25">
    <w:abstractNumId w:val="22"/>
  </w:num>
  <w:num w:numId="26">
    <w:abstractNumId w:val="57"/>
  </w:num>
  <w:num w:numId="27">
    <w:abstractNumId w:val="14"/>
  </w:num>
  <w:num w:numId="28">
    <w:abstractNumId w:val="11"/>
  </w:num>
  <w:num w:numId="29">
    <w:abstractNumId w:val="42"/>
  </w:num>
  <w:num w:numId="30">
    <w:abstractNumId w:val="45"/>
  </w:num>
  <w:num w:numId="31">
    <w:abstractNumId w:val="53"/>
  </w:num>
  <w:num w:numId="32">
    <w:abstractNumId w:val="29"/>
  </w:num>
  <w:num w:numId="33">
    <w:abstractNumId w:val="0"/>
  </w:num>
  <w:num w:numId="34">
    <w:abstractNumId w:val="15"/>
  </w:num>
  <w:num w:numId="35">
    <w:abstractNumId w:val="37"/>
  </w:num>
  <w:num w:numId="36">
    <w:abstractNumId w:val="51"/>
  </w:num>
  <w:num w:numId="37">
    <w:abstractNumId w:val="10"/>
  </w:num>
  <w:num w:numId="38">
    <w:abstractNumId w:val="24"/>
  </w:num>
  <w:num w:numId="39">
    <w:abstractNumId w:val="46"/>
  </w:num>
  <w:num w:numId="40">
    <w:abstractNumId w:val="30"/>
  </w:num>
  <w:num w:numId="41">
    <w:abstractNumId w:val="36"/>
  </w:num>
  <w:num w:numId="42">
    <w:abstractNumId w:val="23"/>
  </w:num>
  <w:num w:numId="43">
    <w:abstractNumId w:val="43"/>
  </w:num>
  <w:num w:numId="44">
    <w:abstractNumId w:val="58"/>
  </w:num>
  <w:num w:numId="45">
    <w:abstractNumId w:val="4"/>
  </w:num>
  <w:num w:numId="46">
    <w:abstractNumId w:val="34"/>
  </w:num>
  <w:num w:numId="47">
    <w:abstractNumId w:val="55"/>
  </w:num>
  <w:num w:numId="48">
    <w:abstractNumId w:val="54"/>
  </w:num>
  <w:num w:numId="49">
    <w:abstractNumId w:val="35"/>
  </w:num>
  <w:num w:numId="50">
    <w:abstractNumId w:val="48"/>
  </w:num>
  <w:num w:numId="51">
    <w:abstractNumId w:val="44"/>
  </w:num>
  <w:num w:numId="52">
    <w:abstractNumId w:val="41"/>
  </w:num>
  <w:num w:numId="53">
    <w:abstractNumId w:val="31"/>
  </w:num>
  <w:num w:numId="54">
    <w:abstractNumId w:val="1"/>
  </w:num>
  <w:num w:numId="55">
    <w:abstractNumId w:val="2"/>
  </w:num>
  <w:num w:numId="56">
    <w:abstractNumId w:val="25"/>
  </w:num>
  <w:num w:numId="57">
    <w:abstractNumId w:val="12"/>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num>
  <w:num w:numId="60">
    <w:abstractNumId w:val="21"/>
  </w:num>
  <w:num w:numId="61">
    <w:abstractNumId w:val="3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7F"/>
    <w:rsid w:val="00001FF8"/>
    <w:rsid w:val="000049C9"/>
    <w:rsid w:val="000109F9"/>
    <w:rsid w:val="000120D0"/>
    <w:rsid w:val="00014CA8"/>
    <w:rsid w:val="00015D87"/>
    <w:rsid w:val="00021572"/>
    <w:rsid w:val="000258EE"/>
    <w:rsid w:val="000266E5"/>
    <w:rsid w:val="00026D1D"/>
    <w:rsid w:val="000320AD"/>
    <w:rsid w:val="00042237"/>
    <w:rsid w:val="000435E8"/>
    <w:rsid w:val="00044ABF"/>
    <w:rsid w:val="0005072C"/>
    <w:rsid w:val="00055010"/>
    <w:rsid w:val="000600EA"/>
    <w:rsid w:val="00065038"/>
    <w:rsid w:val="00065742"/>
    <w:rsid w:val="00070B88"/>
    <w:rsid w:val="00072DE6"/>
    <w:rsid w:val="000759B9"/>
    <w:rsid w:val="00083DF6"/>
    <w:rsid w:val="00085F93"/>
    <w:rsid w:val="0009448F"/>
    <w:rsid w:val="000955E4"/>
    <w:rsid w:val="000C0E36"/>
    <w:rsid w:val="000C28EF"/>
    <w:rsid w:val="000C3A3C"/>
    <w:rsid w:val="000C7663"/>
    <w:rsid w:val="000D09BE"/>
    <w:rsid w:val="000D49EF"/>
    <w:rsid w:val="000D6648"/>
    <w:rsid w:val="000F0147"/>
    <w:rsid w:val="001030A0"/>
    <w:rsid w:val="001054E2"/>
    <w:rsid w:val="00106D21"/>
    <w:rsid w:val="001128A7"/>
    <w:rsid w:val="00124E2B"/>
    <w:rsid w:val="00132386"/>
    <w:rsid w:val="001364A1"/>
    <w:rsid w:val="0013781E"/>
    <w:rsid w:val="001415B3"/>
    <w:rsid w:val="0014298F"/>
    <w:rsid w:val="00145517"/>
    <w:rsid w:val="0014788A"/>
    <w:rsid w:val="00156299"/>
    <w:rsid w:val="00157421"/>
    <w:rsid w:val="001602DC"/>
    <w:rsid w:val="001609B0"/>
    <w:rsid w:val="00164582"/>
    <w:rsid w:val="001711D6"/>
    <w:rsid w:val="00172F07"/>
    <w:rsid w:val="0017526D"/>
    <w:rsid w:val="001B2140"/>
    <w:rsid w:val="001B7576"/>
    <w:rsid w:val="001C5132"/>
    <w:rsid w:val="001C7902"/>
    <w:rsid w:val="001D39C9"/>
    <w:rsid w:val="001D57BE"/>
    <w:rsid w:val="001E1BEB"/>
    <w:rsid w:val="001E2775"/>
    <w:rsid w:val="001E278B"/>
    <w:rsid w:val="001E60A8"/>
    <w:rsid w:val="001F4DB3"/>
    <w:rsid w:val="001F74E7"/>
    <w:rsid w:val="001F7FD6"/>
    <w:rsid w:val="0020692D"/>
    <w:rsid w:val="002107E0"/>
    <w:rsid w:val="002112B1"/>
    <w:rsid w:val="0021505C"/>
    <w:rsid w:val="00221675"/>
    <w:rsid w:val="002224F3"/>
    <w:rsid w:val="00224D01"/>
    <w:rsid w:val="00225DCA"/>
    <w:rsid w:val="00230646"/>
    <w:rsid w:val="00232453"/>
    <w:rsid w:val="00236951"/>
    <w:rsid w:val="00242AED"/>
    <w:rsid w:val="00243A72"/>
    <w:rsid w:val="00243B4B"/>
    <w:rsid w:val="0026341F"/>
    <w:rsid w:val="0026776F"/>
    <w:rsid w:val="00271649"/>
    <w:rsid w:val="00277089"/>
    <w:rsid w:val="00280A19"/>
    <w:rsid w:val="00285D15"/>
    <w:rsid w:val="00285DFB"/>
    <w:rsid w:val="002900EC"/>
    <w:rsid w:val="00292B1B"/>
    <w:rsid w:val="002B51DC"/>
    <w:rsid w:val="002B7CA2"/>
    <w:rsid w:val="002C0084"/>
    <w:rsid w:val="002C3534"/>
    <w:rsid w:val="002C353D"/>
    <w:rsid w:val="002C5C65"/>
    <w:rsid w:val="002D10EF"/>
    <w:rsid w:val="002D268E"/>
    <w:rsid w:val="002E0A20"/>
    <w:rsid w:val="002E4810"/>
    <w:rsid w:val="002E5BCB"/>
    <w:rsid w:val="002F7AB2"/>
    <w:rsid w:val="00307BCC"/>
    <w:rsid w:val="00311FE6"/>
    <w:rsid w:val="00312B8E"/>
    <w:rsid w:val="003147BA"/>
    <w:rsid w:val="00314D86"/>
    <w:rsid w:val="00331410"/>
    <w:rsid w:val="00340A7E"/>
    <w:rsid w:val="00346428"/>
    <w:rsid w:val="0035189B"/>
    <w:rsid w:val="00356EA0"/>
    <w:rsid w:val="00361319"/>
    <w:rsid w:val="00364035"/>
    <w:rsid w:val="0036482C"/>
    <w:rsid w:val="003658EA"/>
    <w:rsid w:val="00373250"/>
    <w:rsid w:val="0037498C"/>
    <w:rsid w:val="00376BFD"/>
    <w:rsid w:val="003928B8"/>
    <w:rsid w:val="00392BBA"/>
    <w:rsid w:val="0039448B"/>
    <w:rsid w:val="00394557"/>
    <w:rsid w:val="003A3A7F"/>
    <w:rsid w:val="003A6DCC"/>
    <w:rsid w:val="003B3077"/>
    <w:rsid w:val="003C5C59"/>
    <w:rsid w:val="003C6736"/>
    <w:rsid w:val="003E4167"/>
    <w:rsid w:val="003F559D"/>
    <w:rsid w:val="003F67C6"/>
    <w:rsid w:val="003F6C91"/>
    <w:rsid w:val="00401FA6"/>
    <w:rsid w:val="004035DC"/>
    <w:rsid w:val="004119D7"/>
    <w:rsid w:val="00420586"/>
    <w:rsid w:val="004257DE"/>
    <w:rsid w:val="004274E8"/>
    <w:rsid w:val="0042774E"/>
    <w:rsid w:val="004361E6"/>
    <w:rsid w:val="00436C74"/>
    <w:rsid w:val="004416A2"/>
    <w:rsid w:val="00443701"/>
    <w:rsid w:val="004505CB"/>
    <w:rsid w:val="00456032"/>
    <w:rsid w:val="00471DB4"/>
    <w:rsid w:val="00472DB1"/>
    <w:rsid w:val="00474D0B"/>
    <w:rsid w:val="004B0E46"/>
    <w:rsid w:val="004B1AAD"/>
    <w:rsid w:val="004B4631"/>
    <w:rsid w:val="004C0574"/>
    <w:rsid w:val="004D16D1"/>
    <w:rsid w:val="004D7210"/>
    <w:rsid w:val="004E137D"/>
    <w:rsid w:val="004F0934"/>
    <w:rsid w:val="004F5A8D"/>
    <w:rsid w:val="004F6EEF"/>
    <w:rsid w:val="005005BC"/>
    <w:rsid w:val="00500E76"/>
    <w:rsid w:val="00506377"/>
    <w:rsid w:val="00507759"/>
    <w:rsid w:val="00507A4F"/>
    <w:rsid w:val="005179C7"/>
    <w:rsid w:val="00522280"/>
    <w:rsid w:val="005255AC"/>
    <w:rsid w:val="005338AA"/>
    <w:rsid w:val="00541E6E"/>
    <w:rsid w:val="00550CCB"/>
    <w:rsid w:val="00555A69"/>
    <w:rsid w:val="005648B9"/>
    <w:rsid w:val="00564A2C"/>
    <w:rsid w:val="00565DA7"/>
    <w:rsid w:val="00567B2A"/>
    <w:rsid w:val="00572FB9"/>
    <w:rsid w:val="0058078F"/>
    <w:rsid w:val="00583A39"/>
    <w:rsid w:val="005850D8"/>
    <w:rsid w:val="0059125A"/>
    <w:rsid w:val="005A1621"/>
    <w:rsid w:val="005A395A"/>
    <w:rsid w:val="005A636D"/>
    <w:rsid w:val="005B074C"/>
    <w:rsid w:val="005B33CB"/>
    <w:rsid w:val="005D213E"/>
    <w:rsid w:val="005D791E"/>
    <w:rsid w:val="005E0084"/>
    <w:rsid w:val="005E0261"/>
    <w:rsid w:val="005E2619"/>
    <w:rsid w:val="005E362F"/>
    <w:rsid w:val="005F0EC4"/>
    <w:rsid w:val="005F2A51"/>
    <w:rsid w:val="006010D1"/>
    <w:rsid w:val="006145B0"/>
    <w:rsid w:val="00616F20"/>
    <w:rsid w:val="0062362F"/>
    <w:rsid w:val="00624C51"/>
    <w:rsid w:val="006254E5"/>
    <w:rsid w:val="00625FFD"/>
    <w:rsid w:val="006278F7"/>
    <w:rsid w:val="00630CB2"/>
    <w:rsid w:val="006456AC"/>
    <w:rsid w:val="00646FB6"/>
    <w:rsid w:val="00646FB7"/>
    <w:rsid w:val="006477AA"/>
    <w:rsid w:val="00650D82"/>
    <w:rsid w:val="00664C0A"/>
    <w:rsid w:val="00682170"/>
    <w:rsid w:val="006864A5"/>
    <w:rsid w:val="00686751"/>
    <w:rsid w:val="006868A1"/>
    <w:rsid w:val="0069177B"/>
    <w:rsid w:val="00695C46"/>
    <w:rsid w:val="006A18AE"/>
    <w:rsid w:val="006A6DE3"/>
    <w:rsid w:val="006B4D4B"/>
    <w:rsid w:val="006B7F12"/>
    <w:rsid w:val="006C2158"/>
    <w:rsid w:val="006C4B2A"/>
    <w:rsid w:val="006D1236"/>
    <w:rsid w:val="006D7861"/>
    <w:rsid w:val="006F24F4"/>
    <w:rsid w:val="006F661B"/>
    <w:rsid w:val="006F6F3C"/>
    <w:rsid w:val="00700161"/>
    <w:rsid w:val="0070110E"/>
    <w:rsid w:val="00704AAB"/>
    <w:rsid w:val="00710C3E"/>
    <w:rsid w:val="00716F62"/>
    <w:rsid w:val="0072190D"/>
    <w:rsid w:val="00722C42"/>
    <w:rsid w:val="0072493F"/>
    <w:rsid w:val="0072776F"/>
    <w:rsid w:val="00730309"/>
    <w:rsid w:val="00730E3D"/>
    <w:rsid w:val="00732590"/>
    <w:rsid w:val="007325D2"/>
    <w:rsid w:val="00733484"/>
    <w:rsid w:val="007343DB"/>
    <w:rsid w:val="00734B6B"/>
    <w:rsid w:val="00736B7F"/>
    <w:rsid w:val="00741C1F"/>
    <w:rsid w:val="007458DE"/>
    <w:rsid w:val="007465D9"/>
    <w:rsid w:val="00746FBA"/>
    <w:rsid w:val="00747B71"/>
    <w:rsid w:val="00760A33"/>
    <w:rsid w:val="0077032D"/>
    <w:rsid w:val="00780C54"/>
    <w:rsid w:val="00782093"/>
    <w:rsid w:val="007820A2"/>
    <w:rsid w:val="00785149"/>
    <w:rsid w:val="007909E4"/>
    <w:rsid w:val="00797CA9"/>
    <w:rsid w:val="007A1161"/>
    <w:rsid w:val="007A1875"/>
    <w:rsid w:val="007A6D69"/>
    <w:rsid w:val="007B187C"/>
    <w:rsid w:val="007C0551"/>
    <w:rsid w:val="007C15E0"/>
    <w:rsid w:val="007C4A34"/>
    <w:rsid w:val="007C6031"/>
    <w:rsid w:val="007D5A71"/>
    <w:rsid w:val="007F011A"/>
    <w:rsid w:val="007F71BE"/>
    <w:rsid w:val="007F7E4F"/>
    <w:rsid w:val="0080038D"/>
    <w:rsid w:val="008026E6"/>
    <w:rsid w:val="00802CD9"/>
    <w:rsid w:val="00805CCD"/>
    <w:rsid w:val="0080660A"/>
    <w:rsid w:val="00807C32"/>
    <w:rsid w:val="00813092"/>
    <w:rsid w:val="00823B78"/>
    <w:rsid w:val="008252C2"/>
    <w:rsid w:val="00834247"/>
    <w:rsid w:val="00834AEA"/>
    <w:rsid w:val="008421CC"/>
    <w:rsid w:val="00842CF4"/>
    <w:rsid w:val="0085437B"/>
    <w:rsid w:val="00865C9E"/>
    <w:rsid w:val="0087206F"/>
    <w:rsid w:val="00873393"/>
    <w:rsid w:val="00890720"/>
    <w:rsid w:val="008926D5"/>
    <w:rsid w:val="008B10F8"/>
    <w:rsid w:val="008B19EB"/>
    <w:rsid w:val="008B2D90"/>
    <w:rsid w:val="008C7D2C"/>
    <w:rsid w:val="008D5377"/>
    <w:rsid w:val="008D59A0"/>
    <w:rsid w:val="008D64B5"/>
    <w:rsid w:val="008E15E7"/>
    <w:rsid w:val="008E182B"/>
    <w:rsid w:val="008E1CE2"/>
    <w:rsid w:val="008E446C"/>
    <w:rsid w:val="008E45BA"/>
    <w:rsid w:val="008E4E1B"/>
    <w:rsid w:val="008F2CC5"/>
    <w:rsid w:val="008F31A5"/>
    <w:rsid w:val="00901733"/>
    <w:rsid w:val="009060A4"/>
    <w:rsid w:val="009122CE"/>
    <w:rsid w:val="00913694"/>
    <w:rsid w:val="00916691"/>
    <w:rsid w:val="00925288"/>
    <w:rsid w:val="00926E7E"/>
    <w:rsid w:val="00932ACA"/>
    <w:rsid w:val="009346BD"/>
    <w:rsid w:val="00940826"/>
    <w:rsid w:val="009417D3"/>
    <w:rsid w:val="00944BB5"/>
    <w:rsid w:val="009547AF"/>
    <w:rsid w:val="00976ECF"/>
    <w:rsid w:val="00982A49"/>
    <w:rsid w:val="00985CF7"/>
    <w:rsid w:val="009931BA"/>
    <w:rsid w:val="00993888"/>
    <w:rsid w:val="0099612A"/>
    <w:rsid w:val="009A67EA"/>
    <w:rsid w:val="009B41FC"/>
    <w:rsid w:val="009B54E3"/>
    <w:rsid w:val="009B564C"/>
    <w:rsid w:val="009D7074"/>
    <w:rsid w:val="009D7775"/>
    <w:rsid w:val="009E4877"/>
    <w:rsid w:val="009F097F"/>
    <w:rsid w:val="009F31DD"/>
    <w:rsid w:val="00A04E3F"/>
    <w:rsid w:val="00A066EB"/>
    <w:rsid w:val="00A10A3A"/>
    <w:rsid w:val="00A112F1"/>
    <w:rsid w:val="00A14496"/>
    <w:rsid w:val="00A157E0"/>
    <w:rsid w:val="00A16A2C"/>
    <w:rsid w:val="00A216AD"/>
    <w:rsid w:val="00A22D94"/>
    <w:rsid w:val="00A2744E"/>
    <w:rsid w:val="00A31F23"/>
    <w:rsid w:val="00A35A58"/>
    <w:rsid w:val="00A35C6F"/>
    <w:rsid w:val="00A3729B"/>
    <w:rsid w:val="00A40F68"/>
    <w:rsid w:val="00A433AB"/>
    <w:rsid w:val="00A43870"/>
    <w:rsid w:val="00A51DA8"/>
    <w:rsid w:val="00A6371A"/>
    <w:rsid w:val="00A670C8"/>
    <w:rsid w:val="00A6788C"/>
    <w:rsid w:val="00A70FEF"/>
    <w:rsid w:val="00A729B2"/>
    <w:rsid w:val="00A8331C"/>
    <w:rsid w:val="00A83F6E"/>
    <w:rsid w:val="00A8456A"/>
    <w:rsid w:val="00A84CF7"/>
    <w:rsid w:val="00A878A8"/>
    <w:rsid w:val="00A92FA1"/>
    <w:rsid w:val="00A955AC"/>
    <w:rsid w:val="00AB306D"/>
    <w:rsid w:val="00AB3369"/>
    <w:rsid w:val="00AD5E36"/>
    <w:rsid w:val="00AD66FD"/>
    <w:rsid w:val="00AD7F09"/>
    <w:rsid w:val="00AE0FFD"/>
    <w:rsid w:val="00AE4BD4"/>
    <w:rsid w:val="00AF3249"/>
    <w:rsid w:val="00AF4F54"/>
    <w:rsid w:val="00AF5056"/>
    <w:rsid w:val="00B02A0A"/>
    <w:rsid w:val="00B02D5D"/>
    <w:rsid w:val="00B047BD"/>
    <w:rsid w:val="00B155A7"/>
    <w:rsid w:val="00B1611E"/>
    <w:rsid w:val="00B2101F"/>
    <w:rsid w:val="00B305DF"/>
    <w:rsid w:val="00B34489"/>
    <w:rsid w:val="00B40498"/>
    <w:rsid w:val="00B4083E"/>
    <w:rsid w:val="00B41D7D"/>
    <w:rsid w:val="00B44E4D"/>
    <w:rsid w:val="00B46BE4"/>
    <w:rsid w:val="00B46BFA"/>
    <w:rsid w:val="00B52F40"/>
    <w:rsid w:val="00B53161"/>
    <w:rsid w:val="00B73FC7"/>
    <w:rsid w:val="00B767FF"/>
    <w:rsid w:val="00B85465"/>
    <w:rsid w:val="00B86558"/>
    <w:rsid w:val="00B87DD3"/>
    <w:rsid w:val="00BA2708"/>
    <w:rsid w:val="00BB4034"/>
    <w:rsid w:val="00BB4E43"/>
    <w:rsid w:val="00BC1462"/>
    <w:rsid w:val="00BC4092"/>
    <w:rsid w:val="00BC552F"/>
    <w:rsid w:val="00BD0EB8"/>
    <w:rsid w:val="00BD7E8A"/>
    <w:rsid w:val="00BE5D68"/>
    <w:rsid w:val="00BE7397"/>
    <w:rsid w:val="00BF114B"/>
    <w:rsid w:val="00BF1181"/>
    <w:rsid w:val="00BF317A"/>
    <w:rsid w:val="00BF4D7B"/>
    <w:rsid w:val="00BF7914"/>
    <w:rsid w:val="00C01B75"/>
    <w:rsid w:val="00C04D4C"/>
    <w:rsid w:val="00C05BB8"/>
    <w:rsid w:val="00C1068C"/>
    <w:rsid w:val="00C14A77"/>
    <w:rsid w:val="00C14E24"/>
    <w:rsid w:val="00C15B0D"/>
    <w:rsid w:val="00C22F5F"/>
    <w:rsid w:val="00C24E99"/>
    <w:rsid w:val="00C25BAF"/>
    <w:rsid w:val="00C31A6C"/>
    <w:rsid w:val="00C32C42"/>
    <w:rsid w:val="00C36948"/>
    <w:rsid w:val="00C373DF"/>
    <w:rsid w:val="00C47AE5"/>
    <w:rsid w:val="00C50F33"/>
    <w:rsid w:val="00C54EFC"/>
    <w:rsid w:val="00C553C7"/>
    <w:rsid w:val="00C66E09"/>
    <w:rsid w:val="00C719A9"/>
    <w:rsid w:val="00C73B2A"/>
    <w:rsid w:val="00C80A08"/>
    <w:rsid w:val="00C82AA5"/>
    <w:rsid w:val="00C82D6F"/>
    <w:rsid w:val="00C9056A"/>
    <w:rsid w:val="00CA0EB4"/>
    <w:rsid w:val="00CA16D6"/>
    <w:rsid w:val="00CA4FB2"/>
    <w:rsid w:val="00CA516B"/>
    <w:rsid w:val="00CA6818"/>
    <w:rsid w:val="00CA78DD"/>
    <w:rsid w:val="00CC1F15"/>
    <w:rsid w:val="00CC48D7"/>
    <w:rsid w:val="00CC55CD"/>
    <w:rsid w:val="00CC6784"/>
    <w:rsid w:val="00CD07FC"/>
    <w:rsid w:val="00CD0E4F"/>
    <w:rsid w:val="00CD4BAE"/>
    <w:rsid w:val="00CE2013"/>
    <w:rsid w:val="00CE7DE8"/>
    <w:rsid w:val="00CE7EAD"/>
    <w:rsid w:val="00CF53A6"/>
    <w:rsid w:val="00D02EF3"/>
    <w:rsid w:val="00D03DDA"/>
    <w:rsid w:val="00D07E59"/>
    <w:rsid w:val="00D13421"/>
    <w:rsid w:val="00D236BF"/>
    <w:rsid w:val="00D2747B"/>
    <w:rsid w:val="00D27708"/>
    <w:rsid w:val="00D3371E"/>
    <w:rsid w:val="00D35F88"/>
    <w:rsid w:val="00D36EEB"/>
    <w:rsid w:val="00D42B8B"/>
    <w:rsid w:val="00D444C6"/>
    <w:rsid w:val="00D52810"/>
    <w:rsid w:val="00D534C4"/>
    <w:rsid w:val="00D64E84"/>
    <w:rsid w:val="00D7394B"/>
    <w:rsid w:val="00D73A49"/>
    <w:rsid w:val="00D80056"/>
    <w:rsid w:val="00D81B61"/>
    <w:rsid w:val="00D85BEE"/>
    <w:rsid w:val="00D932DE"/>
    <w:rsid w:val="00DA28FA"/>
    <w:rsid w:val="00DA7D82"/>
    <w:rsid w:val="00DB05E6"/>
    <w:rsid w:val="00DB5CC2"/>
    <w:rsid w:val="00DD452A"/>
    <w:rsid w:val="00DD7F93"/>
    <w:rsid w:val="00DE3BAC"/>
    <w:rsid w:val="00DF0CCE"/>
    <w:rsid w:val="00E01FE4"/>
    <w:rsid w:val="00E030A1"/>
    <w:rsid w:val="00E04CAD"/>
    <w:rsid w:val="00E126B4"/>
    <w:rsid w:val="00E251FA"/>
    <w:rsid w:val="00E33C50"/>
    <w:rsid w:val="00E35E02"/>
    <w:rsid w:val="00E371AA"/>
    <w:rsid w:val="00E373A2"/>
    <w:rsid w:val="00E44ED1"/>
    <w:rsid w:val="00E505C3"/>
    <w:rsid w:val="00E537C1"/>
    <w:rsid w:val="00E6498D"/>
    <w:rsid w:val="00E66301"/>
    <w:rsid w:val="00E70204"/>
    <w:rsid w:val="00E75002"/>
    <w:rsid w:val="00E75C30"/>
    <w:rsid w:val="00E84263"/>
    <w:rsid w:val="00E860E9"/>
    <w:rsid w:val="00E87816"/>
    <w:rsid w:val="00E905B0"/>
    <w:rsid w:val="00E90707"/>
    <w:rsid w:val="00E9221E"/>
    <w:rsid w:val="00E96760"/>
    <w:rsid w:val="00E97EA1"/>
    <w:rsid w:val="00EA1137"/>
    <w:rsid w:val="00EA641A"/>
    <w:rsid w:val="00EB1741"/>
    <w:rsid w:val="00EB3073"/>
    <w:rsid w:val="00EB4A3C"/>
    <w:rsid w:val="00EB7456"/>
    <w:rsid w:val="00EE4AA5"/>
    <w:rsid w:val="00EF01B6"/>
    <w:rsid w:val="00EF1D74"/>
    <w:rsid w:val="00EF41BF"/>
    <w:rsid w:val="00F004CF"/>
    <w:rsid w:val="00F10704"/>
    <w:rsid w:val="00F121B2"/>
    <w:rsid w:val="00F239D2"/>
    <w:rsid w:val="00F2642A"/>
    <w:rsid w:val="00F273CF"/>
    <w:rsid w:val="00F27C45"/>
    <w:rsid w:val="00F348E7"/>
    <w:rsid w:val="00F358E4"/>
    <w:rsid w:val="00F4234F"/>
    <w:rsid w:val="00F53328"/>
    <w:rsid w:val="00F5343E"/>
    <w:rsid w:val="00F57ADF"/>
    <w:rsid w:val="00F60060"/>
    <w:rsid w:val="00F776D5"/>
    <w:rsid w:val="00F865AB"/>
    <w:rsid w:val="00F868E1"/>
    <w:rsid w:val="00F91034"/>
    <w:rsid w:val="00F92838"/>
    <w:rsid w:val="00FA2206"/>
    <w:rsid w:val="00FA6B6F"/>
    <w:rsid w:val="00FB2B18"/>
    <w:rsid w:val="00FB359A"/>
    <w:rsid w:val="00FC0FA0"/>
    <w:rsid w:val="00FD0C6F"/>
    <w:rsid w:val="00FD1E5E"/>
    <w:rsid w:val="00FD4DD8"/>
    <w:rsid w:val="00FD63E0"/>
    <w:rsid w:val="00FD7CDC"/>
    <w:rsid w:val="00FE61B6"/>
    <w:rsid w:val="00FE6F60"/>
    <w:rsid w:val="00FF13DB"/>
    <w:rsid w:val="00FF2967"/>
    <w:rsid w:val="00FF322C"/>
    <w:rsid w:val="00FF3385"/>
    <w:rsid w:val="00FF3B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A7F"/>
    <w:rPr>
      <w:rFonts w:ascii="Calibri" w:eastAsia="Times New Roman" w:hAnsi="Calibri" w:cs="Times New Roman"/>
    </w:rPr>
  </w:style>
  <w:style w:type="paragraph" w:styleId="1">
    <w:name w:val="heading 1"/>
    <w:basedOn w:val="a"/>
    <w:next w:val="a"/>
    <w:link w:val="10"/>
    <w:uiPriority w:val="9"/>
    <w:qFormat/>
    <w:rsid w:val="00BC552F"/>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5005B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005B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83A3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хемы"/>
    <w:basedOn w:val="1"/>
    <w:autoRedefine/>
    <w:qFormat/>
    <w:rsid w:val="00BC552F"/>
    <w:pPr>
      <w:spacing w:line="276" w:lineRule="auto"/>
    </w:pPr>
    <w:rPr>
      <w:rFonts w:ascii="Times New Roman" w:hAnsi="Times New Roman" w:cs="Times New Roman"/>
      <w:color w:val="auto"/>
      <w:sz w:val="28"/>
      <w:szCs w:val="28"/>
      <w:lang w:eastAsia="en-US"/>
    </w:rPr>
  </w:style>
  <w:style w:type="character" w:customStyle="1" w:styleId="10">
    <w:name w:val="Заголовок 1 Знак"/>
    <w:basedOn w:val="a0"/>
    <w:link w:val="1"/>
    <w:uiPriority w:val="9"/>
    <w:rsid w:val="00BC552F"/>
    <w:rPr>
      <w:rFonts w:asciiTheme="majorHAnsi" w:eastAsiaTheme="majorEastAsia" w:hAnsiTheme="majorHAnsi" w:cstheme="majorBidi"/>
      <w:b/>
      <w:bCs/>
      <w:color w:val="345A8A" w:themeColor="accent1" w:themeShade="B5"/>
      <w:sz w:val="32"/>
      <w:szCs w:val="32"/>
    </w:rPr>
  </w:style>
  <w:style w:type="character" w:styleId="a4">
    <w:name w:val="Hyperlink"/>
    <w:basedOn w:val="a0"/>
    <w:uiPriority w:val="99"/>
    <w:rsid w:val="003A3A7F"/>
    <w:rPr>
      <w:rFonts w:cs="Times New Roman"/>
      <w:color w:val="0000FF"/>
      <w:u w:val="single"/>
    </w:rPr>
  </w:style>
  <w:style w:type="paragraph" w:styleId="a5">
    <w:name w:val="List Paragraph"/>
    <w:basedOn w:val="a"/>
    <w:uiPriority w:val="1"/>
    <w:qFormat/>
    <w:rsid w:val="003A3A7F"/>
    <w:pPr>
      <w:spacing w:after="200" w:line="276" w:lineRule="auto"/>
      <w:ind w:left="720"/>
      <w:contextualSpacing/>
    </w:pPr>
    <w:rPr>
      <w:sz w:val="22"/>
      <w:szCs w:val="22"/>
      <w:lang w:eastAsia="en-US"/>
    </w:rPr>
  </w:style>
  <w:style w:type="paragraph" w:styleId="a6">
    <w:name w:val="TOC Heading"/>
    <w:basedOn w:val="1"/>
    <w:next w:val="a"/>
    <w:uiPriority w:val="39"/>
    <w:unhideWhenUsed/>
    <w:qFormat/>
    <w:rsid w:val="003A3A7F"/>
    <w:pPr>
      <w:spacing w:line="276" w:lineRule="auto"/>
      <w:outlineLvl w:val="9"/>
    </w:pPr>
    <w:rPr>
      <w:rFonts w:ascii="Cambria" w:eastAsia="MS Gothic" w:hAnsi="Cambria" w:cs="Times New Roman"/>
      <w:color w:val="AE9638"/>
      <w:sz w:val="28"/>
      <w:szCs w:val="28"/>
      <w:lang w:eastAsia="en-US"/>
    </w:rPr>
  </w:style>
  <w:style w:type="paragraph" w:styleId="11">
    <w:name w:val="toc 1"/>
    <w:basedOn w:val="a"/>
    <w:next w:val="a"/>
    <w:autoRedefine/>
    <w:uiPriority w:val="39"/>
    <w:rsid w:val="003A3A7F"/>
    <w:pPr>
      <w:spacing w:after="100"/>
    </w:pPr>
  </w:style>
  <w:style w:type="paragraph" w:styleId="a7">
    <w:name w:val="header"/>
    <w:basedOn w:val="a"/>
    <w:link w:val="a8"/>
    <w:uiPriority w:val="99"/>
    <w:unhideWhenUsed/>
    <w:rsid w:val="00A112F1"/>
    <w:pPr>
      <w:tabs>
        <w:tab w:val="center" w:pos="4677"/>
        <w:tab w:val="right" w:pos="9355"/>
      </w:tabs>
    </w:pPr>
  </w:style>
  <w:style w:type="character" w:customStyle="1" w:styleId="a8">
    <w:name w:val="Верхний колонтитул Знак"/>
    <w:basedOn w:val="a0"/>
    <w:link w:val="a7"/>
    <w:uiPriority w:val="99"/>
    <w:rsid w:val="00A112F1"/>
    <w:rPr>
      <w:rFonts w:ascii="Calibri" w:eastAsia="Times New Roman" w:hAnsi="Calibri" w:cs="Times New Roman"/>
    </w:rPr>
  </w:style>
  <w:style w:type="character" w:styleId="a9">
    <w:name w:val="page number"/>
    <w:basedOn w:val="a0"/>
    <w:uiPriority w:val="99"/>
    <w:unhideWhenUsed/>
    <w:rsid w:val="00A112F1"/>
  </w:style>
  <w:style w:type="paragraph" w:customStyle="1" w:styleId="12">
    <w:name w:val="Обычный1"/>
    <w:rsid w:val="005005BC"/>
    <w:pPr>
      <w:spacing w:line="276" w:lineRule="auto"/>
    </w:pPr>
    <w:rPr>
      <w:rFonts w:ascii="Arial" w:eastAsia="Arial" w:hAnsi="Arial" w:cs="Arial"/>
      <w:color w:val="000000"/>
      <w:sz w:val="22"/>
      <w:lang w:eastAsia="ja-JP"/>
    </w:rPr>
  </w:style>
  <w:style w:type="character" w:customStyle="1" w:styleId="20">
    <w:name w:val="Заголовок 2 Знак"/>
    <w:basedOn w:val="a0"/>
    <w:link w:val="2"/>
    <w:uiPriority w:val="9"/>
    <w:rsid w:val="005005B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005BC"/>
    <w:rPr>
      <w:rFonts w:asciiTheme="majorHAnsi" w:eastAsiaTheme="majorEastAsia" w:hAnsiTheme="majorHAnsi" w:cstheme="majorBidi"/>
      <w:b/>
      <w:bCs/>
      <w:color w:val="4F81BD" w:themeColor="accent1"/>
    </w:rPr>
  </w:style>
  <w:style w:type="paragraph" w:styleId="aa">
    <w:name w:val="Balloon Text"/>
    <w:basedOn w:val="a"/>
    <w:link w:val="ab"/>
    <w:uiPriority w:val="99"/>
    <w:semiHidden/>
    <w:unhideWhenUsed/>
    <w:rsid w:val="00567B2A"/>
    <w:rPr>
      <w:rFonts w:ascii="Lucida Grande CY" w:hAnsi="Lucida Grande CY" w:cs="Lucida Grande CY"/>
      <w:sz w:val="18"/>
      <w:szCs w:val="18"/>
    </w:rPr>
  </w:style>
  <w:style w:type="character" w:customStyle="1" w:styleId="ab">
    <w:name w:val="Текст выноски Знак"/>
    <w:basedOn w:val="a0"/>
    <w:link w:val="aa"/>
    <w:uiPriority w:val="99"/>
    <w:semiHidden/>
    <w:rsid w:val="00567B2A"/>
    <w:rPr>
      <w:rFonts w:ascii="Lucida Grande CY" w:eastAsia="Times New Roman" w:hAnsi="Lucida Grande CY" w:cs="Lucida Grande CY"/>
      <w:sz w:val="18"/>
      <w:szCs w:val="18"/>
    </w:rPr>
  </w:style>
  <w:style w:type="paragraph" w:styleId="21">
    <w:name w:val="toc 2"/>
    <w:basedOn w:val="a"/>
    <w:next w:val="a"/>
    <w:autoRedefine/>
    <w:uiPriority w:val="39"/>
    <w:unhideWhenUsed/>
    <w:rsid w:val="001B2140"/>
    <w:pPr>
      <w:spacing w:after="100"/>
      <w:ind w:left="240"/>
    </w:pPr>
  </w:style>
  <w:style w:type="paragraph" w:styleId="31">
    <w:name w:val="toc 3"/>
    <w:basedOn w:val="a"/>
    <w:next w:val="a"/>
    <w:autoRedefine/>
    <w:uiPriority w:val="39"/>
    <w:unhideWhenUsed/>
    <w:rsid w:val="001B2140"/>
    <w:pPr>
      <w:spacing w:after="100"/>
      <w:ind w:left="480"/>
    </w:pPr>
  </w:style>
  <w:style w:type="character" w:styleId="ac">
    <w:name w:val="footnote reference"/>
    <w:basedOn w:val="a0"/>
    <w:uiPriority w:val="99"/>
    <w:rsid w:val="00D42B8B"/>
    <w:rPr>
      <w:rFonts w:cs="Times New Roman"/>
      <w:vertAlign w:val="superscript"/>
    </w:rPr>
  </w:style>
  <w:style w:type="paragraph" w:styleId="ad">
    <w:name w:val="No Spacing"/>
    <w:link w:val="ae"/>
    <w:uiPriority w:val="1"/>
    <w:qFormat/>
    <w:rsid w:val="00D42B8B"/>
    <w:rPr>
      <w:rFonts w:ascii="Calibri" w:eastAsia="Times New Roman" w:hAnsi="Calibri" w:cs="Times New Roman"/>
    </w:rPr>
  </w:style>
  <w:style w:type="paragraph" w:styleId="32">
    <w:name w:val="Body Text 3"/>
    <w:basedOn w:val="a"/>
    <w:link w:val="33"/>
    <w:uiPriority w:val="99"/>
    <w:unhideWhenUsed/>
    <w:rsid w:val="00C15B0D"/>
    <w:pPr>
      <w:spacing w:after="120" w:line="276" w:lineRule="auto"/>
    </w:pPr>
    <w:rPr>
      <w:sz w:val="16"/>
      <w:szCs w:val="16"/>
      <w:lang w:eastAsia="en-US"/>
    </w:rPr>
  </w:style>
  <w:style w:type="character" w:customStyle="1" w:styleId="33">
    <w:name w:val="Основной текст 3 Знак"/>
    <w:basedOn w:val="a0"/>
    <w:link w:val="32"/>
    <w:uiPriority w:val="99"/>
    <w:rsid w:val="00C15B0D"/>
    <w:rPr>
      <w:rFonts w:ascii="Calibri" w:eastAsia="Times New Roman" w:hAnsi="Calibri" w:cs="Times New Roman"/>
      <w:sz w:val="16"/>
      <w:szCs w:val="16"/>
      <w:lang w:eastAsia="en-US"/>
    </w:rPr>
  </w:style>
  <w:style w:type="paragraph" w:styleId="af">
    <w:name w:val="caption"/>
    <w:basedOn w:val="a"/>
    <w:next w:val="a"/>
    <w:link w:val="af0"/>
    <w:uiPriority w:val="99"/>
    <w:unhideWhenUsed/>
    <w:qFormat/>
    <w:rsid w:val="00C15B0D"/>
    <w:pPr>
      <w:spacing w:after="200"/>
    </w:pPr>
    <w:rPr>
      <w:b/>
      <w:bCs/>
      <w:color w:val="CEB966"/>
      <w:sz w:val="18"/>
      <w:szCs w:val="18"/>
      <w:lang w:eastAsia="en-US"/>
    </w:rPr>
  </w:style>
  <w:style w:type="character" w:customStyle="1" w:styleId="af0">
    <w:name w:val="Название объекта Знак"/>
    <w:basedOn w:val="a0"/>
    <w:link w:val="af"/>
    <w:uiPriority w:val="99"/>
    <w:locked/>
    <w:rsid w:val="00C15B0D"/>
    <w:rPr>
      <w:rFonts w:ascii="Calibri" w:eastAsia="Times New Roman" w:hAnsi="Calibri" w:cs="Times New Roman"/>
      <w:b/>
      <w:bCs/>
      <w:color w:val="CEB966"/>
      <w:sz w:val="18"/>
      <w:szCs w:val="18"/>
      <w:lang w:eastAsia="en-US"/>
    </w:rPr>
  </w:style>
  <w:style w:type="paragraph" w:styleId="af1">
    <w:name w:val="Normal (Web)"/>
    <w:basedOn w:val="a"/>
    <w:uiPriority w:val="99"/>
    <w:unhideWhenUsed/>
    <w:rsid w:val="00C15B0D"/>
    <w:pPr>
      <w:spacing w:before="100" w:beforeAutospacing="1" w:after="100" w:afterAutospacing="1"/>
    </w:pPr>
    <w:rPr>
      <w:rFonts w:ascii="Times New Roman" w:hAnsi="Times New Roman"/>
    </w:rPr>
  </w:style>
  <w:style w:type="paragraph" w:styleId="af2">
    <w:name w:val="footnote text"/>
    <w:basedOn w:val="a"/>
    <w:link w:val="af3"/>
    <w:uiPriority w:val="99"/>
    <w:unhideWhenUsed/>
    <w:rsid w:val="00FF13DB"/>
    <w:rPr>
      <w:rFonts w:ascii="Times New Roman" w:hAnsi="Times New Roman"/>
      <w:sz w:val="20"/>
      <w:szCs w:val="20"/>
    </w:rPr>
  </w:style>
  <w:style w:type="character" w:customStyle="1" w:styleId="af3">
    <w:name w:val="Текст сноски Знак"/>
    <w:basedOn w:val="a0"/>
    <w:link w:val="af2"/>
    <w:uiPriority w:val="99"/>
    <w:rsid w:val="00FF13DB"/>
    <w:rPr>
      <w:rFonts w:ascii="Times New Roman" w:eastAsia="Times New Roman" w:hAnsi="Times New Roman" w:cs="Times New Roman"/>
      <w:sz w:val="20"/>
      <w:szCs w:val="20"/>
    </w:rPr>
  </w:style>
  <w:style w:type="paragraph" w:styleId="af4">
    <w:name w:val="Body Text"/>
    <w:basedOn w:val="a"/>
    <w:link w:val="af5"/>
    <w:uiPriority w:val="99"/>
    <w:rsid w:val="00E70204"/>
    <w:pPr>
      <w:jc w:val="center"/>
    </w:pPr>
    <w:rPr>
      <w:b/>
      <w:bCs/>
      <w:sz w:val="32"/>
    </w:rPr>
  </w:style>
  <w:style w:type="character" w:customStyle="1" w:styleId="af5">
    <w:name w:val="Основной текст Знак"/>
    <w:basedOn w:val="a0"/>
    <w:link w:val="af4"/>
    <w:uiPriority w:val="99"/>
    <w:rsid w:val="00E70204"/>
    <w:rPr>
      <w:rFonts w:ascii="Calibri" w:eastAsia="Times New Roman" w:hAnsi="Calibri" w:cs="Times New Roman"/>
      <w:b/>
      <w:bCs/>
      <w:sz w:val="32"/>
    </w:rPr>
  </w:style>
  <w:style w:type="paragraph" w:styleId="af6">
    <w:name w:val="Title"/>
    <w:basedOn w:val="a"/>
    <w:link w:val="af7"/>
    <w:uiPriority w:val="10"/>
    <w:qFormat/>
    <w:rsid w:val="00E70204"/>
    <w:pPr>
      <w:jc w:val="center"/>
    </w:pPr>
    <w:rPr>
      <w:b/>
      <w:bCs/>
    </w:rPr>
  </w:style>
  <w:style w:type="character" w:customStyle="1" w:styleId="af7">
    <w:name w:val="Название Знак"/>
    <w:basedOn w:val="a0"/>
    <w:link w:val="af6"/>
    <w:uiPriority w:val="10"/>
    <w:rsid w:val="00E70204"/>
    <w:rPr>
      <w:rFonts w:ascii="Calibri" w:eastAsia="Times New Roman" w:hAnsi="Calibri" w:cs="Times New Roman"/>
      <w:b/>
      <w:bCs/>
    </w:rPr>
  </w:style>
  <w:style w:type="character" w:customStyle="1" w:styleId="af8">
    <w:name w:val="Текст примечания Знак"/>
    <w:basedOn w:val="a0"/>
    <w:link w:val="af9"/>
    <w:uiPriority w:val="99"/>
    <w:semiHidden/>
    <w:rsid w:val="00E70204"/>
    <w:rPr>
      <w:rFonts w:ascii="Calibri" w:eastAsia="Times New Roman" w:hAnsi="Calibri" w:cs="Times New Roman"/>
      <w:sz w:val="20"/>
      <w:szCs w:val="20"/>
    </w:rPr>
  </w:style>
  <w:style w:type="paragraph" w:styleId="af9">
    <w:name w:val="annotation text"/>
    <w:basedOn w:val="a"/>
    <w:link w:val="af8"/>
    <w:uiPriority w:val="99"/>
    <w:semiHidden/>
    <w:rsid w:val="00E70204"/>
    <w:rPr>
      <w:sz w:val="20"/>
      <w:szCs w:val="20"/>
    </w:rPr>
  </w:style>
  <w:style w:type="character" w:customStyle="1" w:styleId="13">
    <w:name w:val="Текст комментария Знак1"/>
    <w:basedOn w:val="a0"/>
    <w:uiPriority w:val="99"/>
    <w:semiHidden/>
    <w:rsid w:val="00E70204"/>
    <w:rPr>
      <w:rFonts w:ascii="Calibri" w:eastAsia="Times New Roman" w:hAnsi="Calibri" w:cs="Times New Roman"/>
    </w:rPr>
  </w:style>
  <w:style w:type="character" w:customStyle="1" w:styleId="afa">
    <w:name w:val="Тема примечания Знак"/>
    <w:basedOn w:val="af8"/>
    <w:link w:val="afb"/>
    <w:uiPriority w:val="99"/>
    <w:semiHidden/>
    <w:rsid w:val="00E70204"/>
    <w:rPr>
      <w:rFonts w:ascii="Calibri" w:eastAsia="Times New Roman" w:hAnsi="Calibri" w:cs="Times New Roman"/>
      <w:b/>
      <w:bCs/>
      <w:sz w:val="20"/>
      <w:szCs w:val="20"/>
    </w:rPr>
  </w:style>
  <w:style w:type="paragraph" w:styleId="afb">
    <w:name w:val="annotation subject"/>
    <w:basedOn w:val="af9"/>
    <w:next w:val="af9"/>
    <w:link w:val="afa"/>
    <w:uiPriority w:val="99"/>
    <w:semiHidden/>
    <w:rsid w:val="00E70204"/>
    <w:rPr>
      <w:b/>
      <w:bCs/>
    </w:rPr>
  </w:style>
  <w:style w:type="character" w:customStyle="1" w:styleId="14">
    <w:name w:val="Тема примечания Знак1"/>
    <w:basedOn w:val="13"/>
    <w:uiPriority w:val="99"/>
    <w:semiHidden/>
    <w:rsid w:val="00E70204"/>
    <w:rPr>
      <w:rFonts w:ascii="Calibri" w:eastAsia="Times New Roman" w:hAnsi="Calibri" w:cs="Times New Roman"/>
      <w:b/>
      <w:bCs/>
      <w:sz w:val="20"/>
      <w:szCs w:val="20"/>
    </w:rPr>
  </w:style>
  <w:style w:type="paragraph" w:styleId="afc">
    <w:name w:val="footer"/>
    <w:basedOn w:val="a"/>
    <w:link w:val="afd"/>
    <w:uiPriority w:val="99"/>
    <w:rsid w:val="00E70204"/>
    <w:pPr>
      <w:tabs>
        <w:tab w:val="center" w:pos="4677"/>
        <w:tab w:val="right" w:pos="9355"/>
      </w:tabs>
    </w:pPr>
  </w:style>
  <w:style w:type="character" w:customStyle="1" w:styleId="afd">
    <w:name w:val="Нижний колонтитул Знак"/>
    <w:basedOn w:val="a0"/>
    <w:link w:val="afc"/>
    <w:uiPriority w:val="99"/>
    <w:rsid w:val="00E70204"/>
    <w:rPr>
      <w:rFonts w:ascii="Calibri" w:eastAsia="Times New Roman" w:hAnsi="Calibri" w:cs="Times New Roman"/>
    </w:rPr>
  </w:style>
  <w:style w:type="paragraph" w:customStyle="1" w:styleId="afe">
    <w:name w:val="диаграмма"/>
    <w:basedOn w:val="af"/>
    <w:link w:val="aff"/>
    <w:uiPriority w:val="99"/>
    <w:rsid w:val="00E70204"/>
    <w:pPr>
      <w:keepNext/>
      <w:jc w:val="both"/>
    </w:pPr>
    <w:rPr>
      <w:rFonts w:ascii="Times New Roman" w:hAnsi="Times New Roman"/>
      <w:color w:val="auto"/>
      <w:sz w:val="24"/>
      <w:szCs w:val="24"/>
    </w:rPr>
  </w:style>
  <w:style w:type="character" w:customStyle="1" w:styleId="aff">
    <w:name w:val="диаграмма Знак"/>
    <w:basedOn w:val="a0"/>
    <w:link w:val="afe"/>
    <w:uiPriority w:val="99"/>
    <w:locked/>
    <w:rsid w:val="00E70204"/>
    <w:rPr>
      <w:rFonts w:ascii="Times New Roman" w:eastAsia="Times New Roman" w:hAnsi="Times New Roman" w:cs="Times New Roman"/>
      <w:b/>
      <w:bCs/>
      <w:lang w:eastAsia="en-US"/>
    </w:rPr>
  </w:style>
  <w:style w:type="character" w:customStyle="1" w:styleId="apple-converted-space">
    <w:name w:val="apple-converted-space"/>
    <w:rsid w:val="00E70204"/>
  </w:style>
  <w:style w:type="paragraph" w:customStyle="1" w:styleId="15">
    <w:name w:val="Абзац списка1"/>
    <w:basedOn w:val="a"/>
    <w:rsid w:val="00E70204"/>
    <w:pPr>
      <w:spacing w:after="200" w:line="276" w:lineRule="auto"/>
      <w:ind w:left="720"/>
      <w:contextualSpacing/>
    </w:pPr>
    <w:rPr>
      <w:sz w:val="22"/>
      <w:szCs w:val="22"/>
      <w:lang w:eastAsia="en-US"/>
    </w:rPr>
  </w:style>
  <w:style w:type="paragraph" w:styleId="aff0">
    <w:name w:val="Plain Text"/>
    <w:basedOn w:val="a"/>
    <w:link w:val="aff1"/>
    <w:uiPriority w:val="99"/>
    <w:unhideWhenUsed/>
    <w:rsid w:val="00E70204"/>
    <w:rPr>
      <w:rFonts w:ascii="Consolas" w:hAnsi="Consolas"/>
      <w:sz w:val="21"/>
      <w:szCs w:val="21"/>
      <w:lang w:eastAsia="en-US"/>
    </w:rPr>
  </w:style>
  <w:style w:type="character" w:customStyle="1" w:styleId="aff1">
    <w:name w:val="Текст Знак"/>
    <w:basedOn w:val="a0"/>
    <w:link w:val="aff0"/>
    <w:uiPriority w:val="99"/>
    <w:rsid w:val="00E70204"/>
    <w:rPr>
      <w:rFonts w:ascii="Consolas" w:eastAsia="Times New Roman" w:hAnsi="Consolas" w:cs="Times New Roman"/>
      <w:sz w:val="21"/>
      <w:szCs w:val="21"/>
      <w:lang w:eastAsia="en-US"/>
    </w:rPr>
  </w:style>
  <w:style w:type="character" w:styleId="aff2">
    <w:name w:val="Strong"/>
    <w:basedOn w:val="a0"/>
    <w:uiPriority w:val="22"/>
    <w:qFormat/>
    <w:rsid w:val="00E70204"/>
    <w:rPr>
      <w:rFonts w:cs="Times New Roman"/>
      <w:b/>
      <w:bCs/>
    </w:rPr>
  </w:style>
  <w:style w:type="character" w:styleId="aff3">
    <w:name w:val="Intense Emphasis"/>
    <w:basedOn w:val="a0"/>
    <w:uiPriority w:val="21"/>
    <w:qFormat/>
    <w:rsid w:val="00E70204"/>
    <w:rPr>
      <w:rFonts w:cs="Times New Roman"/>
      <w:b/>
      <w:bCs/>
      <w:i/>
      <w:iCs/>
      <w:color w:val="CEB966"/>
    </w:rPr>
  </w:style>
  <w:style w:type="paragraph" w:styleId="aff4">
    <w:name w:val="Intense Quote"/>
    <w:basedOn w:val="a"/>
    <w:next w:val="a"/>
    <w:link w:val="aff5"/>
    <w:uiPriority w:val="30"/>
    <w:qFormat/>
    <w:rsid w:val="00E70204"/>
    <w:pPr>
      <w:pBdr>
        <w:bottom w:val="single" w:sz="4" w:space="4" w:color="CEB966"/>
      </w:pBdr>
      <w:spacing w:before="200" w:after="280" w:line="240" w:lineRule="exact"/>
      <w:ind w:left="936" w:right="936"/>
    </w:pPr>
    <w:rPr>
      <w:b/>
      <w:bCs/>
      <w:i/>
      <w:iCs/>
      <w:color w:val="CEB966"/>
      <w:sz w:val="26"/>
      <w:szCs w:val="26"/>
      <w:lang w:eastAsia="en-US"/>
    </w:rPr>
  </w:style>
  <w:style w:type="character" w:customStyle="1" w:styleId="aff5">
    <w:name w:val="Выделенная цитата Знак"/>
    <w:basedOn w:val="a0"/>
    <w:link w:val="aff4"/>
    <w:uiPriority w:val="30"/>
    <w:rsid w:val="00E70204"/>
    <w:rPr>
      <w:rFonts w:ascii="Calibri" w:eastAsia="Times New Roman" w:hAnsi="Calibri" w:cs="Times New Roman"/>
      <w:b/>
      <w:bCs/>
      <w:i/>
      <w:iCs/>
      <w:color w:val="CEB966"/>
      <w:sz w:val="26"/>
      <w:szCs w:val="26"/>
      <w:lang w:eastAsia="en-US"/>
    </w:rPr>
  </w:style>
  <w:style w:type="paragraph" w:customStyle="1" w:styleId="text">
    <w:name w:val="text"/>
    <w:basedOn w:val="a"/>
    <w:rsid w:val="00E70204"/>
    <w:pPr>
      <w:spacing w:before="100" w:beforeAutospacing="1" w:after="100" w:afterAutospacing="1"/>
    </w:pPr>
  </w:style>
  <w:style w:type="character" w:customStyle="1" w:styleId="22">
    <w:name w:val="Основной текст (2)_"/>
    <w:basedOn w:val="a0"/>
    <w:link w:val="23"/>
    <w:locked/>
    <w:rsid w:val="00E70204"/>
    <w:rPr>
      <w:rFonts w:cs="Times New Roman"/>
      <w:sz w:val="23"/>
      <w:szCs w:val="23"/>
      <w:shd w:val="clear" w:color="auto" w:fill="FFFFFF"/>
    </w:rPr>
  </w:style>
  <w:style w:type="paragraph" w:customStyle="1" w:styleId="23">
    <w:name w:val="Основной текст (2)"/>
    <w:basedOn w:val="a"/>
    <w:link w:val="22"/>
    <w:rsid w:val="00E70204"/>
    <w:pPr>
      <w:shd w:val="clear" w:color="auto" w:fill="FFFFFF"/>
      <w:spacing w:after="120" w:line="240" w:lineRule="atLeast"/>
    </w:pPr>
    <w:rPr>
      <w:rFonts w:asciiTheme="minorHAnsi" w:eastAsiaTheme="minorEastAsia" w:hAnsiTheme="minorHAnsi"/>
      <w:sz w:val="23"/>
      <w:szCs w:val="23"/>
    </w:rPr>
  </w:style>
  <w:style w:type="paragraph" w:customStyle="1" w:styleId="BodyTextIndent21">
    <w:name w:val="Body Text Indent 21"/>
    <w:basedOn w:val="a"/>
    <w:rsid w:val="00E70204"/>
    <w:pPr>
      <w:widowControl w:val="0"/>
      <w:spacing w:before="240" w:after="120"/>
      <w:ind w:left="720" w:hanging="720"/>
    </w:pPr>
    <w:rPr>
      <w:b/>
      <w:szCs w:val="20"/>
    </w:rPr>
  </w:style>
  <w:style w:type="paragraph" w:customStyle="1" w:styleId="aff6">
    <w:name w:val="Абзац доклада"/>
    <w:basedOn w:val="a"/>
    <w:link w:val="aff7"/>
    <w:autoRedefine/>
    <w:uiPriority w:val="99"/>
    <w:rsid w:val="00E70204"/>
    <w:pPr>
      <w:jc w:val="both"/>
    </w:pPr>
    <w:rPr>
      <w:sz w:val="22"/>
      <w:szCs w:val="22"/>
      <w:lang w:eastAsia="en-US"/>
    </w:rPr>
  </w:style>
  <w:style w:type="character" w:customStyle="1" w:styleId="aff7">
    <w:name w:val="Абзац доклада Знак"/>
    <w:basedOn w:val="a0"/>
    <w:link w:val="aff6"/>
    <w:uiPriority w:val="99"/>
    <w:locked/>
    <w:rsid w:val="00E70204"/>
    <w:rPr>
      <w:rFonts w:ascii="Calibri" w:eastAsia="Times New Roman" w:hAnsi="Calibri" w:cs="Times New Roman"/>
      <w:sz w:val="22"/>
      <w:szCs w:val="22"/>
      <w:lang w:eastAsia="en-US"/>
    </w:rPr>
  </w:style>
  <w:style w:type="paragraph" w:customStyle="1" w:styleId="16">
    <w:name w:val="Обычный1"/>
    <w:uiPriority w:val="99"/>
    <w:rsid w:val="00E70204"/>
    <w:pPr>
      <w:spacing w:line="276" w:lineRule="auto"/>
    </w:pPr>
    <w:rPr>
      <w:rFonts w:ascii="Arial" w:eastAsia="Times New Roman" w:hAnsi="Arial" w:cs="Arial"/>
      <w:color w:val="000000"/>
      <w:sz w:val="22"/>
      <w:szCs w:val="22"/>
    </w:rPr>
  </w:style>
  <w:style w:type="character" w:customStyle="1" w:styleId="ae">
    <w:name w:val="Без интервала Знак"/>
    <w:basedOn w:val="a0"/>
    <w:link w:val="ad"/>
    <w:uiPriority w:val="1"/>
    <w:rsid w:val="00E70204"/>
    <w:rPr>
      <w:rFonts w:ascii="Calibri" w:eastAsia="Times New Roman" w:hAnsi="Calibri" w:cs="Times New Roman"/>
    </w:rPr>
  </w:style>
  <w:style w:type="paragraph" w:customStyle="1" w:styleId="Default">
    <w:name w:val="Default"/>
    <w:rsid w:val="00E70204"/>
    <w:pPr>
      <w:autoSpaceDE w:val="0"/>
      <w:autoSpaceDN w:val="0"/>
      <w:adjustRightInd w:val="0"/>
    </w:pPr>
    <w:rPr>
      <w:rFonts w:ascii="Calibri" w:eastAsia="MS Mincho" w:hAnsi="Calibri" w:cs="Calibri"/>
      <w:color w:val="000000"/>
    </w:rPr>
  </w:style>
  <w:style w:type="character" w:customStyle="1" w:styleId="40">
    <w:name w:val="Заголовок 4 Знак"/>
    <w:basedOn w:val="a0"/>
    <w:link w:val="4"/>
    <w:uiPriority w:val="9"/>
    <w:rsid w:val="00583A39"/>
    <w:rPr>
      <w:rFonts w:asciiTheme="majorHAnsi" w:eastAsiaTheme="majorEastAsia" w:hAnsiTheme="majorHAnsi" w:cstheme="majorBidi"/>
      <w:b/>
      <w:bCs/>
      <w:i/>
      <w:iCs/>
      <w:color w:val="4F81BD" w:themeColor="accent1"/>
    </w:rPr>
  </w:style>
  <w:style w:type="paragraph" w:styleId="41">
    <w:name w:val="toc 4"/>
    <w:basedOn w:val="a"/>
    <w:next w:val="a"/>
    <w:autoRedefine/>
    <w:uiPriority w:val="39"/>
    <w:unhideWhenUsed/>
    <w:rsid w:val="003A6DCC"/>
    <w:pPr>
      <w:ind w:left="720"/>
    </w:pPr>
  </w:style>
  <w:style w:type="paragraph" w:styleId="5">
    <w:name w:val="toc 5"/>
    <w:basedOn w:val="a"/>
    <w:next w:val="a"/>
    <w:autoRedefine/>
    <w:uiPriority w:val="39"/>
    <w:unhideWhenUsed/>
    <w:rsid w:val="003A6DCC"/>
    <w:pPr>
      <w:ind w:left="960"/>
    </w:pPr>
  </w:style>
  <w:style w:type="paragraph" w:styleId="6">
    <w:name w:val="toc 6"/>
    <w:basedOn w:val="a"/>
    <w:next w:val="a"/>
    <w:autoRedefine/>
    <w:uiPriority w:val="39"/>
    <w:unhideWhenUsed/>
    <w:rsid w:val="003A6DCC"/>
    <w:pPr>
      <w:ind w:left="1200"/>
    </w:pPr>
  </w:style>
  <w:style w:type="paragraph" w:styleId="7">
    <w:name w:val="toc 7"/>
    <w:basedOn w:val="a"/>
    <w:next w:val="a"/>
    <w:autoRedefine/>
    <w:uiPriority w:val="39"/>
    <w:unhideWhenUsed/>
    <w:rsid w:val="003A6DCC"/>
    <w:pPr>
      <w:ind w:left="1440"/>
    </w:pPr>
  </w:style>
  <w:style w:type="paragraph" w:styleId="8">
    <w:name w:val="toc 8"/>
    <w:basedOn w:val="a"/>
    <w:next w:val="a"/>
    <w:autoRedefine/>
    <w:uiPriority w:val="39"/>
    <w:unhideWhenUsed/>
    <w:rsid w:val="003A6DCC"/>
    <w:pPr>
      <w:ind w:left="1680"/>
    </w:pPr>
  </w:style>
  <w:style w:type="paragraph" w:styleId="9">
    <w:name w:val="toc 9"/>
    <w:basedOn w:val="a"/>
    <w:next w:val="a"/>
    <w:autoRedefine/>
    <w:uiPriority w:val="39"/>
    <w:unhideWhenUsed/>
    <w:rsid w:val="003A6DCC"/>
    <w:pPr>
      <w:ind w:left="1920"/>
    </w:pPr>
  </w:style>
  <w:style w:type="character" w:customStyle="1" w:styleId="st">
    <w:name w:val="st"/>
    <w:basedOn w:val="a0"/>
    <w:rsid w:val="00436C74"/>
  </w:style>
  <w:style w:type="character" w:styleId="aff8">
    <w:name w:val="Emphasis"/>
    <w:basedOn w:val="a0"/>
    <w:uiPriority w:val="20"/>
    <w:qFormat/>
    <w:rsid w:val="00436C74"/>
    <w:rPr>
      <w:i/>
      <w:iCs/>
    </w:rPr>
  </w:style>
  <w:style w:type="paragraph" w:customStyle="1" w:styleId="24">
    <w:name w:val="Абзац списка2"/>
    <w:basedOn w:val="a"/>
    <w:rsid w:val="00F121B2"/>
    <w:pPr>
      <w:spacing w:after="200" w:line="276" w:lineRule="auto"/>
      <w:ind w:left="720"/>
      <w:contextualSpacing/>
    </w:pPr>
    <w:rPr>
      <w:sz w:val="22"/>
      <w:szCs w:val="22"/>
      <w:lang w:eastAsia="en-US"/>
    </w:rPr>
  </w:style>
  <w:style w:type="table" w:styleId="aff9">
    <w:name w:val="Table Grid"/>
    <w:basedOn w:val="a1"/>
    <w:uiPriority w:val="59"/>
    <w:rsid w:val="001D39C9"/>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F004CF"/>
  </w:style>
  <w:style w:type="character" w:styleId="affa">
    <w:name w:val="annotation reference"/>
    <w:basedOn w:val="a0"/>
    <w:uiPriority w:val="99"/>
    <w:semiHidden/>
    <w:unhideWhenUsed/>
    <w:rsid w:val="000258EE"/>
    <w:rPr>
      <w:sz w:val="16"/>
      <w:szCs w:val="16"/>
    </w:rPr>
  </w:style>
  <w:style w:type="character" w:customStyle="1" w:styleId="FontStyle76">
    <w:name w:val="Font Style76"/>
    <w:basedOn w:val="a0"/>
    <w:uiPriority w:val="99"/>
    <w:rsid w:val="00C31A6C"/>
    <w:rPr>
      <w:rFonts w:ascii="Times New Roman" w:hAnsi="Times New Roman" w:cs="Times New Roman"/>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A7F"/>
    <w:rPr>
      <w:rFonts w:ascii="Calibri" w:eastAsia="Times New Roman" w:hAnsi="Calibri" w:cs="Times New Roman"/>
    </w:rPr>
  </w:style>
  <w:style w:type="paragraph" w:styleId="1">
    <w:name w:val="heading 1"/>
    <w:basedOn w:val="a"/>
    <w:next w:val="a"/>
    <w:link w:val="10"/>
    <w:uiPriority w:val="9"/>
    <w:qFormat/>
    <w:rsid w:val="00BC552F"/>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5005B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005B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83A3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хемы"/>
    <w:basedOn w:val="1"/>
    <w:autoRedefine/>
    <w:qFormat/>
    <w:rsid w:val="00BC552F"/>
    <w:pPr>
      <w:spacing w:line="276" w:lineRule="auto"/>
    </w:pPr>
    <w:rPr>
      <w:rFonts w:ascii="Times New Roman" w:hAnsi="Times New Roman" w:cs="Times New Roman"/>
      <w:color w:val="auto"/>
      <w:sz w:val="28"/>
      <w:szCs w:val="28"/>
      <w:lang w:eastAsia="en-US"/>
    </w:rPr>
  </w:style>
  <w:style w:type="character" w:customStyle="1" w:styleId="10">
    <w:name w:val="Заголовок 1 Знак"/>
    <w:basedOn w:val="a0"/>
    <w:link w:val="1"/>
    <w:uiPriority w:val="9"/>
    <w:rsid w:val="00BC552F"/>
    <w:rPr>
      <w:rFonts w:asciiTheme="majorHAnsi" w:eastAsiaTheme="majorEastAsia" w:hAnsiTheme="majorHAnsi" w:cstheme="majorBidi"/>
      <w:b/>
      <w:bCs/>
      <w:color w:val="345A8A" w:themeColor="accent1" w:themeShade="B5"/>
      <w:sz w:val="32"/>
      <w:szCs w:val="32"/>
    </w:rPr>
  </w:style>
  <w:style w:type="character" w:styleId="a4">
    <w:name w:val="Hyperlink"/>
    <w:basedOn w:val="a0"/>
    <w:uiPriority w:val="99"/>
    <w:rsid w:val="003A3A7F"/>
    <w:rPr>
      <w:rFonts w:cs="Times New Roman"/>
      <w:color w:val="0000FF"/>
      <w:u w:val="single"/>
    </w:rPr>
  </w:style>
  <w:style w:type="paragraph" w:styleId="a5">
    <w:name w:val="List Paragraph"/>
    <w:basedOn w:val="a"/>
    <w:uiPriority w:val="1"/>
    <w:qFormat/>
    <w:rsid w:val="003A3A7F"/>
    <w:pPr>
      <w:spacing w:after="200" w:line="276" w:lineRule="auto"/>
      <w:ind w:left="720"/>
      <w:contextualSpacing/>
    </w:pPr>
    <w:rPr>
      <w:sz w:val="22"/>
      <w:szCs w:val="22"/>
      <w:lang w:eastAsia="en-US"/>
    </w:rPr>
  </w:style>
  <w:style w:type="paragraph" w:styleId="a6">
    <w:name w:val="TOC Heading"/>
    <w:basedOn w:val="1"/>
    <w:next w:val="a"/>
    <w:uiPriority w:val="39"/>
    <w:unhideWhenUsed/>
    <w:qFormat/>
    <w:rsid w:val="003A3A7F"/>
    <w:pPr>
      <w:spacing w:line="276" w:lineRule="auto"/>
      <w:outlineLvl w:val="9"/>
    </w:pPr>
    <w:rPr>
      <w:rFonts w:ascii="Cambria" w:eastAsia="MS Gothic" w:hAnsi="Cambria" w:cs="Times New Roman"/>
      <w:color w:val="AE9638"/>
      <w:sz w:val="28"/>
      <w:szCs w:val="28"/>
      <w:lang w:eastAsia="en-US"/>
    </w:rPr>
  </w:style>
  <w:style w:type="paragraph" w:styleId="11">
    <w:name w:val="toc 1"/>
    <w:basedOn w:val="a"/>
    <w:next w:val="a"/>
    <w:autoRedefine/>
    <w:uiPriority w:val="39"/>
    <w:rsid w:val="003A3A7F"/>
    <w:pPr>
      <w:spacing w:after="100"/>
    </w:pPr>
  </w:style>
  <w:style w:type="paragraph" w:styleId="a7">
    <w:name w:val="header"/>
    <w:basedOn w:val="a"/>
    <w:link w:val="a8"/>
    <w:uiPriority w:val="99"/>
    <w:unhideWhenUsed/>
    <w:rsid w:val="00A112F1"/>
    <w:pPr>
      <w:tabs>
        <w:tab w:val="center" w:pos="4677"/>
        <w:tab w:val="right" w:pos="9355"/>
      </w:tabs>
    </w:pPr>
  </w:style>
  <w:style w:type="character" w:customStyle="1" w:styleId="a8">
    <w:name w:val="Верхний колонтитул Знак"/>
    <w:basedOn w:val="a0"/>
    <w:link w:val="a7"/>
    <w:uiPriority w:val="99"/>
    <w:rsid w:val="00A112F1"/>
    <w:rPr>
      <w:rFonts w:ascii="Calibri" w:eastAsia="Times New Roman" w:hAnsi="Calibri" w:cs="Times New Roman"/>
    </w:rPr>
  </w:style>
  <w:style w:type="character" w:styleId="a9">
    <w:name w:val="page number"/>
    <w:basedOn w:val="a0"/>
    <w:uiPriority w:val="99"/>
    <w:unhideWhenUsed/>
    <w:rsid w:val="00A112F1"/>
  </w:style>
  <w:style w:type="paragraph" w:customStyle="1" w:styleId="12">
    <w:name w:val="Обычный1"/>
    <w:rsid w:val="005005BC"/>
    <w:pPr>
      <w:spacing w:line="276" w:lineRule="auto"/>
    </w:pPr>
    <w:rPr>
      <w:rFonts w:ascii="Arial" w:eastAsia="Arial" w:hAnsi="Arial" w:cs="Arial"/>
      <w:color w:val="000000"/>
      <w:sz w:val="22"/>
      <w:lang w:eastAsia="ja-JP"/>
    </w:rPr>
  </w:style>
  <w:style w:type="character" w:customStyle="1" w:styleId="20">
    <w:name w:val="Заголовок 2 Знак"/>
    <w:basedOn w:val="a0"/>
    <w:link w:val="2"/>
    <w:uiPriority w:val="9"/>
    <w:rsid w:val="005005B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005BC"/>
    <w:rPr>
      <w:rFonts w:asciiTheme="majorHAnsi" w:eastAsiaTheme="majorEastAsia" w:hAnsiTheme="majorHAnsi" w:cstheme="majorBidi"/>
      <w:b/>
      <w:bCs/>
      <w:color w:val="4F81BD" w:themeColor="accent1"/>
    </w:rPr>
  </w:style>
  <w:style w:type="paragraph" w:styleId="aa">
    <w:name w:val="Balloon Text"/>
    <w:basedOn w:val="a"/>
    <w:link w:val="ab"/>
    <w:uiPriority w:val="99"/>
    <w:semiHidden/>
    <w:unhideWhenUsed/>
    <w:rsid w:val="00567B2A"/>
    <w:rPr>
      <w:rFonts w:ascii="Lucida Grande CY" w:hAnsi="Lucida Grande CY" w:cs="Lucida Grande CY"/>
      <w:sz w:val="18"/>
      <w:szCs w:val="18"/>
    </w:rPr>
  </w:style>
  <w:style w:type="character" w:customStyle="1" w:styleId="ab">
    <w:name w:val="Текст выноски Знак"/>
    <w:basedOn w:val="a0"/>
    <w:link w:val="aa"/>
    <w:uiPriority w:val="99"/>
    <w:semiHidden/>
    <w:rsid w:val="00567B2A"/>
    <w:rPr>
      <w:rFonts w:ascii="Lucida Grande CY" w:eastAsia="Times New Roman" w:hAnsi="Lucida Grande CY" w:cs="Lucida Grande CY"/>
      <w:sz w:val="18"/>
      <w:szCs w:val="18"/>
    </w:rPr>
  </w:style>
  <w:style w:type="paragraph" w:styleId="21">
    <w:name w:val="toc 2"/>
    <w:basedOn w:val="a"/>
    <w:next w:val="a"/>
    <w:autoRedefine/>
    <w:uiPriority w:val="39"/>
    <w:unhideWhenUsed/>
    <w:rsid w:val="001B2140"/>
    <w:pPr>
      <w:spacing w:after="100"/>
      <w:ind w:left="240"/>
    </w:pPr>
  </w:style>
  <w:style w:type="paragraph" w:styleId="31">
    <w:name w:val="toc 3"/>
    <w:basedOn w:val="a"/>
    <w:next w:val="a"/>
    <w:autoRedefine/>
    <w:uiPriority w:val="39"/>
    <w:unhideWhenUsed/>
    <w:rsid w:val="001B2140"/>
    <w:pPr>
      <w:spacing w:after="100"/>
      <w:ind w:left="480"/>
    </w:pPr>
  </w:style>
  <w:style w:type="character" w:styleId="ac">
    <w:name w:val="footnote reference"/>
    <w:basedOn w:val="a0"/>
    <w:uiPriority w:val="99"/>
    <w:rsid w:val="00D42B8B"/>
    <w:rPr>
      <w:rFonts w:cs="Times New Roman"/>
      <w:vertAlign w:val="superscript"/>
    </w:rPr>
  </w:style>
  <w:style w:type="paragraph" w:styleId="ad">
    <w:name w:val="No Spacing"/>
    <w:link w:val="ae"/>
    <w:uiPriority w:val="1"/>
    <w:qFormat/>
    <w:rsid w:val="00D42B8B"/>
    <w:rPr>
      <w:rFonts w:ascii="Calibri" w:eastAsia="Times New Roman" w:hAnsi="Calibri" w:cs="Times New Roman"/>
    </w:rPr>
  </w:style>
  <w:style w:type="paragraph" w:styleId="32">
    <w:name w:val="Body Text 3"/>
    <w:basedOn w:val="a"/>
    <w:link w:val="33"/>
    <w:uiPriority w:val="99"/>
    <w:unhideWhenUsed/>
    <w:rsid w:val="00C15B0D"/>
    <w:pPr>
      <w:spacing w:after="120" w:line="276" w:lineRule="auto"/>
    </w:pPr>
    <w:rPr>
      <w:sz w:val="16"/>
      <w:szCs w:val="16"/>
      <w:lang w:eastAsia="en-US"/>
    </w:rPr>
  </w:style>
  <w:style w:type="character" w:customStyle="1" w:styleId="33">
    <w:name w:val="Основной текст 3 Знак"/>
    <w:basedOn w:val="a0"/>
    <w:link w:val="32"/>
    <w:uiPriority w:val="99"/>
    <w:rsid w:val="00C15B0D"/>
    <w:rPr>
      <w:rFonts w:ascii="Calibri" w:eastAsia="Times New Roman" w:hAnsi="Calibri" w:cs="Times New Roman"/>
      <w:sz w:val="16"/>
      <w:szCs w:val="16"/>
      <w:lang w:eastAsia="en-US"/>
    </w:rPr>
  </w:style>
  <w:style w:type="paragraph" w:styleId="af">
    <w:name w:val="caption"/>
    <w:basedOn w:val="a"/>
    <w:next w:val="a"/>
    <w:link w:val="af0"/>
    <w:uiPriority w:val="99"/>
    <w:unhideWhenUsed/>
    <w:qFormat/>
    <w:rsid w:val="00C15B0D"/>
    <w:pPr>
      <w:spacing w:after="200"/>
    </w:pPr>
    <w:rPr>
      <w:b/>
      <w:bCs/>
      <w:color w:val="CEB966"/>
      <w:sz w:val="18"/>
      <w:szCs w:val="18"/>
      <w:lang w:eastAsia="en-US"/>
    </w:rPr>
  </w:style>
  <w:style w:type="character" w:customStyle="1" w:styleId="af0">
    <w:name w:val="Название объекта Знак"/>
    <w:basedOn w:val="a0"/>
    <w:link w:val="af"/>
    <w:uiPriority w:val="99"/>
    <w:locked/>
    <w:rsid w:val="00C15B0D"/>
    <w:rPr>
      <w:rFonts w:ascii="Calibri" w:eastAsia="Times New Roman" w:hAnsi="Calibri" w:cs="Times New Roman"/>
      <w:b/>
      <w:bCs/>
      <w:color w:val="CEB966"/>
      <w:sz w:val="18"/>
      <w:szCs w:val="18"/>
      <w:lang w:eastAsia="en-US"/>
    </w:rPr>
  </w:style>
  <w:style w:type="paragraph" w:styleId="af1">
    <w:name w:val="Normal (Web)"/>
    <w:basedOn w:val="a"/>
    <w:uiPriority w:val="99"/>
    <w:unhideWhenUsed/>
    <w:rsid w:val="00C15B0D"/>
    <w:pPr>
      <w:spacing w:before="100" w:beforeAutospacing="1" w:after="100" w:afterAutospacing="1"/>
    </w:pPr>
    <w:rPr>
      <w:rFonts w:ascii="Times New Roman" w:hAnsi="Times New Roman"/>
    </w:rPr>
  </w:style>
  <w:style w:type="paragraph" w:styleId="af2">
    <w:name w:val="footnote text"/>
    <w:basedOn w:val="a"/>
    <w:link w:val="af3"/>
    <w:uiPriority w:val="99"/>
    <w:unhideWhenUsed/>
    <w:rsid w:val="00FF13DB"/>
    <w:rPr>
      <w:rFonts w:ascii="Times New Roman" w:hAnsi="Times New Roman"/>
      <w:sz w:val="20"/>
      <w:szCs w:val="20"/>
    </w:rPr>
  </w:style>
  <w:style w:type="character" w:customStyle="1" w:styleId="af3">
    <w:name w:val="Текст сноски Знак"/>
    <w:basedOn w:val="a0"/>
    <w:link w:val="af2"/>
    <w:uiPriority w:val="99"/>
    <w:rsid w:val="00FF13DB"/>
    <w:rPr>
      <w:rFonts w:ascii="Times New Roman" w:eastAsia="Times New Roman" w:hAnsi="Times New Roman" w:cs="Times New Roman"/>
      <w:sz w:val="20"/>
      <w:szCs w:val="20"/>
    </w:rPr>
  </w:style>
  <w:style w:type="paragraph" w:styleId="af4">
    <w:name w:val="Body Text"/>
    <w:basedOn w:val="a"/>
    <w:link w:val="af5"/>
    <w:uiPriority w:val="99"/>
    <w:rsid w:val="00E70204"/>
    <w:pPr>
      <w:jc w:val="center"/>
    </w:pPr>
    <w:rPr>
      <w:b/>
      <w:bCs/>
      <w:sz w:val="32"/>
    </w:rPr>
  </w:style>
  <w:style w:type="character" w:customStyle="1" w:styleId="af5">
    <w:name w:val="Основной текст Знак"/>
    <w:basedOn w:val="a0"/>
    <w:link w:val="af4"/>
    <w:uiPriority w:val="99"/>
    <w:rsid w:val="00E70204"/>
    <w:rPr>
      <w:rFonts w:ascii="Calibri" w:eastAsia="Times New Roman" w:hAnsi="Calibri" w:cs="Times New Roman"/>
      <w:b/>
      <w:bCs/>
      <w:sz w:val="32"/>
    </w:rPr>
  </w:style>
  <w:style w:type="paragraph" w:styleId="af6">
    <w:name w:val="Title"/>
    <w:basedOn w:val="a"/>
    <w:link w:val="af7"/>
    <w:uiPriority w:val="10"/>
    <w:qFormat/>
    <w:rsid w:val="00E70204"/>
    <w:pPr>
      <w:jc w:val="center"/>
    </w:pPr>
    <w:rPr>
      <w:b/>
      <w:bCs/>
    </w:rPr>
  </w:style>
  <w:style w:type="character" w:customStyle="1" w:styleId="af7">
    <w:name w:val="Название Знак"/>
    <w:basedOn w:val="a0"/>
    <w:link w:val="af6"/>
    <w:uiPriority w:val="10"/>
    <w:rsid w:val="00E70204"/>
    <w:rPr>
      <w:rFonts w:ascii="Calibri" w:eastAsia="Times New Roman" w:hAnsi="Calibri" w:cs="Times New Roman"/>
      <w:b/>
      <w:bCs/>
    </w:rPr>
  </w:style>
  <w:style w:type="character" w:customStyle="1" w:styleId="af8">
    <w:name w:val="Текст примечания Знак"/>
    <w:basedOn w:val="a0"/>
    <w:link w:val="af9"/>
    <w:uiPriority w:val="99"/>
    <w:semiHidden/>
    <w:rsid w:val="00E70204"/>
    <w:rPr>
      <w:rFonts w:ascii="Calibri" w:eastAsia="Times New Roman" w:hAnsi="Calibri" w:cs="Times New Roman"/>
      <w:sz w:val="20"/>
      <w:szCs w:val="20"/>
    </w:rPr>
  </w:style>
  <w:style w:type="paragraph" w:styleId="af9">
    <w:name w:val="annotation text"/>
    <w:basedOn w:val="a"/>
    <w:link w:val="af8"/>
    <w:uiPriority w:val="99"/>
    <w:semiHidden/>
    <w:rsid w:val="00E70204"/>
    <w:rPr>
      <w:sz w:val="20"/>
      <w:szCs w:val="20"/>
    </w:rPr>
  </w:style>
  <w:style w:type="character" w:customStyle="1" w:styleId="13">
    <w:name w:val="Текст комментария Знак1"/>
    <w:basedOn w:val="a0"/>
    <w:uiPriority w:val="99"/>
    <w:semiHidden/>
    <w:rsid w:val="00E70204"/>
    <w:rPr>
      <w:rFonts w:ascii="Calibri" w:eastAsia="Times New Roman" w:hAnsi="Calibri" w:cs="Times New Roman"/>
    </w:rPr>
  </w:style>
  <w:style w:type="character" w:customStyle="1" w:styleId="afa">
    <w:name w:val="Тема примечания Знак"/>
    <w:basedOn w:val="af8"/>
    <w:link w:val="afb"/>
    <w:uiPriority w:val="99"/>
    <w:semiHidden/>
    <w:rsid w:val="00E70204"/>
    <w:rPr>
      <w:rFonts w:ascii="Calibri" w:eastAsia="Times New Roman" w:hAnsi="Calibri" w:cs="Times New Roman"/>
      <w:b/>
      <w:bCs/>
      <w:sz w:val="20"/>
      <w:szCs w:val="20"/>
    </w:rPr>
  </w:style>
  <w:style w:type="paragraph" w:styleId="afb">
    <w:name w:val="annotation subject"/>
    <w:basedOn w:val="af9"/>
    <w:next w:val="af9"/>
    <w:link w:val="afa"/>
    <w:uiPriority w:val="99"/>
    <w:semiHidden/>
    <w:rsid w:val="00E70204"/>
    <w:rPr>
      <w:b/>
      <w:bCs/>
    </w:rPr>
  </w:style>
  <w:style w:type="character" w:customStyle="1" w:styleId="14">
    <w:name w:val="Тема примечания Знак1"/>
    <w:basedOn w:val="13"/>
    <w:uiPriority w:val="99"/>
    <w:semiHidden/>
    <w:rsid w:val="00E70204"/>
    <w:rPr>
      <w:rFonts w:ascii="Calibri" w:eastAsia="Times New Roman" w:hAnsi="Calibri" w:cs="Times New Roman"/>
      <w:b/>
      <w:bCs/>
      <w:sz w:val="20"/>
      <w:szCs w:val="20"/>
    </w:rPr>
  </w:style>
  <w:style w:type="paragraph" w:styleId="afc">
    <w:name w:val="footer"/>
    <w:basedOn w:val="a"/>
    <w:link w:val="afd"/>
    <w:uiPriority w:val="99"/>
    <w:rsid w:val="00E70204"/>
    <w:pPr>
      <w:tabs>
        <w:tab w:val="center" w:pos="4677"/>
        <w:tab w:val="right" w:pos="9355"/>
      </w:tabs>
    </w:pPr>
  </w:style>
  <w:style w:type="character" w:customStyle="1" w:styleId="afd">
    <w:name w:val="Нижний колонтитул Знак"/>
    <w:basedOn w:val="a0"/>
    <w:link w:val="afc"/>
    <w:uiPriority w:val="99"/>
    <w:rsid w:val="00E70204"/>
    <w:rPr>
      <w:rFonts w:ascii="Calibri" w:eastAsia="Times New Roman" w:hAnsi="Calibri" w:cs="Times New Roman"/>
    </w:rPr>
  </w:style>
  <w:style w:type="paragraph" w:customStyle="1" w:styleId="afe">
    <w:name w:val="диаграмма"/>
    <w:basedOn w:val="af"/>
    <w:link w:val="aff"/>
    <w:uiPriority w:val="99"/>
    <w:rsid w:val="00E70204"/>
    <w:pPr>
      <w:keepNext/>
      <w:jc w:val="both"/>
    </w:pPr>
    <w:rPr>
      <w:rFonts w:ascii="Times New Roman" w:hAnsi="Times New Roman"/>
      <w:color w:val="auto"/>
      <w:sz w:val="24"/>
      <w:szCs w:val="24"/>
    </w:rPr>
  </w:style>
  <w:style w:type="character" w:customStyle="1" w:styleId="aff">
    <w:name w:val="диаграмма Знак"/>
    <w:basedOn w:val="a0"/>
    <w:link w:val="afe"/>
    <w:uiPriority w:val="99"/>
    <w:locked/>
    <w:rsid w:val="00E70204"/>
    <w:rPr>
      <w:rFonts w:ascii="Times New Roman" w:eastAsia="Times New Roman" w:hAnsi="Times New Roman" w:cs="Times New Roman"/>
      <w:b/>
      <w:bCs/>
      <w:lang w:eastAsia="en-US"/>
    </w:rPr>
  </w:style>
  <w:style w:type="character" w:customStyle="1" w:styleId="apple-converted-space">
    <w:name w:val="apple-converted-space"/>
    <w:rsid w:val="00E70204"/>
  </w:style>
  <w:style w:type="paragraph" w:customStyle="1" w:styleId="15">
    <w:name w:val="Абзац списка1"/>
    <w:basedOn w:val="a"/>
    <w:rsid w:val="00E70204"/>
    <w:pPr>
      <w:spacing w:after="200" w:line="276" w:lineRule="auto"/>
      <w:ind w:left="720"/>
      <w:contextualSpacing/>
    </w:pPr>
    <w:rPr>
      <w:sz w:val="22"/>
      <w:szCs w:val="22"/>
      <w:lang w:eastAsia="en-US"/>
    </w:rPr>
  </w:style>
  <w:style w:type="paragraph" w:styleId="aff0">
    <w:name w:val="Plain Text"/>
    <w:basedOn w:val="a"/>
    <w:link w:val="aff1"/>
    <w:uiPriority w:val="99"/>
    <w:unhideWhenUsed/>
    <w:rsid w:val="00E70204"/>
    <w:rPr>
      <w:rFonts w:ascii="Consolas" w:hAnsi="Consolas"/>
      <w:sz w:val="21"/>
      <w:szCs w:val="21"/>
      <w:lang w:eastAsia="en-US"/>
    </w:rPr>
  </w:style>
  <w:style w:type="character" w:customStyle="1" w:styleId="aff1">
    <w:name w:val="Текст Знак"/>
    <w:basedOn w:val="a0"/>
    <w:link w:val="aff0"/>
    <w:uiPriority w:val="99"/>
    <w:rsid w:val="00E70204"/>
    <w:rPr>
      <w:rFonts w:ascii="Consolas" w:eastAsia="Times New Roman" w:hAnsi="Consolas" w:cs="Times New Roman"/>
      <w:sz w:val="21"/>
      <w:szCs w:val="21"/>
      <w:lang w:eastAsia="en-US"/>
    </w:rPr>
  </w:style>
  <w:style w:type="character" w:styleId="aff2">
    <w:name w:val="Strong"/>
    <w:basedOn w:val="a0"/>
    <w:uiPriority w:val="22"/>
    <w:qFormat/>
    <w:rsid w:val="00E70204"/>
    <w:rPr>
      <w:rFonts w:cs="Times New Roman"/>
      <w:b/>
      <w:bCs/>
    </w:rPr>
  </w:style>
  <w:style w:type="character" w:styleId="aff3">
    <w:name w:val="Intense Emphasis"/>
    <w:basedOn w:val="a0"/>
    <w:uiPriority w:val="21"/>
    <w:qFormat/>
    <w:rsid w:val="00E70204"/>
    <w:rPr>
      <w:rFonts w:cs="Times New Roman"/>
      <w:b/>
      <w:bCs/>
      <w:i/>
      <w:iCs/>
      <w:color w:val="CEB966"/>
    </w:rPr>
  </w:style>
  <w:style w:type="paragraph" w:styleId="aff4">
    <w:name w:val="Intense Quote"/>
    <w:basedOn w:val="a"/>
    <w:next w:val="a"/>
    <w:link w:val="aff5"/>
    <w:uiPriority w:val="30"/>
    <w:qFormat/>
    <w:rsid w:val="00E70204"/>
    <w:pPr>
      <w:pBdr>
        <w:bottom w:val="single" w:sz="4" w:space="4" w:color="CEB966"/>
      </w:pBdr>
      <w:spacing w:before="200" w:after="280" w:line="240" w:lineRule="exact"/>
      <w:ind w:left="936" w:right="936"/>
    </w:pPr>
    <w:rPr>
      <w:b/>
      <w:bCs/>
      <w:i/>
      <w:iCs/>
      <w:color w:val="CEB966"/>
      <w:sz w:val="26"/>
      <w:szCs w:val="26"/>
      <w:lang w:eastAsia="en-US"/>
    </w:rPr>
  </w:style>
  <w:style w:type="character" w:customStyle="1" w:styleId="aff5">
    <w:name w:val="Выделенная цитата Знак"/>
    <w:basedOn w:val="a0"/>
    <w:link w:val="aff4"/>
    <w:uiPriority w:val="30"/>
    <w:rsid w:val="00E70204"/>
    <w:rPr>
      <w:rFonts w:ascii="Calibri" w:eastAsia="Times New Roman" w:hAnsi="Calibri" w:cs="Times New Roman"/>
      <w:b/>
      <w:bCs/>
      <w:i/>
      <w:iCs/>
      <w:color w:val="CEB966"/>
      <w:sz w:val="26"/>
      <w:szCs w:val="26"/>
      <w:lang w:eastAsia="en-US"/>
    </w:rPr>
  </w:style>
  <w:style w:type="paragraph" w:customStyle="1" w:styleId="text">
    <w:name w:val="text"/>
    <w:basedOn w:val="a"/>
    <w:rsid w:val="00E70204"/>
    <w:pPr>
      <w:spacing w:before="100" w:beforeAutospacing="1" w:after="100" w:afterAutospacing="1"/>
    </w:pPr>
  </w:style>
  <w:style w:type="character" w:customStyle="1" w:styleId="22">
    <w:name w:val="Основной текст (2)_"/>
    <w:basedOn w:val="a0"/>
    <w:link w:val="23"/>
    <w:locked/>
    <w:rsid w:val="00E70204"/>
    <w:rPr>
      <w:rFonts w:cs="Times New Roman"/>
      <w:sz w:val="23"/>
      <w:szCs w:val="23"/>
      <w:shd w:val="clear" w:color="auto" w:fill="FFFFFF"/>
    </w:rPr>
  </w:style>
  <w:style w:type="paragraph" w:customStyle="1" w:styleId="23">
    <w:name w:val="Основной текст (2)"/>
    <w:basedOn w:val="a"/>
    <w:link w:val="22"/>
    <w:rsid w:val="00E70204"/>
    <w:pPr>
      <w:shd w:val="clear" w:color="auto" w:fill="FFFFFF"/>
      <w:spacing w:after="120" w:line="240" w:lineRule="atLeast"/>
    </w:pPr>
    <w:rPr>
      <w:rFonts w:asciiTheme="minorHAnsi" w:eastAsiaTheme="minorEastAsia" w:hAnsiTheme="minorHAnsi"/>
      <w:sz w:val="23"/>
      <w:szCs w:val="23"/>
    </w:rPr>
  </w:style>
  <w:style w:type="paragraph" w:customStyle="1" w:styleId="BodyTextIndent21">
    <w:name w:val="Body Text Indent 21"/>
    <w:basedOn w:val="a"/>
    <w:rsid w:val="00E70204"/>
    <w:pPr>
      <w:widowControl w:val="0"/>
      <w:spacing w:before="240" w:after="120"/>
      <w:ind w:left="720" w:hanging="720"/>
    </w:pPr>
    <w:rPr>
      <w:b/>
      <w:szCs w:val="20"/>
    </w:rPr>
  </w:style>
  <w:style w:type="paragraph" w:customStyle="1" w:styleId="aff6">
    <w:name w:val="Абзац доклада"/>
    <w:basedOn w:val="a"/>
    <w:link w:val="aff7"/>
    <w:autoRedefine/>
    <w:uiPriority w:val="99"/>
    <w:rsid w:val="00E70204"/>
    <w:pPr>
      <w:jc w:val="both"/>
    </w:pPr>
    <w:rPr>
      <w:sz w:val="22"/>
      <w:szCs w:val="22"/>
      <w:lang w:eastAsia="en-US"/>
    </w:rPr>
  </w:style>
  <w:style w:type="character" w:customStyle="1" w:styleId="aff7">
    <w:name w:val="Абзац доклада Знак"/>
    <w:basedOn w:val="a0"/>
    <w:link w:val="aff6"/>
    <w:uiPriority w:val="99"/>
    <w:locked/>
    <w:rsid w:val="00E70204"/>
    <w:rPr>
      <w:rFonts w:ascii="Calibri" w:eastAsia="Times New Roman" w:hAnsi="Calibri" w:cs="Times New Roman"/>
      <w:sz w:val="22"/>
      <w:szCs w:val="22"/>
      <w:lang w:eastAsia="en-US"/>
    </w:rPr>
  </w:style>
  <w:style w:type="paragraph" w:customStyle="1" w:styleId="16">
    <w:name w:val="Обычный1"/>
    <w:uiPriority w:val="99"/>
    <w:rsid w:val="00E70204"/>
    <w:pPr>
      <w:spacing w:line="276" w:lineRule="auto"/>
    </w:pPr>
    <w:rPr>
      <w:rFonts w:ascii="Arial" w:eastAsia="Times New Roman" w:hAnsi="Arial" w:cs="Arial"/>
      <w:color w:val="000000"/>
      <w:sz w:val="22"/>
      <w:szCs w:val="22"/>
    </w:rPr>
  </w:style>
  <w:style w:type="character" w:customStyle="1" w:styleId="ae">
    <w:name w:val="Без интервала Знак"/>
    <w:basedOn w:val="a0"/>
    <w:link w:val="ad"/>
    <w:uiPriority w:val="1"/>
    <w:rsid w:val="00E70204"/>
    <w:rPr>
      <w:rFonts w:ascii="Calibri" w:eastAsia="Times New Roman" w:hAnsi="Calibri" w:cs="Times New Roman"/>
    </w:rPr>
  </w:style>
  <w:style w:type="paragraph" w:customStyle="1" w:styleId="Default">
    <w:name w:val="Default"/>
    <w:rsid w:val="00E70204"/>
    <w:pPr>
      <w:autoSpaceDE w:val="0"/>
      <w:autoSpaceDN w:val="0"/>
      <w:adjustRightInd w:val="0"/>
    </w:pPr>
    <w:rPr>
      <w:rFonts w:ascii="Calibri" w:eastAsia="MS Mincho" w:hAnsi="Calibri" w:cs="Calibri"/>
      <w:color w:val="000000"/>
    </w:rPr>
  </w:style>
  <w:style w:type="character" w:customStyle="1" w:styleId="40">
    <w:name w:val="Заголовок 4 Знак"/>
    <w:basedOn w:val="a0"/>
    <w:link w:val="4"/>
    <w:uiPriority w:val="9"/>
    <w:rsid w:val="00583A39"/>
    <w:rPr>
      <w:rFonts w:asciiTheme="majorHAnsi" w:eastAsiaTheme="majorEastAsia" w:hAnsiTheme="majorHAnsi" w:cstheme="majorBidi"/>
      <w:b/>
      <w:bCs/>
      <w:i/>
      <w:iCs/>
      <w:color w:val="4F81BD" w:themeColor="accent1"/>
    </w:rPr>
  </w:style>
  <w:style w:type="paragraph" w:styleId="41">
    <w:name w:val="toc 4"/>
    <w:basedOn w:val="a"/>
    <w:next w:val="a"/>
    <w:autoRedefine/>
    <w:uiPriority w:val="39"/>
    <w:unhideWhenUsed/>
    <w:rsid w:val="003A6DCC"/>
    <w:pPr>
      <w:ind w:left="720"/>
    </w:pPr>
  </w:style>
  <w:style w:type="paragraph" w:styleId="5">
    <w:name w:val="toc 5"/>
    <w:basedOn w:val="a"/>
    <w:next w:val="a"/>
    <w:autoRedefine/>
    <w:uiPriority w:val="39"/>
    <w:unhideWhenUsed/>
    <w:rsid w:val="003A6DCC"/>
    <w:pPr>
      <w:ind w:left="960"/>
    </w:pPr>
  </w:style>
  <w:style w:type="paragraph" w:styleId="6">
    <w:name w:val="toc 6"/>
    <w:basedOn w:val="a"/>
    <w:next w:val="a"/>
    <w:autoRedefine/>
    <w:uiPriority w:val="39"/>
    <w:unhideWhenUsed/>
    <w:rsid w:val="003A6DCC"/>
    <w:pPr>
      <w:ind w:left="1200"/>
    </w:pPr>
  </w:style>
  <w:style w:type="paragraph" w:styleId="7">
    <w:name w:val="toc 7"/>
    <w:basedOn w:val="a"/>
    <w:next w:val="a"/>
    <w:autoRedefine/>
    <w:uiPriority w:val="39"/>
    <w:unhideWhenUsed/>
    <w:rsid w:val="003A6DCC"/>
    <w:pPr>
      <w:ind w:left="1440"/>
    </w:pPr>
  </w:style>
  <w:style w:type="paragraph" w:styleId="8">
    <w:name w:val="toc 8"/>
    <w:basedOn w:val="a"/>
    <w:next w:val="a"/>
    <w:autoRedefine/>
    <w:uiPriority w:val="39"/>
    <w:unhideWhenUsed/>
    <w:rsid w:val="003A6DCC"/>
    <w:pPr>
      <w:ind w:left="1680"/>
    </w:pPr>
  </w:style>
  <w:style w:type="paragraph" w:styleId="9">
    <w:name w:val="toc 9"/>
    <w:basedOn w:val="a"/>
    <w:next w:val="a"/>
    <w:autoRedefine/>
    <w:uiPriority w:val="39"/>
    <w:unhideWhenUsed/>
    <w:rsid w:val="003A6DCC"/>
    <w:pPr>
      <w:ind w:left="1920"/>
    </w:pPr>
  </w:style>
  <w:style w:type="character" w:customStyle="1" w:styleId="st">
    <w:name w:val="st"/>
    <w:basedOn w:val="a0"/>
    <w:rsid w:val="00436C74"/>
  </w:style>
  <w:style w:type="character" w:styleId="aff8">
    <w:name w:val="Emphasis"/>
    <w:basedOn w:val="a0"/>
    <w:uiPriority w:val="20"/>
    <w:qFormat/>
    <w:rsid w:val="00436C74"/>
    <w:rPr>
      <w:i/>
      <w:iCs/>
    </w:rPr>
  </w:style>
  <w:style w:type="paragraph" w:customStyle="1" w:styleId="24">
    <w:name w:val="Абзац списка2"/>
    <w:basedOn w:val="a"/>
    <w:rsid w:val="00F121B2"/>
    <w:pPr>
      <w:spacing w:after="200" w:line="276" w:lineRule="auto"/>
      <w:ind w:left="720"/>
      <w:contextualSpacing/>
    </w:pPr>
    <w:rPr>
      <w:sz w:val="22"/>
      <w:szCs w:val="22"/>
      <w:lang w:eastAsia="en-US"/>
    </w:rPr>
  </w:style>
  <w:style w:type="table" w:styleId="aff9">
    <w:name w:val="Table Grid"/>
    <w:basedOn w:val="a1"/>
    <w:uiPriority w:val="59"/>
    <w:rsid w:val="001D39C9"/>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F004CF"/>
  </w:style>
  <w:style w:type="character" w:styleId="affa">
    <w:name w:val="annotation reference"/>
    <w:basedOn w:val="a0"/>
    <w:uiPriority w:val="99"/>
    <w:semiHidden/>
    <w:unhideWhenUsed/>
    <w:rsid w:val="000258EE"/>
    <w:rPr>
      <w:sz w:val="16"/>
      <w:szCs w:val="16"/>
    </w:rPr>
  </w:style>
  <w:style w:type="character" w:customStyle="1" w:styleId="FontStyle76">
    <w:name w:val="Font Style76"/>
    <w:basedOn w:val="a0"/>
    <w:uiPriority w:val="99"/>
    <w:rsid w:val="00C31A6C"/>
    <w:rPr>
      <w:rFonts w:ascii="Times New Roman" w:hAnsi="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12773">
      <w:bodyDiv w:val="1"/>
      <w:marLeft w:val="0"/>
      <w:marRight w:val="0"/>
      <w:marTop w:val="0"/>
      <w:marBottom w:val="0"/>
      <w:divBdr>
        <w:top w:val="none" w:sz="0" w:space="0" w:color="auto"/>
        <w:left w:val="none" w:sz="0" w:space="0" w:color="auto"/>
        <w:bottom w:val="none" w:sz="0" w:space="0" w:color="auto"/>
        <w:right w:val="none" w:sz="0" w:space="0" w:color="auto"/>
      </w:divBdr>
      <w:divsChild>
        <w:div w:id="1119256104">
          <w:marLeft w:val="0"/>
          <w:marRight w:val="0"/>
          <w:marTop w:val="0"/>
          <w:marBottom w:val="0"/>
          <w:divBdr>
            <w:top w:val="none" w:sz="0" w:space="0" w:color="auto"/>
            <w:left w:val="none" w:sz="0" w:space="0" w:color="auto"/>
            <w:bottom w:val="none" w:sz="0" w:space="0" w:color="auto"/>
            <w:right w:val="none" w:sz="0" w:space="0" w:color="auto"/>
          </w:divBdr>
        </w:div>
        <w:div w:id="1328745907">
          <w:marLeft w:val="0"/>
          <w:marRight w:val="0"/>
          <w:marTop w:val="0"/>
          <w:marBottom w:val="0"/>
          <w:divBdr>
            <w:top w:val="none" w:sz="0" w:space="0" w:color="auto"/>
            <w:left w:val="none" w:sz="0" w:space="0" w:color="auto"/>
            <w:bottom w:val="none" w:sz="0" w:space="0" w:color="auto"/>
            <w:right w:val="none" w:sz="0" w:space="0" w:color="auto"/>
          </w:divBdr>
        </w:div>
      </w:divsChild>
    </w:div>
    <w:div w:id="763649981">
      <w:bodyDiv w:val="1"/>
      <w:marLeft w:val="0"/>
      <w:marRight w:val="0"/>
      <w:marTop w:val="0"/>
      <w:marBottom w:val="0"/>
      <w:divBdr>
        <w:top w:val="none" w:sz="0" w:space="0" w:color="auto"/>
        <w:left w:val="none" w:sz="0" w:space="0" w:color="auto"/>
        <w:bottom w:val="none" w:sz="0" w:space="0" w:color="auto"/>
        <w:right w:val="none" w:sz="0" w:space="0" w:color="auto"/>
      </w:divBdr>
    </w:div>
    <w:div w:id="1833521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emf"/><Relationship Id="rId21" Type="http://schemas.openxmlformats.org/officeDocument/2006/relationships/chart" Target="charts/chart6.xml"/><Relationship Id="rId42" Type="http://schemas.openxmlformats.org/officeDocument/2006/relationships/hyperlink" Target="http://avvem.hse.ru/commission/1-audit" TargetMode="External"/><Relationship Id="rId63" Type="http://schemas.openxmlformats.org/officeDocument/2006/relationships/chart" Target="charts/chart40.xml"/><Relationship Id="rId84" Type="http://schemas.openxmlformats.org/officeDocument/2006/relationships/chart" Target="charts/chart60.xml"/><Relationship Id="rId138" Type="http://schemas.openxmlformats.org/officeDocument/2006/relationships/chart" Target="charts/chart105.xml"/><Relationship Id="rId159" Type="http://schemas.openxmlformats.org/officeDocument/2006/relationships/chart" Target="charts/chart122.xml"/><Relationship Id="rId170" Type="http://schemas.openxmlformats.org/officeDocument/2006/relationships/chart" Target="charts/chart126.xml"/><Relationship Id="rId191" Type="http://schemas.openxmlformats.org/officeDocument/2006/relationships/image" Target="media/image31.emf"/><Relationship Id="rId205" Type="http://schemas.openxmlformats.org/officeDocument/2006/relationships/chart" Target="charts/chart136.xml"/><Relationship Id="rId107" Type="http://schemas.openxmlformats.org/officeDocument/2006/relationships/chart" Target="charts/chart82.xml"/><Relationship Id="rId11" Type="http://schemas.openxmlformats.org/officeDocument/2006/relationships/header" Target="header2.xml"/><Relationship Id="rId32" Type="http://schemas.openxmlformats.org/officeDocument/2006/relationships/chart" Target="charts/chart17.xml"/><Relationship Id="rId37" Type="http://schemas.openxmlformats.org/officeDocument/2006/relationships/chart" Target="charts/chart22.xml"/><Relationship Id="rId53" Type="http://schemas.openxmlformats.org/officeDocument/2006/relationships/chart" Target="charts/chart30.xml"/><Relationship Id="rId58" Type="http://schemas.openxmlformats.org/officeDocument/2006/relationships/chart" Target="charts/chart35.xml"/><Relationship Id="rId74" Type="http://schemas.openxmlformats.org/officeDocument/2006/relationships/chart" Target="charts/chart50.xml"/><Relationship Id="rId79" Type="http://schemas.openxmlformats.org/officeDocument/2006/relationships/chart" Target="charts/chart55.xml"/><Relationship Id="rId102" Type="http://schemas.openxmlformats.org/officeDocument/2006/relationships/chart" Target="charts/chart77.xml"/><Relationship Id="rId123" Type="http://schemas.openxmlformats.org/officeDocument/2006/relationships/chart" Target="charts/chart95.xml"/><Relationship Id="rId128" Type="http://schemas.openxmlformats.org/officeDocument/2006/relationships/chart" Target="charts/chart100.xml"/><Relationship Id="rId144" Type="http://schemas.openxmlformats.org/officeDocument/2006/relationships/chart" Target="charts/chart109.xml"/><Relationship Id="rId149" Type="http://schemas.openxmlformats.org/officeDocument/2006/relationships/chart" Target="charts/chart114.xml"/><Relationship Id="rId5" Type="http://schemas.microsoft.com/office/2007/relationships/stylesWithEffects" Target="stylesWithEffects.xml"/><Relationship Id="rId90" Type="http://schemas.openxmlformats.org/officeDocument/2006/relationships/chart" Target="charts/chart66.xml"/><Relationship Id="rId95" Type="http://schemas.openxmlformats.org/officeDocument/2006/relationships/chart" Target="charts/chart70.xml"/><Relationship Id="rId160" Type="http://schemas.openxmlformats.org/officeDocument/2006/relationships/chart" Target="charts/chart123.xml"/><Relationship Id="rId165" Type="http://schemas.openxmlformats.org/officeDocument/2006/relationships/image" Target="media/image13.emf"/><Relationship Id="rId181" Type="http://schemas.openxmlformats.org/officeDocument/2006/relationships/image" Target="media/image26.emf"/><Relationship Id="rId186" Type="http://schemas.openxmlformats.org/officeDocument/2006/relationships/chart" Target="charts/chart129.xml"/><Relationship Id="rId216" Type="http://schemas.openxmlformats.org/officeDocument/2006/relationships/theme" Target="theme/theme1.xml"/><Relationship Id="rId211" Type="http://schemas.openxmlformats.org/officeDocument/2006/relationships/chart" Target="charts/chart142.xml"/><Relationship Id="rId22" Type="http://schemas.openxmlformats.org/officeDocument/2006/relationships/chart" Target="charts/chart7.xml"/><Relationship Id="rId27" Type="http://schemas.openxmlformats.org/officeDocument/2006/relationships/chart" Target="charts/chart12.xml"/><Relationship Id="rId43" Type="http://schemas.openxmlformats.org/officeDocument/2006/relationships/hyperlink" Target="http://aprobaciapoa.hse.ru/" TargetMode="External"/><Relationship Id="rId48" Type="http://schemas.openxmlformats.org/officeDocument/2006/relationships/chart" Target="charts/chart25.xml"/><Relationship Id="rId64" Type="http://schemas.openxmlformats.org/officeDocument/2006/relationships/chart" Target="charts/chart41.xml"/><Relationship Id="rId69" Type="http://schemas.openxmlformats.org/officeDocument/2006/relationships/chart" Target="charts/chart46.xml"/><Relationship Id="rId113" Type="http://schemas.openxmlformats.org/officeDocument/2006/relationships/chart" Target="charts/chart88.xml"/><Relationship Id="rId118" Type="http://schemas.openxmlformats.org/officeDocument/2006/relationships/hyperlink" Target="http://www.hse.ru/docs/89067457.html" TargetMode="External"/><Relationship Id="rId134" Type="http://schemas.openxmlformats.org/officeDocument/2006/relationships/chart" Target="charts/chart101.xml"/><Relationship Id="rId139" Type="http://schemas.openxmlformats.org/officeDocument/2006/relationships/chart" Target="charts/chart106.xml"/><Relationship Id="rId80" Type="http://schemas.openxmlformats.org/officeDocument/2006/relationships/chart" Target="charts/chart56.xml"/><Relationship Id="rId85" Type="http://schemas.openxmlformats.org/officeDocument/2006/relationships/chart" Target="charts/chart61.xml"/><Relationship Id="rId150" Type="http://schemas.openxmlformats.org/officeDocument/2006/relationships/image" Target="media/image8.png"/><Relationship Id="rId155" Type="http://schemas.openxmlformats.org/officeDocument/2006/relationships/image" Target="media/image9.png"/><Relationship Id="rId171" Type="http://schemas.openxmlformats.org/officeDocument/2006/relationships/image" Target="media/image17.emf"/><Relationship Id="rId176" Type="http://schemas.openxmlformats.org/officeDocument/2006/relationships/image" Target="media/image21.emf"/><Relationship Id="rId192" Type="http://schemas.openxmlformats.org/officeDocument/2006/relationships/chart" Target="charts/chart133.xml"/><Relationship Id="rId197" Type="http://schemas.openxmlformats.org/officeDocument/2006/relationships/chart" Target="charts/chart135.xml"/><Relationship Id="rId206" Type="http://schemas.openxmlformats.org/officeDocument/2006/relationships/chart" Target="charts/chart137.xml"/><Relationship Id="rId201" Type="http://schemas.openxmlformats.org/officeDocument/2006/relationships/image" Target="media/image37.jpeg"/><Relationship Id="rId12" Type="http://schemas.openxmlformats.org/officeDocument/2006/relationships/hyperlink" Target="http://math.hse.ru/matem/" TargetMode="External"/><Relationship Id="rId17" Type="http://schemas.openxmlformats.org/officeDocument/2006/relationships/chart" Target="charts/chart2.xml"/><Relationship Id="rId33" Type="http://schemas.openxmlformats.org/officeDocument/2006/relationships/chart" Target="charts/chart18.xml"/><Relationship Id="rId38" Type="http://schemas.openxmlformats.org/officeDocument/2006/relationships/image" Target="media/image1.emf"/><Relationship Id="rId59" Type="http://schemas.openxmlformats.org/officeDocument/2006/relationships/chart" Target="charts/chart36.xml"/><Relationship Id="rId103" Type="http://schemas.openxmlformats.org/officeDocument/2006/relationships/chart" Target="charts/chart78.xml"/><Relationship Id="rId108" Type="http://schemas.openxmlformats.org/officeDocument/2006/relationships/chart" Target="charts/chart83.xml"/><Relationship Id="rId124" Type="http://schemas.openxmlformats.org/officeDocument/2006/relationships/chart" Target="charts/chart96.xml"/><Relationship Id="rId129" Type="http://schemas.openxmlformats.org/officeDocument/2006/relationships/diagramData" Target="diagrams/data1.xml"/><Relationship Id="rId54" Type="http://schemas.openxmlformats.org/officeDocument/2006/relationships/chart" Target="charts/chart31.xml"/><Relationship Id="rId70" Type="http://schemas.openxmlformats.org/officeDocument/2006/relationships/chart" Target="charts/chart47.xml"/><Relationship Id="rId75" Type="http://schemas.openxmlformats.org/officeDocument/2006/relationships/chart" Target="charts/chart51.xml"/><Relationship Id="rId91" Type="http://schemas.openxmlformats.org/officeDocument/2006/relationships/hyperlink" Target="https://docs.google.com/document/d/1lXw39n_p0vnr43caaYRF914qwkZX1uAEcC-VT8T8omw/edit?usp=sharing" TargetMode="External"/><Relationship Id="rId96" Type="http://schemas.openxmlformats.org/officeDocument/2006/relationships/chart" Target="charts/chart71.xml"/><Relationship Id="rId140" Type="http://schemas.openxmlformats.org/officeDocument/2006/relationships/image" Target="media/image6.jpeg"/><Relationship Id="rId145" Type="http://schemas.openxmlformats.org/officeDocument/2006/relationships/chart" Target="charts/chart110.xml"/><Relationship Id="rId161" Type="http://schemas.openxmlformats.org/officeDocument/2006/relationships/chart" Target="charts/chart124.xml"/><Relationship Id="rId166" Type="http://schemas.openxmlformats.org/officeDocument/2006/relationships/image" Target="media/image14.emf"/><Relationship Id="rId182" Type="http://schemas.openxmlformats.org/officeDocument/2006/relationships/image" Target="media/image27.emf"/><Relationship Id="rId187" Type="http://schemas.openxmlformats.org/officeDocument/2006/relationships/chart" Target="charts/chart130.xm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chart" Target="charts/chart143.xml"/><Relationship Id="rId23" Type="http://schemas.openxmlformats.org/officeDocument/2006/relationships/chart" Target="charts/chart8.xml"/><Relationship Id="rId28" Type="http://schemas.openxmlformats.org/officeDocument/2006/relationships/chart" Target="charts/chart13.xml"/><Relationship Id="rId49" Type="http://schemas.openxmlformats.org/officeDocument/2006/relationships/chart" Target="charts/chart26.xml"/><Relationship Id="rId114" Type="http://schemas.openxmlformats.org/officeDocument/2006/relationships/chart" Target="charts/chart89.xml"/><Relationship Id="rId119" Type="http://schemas.openxmlformats.org/officeDocument/2006/relationships/chart" Target="charts/chart91.xml"/><Relationship Id="rId44" Type="http://schemas.openxmlformats.org/officeDocument/2006/relationships/hyperlink" Target="http://www.hse.ru/studyspravka/Metod_sr_13" TargetMode="External"/><Relationship Id="rId60" Type="http://schemas.openxmlformats.org/officeDocument/2006/relationships/chart" Target="charts/chart37.xml"/><Relationship Id="rId65" Type="http://schemas.openxmlformats.org/officeDocument/2006/relationships/chart" Target="charts/chart42.xml"/><Relationship Id="rId81" Type="http://schemas.openxmlformats.org/officeDocument/2006/relationships/chart" Target="charts/chart57.xml"/><Relationship Id="rId86" Type="http://schemas.openxmlformats.org/officeDocument/2006/relationships/chart" Target="charts/chart62.xml"/><Relationship Id="rId130" Type="http://schemas.openxmlformats.org/officeDocument/2006/relationships/diagramLayout" Target="diagrams/layout1.xml"/><Relationship Id="rId135" Type="http://schemas.openxmlformats.org/officeDocument/2006/relationships/chart" Target="charts/chart102.xml"/><Relationship Id="rId151" Type="http://schemas.openxmlformats.org/officeDocument/2006/relationships/chart" Target="charts/chart115.xml"/><Relationship Id="rId156" Type="http://schemas.openxmlformats.org/officeDocument/2006/relationships/chart" Target="charts/chart119.xml"/><Relationship Id="rId177" Type="http://schemas.openxmlformats.org/officeDocument/2006/relationships/image" Target="media/image22.emf"/><Relationship Id="rId198" Type="http://schemas.openxmlformats.org/officeDocument/2006/relationships/hyperlink" Target="http://www.hse.ru/data/2011/12/23/1261660949/&#1053;&#1086;&#1088;&#1084;&#1099;%20&#1074;&#1088;&#1077;&#1084;&#1077;&#1085;&#1080;%20&#1076;&#1083;&#1103;%20&#1088;&#1072;&#1089;&#1095;&#1077;&#1090;&#1072;%20&#1086;&#1073;&#1098;&#1077;&#1084;&#1072;%20&#1091;&#1095;&#1077;&#1073;&#1085;&#1086;&#1081;%20&#1088;&#1072;&#1073;&#1086;&#1090;&#1099;.doc" TargetMode="External"/><Relationship Id="rId172" Type="http://schemas.openxmlformats.org/officeDocument/2006/relationships/image" Target="media/image18.emf"/><Relationship Id="rId193" Type="http://schemas.openxmlformats.org/officeDocument/2006/relationships/image" Target="media/image32.emf"/><Relationship Id="rId202" Type="http://schemas.openxmlformats.org/officeDocument/2006/relationships/image" Target="media/image38.jpeg"/><Relationship Id="rId207" Type="http://schemas.openxmlformats.org/officeDocument/2006/relationships/chart" Target="charts/chart138.xml"/><Relationship Id="rId13" Type="http://schemas.openxmlformats.org/officeDocument/2006/relationships/hyperlink" Target="http://we.hse.ru/inbus/" TargetMode="External"/><Relationship Id="rId18" Type="http://schemas.openxmlformats.org/officeDocument/2006/relationships/chart" Target="charts/chart3.xml"/><Relationship Id="rId39" Type="http://schemas.openxmlformats.org/officeDocument/2006/relationships/image" Target="media/image2.emf"/><Relationship Id="rId109" Type="http://schemas.openxmlformats.org/officeDocument/2006/relationships/chart" Target="charts/chart84.xml"/><Relationship Id="rId34" Type="http://schemas.openxmlformats.org/officeDocument/2006/relationships/chart" Target="charts/chart19.xml"/><Relationship Id="rId50" Type="http://schemas.openxmlformats.org/officeDocument/2006/relationships/chart" Target="charts/chart27.xml"/><Relationship Id="rId55" Type="http://schemas.openxmlformats.org/officeDocument/2006/relationships/chart" Target="charts/chart32.xml"/><Relationship Id="rId76" Type="http://schemas.openxmlformats.org/officeDocument/2006/relationships/chart" Target="charts/chart52.xml"/><Relationship Id="rId97" Type="http://schemas.openxmlformats.org/officeDocument/2006/relationships/chart" Target="charts/chart72.xml"/><Relationship Id="rId104" Type="http://schemas.openxmlformats.org/officeDocument/2006/relationships/chart" Target="charts/chart79.xml"/><Relationship Id="rId120" Type="http://schemas.openxmlformats.org/officeDocument/2006/relationships/chart" Target="charts/chart92.xml"/><Relationship Id="rId125" Type="http://schemas.openxmlformats.org/officeDocument/2006/relationships/chart" Target="charts/chart97.xml"/><Relationship Id="rId141" Type="http://schemas.openxmlformats.org/officeDocument/2006/relationships/image" Target="media/image7.jpeg"/><Relationship Id="rId146" Type="http://schemas.openxmlformats.org/officeDocument/2006/relationships/chart" Target="charts/chart111.xml"/><Relationship Id="rId167" Type="http://schemas.openxmlformats.org/officeDocument/2006/relationships/image" Target="media/image15.emf"/><Relationship Id="rId188" Type="http://schemas.openxmlformats.org/officeDocument/2006/relationships/chart" Target="charts/chart131.xml"/><Relationship Id="rId7" Type="http://schemas.openxmlformats.org/officeDocument/2006/relationships/webSettings" Target="webSettings.xml"/><Relationship Id="rId71" Type="http://schemas.openxmlformats.org/officeDocument/2006/relationships/image" Target="media/image3.emf"/><Relationship Id="rId92" Type="http://schemas.openxmlformats.org/officeDocument/2006/relationships/chart" Target="charts/chart67.xml"/><Relationship Id="rId162" Type="http://schemas.openxmlformats.org/officeDocument/2006/relationships/image" Target="media/image10.emf"/><Relationship Id="rId183" Type="http://schemas.openxmlformats.org/officeDocument/2006/relationships/image" Target="media/image28.emf"/><Relationship Id="rId213" Type="http://schemas.openxmlformats.org/officeDocument/2006/relationships/image" Target="media/image39.png"/><Relationship Id="rId2" Type="http://schemas.openxmlformats.org/officeDocument/2006/relationships/customXml" Target="../customXml/item2.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hyperlink" Target="http://avvem.hse.ru/commission/1-audit" TargetMode="External"/><Relationship Id="rId45" Type="http://schemas.openxmlformats.org/officeDocument/2006/relationships/hyperlink" Target="http://www.hse.ru/org/hse/iff/winners" TargetMode="External"/><Relationship Id="rId66" Type="http://schemas.openxmlformats.org/officeDocument/2006/relationships/chart" Target="charts/chart43.xml"/><Relationship Id="rId87" Type="http://schemas.openxmlformats.org/officeDocument/2006/relationships/chart" Target="charts/chart63.xml"/><Relationship Id="rId110" Type="http://schemas.openxmlformats.org/officeDocument/2006/relationships/chart" Target="charts/chart85.xml"/><Relationship Id="rId115" Type="http://schemas.openxmlformats.org/officeDocument/2006/relationships/chart" Target="charts/chart90.xml"/><Relationship Id="rId131" Type="http://schemas.openxmlformats.org/officeDocument/2006/relationships/diagramQuickStyle" Target="diagrams/quickStyle1.xml"/><Relationship Id="rId136" Type="http://schemas.openxmlformats.org/officeDocument/2006/relationships/chart" Target="charts/chart103.xml"/><Relationship Id="rId157" Type="http://schemas.openxmlformats.org/officeDocument/2006/relationships/chart" Target="charts/chart120.xml"/><Relationship Id="rId178" Type="http://schemas.openxmlformats.org/officeDocument/2006/relationships/image" Target="media/image23.emf"/><Relationship Id="rId61" Type="http://schemas.openxmlformats.org/officeDocument/2006/relationships/chart" Target="charts/chart38.xml"/><Relationship Id="rId82" Type="http://schemas.openxmlformats.org/officeDocument/2006/relationships/chart" Target="charts/chart58.xml"/><Relationship Id="rId152" Type="http://schemas.openxmlformats.org/officeDocument/2006/relationships/chart" Target="charts/chart116.xml"/><Relationship Id="rId173" Type="http://schemas.openxmlformats.org/officeDocument/2006/relationships/chart" Target="charts/chart127.xml"/><Relationship Id="rId194" Type="http://schemas.openxmlformats.org/officeDocument/2006/relationships/image" Target="media/image33.emf"/><Relationship Id="rId199" Type="http://schemas.openxmlformats.org/officeDocument/2006/relationships/image" Target="media/image35.jpeg"/><Relationship Id="rId203" Type="http://schemas.openxmlformats.org/officeDocument/2006/relationships/hyperlink" Target="http://gmu.hse.ru/zdrav/" TargetMode="External"/><Relationship Id="rId208" Type="http://schemas.openxmlformats.org/officeDocument/2006/relationships/chart" Target="charts/chart139.xml"/><Relationship Id="rId19" Type="http://schemas.openxmlformats.org/officeDocument/2006/relationships/chart" Target="charts/chart4.xml"/><Relationship Id="rId14" Type="http://schemas.openxmlformats.org/officeDocument/2006/relationships/hyperlink" Target="http://icef.hse.ru/fin_econ/" TargetMode="External"/><Relationship Id="rId30" Type="http://schemas.openxmlformats.org/officeDocument/2006/relationships/chart" Target="charts/chart15.xml"/><Relationship Id="rId35" Type="http://schemas.openxmlformats.org/officeDocument/2006/relationships/chart" Target="charts/chart20.xml"/><Relationship Id="rId56" Type="http://schemas.openxmlformats.org/officeDocument/2006/relationships/chart" Target="charts/chart33.xml"/><Relationship Id="rId77" Type="http://schemas.openxmlformats.org/officeDocument/2006/relationships/chart" Target="charts/chart53.xml"/><Relationship Id="rId100" Type="http://schemas.openxmlformats.org/officeDocument/2006/relationships/chart" Target="charts/chart75.xml"/><Relationship Id="rId105" Type="http://schemas.openxmlformats.org/officeDocument/2006/relationships/chart" Target="charts/chart80.xml"/><Relationship Id="rId126" Type="http://schemas.openxmlformats.org/officeDocument/2006/relationships/chart" Target="charts/chart98.xml"/><Relationship Id="rId147" Type="http://schemas.openxmlformats.org/officeDocument/2006/relationships/chart" Target="charts/chart112.xml"/><Relationship Id="rId168" Type="http://schemas.openxmlformats.org/officeDocument/2006/relationships/image" Target="media/image16.emf"/><Relationship Id="rId8" Type="http://schemas.openxmlformats.org/officeDocument/2006/relationships/footnotes" Target="footnotes.xml"/><Relationship Id="rId51" Type="http://schemas.openxmlformats.org/officeDocument/2006/relationships/chart" Target="charts/chart28.xml"/><Relationship Id="rId72" Type="http://schemas.openxmlformats.org/officeDocument/2006/relationships/chart" Target="charts/chart48.xml"/><Relationship Id="rId93" Type="http://schemas.openxmlformats.org/officeDocument/2006/relationships/chart" Target="charts/chart68.xml"/><Relationship Id="rId98" Type="http://schemas.openxmlformats.org/officeDocument/2006/relationships/chart" Target="charts/chart73.xml"/><Relationship Id="rId121" Type="http://schemas.openxmlformats.org/officeDocument/2006/relationships/chart" Target="charts/chart93.xml"/><Relationship Id="rId142" Type="http://schemas.openxmlformats.org/officeDocument/2006/relationships/chart" Target="charts/chart107.xml"/><Relationship Id="rId163" Type="http://schemas.openxmlformats.org/officeDocument/2006/relationships/image" Target="media/image11.emf"/><Relationship Id="rId184" Type="http://schemas.openxmlformats.org/officeDocument/2006/relationships/image" Target="media/image29.emf"/><Relationship Id="rId189" Type="http://schemas.openxmlformats.org/officeDocument/2006/relationships/image" Target="media/image30.emf"/><Relationship Id="rId3" Type="http://schemas.openxmlformats.org/officeDocument/2006/relationships/numbering" Target="numbering.xml"/><Relationship Id="rId214" Type="http://schemas.openxmlformats.org/officeDocument/2006/relationships/hyperlink" Target="http://academics.hse.ru/article/study_courses/" TargetMode="External"/><Relationship Id="rId25" Type="http://schemas.openxmlformats.org/officeDocument/2006/relationships/chart" Target="charts/chart10.xml"/><Relationship Id="rId46" Type="http://schemas.openxmlformats.org/officeDocument/2006/relationships/chart" Target="charts/chart23.xml"/><Relationship Id="rId67" Type="http://schemas.openxmlformats.org/officeDocument/2006/relationships/chart" Target="charts/chart44.xml"/><Relationship Id="rId116" Type="http://schemas.openxmlformats.org/officeDocument/2006/relationships/image" Target="media/image4.emf"/><Relationship Id="rId137" Type="http://schemas.openxmlformats.org/officeDocument/2006/relationships/chart" Target="charts/chart104.xml"/><Relationship Id="rId158" Type="http://schemas.openxmlformats.org/officeDocument/2006/relationships/chart" Target="charts/chart121.xml"/><Relationship Id="rId20" Type="http://schemas.openxmlformats.org/officeDocument/2006/relationships/chart" Target="charts/chart5.xml"/><Relationship Id="rId41" Type="http://schemas.openxmlformats.org/officeDocument/2006/relationships/hyperlink" Target="http://avvem.hse.ru/commission/rg4_akkr" TargetMode="External"/><Relationship Id="rId62" Type="http://schemas.openxmlformats.org/officeDocument/2006/relationships/chart" Target="charts/chart39.xml"/><Relationship Id="rId83" Type="http://schemas.openxmlformats.org/officeDocument/2006/relationships/chart" Target="charts/chart59.xml"/><Relationship Id="rId88" Type="http://schemas.openxmlformats.org/officeDocument/2006/relationships/chart" Target="charts/chart64.xml"/><Relationship Id="rId111" Type="http://schemas.openxmlformats.org/officeDocument/2006/relationships/chart" Target="charts/chart86.xml"/><Relationship Id="rId132" Type="http://schemas.openxmlformats.org/officeDocument/2006/relationships/diagramColors" Target="diagrams/colors1.xml"/><Relationship Id="rId153" Type="http://schemas.openxmlformats.org/officeDocument/2006/relationships/chart" Target="charts/chart117.xml"/><Relationship Id="rId174" Type="http://schemas.openxmlformats.org/officeDocument/2006/relationships/image" Target="media/image19.emf"/><Relationship Id="rId179" Type="http://schemas.openxmlformats.org/officeDocument/2006/relationships/image" Target="media/image24.emf"/><Relationship Id="rId195" Type="http://schemas.openxmlformats.org/officeDocument/2006/relationships/image" Target="media/image34.emf"/><Relationship Id="rId209" Type="http://schemas.openxmlformats.org/officeDocument/2006/relationships/chart" Target="charts/chart140.xml"/><Relationship Id="rId190" Type="http://schemas.openxmlformats.org/officeDocument/2006/relationships/chart" Target="charts/chart132.xml"/><Relationship Id="rId204" Type="http://schemas.openxmlformats.org/officeDocument/2006/relationships/hyperlink" Target="http://expert.ru/expert/2013/47/mezhdunarodnyij-rejting-universitetov-rossijskaya-versiya/" TargetMode="External"/><Relationship Id="rId15" Type="http://schemas.openxmlformats.org/officeDocument/2006/relationships/chart" Target="charts/chart1.xml"/><Relationship Id="rId36" Type="http://schemas.openxmlformats.org/officeDocument/2006/relationships/chart" Target="charts/chart21.xml"/><Relationship Id="rId57" Type="http://schemas.openxmlformats.org/officeDocument/2006/relationships/chart" Target="charts/chart34.xml"/><Relationship Id="rId106" Type="http://schemas.openxmlformats.org/officeDocument/2006/relationships/chart" Target="charts/chart81.xml"/><Relationship Id="rId127" Type="http://schemas.openxmlformats.org/officeDocument/2006/relationships/chart" Target="charts/chart99.xml"/><Relationship Id="rId10" Type="http://schemas.openxmlformats.org/officeDocument/2006/relationships/header" Target="header1.xml"/><Relationship Id="rId31" Type="http://schemas.openxmlformats.org/officeDocument/2006/relationships/chart" Target="charts/chart16.xml"/><Relationship Id="rId52" Type="http://schemas.openxmlformats.org/officeDocument/2006/relationships/chart" Target="charts/chart29.xml"/><Relationship Id="rId73" Type="http://schemas.openxmlformats.org/officeDocument/2006/relationships/chart" Target="charts/chart49.xml"/><Relationship Id="rId78" Type="http://schemas.openxmlformats.org/officeDocument/2006/relationships/chart" Target="charts/chart54.xml"/><Relationship Id="rId94" Type="http://schemas.openxmlformats.org/officeDocument/2006/relationships/chart" Target="charts/chart69.xml"/><Relationship Id="rId99" Type="http://schemas.openxmlformats.org/officeDocument/2006/relationships/chart" Target="charts/chart74.xml"/><Relationship Id="rId101" Type="http://schemas.openxmlformats.org/officeDocument/2006/relationships/chart" Target="charts/chart76.xml"/><Relationship Id="rId122" Type="http://schemas.openxmlformats.org/officeDocument/2006/relationships/chart" Target="charts/chart94.xml"/><Relationship Id="rId143" Type="http://schemas.openxmlformats.org/officeDocument/2006/relationships/chart" Target="charts/chart108.xml"/><Relationship Id="rId148" Type="http://schemas.openxmlformats.org/officeDocument/2006/relationships/chart" Target="charts/chart113.xml"/><Relationship Id="rId164" Type="http://schemas.openxmlformats.org/officeDocument/2006/relationships/image" Target="media/image12.emf"/><Relationship Id="rId169" Type="http://schemas.openxmlformats.org/officeDocument/2006/relationships/chart" Target="charts/chart125.xml"/><Relationship Id="rId185" Type="http://schemas.openxmlformats.org/officeDocument/2006/relationships/chart" Target="charts/chart128.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25.emf"/><Relationship Id="rId210" Type="http://schemas.openxmlformats.org/officeDocument/2006/relationships/chart" Target="charts/chart141.xml"/><Relationship Id="rId215" Type="http://schemas.openxmlformats.org/officeDocument/2006/relationships/fontTable" Target="fontTable.xml"/><Relationship Id="rId26" Type="http://schemas.openxmlformats.org/officeDocument/2006/relationships/chart" Target="charts/chart11.xml"/><Relationship Id="rId47" Type="http://schemas.openxmlformats.org/officeDocument/2006/relationships/chart" Target="charts/chart24.xml"/><Relationship Id="rId68" Type="http://schemas.openxmlformats.org/officeDocument/2006/relationships/chart" Target="charts/chart45.xml"/><Relationship Id="rId89" Type="http://schemas.openxmlformats.org/officeDocument/2006/relationships/chart" Target="charts/chart65.xml"/><Relationship Id="rId112" Type="http://schemas.openxmlformats.org/officeDocument/2006/relationships/chart" Target="charts/chart87.xml"/><Relationship Id="rId133" Type="http://schemas.microsoft.com/office/2007/relationships/diagramDrawing" Target="diagrams/drawing1.xml"/><Relationship Id="rId154" Type="http://schemas.openxmlformats.org/officeDocument/2006/relationships/chart" Target="charts/chart118.xml"/><Relationship Id="rId175" Type="http://schemas.openxmlformats.org/officeDocument/2006/relationships/image" Target="media/image20.emf"/><Relationship Id="rId196" Type="http://schemas.openxmlformats.org/officeDocument/2006/relationships/chart" Target="charts/chart134.xml"/><Relationship Id="rId200" Type="http://schemas.openxmlformats.org/officeDocument/2006/relationships/image" Target="media/image36.jpeg"/><Relationship Id="rId16" Type="http://schemas.openxmlformats.org/officeDocument/2006/relationships/hyperlink" Target="http://www.hse.ru/data/2013/07/16/1289347664/%D0%A0%D0%B5%D0%BA%D0%BB%D0%B0%D0%BC%D0%B0%20%D0%B8%20%D1%81%D0%B2%D1%8F%D0%B7%D0%B8%20%D1%81%20%D0%BE%D0%B1%D1%89%D0%B5%D1%81%D1%82%D0%B2%D0%B5%D0%BD%D0%BD%D0%BE%D1%81%D1%82%D1%8C%D1%8E_%D0%9C%D0%90%D0%93_16.07.2013.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ets.org/toefl/" TargetMode="External"/><Relationship Id="rId2" Type="http://schemas.openxmlformats.org/officeDocument/2006/relationships/hyperlink" Target="http://www.ielts.org/" TargetMode="External"/><Relationship Id="rId1" Type="http://schemas.openxmlformats.org/officeDocument/2006/relationships/hyperlink" Target="http://www.hse.ru/docs/35010753.html" TargetMode="External"/><Relationship Id="rId6" Type="http://schemas.openxmlformats.org/officeDocument/2006/relationships/hyperlink" Target="http://www.cambridgeenglish.org/exams-and-qualifications/proficiency" TargetMode="External"/><Relationship Id="rId5" Type="http://schemas.openxmlformats.org/officeDocument/2006/relationships/hyperlink" Target="http://www.cambridgeenglish.org/exams-and-qualifications/advanced" TargetMode="External"/><Relationship Id="rId4" Type="http://schemas.openxmlformats.org/officeDocument/2006/relationships/hyperlink" Target="http://www.languagelink.ru/exams/be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ropbox\My%20Dropbox\&#1084;&#1077;&#1090;&#1086;&#1076;&#1080;&#1095;&#1077;&#1089;&#1082;&#1086;&#1077;%20&#1091;&#1087;&#1088;&#1072;&#1074;&#1083;&#1077;&#1085;&#1080;&#1077;\&#1086;&#1090;&#1095;&#1077;&#1090;%2011_12\3_4%20&#1041;&#1059;&#1055;%20&#1080;%20&#1056;&#1059;&#1055;\&#1057;&#1087;&#1088;&#1072;&#1074;&#1082;&#1072;%20&#1088;&#1077;&#1082;&#1090;&#1086;&#1088;&#1091;%20&#1085;&#1072;&#1075;&#1088;&#1091;&#1079;&#1082;&#1072;_2012.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C:\Users\user\Documents\&#1057;&#1090;&#1072;&#1090;&#1080;&#1089;&#1090;&#1080;&#1082;&#1072;_2012_2013.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C:\Users\user\AppData\Local\Microsoft\Windows\Temporary%20Internet%20Files\Content.IE5\JY1DMSSB\&#1050;&#1085;&#1080;&#1075;&#1072;1_&#1044;&#1080;&#1072;&#1075;&#1088;&#1072;&#1084;&#1084;&#1099;.xlsx"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C:\Users\user\Documents\&#1057;&#1090;&#1072;&#1090;&#1080;&#1089;&#1090;&#1080;&#1082;&#1072;_2012_2013.xlsx"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file:///C:\Users\user\Documents\&#1057;&#1090;&#1072;&#1090;&#1080;&#1089;&#1090;&#1080;&#1082;&#1072;_2012_2013.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C:\Users\user\Documents\&#1057;&#1090;&#1072;&#1090;&#1080;&#1089;&#1090;&#1080;&#1082;&#1072;_2012_2013.xlsx"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file:///C:\Users\user\Documents\&#1057;&#1090;&#1072;&#1090;&#1080;&#1089;&#1090;&#1080;&#1082;&#1072;_2012_2013.xlsx"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C:\Users\user\Documents\&#1057;&#1090;&#1072;&#1090;&#1080;&#1089;&#1090;&#1080;&#1082;&#1072;_2012_2013.xlsx"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file:///C:\Documents%20and%20Settings\eagarkal\&#1052;&#1086;&#1080;%20&#1076;&#1086;&#1082;&#1091;&#1084;&#1077;&#1085;&#1090;&#1099;\Dropbox\ORG.DOCS\&#1057;&#1090;&#1072;&#1090;&#1080;&#1089;&#1090;&#1080;&#1082;&#1072;\&#1058;&#1072;&#1073;&#1083;&#1080;&#1095;&#1082;&#1080;%202012-2013.xlsx"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file:///C:\Documents%20and%20Settings\eagarkal\&#1052;&#1086;&#1080;%20&#1076;&#1086;&#1082;&#1091;&#1084;&#1077;&#1085;&#1090;&#1099;\Dropbox\ORG.DOCS\&#1057;&#1090;&#1072;&#1090;&#1080;&#1089;&#1090;&#1080;&#1082;&#1072;\&#1058;&#1072;&#1073;&#1083;&#1080;&#1095;&#1082;&#1080;%202012-2013.xlsx" TargetMode="External"/></Relationships>
</file>

<file path=word/charts/_rels/chart109.xml.rels><?xml version="1.0" encoding="UTF-8" standalone="yes"?>
<Relationships xmlns="http://schemas.openxmlformats.org/package/2006/relationships"><Relationship Id="rId1" Type="http://schemas.openxmlformats.org/officeDocument/2006/relationships/oleObject" Target="file:///C:\Documents%20and%20Settings\omoshkova\Local%20Settings\Temporary%20Internet%20Files\Content.Outlook\7V3ZVQHV\&#1043;&#1088;&#1072;&#1092;&#1099;%20&#1074;%20&#1086;&#1090;&#1095;&#1077;&#1090;%202012-2013.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mpankova\&#1052;&#1086;&#1080;%20&#1076;&#1086;&#1082;&#1091;&#1084;&#1077;&#1085;&#1090;&#1099;\My%20Dropbox\&#1084;&#1077;&#1090;&#1086;&#1076;&#1080;&#1095;&#1077;&#1089;&#1082;&#1086;&#1077;%20&#1091;&#1087;&#1088;&#1072;&#1074;&#1083;&#1077;&#1085;&#1080;&#1077;\&#1054;&#1058;&#1063;&#1045;&#1058;&#1067;\&#1086;&#1090;&#1095;&#1077;&#1090;%20&#1059;&#1052;&#1056;%2012_13\&#1088;&#1072;&#1079;&#1076;&#1077;&#1083;%205%20&#1054;&#1057;,%20&#1041;&#1059;&#1055;,%20&#1056;&#1059;&#1055;\&#1088;&#1072;&#1079;&#1076;&#1077;&#1083;%205.3%20&#1056;&#1059;&#1055;\&#1076;&#1080;&#1072;&#1075;&#1088;&#1072;&#1084;&#1084;&#1099;\3.4.2.8%20-%203.4.2.10.xlsx" TargetMode="External"/></Relationships>
</file>

<file path=word/charts/_rels/chart110.xml.rels><?xml version="1.0" encoding="UTF-8" standalone="yes"?>
<Relationships xmlns="http://schemas.openxmlformats.org/package/2006/relationships"><Relationship Id="rId1" Type="http://schemas.openxmlformats.org/officeDocument/2006/relationships/oleObject" Target="file:///C:\Documents%20and%20Settings\omoshkova\Local%20Settings\Temporary%20Internet%20Files\Content.Outlook\7V3ZVQHV\&#1058;&#1072;&#1073;&#1083;&#1080;&#1095;&#1082;&#1080;%202012-2013.xlsx"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file:///\\fs5\UMU\1.&#1059;&#1052;&#1056;_&#1054;&#1058;&#1063;&#1045;&#1058;&#1067;\2012-2013\%23&#1063;&#1045;&#1058;&#1042;&#1045;&#1056;&#1053;&#1048;&#1053;&#1040;\&#1063;&#1077;&#1090;&#1074;&#1077;&#1088;&#1085;&#1080;&#1085;&#1072;_&#1044;&#1080;&#1072;&#1075;&#1088;&#1072;&#1084;&#1084;&#1099;_21.11.xlsx" TargetMode="External"/></Relationships>
</file>

<file path=word/charts/_rels/chart112.xml.rels><?xml version="1.0" encoding="UTF-8" standalone="yes"?>
<Relationships xmlns="http://schemas.openxmlformats.org/package/2006/relationships"><Relationship Id="rId1" Type="http://schemas.openxmlformats.org/officeDocument/2006/relationships/oleObject" Target="file:///\\fs5\UMU\1.&#1059;&#1052;&#1056;_&#1054;&#1058;&#1063;&#1045;&#1058;&#1067;\2012-2013\%23&#1063;&#1045;&#1058;&#1042;&#1045;&#1056;&#1053;&#1048;&#1053;&#1040;\&#1063;&#1077;&#1090;&#1074;&#1077;&#1088;&#1085;&#1080;&#1085;&#1072;_&#1044;&#1080;&#1072;&#1075;&#1088;&#1072;&#1084;&#1084;&#1099;_21.11.xlsx" TargetMode="External"/></Relationships>
</file>

<file path=word/charts/_rels/chart113.xml.rels><?xml version="1.0" encoding="UTF-8" standalone="yes"?>
<Relationships xmlns="http://schemas.openxmlformats.org/package/2006/relationships"><Relationship Id="rId1" Type="http://schemas.openxmlformats.org/officeDocument/2006/relationships/oleObject" Target="file:///\\fs5\UMU\1.&#1059;&#1052;&#1056;_&#1054;&#1058;&#1063;&#1045;&#1058;&#1067;\2012-2013\%23&#1063;&#1045;&#1058;&#1042;&#1045;&#1056;&#1053;&#1048;&#1053;&#1040;\&#1063;&#1077;&#1090;&#1074;&#1077;&#1088;&#1085;&#1080;&#1085;&#1072;_&#1044;&#1080;&#1072;&#1075;&#1088;&#1072;&#1084;&#1084;&#1099;_21.11.xlsx" TargetMode="External"/></Relationships>
</file>

<file path=word/charts/_rels/chart114.xml.rels><?xml version="1.0" encoding="UTF-8" standalone="yes"?>
<Relationships xmlns="http://schemas.openxmlformats.org/package/2006/relationships"><Relationship Id="rId1" Type="http://schemas.openxmlformats.org/officeDocument/2006/relationships/oleObject" Target="file:///C:\Documents%20and%20Settings\omoshkova\Local%20Settings\Temporary%20Internet%20Files\Content.Outlook\7V3ZVQHV\&#1058;&#1072;&#1073;&#1083;&#1080;&#1095;&#1082;&#1080;%202012-2013%20(2).xlsx" TargetMode="External"/></Relationships>
</file>

<file path=word/charts/_rels/chart115.xml.rels><?xml version="1.0" encoding="UTF-8" standalone="yes"?>
<Relationships xmlns="http://schemas.openxmlformats.org/package/2006/relationships"><Relationship Id="rId1" Type="http://schemas.openxmlformats.org/officeDocument/2006/relationships/oleObject" Target="file:///C:\Documents%20and%20Settings\omoshkova\Local%20Settings\Temporary%20Internet%20Files\Content.Outlook\7V3ZVQHV\&#1043;&#1088;&#1072;&#1092;&#1099;%20&#1074;%20&#1086;&#1090;&#1095;&#1077;&#1090;%202012-2013.xls" TargetMode="External"/></Relationships>
</file>

<file path=word/charts/_rels/chart11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7.xml.rels><?xml version="1.0" encoding="UTF-8" standalone="yes"?>
<Relationships xmlns="http://schemas.openxmlformats.org/package/2006/relationships"><Relationship Id="rId1" Type="http://schemas.openxmlformats.org/officeDocument/2006/relationships/oleObject" Target="file:///C:\Documents%20and%20Settings\eagarkal\&#1052;&#1086;&#1080;%20&#1076;&#1086;&#1082;&#1091;&#1084;&#1077;&#1085;&#1090;&#1099;\Dropbox\ORG.DOCS\&#1057;&#1090;&#1072;&#1090;&#1080;&#1089;&#1090;&#1080;&#1082;&#1072;\&#1058;&#1072;&#1073;&#1083;&#1080;&#1095;&#1082;&#1080;%202012-2013.xlsx" TargetMode="External"/></Relationships>
</file>

<file path=word/charts/_rels/chart118.xml.rels><?xml version="1.0" encoding="UTF-8" standalone="yes"?>
<Relationships xmlns="http://schemas.openxmlformats.org/package/2006/relationships"><Relationship Id="rId1" Type="http://schemas.openxmlformats.org/officeDocument/2006/relationships/oleObject" Target="file:///C:\Documents%20and%20Settings\omoshkova\Local%20Settings\Temporary%20Internet%20Files\Content.Outlook\7V3ZVQHV\&#1058;&#1072;&#1073;&#1083;&#1080;&#1095;&#1082;&#1080;%202012-2013.xlsx" TargetMode="External"/></Relationships>
</file>

<file path=word/charts/_rels/chart119.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mpankova\&#1052;&#1086;&#1080;%20&#1076;&#1086;&#1082;&#1091;&#1084;&#1077;&#1085;&#1090;&#1099;\My%20Dropbox\&#1084;&#1077;&#1090;&#1086;&#1076;&#1080;&#1095;&#1077;&#1089;&#1082;&#1086;&#1077;%20&#1091;&#1087;&#1088;&#1072;&#1074;&#1083;&#1077;&#1085;&#1080;&#1077;\&#1054;&#1058;&#1063;&#1045;&#1058;&#1067;\&#1086;&#1090;&#1095;&#1077;&#1090;%20&#1059;&#1052;&#1056;%2012_13\&#1088;&#1072;&#1079;&#1076;&#1077;&#1083;%205%20&#1054;&#1057;,%20&#1041;&#1059;&#1055;,%20&#1056;&#1059;&#1055;\&#1088;&#1072;&#1079;&#1076;&#1077;&#1083;%205.3%20&#1056;&#1059;&#1055;\&#1076;&#1080;&#1072;&#1075;&#1088;&#1072;&#1084;&#1084;&#1099;\3.4.2.8%20-%203.4.2.10.xlsx" TargetMode="External"/></Relationships>
</file>

<file path=word/charts/_rels/chart120.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121.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122.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123.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124.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125.xml.rels><?xml version="1.0" encoding="UTF-8" standalone="yes"?>
<Relationships xmlns="http://schemas.openxmlformats.org/package/2006/relationships"><Relationship Id="rId1" Type="http://schemas.openxmlformats.org/officeDocument/2006/relationships/oleObject" Target="file:///\\Fs5\umu\1%20&#1055;&#1056;&#1045;&#1055;&#1054;&#1044;&#1040;&#1042;&#1040;&#1058;&#1045;&#1051;&#1048;%20&#1054;&#1073;&#1097;&#1072;&#1103;%20&#1087;&#1072;&#1087;&#1082;&#1072;%20&#1054;&#1090;&#1076;&#1077;&#1083;&#1072;%20%20&#1082;&#1086;&#1086;&#1088;&#1076;&#1080;&#1085;&#1072;&#1094;&#1080;&#1080;%20&#1091;&#1095;&#1077;&#1073;&#1085;&#1086;&#1081;%20&#1088;&#1072;&#1073;&#1086;&#1090;&#1099;%20&#1087;&#1088;&#1077;&#1087;&#1086;&#1076;&#1072;&#1074;&#1072;&#1090;&#1077;&#1083;&#1077;&#1081;\&#1054;&#1050;&#1059;&#1056;&#1055;\&#1050;%20&#1054;&#1058;&#1063;&#1045;&#1058;&#1059;%20&#1085;&#1072;%20&#1059;&#1057;%2012-13\&#1042;&#1072;&#1075;&#1080;&#1085;&#1072;%20&#1054;&#1090;&#1095;&#1077;&#1090;%2012-13\1.&#1054;&#1057;&#1045;&#1053;&#1068;%202013%20&#1044;&#1080;&#1072;&#1075;&#1088;&#1072;&#1084;&#1084;&#1099;%20&#1089;%20&#1092;&#1080;&#1083;&#1080;&#1072;&#1083;&#1072;&#1084;&#1080;%20&#1082;%20&#1054;&#1090;&#1095;&#1077;&#1090;&#1091;%202012-13.xlsx" TargetMode="External"/></Relationships>
</file>

<file path=word/charts/_rels/chart126.xml.rels><?xml version="1.0" encoding="UTF-8" standalone="yes"?>
<Relationships xmlns="http://schemas.openxmlformats.org/package/2006/relationships"><Relationship Id="rId1" Type="http://schemas.openxmlformats.org/officeDocument/2006/relationships/oleObject" Target="Macintosh%20HD:Users:user:Desktop:&#1086;&#1090;&#1095;&#1077;&#1090;%202013:&#1076;&#1080;&#1085;&#1072;&#1084;&#1080;&#1082;&#1072;%20&#1055;&#1055;&#1057;.xlsx" TargetMode="External"/></Relationships>
</file>

<file path=word/charts/_rels/chart127.xml.rels><?xml version="1.0" encoding="UTF-8" standalone="yes"?>
<Relationships xmlns="http://schemas.openxmlformats.org/package/2006/relationships"><Relationship Id="rId1" Type="http://schemas.openxmlformats.org/officeDocument/2006/relationships/oleObject" Target="file:///\\Fs5\umu\1%20&#1055;&#1056;&#1045;&#1055;&#1054;&#1044;&#1040;&#1042;&#1040;&#1058;&#1045;&#1051;&#1048;%20&#1054;&#1073;&#1097;&#1072;&#1103;%20&#1087;&#1072;&#1087;&#1082;&#1072;%20&#1054;&#1090;&#1076;&#1077;&#1083;&#1072;%20%20&#1082;&#1086;&#1086;&#1088;&#1076;&#1080;&#1085;&#1072;&#1094;&#1080;&#1080;%20&#1091;&#1095;&#1077;&#1073;&#1085;&#1086;&#1081;%20&#1088;&#1072;&#1073;&#1086;&#1090;&#1099;%20&#1087;&#1088;&#1077;&#1087;&#1086;&#1076;&#1072;&#1074;&#1072;&#1090;&#1077;&#1083;&#1077;&#1081;\&#1054;&#1050;&#1059;&#1056;&#1055;\&#1050;%20&#1054;&#1058;&#1063;&#1045;&#1058;&#1059;%20&#1085;&#1072;%20&#1059;&#1057;%2012-13\&#1042;&#1072;&#1075;&#1080;&#1085;&#1072;%20&#1054;&#1090;&#1095;&#1077;&#1090;%2012-13\&#1044;&#1080;&#1072;&#1075;&#1088;&#1072;&#1084;&#1084;&#1099;%20&#1089;%20&#1092;&#1080;&#1083;&#1080;&#1072;&#1083;&#1072;&#1084;&#1080;%20&#1082;%20&#1054;&#1090;&#1095;&#1077;&#1090;&#1091;%202012-13.xlsx" TargetMode="External"/></Relationships>
</file>

<file path=word/charts/_rels/chart128.xml.rels><?xml version="1.0" encoding="UTF-8" standalone="yes"?>
<Relationships xmlns="http://schemas.openxmlformats.org/package/2006/relationships"><Relationship Id="rId1" Type="http://schemas.openxmlformats.org/officeDocument/2006/relationships/oleObject" Target="file:///C:\Users\akorovko\AppData\Local\Microsoft\Windows\Temporary%20Internet%20Files\Content.Outlook\ZBH8HI31\&#1089;%20&#1085;&#1091;&#1083;&#1077;&#1074;&#1086;&#1081;%20&#1072;&#1091;&#1076;&#1080;&#1090;&#1086;&#1088;&#1085;&#1086;&#1081;%20&#1050;%20&#1054;&#1090;&#1095;&#1077;&#1090;&#1091;%202012-13%20&#1072;&#1089;&#1089;%20&#1080;%20&#1087;&#1088;&#1077;&#1087;%20.xlsx" TargetMode="External"/></Relationships>
</file>

<file path=word/charts/_rels/chart129.xml.rels><?xml version="1.0" encoding="UTF-8" standalone="yes"?>
<Relationships xmlns="http://schemas.openxmlformats.org/package/2006/relationships"><Relationship Id="rId1" Type="http://schemas.openxmlformats.org/officeDocument/2006/relationships/oleObject" Target="Macintosh%20HD:Users:user:Desktop:&#1086;&#1090;&#1095;&#1077;&#1090;%202013:&#1043;&#1086;&#1083;&#1086;&#1089;&#1086;&#1074;&#1072;&#1103;%20&#1085;&#1072;&#1075;&#1088;&#1091;&#1079;&#1082;&#107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mpankova\&#1052;&#1086;&#1080;%20&#1076;&#1086;&#1082;&#1091;&#1084;&#1077;&#1085;&#1090;&#1099;\My%20Dropbox\&#1084;&#1077;&#1090;&#1086;&#1076;&#1080;&#1095;&#1077;&#1089;&#1082;&#1086;&#1077;%20&#1091;&#1087;&#1088;&#1072;&#1074;&#1083;&#1077;&#1085;&#1080;&#1077;\&#1054;&#1058;&#1063;&#1045;&#1058;&#1067;\&#1086;&#1090;&#1095;&#1077;&#1090;%20&#1059;&#1052;&#1056;%2012_13\&#1088;&#1072;&#1079;&#1076;&#1077;&#1083;%205%20&#1054;&#1057;,%20&#1041;&#1059;&#1055;,%20&#1056;&#1059;&#1055;\&#1088;&#1072;&#1079;&#1076;&#1077;&#1083;%205.3%20&#1056;&#1059;&#1055;\&#1076;&#1080;&#1072;&#1075;&#1088;&#1072;&#1084;&#1084;&#1099;\3.4.2.8%20-%203.4.2.10.xlsx" TargetMode="External"/></Relationships>
</file>

<file path=word/charts/_rels/chart130.xml.rels><?xml version="1.0" encoding="UTF-8" standalone="yes"?>
<Relationships xmlns="http://schemas.openxmlformats.org/package/2006/relationships"><Relationship Id="rId1" Type="http://schemas.openxmlformats.org/officeDocument/2006/relationships/oleObject" Target="Macintosh%20HD:Users:user:Desktop:&#1086;&#1090;&#1095;&#1077;&#1090;%202013:&#1043;&#1086;&#1083;&#1086;&#1089;&#1086;&#1074;&#1072;&#1103;%20&#1085;&#1072;&#1075;&#1088;&#1091;&#1079;&#1082;&#1072;.xlsx" TargetMode="External"/></Relationships>
</file>

<file path=word/charts/_rels/chart131.xml.rels><?xml version="1.0" encoding="UTF-8" standalone="yes"?>
<Relationships xmlns="http://schemas.openxmlformats.org/package/2006/relationships"><Relationship Id="rId1" Type="http://schemas.openxmlformats.org/officeDocument/2006/relationships/oleObject" Target="Macintosh%20HD:Users:user:Desktop:&#1086;&#1090;&#1095;&#1077;&#1090;%202013:&#1043;&#1086;&#1083;&#1086;&#1089;&#1086;&#1074;&#1072;&#1103;%20&#1085;&#1072;&#1075;&#1088;&#1091;&#1079;&#1082;&#1072;.xlsx" TargetMode="External"/></Relationships>
</file>

<file path=word/charts/_rels/chart132.xml.rels><?xml version="1.0" encoding="UTF-8" standalone="yes"?>
<Relationships xmlns="http://schemas.openxmlformats.org/package/2006/relationships"><Relationship Id="rId1" Type="http://schemas.openxmlformats.org/officeDocument/2006/relationships/oleObject" Target="Macintosh%20HD:Users:user:Desktop:&#1086;&#1090;&#1095;&#1077;&#1090;%202013:&#1091;&#1072;%20&#1087;&#1086;%20&#1075;&#1086;&#1083;&#1086;&#1074;&#1072;&#1084;.xlsx" TargetMode="External"/></Relationships>
</file>

<file path=word/charts/_rels/chart133.xml.rels><?xml version="1.0" encoding="UTF-8" standalone="yes"?>
<Relationships xmlns="http://schemas.openxmlformats.org/package/2006/relationships"><Relationship Id="rId1" Type="http://schemas.openxmlformats.org/officeDocument/2006/relationships/oleObject" Target="Macintosh%20HD:Users:user:Desktop:&#1086;&#1090;&#1095;&#1077;&#1090;%202013:&#1091;&#1072;%20&#1087;&#1086;%20&#1075;&#1086;&#1083;&#1086;&#1074;&#1072;&#1084;.xlsx" TargetMode="External"/></Relationships>
</file>

<file path=word/charts/_rels/chart13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6.xml.rels><?xml version="1.0" encoding="UTF-8" standalone="yes"?>
<Relationships xmlns="http://schemas.openxmlformats.org/package/2006/relationships"><Relationship Id="rId1" Type="http://schemas.openxmlformats.org/officeDocument/2006/relationships/oleObject" Target="file:///C:\Documents%20and%20Settings\sbitay\&#1056;&#1072;&#1073;&#1086;&#1095;&#1080;&#1081;%20&#1089;&#1090;&#1086;&#1083;\&#1057;&#1074;&#1086;&#1076;&#1085;&#1099;&#1077;%20&#1076;&#1072;&#1085;&#1085;&#1099;&#1077;%20&#1076;&#1083;&#1103;%20&#1086;&#1090;&#1095;&#1077;&#1090;&#1072;%20&#1059;&#1052;&#1056;.xlsx" TargetMode="External"/></Relationships>
</file>

<file path=word/charts/_rels/chart137.xml.rels><?xml version="1.0" encoding="UTF-8" standalone="yes"?>
<Relationships xmlns="http://schemas.openxmlformats.org/package/2006/relationships"><Relationship Id="rId1" Type="http://schemas.openxmlformats.org/officeDocument/2006/relationships/oleObject" Target="file:///C:\Documents%20and%20Settings\sbitay\&#1052;&#1086;&#1080;%20&#1076;&#1086;&#1082;&#1091;&#1084;&#1077;&#1085;&#1090;&#1099;\&#1042;&#1099;&#1088;&#1072;&#1079;&#1080;&#1090;.%20&#1082;&#1085;&#1086;&#1087;&#1082;&#1072;\&#1057;&#1074;&#1086;&#1076;%20&#1076;&#1072;&#1085;&#1085;&#1099;&#1093;%20&#1101;&#1083;.&#1078;\2012--2013\&#1050;&#1086;&#1087;&#1080;&#1103;%20&#1057;&#1074;&#1086;&#1076;%20&#1069;&#1046;%20&#1048;&#1070;&#1053;&#1068;.xlsx" TargetMode="External"/></Relationships>
</file>

<file path=word/charts/_rels/chart138.xml.rels><?xml version="1.0" encoding="UTF-8" standalone="yes"?>
<Relationships xmlns="http://schemas.openxmlformats.org/package/2006/relationships"><Relationship Id="rId1" Type="http://schemas.openxmlformats.org/officeDocument/2006/relationships/oleObject" Target="file:///C:\Documents%20and%20Settings\sbitay\&#1052;&#1086;&#1080;%20&#1076;&#1086;&#1082;&#1091;&#1084;&#1077;&#1085;&#1090;&#1099;\&#1042;&#1099;&#1088;&#1072;&#1079;&#1080;&#1090;.%20&#1082;&#1085;&#1086;&#1087;&#1082;&#1072;\&#1057;&#1074;&#1086;&#1076;%20&#1076;&#1072;&#1085;&#1085;&#1099;&#1093;%20&#1101;&#1083;.&#1078;\2012--2013\&#1050;&#1086;&#1087;&#1080;&#1103;%20&#1057;&#1074;&#1086;&#1076;%20&#1069;&#1046;%20&#1052;&#1040;&#1049;.xlsx" TargetMode="External"/></Relationships>
</file>

<file path=word/charts/_rels/chart139.xml.rels><?xml version="1.0" encoding="UTF-8" standalone="yes"?>
<Relationships xmlns="http://schemas.openxmlformats.org/package/2006/relationships"><Relationship Id="rId1" Type="http://schemas.openxmlformats.org/officeDocument/2006/relationships/oleObject" Target="file:///C:\Documents%20and%20Settings\sbitay\&#1052;&#1086;&#1080;%20&#1076;&#1086;&#1082;&#1091;&#1084;&#1077;&#1085;&#1090;&#1099;\&#1042;&#1099;&#1088;&#1072;&#1079;&#1080;&#1090;.%20&#1082;&#1085;&#1086;&#1087;&#1082;&#1072;\11111111111.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40.xml.rels><?xml version="1.0" encoding="UTF-8" standalone="yes"?>
<Relationships xmlns="http://schemas.openxmlformats.org/package/2006/relationships"><Relationship Id="rId1" Type="http://schemas.openxmlformats.org/officeDocument/2006/relationships/oleObject" Target="file:///C:\Documents%20and%20Settings\sbitay\&#1052;&#1086;&#1080;%20&#1076;&#1086;&#1082;&#1091;&#1084;&#1077;&#1085;&#1090;&#1099;\&#1042;&#1099;&#1088;&#1072;&#1079;&#1080;&#1090;.%20&#1082;&#1085;&#1086;&#1087;&#1082;&#1072;\&#1057;&#1074;&#1086;&#1076;%20&#1076;&#1072;&#1085;&#1085;&#1099;&#1093;%20&#1101;&#1083;.&#1078;\2012--2013\&#1050;&#1086;&#1087;&#1080;&#1103;%20&#1057;&#1074;&#1086;&#1076;%20&#1069;&#1046;%20&#1048;&#1070;&#1053;&#1068;.xlsx" TargetMode="External"/></Relationships>
</file>

<file path=word/charts/_rels/chart141.xml.rels><?xml version="1.0" encoding="UTF-8" standalone="yes"?>
<Relationships xmlns="http://schemas.openxmlformats.org/package/2006/relationships"><Relationship Id="rId1" Type="http://schemas.openxmlformats.org/officeDocument/2006/relationships/oleObject" Target="file:///C:\Documents%20and%20Settings\sbitay\&#1052;&#1086;&#1080;%20&#1076;&#1086;&#1082;&#1091;&#1084;&#1077;&#1085;&#1090;&#1099;\&#1042;&#1099;&#1088;&#1072;&#1079;&#1080;&#1090;.%20&#1082;&#1085;&#1086;&#1087;&#1082;&#1072;\&#1057;&#1074;&#1086;&#1076;%20&#1076;&#1072;&#1085;&#1085;&#1099;&#1093;%20&#1101;&#1083;.&#1078;\2012--2013\&#1050;&#1086;&#1087;&#1080;&#1103;%20&#1057;&#1074;&#1086;&#1076;%20&#1069;&#1046;%20&#1048;&#1070;&#1053;&#1068;.xlsx" TargetMode="External"/></Relationships>
</file>

<file path=word/charts/_rels/chart142.xml.rels><?xml version="1.0" encoding="UTF-8" standalone="yes"?>
<Relationships xmlns="http://schemas.openxmlformats.org/package/2006/relationships"><Relationship Id="rId1" Type="http://schemas.openxmlformats.org/officeDocument/2006/relationships/oleObject" Target="file:///C:\Documents%20and%20Settings\sbitay\&#1052;&#1086;&#1080;%20&#1076;&#1086;&#1082;&#1091;&#1084;&#1077;&#1085;&#1090;&#1099;\&#1042;&#1099;&#1088;&#1072;&#1079;&#1080;&#1090;.%20&#1082;&#1085;&#1086;&#1087;&#1082;&#1072;\&#1057;&#1074;&#1086;&#1076;%20&#1076;&#1072;&#1085;&#1085;&#1099;&#1093;%20&#1101;&#1083;.&#1078;\2012--2013\&#1050;&#1086;&#1087;&#1080;&#1103;%20&#1057;&#1074;&#1086;&#1076;%20&#1069;&#1046;%20&#1048;&#1070;&#1053;&#1068;.xlsx" TargetMode="External"/></Relationships>
</file>

<file path=word/charts/_rels/chart143.xml.rels><?xml version="1.0" encoding="UTF-8" standalone="yes"?>
<Relationships xmlns="http://schemas.openxmlformats.org/package/2006/relationships"><Relationship Id="rId1" Type="http://schemas.openxmlformats.org/officeDocument/2006/relationships/oleObject" Target="file:///C:\Documents%20and%20Settings\sbitay\&#1052;&#1086;&#1080;%20&#1076;&#1086;&#1082;&#1091;&#1084;&#1077;&#1085;&#1090;&#1099;\&#1042;&#1099;&#1088;&#1072;&#1079;&#1080;&#1090;.%20&#1082;&#1085;&#1086;&#1087;&#1082;&#1072;\&#1057;&#1074;&#1086;&#1076;%20&#1076;&#1072;&#1085;&#1085;&#1099;&#1093;%20&#1101;&#1083;.&#1078;\2012--2013\&#1050;&#1086;&#1087;&#1080;&#1103;%20&#1057;&#1074;&#1086;&#1076;%20&#1069;&#1046;%20&#1048;&#1070;&#1053;&#1068;.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16.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4;&#1058;&#1063;&#1045;&#1058;&#1067;\&#1054;&#1058;&#1063;&#1045;&#1058;%20&#1059;&#1052;&#1056;%202012_2013\&#1050;&#1086;&#1085;&#1090;&#1080;&#1085;&#1075;&#1077;&#1085;&#1090;\15.10.2012&#1044;&#1080;&#1085;&#1072;&#1084;&#1080;&#1082;&#1072;%20&#1095;&#1080;&#1089;&#1083;&#1077;&#1085;&#1085;&#1086;&#1089;&#1090;&#108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4;&#1058;&#1063;&#1045;&#1058;&#1067;\&#1054;&#1058;&#1063;&#1045;&#1058;%20&#1059;&#1052;&#1056;%202012_2013\&#1050;&#1086;&#1085;&#1090;&#1080;&#1085;&#1075;&#1077;&#1085;&#1090;\15.10.2012&#1044;&#1080;&#1085;&#1072;&#1084;&#1080;&#1082;&#1072;%20&#1095;&#1080;&#1089;&#1083;&#1077;&#1085;&#1085;&#1086;&#1089;&#1090;&#108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4;&#1058;&#1063;&#1045;&#1058;&#1067;\&#1054;&#1058;&#1063;&#1045;&#1058;%20&#1059;&#1052;&#1056;%202012_2013\&#1050;&#1086;&#1085;&#1090;&#1080;&#1085;&#1075;&#1077;&#1085;&#1090;\15.10.2012&#1044;&#1080;&#1085;&#1072;&#1084;&#1080;&#1082;&#1072;%20&#1095;&#1080;&#1089;&#1083;&#1077;&#1085;&#1085;&#1086;&#1089;&#1090;&#108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4;&#1058;&#1063;&#1045;&#1058;&#1067;\&#1054;&#1058;&#1063;&#1045;&#1058;%20&#1059;&#1052;&#1056;%202012_2013\&#1050;&#1086;&#1085;&#1090;&#1080;&#1085;&#1075;&#1077;&#1085;&#1090;\15.10.2012&#1044;&#1080;&#1085;&#1072;&#1084;&#1080;&#1082;&#1072;%20&#1095;&#1080;&#1089;&#1083;&#1077;&#1085;&#1085;&#1086;&#1089;&#109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mpankova\&#1052;&#1086;&#1080;%20&#1076;&#1086;&#1082;&#1091;&#1084;&#1077;&#1085;&#1090;&#1099;\My%20Dropbox\&#1084;&#1077;&#1090;&#1086;&#1076;&#1080;&#1095;&#1077;&#1089;&#1082;&#1086;&#1077;%20&#1091;&#1087;&#1088;&#1072;&#1074;&#1083;&#1077;&#1085;&#1080;&#1077;\&#1054;&#1058;&#1063;&#1045;&#1058;&#1067;\&#1086;&#1090;&#1095;&#1077;&#1090;%20&#1059;&#1052;&#1056;%2012_13\&#1088;&#1072;&#1079;&#1076;&#1077;&#1083;%205%20&#1054;&#1057;,%20&#1041;&#1059;&#1055;,%20&#1056;&#1059;&#1055;\&#1088;&#1072;&#1079;&#1076;&#1077;&#1083;%205.2%20&#1041;&#1059;&#1055;\&#1076;&#1080;&#1072;&#1075;&#1088;&#1072;&#1084;&#1084;&#1099;%20&#1057;&#1058;&#1040;&#1056;&#1054;&#1045;\&#1076;&#1080;&#1072;&#1075;&#1088;&#1072;&#1084;&#1084;&#1072;%203.4.1.1.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4;&#1058;&#1063;&#1045;&#1058;&#1067;\&#1054;&#1058;&#1063;&#1045;&#1058;%20&#1059;&#1052;&#1056;%202012_2013\&#1050;&#1086;&#1085;&#1090;&#1080;&#1085;&#1075;&#1077;&#1085;&#1090;\15.10.2012&#1044;&#1080;&#1085;&#1072;&#1084;&#1080;&#1082;&#1072;%20&#1095;&#1080;&#1089;&#1083;&#1077;&#1085;&#1085;&#1086;&#1089;&#1090;&#108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4;&#1058;&#1063;&#1045;&#1058;&#1067;\&#1054;&#1058;&#1063;&#1045;&#1058;%20&#1059;&#1052;&#1056;%202012_2013\&#1050;&#1086;&#1085;&#1090;&#1080;&#1085;&#1075;&#1077;&#1085;&#1090;\15.10.2012&#1044;&#1080;&#1085;&#1072;&#1084;&#1080;&#1082;&#1072;%20&#1095;&#1080;&#1089;&#1083;&#1077;&#1085;&#1085;&#1086;&#1089;&#1090;&#108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4;&#1058;&#1063;&#1045;&#1058;&#1067;\&#1054;&#1058;&#1063;&#1045;&#1058;%20&#1059;&#1052;&#1056;%202012_2013\&#1050;&#1086;&#1085;&#1090;&#1080;&#1085;&#1075;&#1077;&#1085;&#1090;\15.10.2012&#1044;&#1080;&#1085;&#1072;&#1084;&#1080;&#1082;&#1072;%20&#1095;&#1080;&#1089;&#1083;&#1077;&#1085;&#1085;&#1086;&#1089;&#1090;&#108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4;&#1058;&#1063;&#1045;&#1058;&#1067;\&#1054;&#1058;&#1063;&#1045;&#1058;%20&#1059;&#1052;&#1056;%202012_2013\&#1050;&#1072;&#1090;&#1103;\2012_13_6.3.1_.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4;&#1058;&#1063;&#1045;&#1058;&#1067;\&#1054;&#1058;&#1063;&#1045;&#1058;%20&#1059;&#1052;&#1056;%202012_2013\&#1050;&#1072;&#1090;&#1103;\2012_13_6.3.1_.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4;&#1058;&#1063;&#1045;&#1058;&#1067;\&#1054;&#1058;&#1063;&#1045;&#1058;%20&#1059;&#1052;&#1056;%202012_2013\&#1050;&#1072;&#1090;&#1103;\2012_13_6.3.1_.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4;&#1058;&#1063;&#1045;&#1058;&#1067;\&#1054;&#1058;&#1063;&#1045;&#1058;%20&#1059;&#1052;&#1056;%202012_2013\&#1050;&#1072;&#1090;&#1103;\2012_13_6.3.1_.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4;&#1058;&#1063;&#1045;&#1058;&#1067;\&#1054;&#1058;&#1063;&#1045;&#1058;%20&#1059;&#1052;&#1056;%202012_2013\&#1050;&#1072;&#1090;&#1103;\2012_13_6.3.1_.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4;&#1058;&#1063;&#1045;&#1058;&#1067;\&#1054;&#1058;&#1063;&#1045;&#1058;%20&#1059;&#1052;&#1056;%202012_2013\&#1050;&#1072;&#1090;&#1103;\2012_13_6.3.1_.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User\Desktop\&#1056;&#1040;&#1041;&#1054;&#1058;&#1040;\&#1054;&#1058;&#1063;&#1045;&#1058;%20&#1059;&#1052;&#1056;%202012_2013\&#1059;&#1089;&#1087;&#1077;&#1074;&#1072;&#1077;&#1084;&#1086;&#1089;&#1090;&#1100;\&#1054;&#1090;&#1095;&#1080;&#1089;&#1083;&#1077;&#1085;&#1085;&#1099;&#1077;_24.10.201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mpankova\&#1052;&#1086;&#1080;%20&#1076;&#1086;&#1082;&#1091;&#1084;&#1077;&#1085;&#1090;&#1099;\My%20Dropbox\&#1084;&#1077;&#1090;&#1086;&#1076;&#1080;&#1095;&#1077;&#1089;&#1082;&#1086;&#1077;%20&#1091;&#1087;&#1088;&#1072;&#1074;&#1083;&#1077;&#1085;&#1080;&#1077;\&#1054;&#1058;&#1063;&#1045;&#1058;&#1067;\&#1086;&#1090;&#1095;&#1077;&#1090;%20&#1059;&#1052;&#1056;%2012_13\&#1088;&#1072;&#1079;&#1076;&#1077;&#1083;%205%20&#1054;&#1057;,%20&#1041;&#1059;&#1055;,%20&#1056;&#1059;&#1055;\&#1088;&#1072;&#1079;&#1076;&#1077;&#1083;%205.2%20&#1041;&#1059;&#1055;\&#1076;&#1080;&#1072;&#1075;&#1088;&#1072;&#1084;&#1084;&#1099;%20&#1053;&#1054;&#1042;&#1054;&#1045;\&#1076;&#1080;&#1072;&#1075;&#1088;&#1072;&#1084;&#1084;&#1072;.xls"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32.xml.rels><?xml version="1.0" encoding="UTF-8" standalone="yes"?>
<Relationships xmlns="http://schemas.openxmlformats.org/package/2006/relationships"><Relationship Id="rId1" Type="http://schemas.openxmlformats.org/officeDocument/2006/relationships/oleObject" Target="file:///C:\Users\User\Desktop\&#1056;&#1040;&#1041;&#1054;&#1058;&#1040;\&#1054;&#1058;&#1063;&#1045;&#1058;%20&#1059;&#1052;&#1056;%202012_2013\&#1059;&#1089;&#1087;&#1077;&#1074;&#1072;&#1077;&#1084;&#1086;&#1089;&#1090;&#1100;\&#1054;&#1090;&#1095;&#1080;&#1089;&#1083;&#1077;&#1085;&#1085;&#1099;&#1077;_24.10.2013.xls" TargetMode="External"/></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34.xml.rels><?xml version="1.0" encoding="UTF-8" standalone="yes"?>
<Relationships xmlns="http://schemas.openxmlformats.org/package/2006/relationships"><Relationship Id="rId1" Type="http://schemas.openxmlformats.org/officeDocument/2006/relationships/oleObject" Target="file:///C:\Users\User\Desktop\&#1056;&#1040;&#1041;&#1054;&#1058;&#1040;\&#1054;&#1058;&#1063;&#1045;&#1058;%20&#1059;&#1052;&#1056;%202012_2013\&#1059;&#1089;&#1087;&#1077;&#1074;&#1072;&#1077;&#1084;&#1086;&#1089;&#1090;&#1100;\&#1054;&#1090;&#1095;&#1080;&#1089;&#1083;&#1077;&#1085;&#1085;&#1099;&#1077;_24.10.2013.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User\Desktop\&#1056;&#1040;&#1041;&#1054;&#1058;&#1040;\&#1054;&#1058;&#1063;&#1045;&#1058;%20&#1059;&#1052;&#1056;%202012_2013\&#1059;&#1089;&#1087;&#1077;&#1074;&#1072;&#1077;&#1084;&#1086;&#1089;&#1090;&#1100;\&#1054;&#1090;&#1095;&#1080;&#1089;&#1083;&#1077;&#1085;&#1085;&#1099;&#1077;_24.10.2013.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User\Desktop\&#1056;&#1040;&#1041;&#1054;&#1058;&#1040;\&#1054;&#1058;&#1063;&#1045;&#1058;%20&#1059;&#1052;&#1056;%202012_2013\&#1059;&#1089;&#1087;&#1077;&#1074;&#1072;&#1077;&#1084;&#1086;&#1089;&#1090;&#1100;\&#1054;&#1090;&#1095;&#1080;&#1089;&#1083;&#1077;&#1085;&#1085;&#1099;&#1077;_24.10.2013.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User\Desktop\&#1056;&#1040;&#1041;&#1054;&#1058;&#1040;\&#1054;&#1058;&#1063;&#1045;&#1058;%20&#1059;&#1052;&#1056;%202012_2013\&#1059;&#1089;&#1087;&#1077;&#1074;&#1072;&#1077;&#1084;&#1086;&#1089;&#1090;&#1100;\&#1054;&#1090;&#1095;&#1080;&#1089;&#1083;&#1077;&#1085;&#1085;&#1099;&#1077;_24.10.2013.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User\Desktop\&#1056;&#1040;&#1041;&#1054;&#1058;&#1040;\&#1054;&#1058;&#1063;&#1045;&#1058;%20&#1059;&#1052;&#1056;%202012_2013\&#1059;&#1089;&#1087;&#1077;&#1074;&#1072;&#1077;&#1084;&#1086;&#1089;&#1090;&#1100;\&#1054;&#1090;&#1095;&#1080;&#1089;&#1083;&#1077;&#1085;&#1085;&#1099;&#1077;_24.10.2013.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User\Desktop\&#1056;&#1040;&#1041;&#1054;&#1058;&#1040;\&#1054;&#1058;&#1063;&#1045;&#1058;%20&#1059;&#1052;&#1056;%202012_2013\&#1059;&#1089;&#1087;&#1077;&#1074;&#1072;&#1077;&#1084;&#1086;&#1089;&#1090;&#1100;\&#1054;&#1090;&#1095;&#1080;&#1089;&#1083;&#1077;&#1085;&#1085;&#1099;&#1077;_24.10.201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mpankova\&#1052;&#1086;&#1080;%20&#1076;&#1086;&#1082;&#1091;&#1084;&#1077;&#1085;&#1090;&#1099;\My%20Dropbox\&#1084;&#1077;&#1090;&#1086;&#1076;&#1080;&#1095;&#1077;&#1089;&#1082;&#1086;&#1077;%20&#1091;&#1087;&#1088;&#1072;&#1074;&#1083;&#1077;&#1085;&#1080;&#1077;\&#1054;&#1058;&#1063;&#1045;&#1058;&#1067;\&#1086;&#1090;&#1095;&#1077;&#1090;%20&#1059;&#1052;&#1056;%2012_13\&#1088;&#1072;&#1079;&#1076;&#1077;&#1083;%205%20&#1054;&#1057;,%20&#1041;&#1059;&#1055;,%20&#1056;&#1059;&#1055;\&#1088;&#1072;&#1079;&#1076;&#1077;&#1083;%205.3%20&#1056;&#1059;&#1055;\&#1076;&#1080;&#1072;&#1075;&#1088;&#1072;&#1084;&#1084;&#1099;\5.3.1.1,%205.3.1.2.xls"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User\Desktop\&#1056;&#1040;&#1041;&#1054;&#1058;&#1040;\&#1054;&#1058;&#1063;&#1045;&#1058;%20&#1059;&#1052;&#1056;%202012_2013\&#1059;&#1089;&#1087;&#1077;&#1074;&#1072;&#1077;&#1084;&#1086;&#1089;&#1090;&#1100;\&#1054;&#1090;&#1095;&#1080;&#1089;&#1083;&#1077;&#1085;&#1085;&#1099;&#1077;_24.10.2013.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User\Desktop\&#1056;&#1040;&#1041;&#1054;&#1058;&#1040;\&#1054;&#1058;&#1063;&#1045;&#1058;%20&#1059;&#1052;&#1056;%202012_2013\&#1059;&#1089;&#1087;&#1077;&#1074;&#1072;&#1077;&#1084;&#1086;&#1089;&#1090;&#1100;\&#1054;&#1090;&#1095;&#1080;&#1089;&#1083;&#1077;&#1085;&#1085;&#1099;&#1077;_24.10.2013.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User\Desktop\&#1056;&#1040;&#1041;&#1054;&#1058;&#1040;\&#1054;&#1058;&#1063;&#1045;&#1058;%20&#1059;&#1052;&#1056;%202012_2013\&#1059;&#1089;&#1087;&#1077;&#1074;&#1072;&#1077;&#1084;&#1086;&#1089;&#1090;&#1100;\&#1054;&#1090;&#1095;&#1080;&#1089;&#1083;&#1077;&#1085;&#1085;&#1099;&#1077;_24.10.2013.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User\Desktop\&#1056;&#1040;&#1041;&#1054;&#1058;&#1040;\&#1054;&#1058;&#1063;&#1045;&#1058;%20&#1059;&#1052;&#1056;%202012_2013\&#1059;&#1089;&#1087;&#1077;&#1074;&#1072;&#1077;&#1084;&#1086;&#1089;&#1090;&#1100;\&#1054;&#1090;&#1095;&#1080;&#1089;&#1083;&#1077;&#1085;&#1085;&#1099;&#1077;_24.10.2013.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User\Desktop\&#1056;&#1040;&#1041;&#1054;&#1058;&#1040;\&#1054;&#1058;&#1063;&#1045;&#1058;%20&#1059;&#1052;&#1056;%202012_2013\&#1059;&#1089;&#1087;&#1077;&#1074;&#1072;&#1077;&#1084;&#1086;&#1089;&#1090;&#1100;\&#1054;&#1090;&#1095;&#1080;&#1089;&#1083;&#1077;&#1085;&#1085;&#1099;&#1077;_24.10.2013.xls"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User\Desktop\&#1056;&#1040;&#1041;&#1054;&#1058;&#1040;\&#1054;&#1058;&#1063;&#1045;&#1058;%20&#1059;&#1052;&#1056;%202012_2013\&#1059;&#1089;&#1087;&#1077;&#1074;&#1072;&#1077;&#1084;&#1086;&#1089;&#1090;&#1100;\&#1054;&#1090;&#1095;&#1080;&#1089;&#1083;&#1077;&#1085;&#1085;&#1099;&#1077;_24.10.2013.xls" TargetMode="External"/></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47.xml.rels><?xml version="1.0" encoding="UTF-8" standalone="yes"?>
<Relationships xmlns="http://schemas.openxmlformats.org/package/2006/relationships"><Relationship Id="rId1" Type="http://schemas.openxmlformats.org/officeDocument/2006/relationships/oleObject" Target="file:///C:\Users\User\Desktop\&#1056;&#1040;&#1041;&#1054;&#1058;&#1040;\&#1054;&#1058;&#1063;&#1045;&#1058;%20&#1059;&#1052;&#1056;%202012_2013\&#1059;&#1089;&#1087;&#1077;&#1074;&#1072;&#1077;&#1084;&#1086;&#1089;&#1090;&#1100;\&#1054;&#1090;&#1095;&#1080;&#1089;&#1083;&#1077;&#1085;&#1085;&#1099;&#1077;_24.10.2013.xls"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4;&#1058;&#1063;&#1045;&#1058;&#1067;\&#1054;&#1058;&#1063;&#1045;&#1058;%20&#1059;&#1052;&#1056;%202012_2013\&#1059;&#1089;&#1087;&#1077;&#1074;&#1072;&#1077;&#1084;&#1086;&#1089;&#1090;&#1100;\&#1055;&#1077;&#1088;&#1077;&#1074;&#1086;&#1076;%20&#1085;&#1072;%20&#1048;&#1059;&#1055;\&#1054;&#1057;&#1048;&#1055;&#1054;&#1042;&#1040;%20&#1055;&#1088;&#1080;&#1083;&#1086;&#1078;&#1077;&#1085;&#1080;&#1077;%20&#1055;&#1077;&#1088;&#1077;&#1074;&#1086;&#1076;%20&#1085;&#1072;%20&#1048;&#1059;&#1055;.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4;&#1058;&#1063;&#1045;&#1058;&#1067;\&#1054;&#1058;&#1063;&#1045;&#1058;%20&#1059;&#1052;&#1056;%202012_2013\&#1059;&#1089;&#1087;&#1077;&#1074;&#1072;&#1077;&#1084;&#1086;&#1089;&#1090;&#1100;\&#1055;&#1077;&#1088;&#1077;&#1074;&#1086;&#1076;%20&#1085;&#1072;%20&#1048;&#1059;&#1055;\&#1054;&#1057;&#1048;&#1055;&#1054;&#1042;&#1040;%20&#1055;&#1088;&#1080;&#1083;&#1086;&#1078;&#1077;&#1085;&#1080;&#1077;%20&#1055;&#1077;&#1088;&#1077;&#1074;&#1086;&#1076;%20&#1085;&#1072;%20&#1048;&#1059;&#105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mpankova\&#1052;&#1086;&#1080;%20&#1076;&#1086;&#1082;&#1091;&#1084;&#1077;&#1085;&#1090;&#1099;\My%20Dropbox\&#1084;&#1077;&#1090;&#1086;&#1076;&#1080;&#1095;&#1077;&#1089;&#1082;&#1086;&#1077;%20&#1091;&#1087;&#1088;&#1072;&#1074;&#1083;&#1077;&#1085;&#1080;&#1077;\&#1054;&#1058;&#1063;&#1045;&#1058;&#1067;\&#1086;&#1090;&#1095;&#1077;&#1090;%20&#1059;&#1052;&#1056;%2012_13\&#1088;&#1072;&#1079;&#1076;&#1077;&#1083;%205%20&#1054;&#1057;,%20&#1041;&#1059;&#1055;,%20&#1056;&#1059;&#1055;\&#1088;&#1072;&#1079;&#1076;&#1077;&#1083;%205.3%20&#1056;&#1059;&#1055;\&#1076;&#1080;&#1072;&#1075;&#1088;&#1072;&#1084;&#1084;&#1099;\5.3.1.1,%205.3.1.2.xls"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4;&#1058;&#1063;&#1045;&#1058;&#1067;\&#1054;&#1058;&#1063;&#1045;&#1058;%20&#1059;&#1052;&#1056;%202012_2013\&#1059;&#1089;&#1087;&#1077;&#1074;&#1072;&#1077;&#1084;&#1086;&#1089;&#1090;&#1100;\&#1054;&#1090;&#1095;&#1080;&#1089;&#1083;&#1077;&#1085;&#1080;&#1103;%20&#1087;&#1086;%20&#1048;&#1059;&#1055;\&#1048;&#1059;&#1055;%202011_2012.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Fs5\umu\&#1057;&#1058;&#1059;&#1044;&#1045;&#1053;&#1058;&#1067;%20&#1054;&#1073;&#1097;&#1072;&#1103;%20&#1087;&#1072;&#1087;&#1082;&#1072;%20&#1054;&#1090;&#1076;&#1077;&#1083;&#1072;%20&#1082;&#1086;&#1086;&#1088;&#1076;&#1080;&#1085;&#1072;&#1094;&#1080;&#1080;%20&#1088;&#1072;&#1073;&#1086;&#1090;&#1099;%20&#1089;&#1086;%20&#1089;&#1090;&#1091;&#1076;&#1077;&#1085;&#1090;&#1072;&#1084;&#1080;\&#1054;&#1058;&#1063;&#1045;&#1058;&#1067;\&#1054;&#1058;&#1063;&#1045;&#1058;%20&#1059;&#1052;&#1056;%202012_2013\&#1059;&#1089;&#1087;&#1077;&#1074;&#1072;&#1077;&#1084;&#1086;&#1089;&#1090;&#1100;\&#1054;&#1090;&#1095;&#1080;&#1089;&#1083;&#1077;&#1085;&#1080;&#1103;%20&#1087;&#1086;%20&#1048;&#1059;&#1055;\&#1048;&#1059;&#1055;%202011_2012.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fs5\UMU\1.&#1059;&#1052;&#1056;_&#1054;&#1058;&#1063;&#1045;&#1058;&#1067;\2012-2013\%23&#1048;&#1043;&#1053;&#1040;&#1058;&#1045;&#1053;&#1050;&#1054;\%23&#1055;&#1077;&#1088;&#1077;&#1074;&#1086;&#1076;%20&#1085;&#1072;%20&#1073;&#1102;&#1076;&#1078;&#1077;&#1090;\&#1048;&#1043;&#1053;&#1040;&#1058;&#1045;&#1053;&#1050;&#1054;_&#1085;&#1072;%20&#1073;&#1102;&#1076;&#1078;&#1077;&#1090;_15.11.2013.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fs5\UMU\1.&#1059;&#1052;&#1056;_&#1054;&#1058;&#1063;&#1045;&#1058;&#1067;\2012-2013\%23&#1048;&#1043;&#1053;&#1040;&#1058;&#1045;&#1053;&#1050;&#1054;\%23&#1055;&#1077;&#1088;&#1077;&#1074;&#1086;&#1076;%20&#1085;&#1072;%20&#1073;&#1102;&#1076;&#1078;&#1077;&#1090;\&#1048;&#1043;&#1053;&#1040;&#1058;&#1045;&#1053;&#1050;&#1054;_&#1085;&#1072;%20&#1073;&#1102;&#1076;&#1078;&#1077;&#1090;_15.11.2013.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fs5\UMU\1.&#1059;&#1052;&#1056;_&#1054;&#1058;&#1063;&#1045;&#1058;&#1067;\2012-2013\%23&#1048;&#1043;&#1053;&#1040;&#1058;&#1045;&#1053;&#1050;&#1054;\%23&#1055;&#1077;&#1088;&#1077;&#1074;&#1086;&#1076;%20&#1085;&#1072;%20&#1073;&#1102;&#1076;&#1078;&#1077;&#1090;\&#1048;&#1043;&#1053;&#1040;&#1058;&#1045;&#1053;&#1050;&#1054;_&#1085;&#1072;%20&#1073;&#1102;&#1076;&#1078;&#1077;&#1090;_15.11.2013.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fs5\UMU\1.&#1059;&#1052;&#1056;_&#1054;&#1058;&#1063;&#1045;&#1058;&#1067;\2012-2013\%23&#1048;&#1043;&#1053;&#1040;&#1058;&#1045;&#1053;&#1050;&#1054;\%23&#1055;&#1077;&#1088;&#1077;&#1074;&#1086;&#1076;%20&#1085;&#1072;%20&#1073;&#1102;&#1076;&#1078;&#1077;&#1090;\&#1048;&#1043;&#1053;&#1040;&#1058;&#1045;&#1053;&#1050;&#1054;_&#1085;&#1072;%20&#1073;&#1102;&#1076;&#1078;&#1077;&#1090;_15.11.2013.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fs5\UMU\1.&#1059;&#1052;&#1056;_&#1054;&#1058;&#1063;&#1045;&#1058;&#1067;\2012-2013\%23&#1048;&#1043;&#1053;&#1040;&#1058;&#1045;&#1053;&#1050;&#1054;\%23&#1055;&#1077;&#1088;&#1077;&#1074;&#1086;&#1076;%20&#1085;&#1072;%20&#1073;&#1102;&#1076;&#1078;&#1077;&#1090;\&#1048;&#1043;&#1053;&#1040;&#1058;&#1045;&#1053;&#1050;&#1054;_&#1085;&#1072;%20&#1073;&#1102;&#1076;&#1078;&#1077;&#1090;_15.11.2013.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fs5\UMU\1.&#1059;&#1052;&#1056;_&#1054;&#1058;&#1063;&#1045;&#1058;&#1067;\2012-2013\%23&#1048;&#1043;&#1053;&#1040;&#1058;&#1045;&#1053;&#1050;&#1054;\%23&#1055;&#1077;&#1088;&#1077;&#1074;&#1086;&#1076;%20&#1074;&#1085;&#1091;&#1090;&#1088;&#1080;\&#1057;&#1042;_&#1044;&#1048;&#1040;&#1043;&#1056;&#1040;&#1052;&#1052;&#1040;_&#1054;&#1073;&#1097;&#1072;&#1103;.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Macintosh%20HD:Users:user:Desktop:&#1086;&#1090;&#1095;&#1077;&#1090;%202013:&#1055;&#1056;&#1080;&#1096;&#1083;&#1080;%20-%20&#1091;&#1096;&#1083;&#1080;.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fs5\UMU\1.&#1059;&#1052;&#1056;_&#1054;&#1058;&#1063;&#1045;&#1058;&#1067;\2012-2013\%23&#1048;&#1043;&#1053;&#1040;&#1058;&#1045;&#1053;&#1050;&#1054;\%23Graduation%20rate\&#1044;&#1080;&#1072;&#1075;&#1088;_&#1073;&#1072;&#1082;_28.10.201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mpankova\&#1052;&#1086;&#1080;%20&#1076;&#1086;&#1082;&#1091;&#1084;&#1077;&#1085;&#1090;&#1099;\My%20Dropbox\&#1084;&#1077;&#1090;&#1086;&#1076;&#1080;&#1095;&#1077;&#1089;&#1082;&#1086;&#1077;%20&#1091;&#1087;&#1088;&#1072;&#1074;&#1083;&#1077;&#1085;&#1080;&#1077;\&#1054;&#1058;&#1063;&#1045;&#1058;&#1067;\&#1086;&#1090;&#1095;&#1077;&#1090;%20&#1059;&#1052;&#1056;%2012_13\&#1088;&#1072;&#1079;&#1076;&#1077;&#1083;%205%20&#1054;&#1057;,%20&#1041;&#1059;&#1055;,%20&#1056;&#1059;&#1055;\&#1088;&#1072;&#1079;&#1076;&#1077;&#1083;%205.3%20&#1056;&#1059;&#1055;\&#1076;&#1080;&#1072;&#1075;&#1088;&#1072;&#1084;&#1084;&#1099;\5.3.1.1,%205.3.1.2.xls"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fs5\UMU\1.&#1059;&#1052;&#1056;_&#1054;&#1058;&#1063;&#1045;&#1058;&#1067;\2012-2013\%23&#1048;&#1043;&#1053;&#1040;&#1058;&#1045;&#1053;&#1050;&#1054;\%23Graduation%20rate\&#1044;&#1080;&#1072;&#1075;&#1088;_&#1073;&#1072;&#1082;_28.10.2013.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fs5\UMU\1.&#1059;&#1052;&#1056;_&#1054;&#1058;&#1063;&#1045;&#1058;&#1067;\2012-2013\&#1048;&#1043;&#1053;&#1040;&#1058;&#1045;&#1053;&#1050;&#1054;\Graduation%20rate\&#1044;&#1080;&#1072;&#1075;&#1088;_&#1084;&#1072;&#1075;_30.10.2013.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fs5\UMU\1.&#1059;&#1052;&#1056;_&#1054;&#1058;&#1063;&#1045;&#1058;&#1067;\2012-2013\&#1048;&#1043;&#1053;&#1040;&#1058;&#1045;&#1053;&#1050;&#1054;\Graduation%20rate\&#1044;&#1080;&#1072;&#1075;&#1088;_&#1084;&#1072;&#1075;_30.10.2013.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fs5\UMU\1.&#1059;&#1052;&#1056;_&#1054;&#1058;&#1063;&#1045;&#1058;&#1067;\2012-2013\%23&#1048;&#1043;&#1053;&#1040;&#1058;&#1045;&#1053;&#1050;&#1054;\%23Graduation%20rate\&#1044;&#1080;&#1072;&#1075;&#1088;_&#1084;&#1072;&#1075;_30.10.2013.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fs5\UMU\1.&#1059;&#1052;&#1056;_&#1054;&#1058;&#1063;&#1045;&#1058;&#1067;\2012-2013\%23&#1048;&#1043;&#1053;&#1040;&#1058;&#1045;&#1053;&#1050;&#1054;\%23Graduation%20rate\&#1044;&#1080;&#1072;&#1075;&#1088;_&#1084;&#1072;&#1075;_30.10.2013.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akorovko\AppData\Local\Microsoft\Windows\Temporary%20Internet%20Files\Content.Outlook\ZBH8HI31\&#1050;&#1086;&#1101;&#1092;%20&#1074;&#1099;&#1087;-3%20&#1075;&#1086;&#1076;&#1072;_&#1041;&#1072;&#1082;-2007_30%2011.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akorovko\AppData\Local\Microsoft\Windows\Temporary%20Internet%20Files\Content.Outlook\ZBH8HI31\&#1050;&#1086;&#1101;&#1092;%20&#1074;&#1099;&#1087;-3&#1075;&#1086;&#1076;&#1072;_&#1052;&#1072;&#1075;-2009_02%2012.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Documents%20and%20Settings\etarusova\&#1056;&#1072;&#1073;&#1086;&#1095;&#1080;&#1081;%20&#1089;&#1090;&#1086;&#1083;\&#1076;&#1083;&#1103;%20&#1086;&#1090;&#1095;&#1077;&#1090;&#1072;\BEC.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fs5\UMU\&#1048;&#1075;&#1085;&#1072;&#1090;&#1077;&#1085;&#1082;&#1086;\1.IELTS_BEC\1.IELTS-2012_&#1042;&#1057;&#1045;\IELTS%202012_&#1040;&#1042;\&#1052;&#1069;&#1080;&#1052;&#1055;%20%20&#1086;&#1092;&#1080;&#1089;&#1077;%202003.xls"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fs5\UMU\&#1048;&#1075;&#1085;&#1072;&#1090;&#1077;&#1085;&#1082;&#1086;\1.IELTS_BEC\2013_IELTS\IELTS_&#1056;&#1045;&#1047;&#1059;&#1051;&#1068;&#1058;&#1040;&#1058;&#1067;\2013_&#1040;&#1053;&#1040;&#1051;&#1048;&#1047;%20IELTS_BEC_&#1074;&#1089;&#1077;\17.06.2013_&#1040;&#1085;&#1072;&#1083;&#1080;&#1079;_&#1052;&#1069;&#1080;&#1052;&#1055;_BEC.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mpankova\&#1052;&#1086;&#1080;%20&#1076;&#1086;&#1082;&#1091;&#1084;&#1077;&#1085;&#1090;&#1099;\My%20Dropbox\&#1084;&#1077;&#1090;&#1086;&#1076;&#1080;&#1095;&#1077;&#1089;&#1082;&#1086;&#1077;%20&#1091;&#1087;&#1088;&#1072;&#1074;&#1083;&#1077;&#1085;&#1080;&#1077;\&#1054;&#1058;&#1063;&#1045;&#1058;&#1067;\&#1086;&#1090;&#1095;&#1077;&#1090;%20&#1059;&#1052;&#1056;%2012_13\&#1088;&#1072;&#1079;&#1076;&#1077;&#1083;%205%20&#1054;&#1057;,%20&#1041;&#1059;&#1055;,%20&#1056;&#1059;&#1055;\&#1088;&#1072;&#1079;&#1076;&#1077;&#1083;%205.3%20&#1056;&#1059;&#1055;\&#1076;&#1080;&#1072;&#1075;&#1088;&#1072;&#1084;&#1084;&#1099;\5.3.1.1,%205.3.1.2.xls"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Documents%20and%20Settings\etarusova\&#1056;&#1072;&#1073;&#1086;&#1095;&#1080;&#1081;%20&#1089;&#1090;&#1086;&#1083;\&#1076;&#1083;&#1103;%20&#1086;&#1090;&#1095;&#1077;&#1090;&#1072;\IELTS\IELTS%20&#1080;&#1090;&#1086;&#1075;&#1080;%20&#1089;%20&#1042;&#1064;&#1069;-&#1056;&#1069;&#1064;.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Documents%20and%20Settings\1\&#1056;&#1072;&#1073;&#1086;&#1095;&#1080;&#1081;%20&#1089;&#1090;&#1086;&#1083;\IELTS%202012\&#1040;&#1085;&#1072;&#1083;&#1080;&#1079;%20&#1088;&#1077;&#1079;&#1091;&#1083;&#1100;&#1090;&#1072;&#1090;&#1086;&#1074;%20IELTS.xls"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Documents%20and%20Settings\etarusova\&#1056;&#1072;&#1073;&#1086;&#1095;&#1080;&#1081;%20&#1089;&#1090;&#1086;&#1083;\&#1076;&#1083;&#1103;%20&#1086;&#1090;&#1095;&#1077;&#1090;&#1072;\IELTS\IELTS%20&#1080;&#1090;&#1086;&#1075;&#1080;%20&#1089;%20&#1042;&#1064;&#1069;-&#1056;&#1069;&#1064;.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Documents%20and%20Settings\1\&#1056;&#1072;&#1073;&#1086;&#1095;&#1080;&#1081;%20&#1089;&#1090;&#1086;&#1083;\IELTS%202012\&#1040;&#1085;&#1072;&#1083;&#1080;&#1079;%20&#1088;&#1077;&#1079;&#1091;&#1083;&#1100;&#1090;&#1072;&#1090;&#1086;&#1074;%20IELTS.xls"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fs5\UMU\1.&#1059;&#1052;&#1056;_&#1054;&#1058;&#1063;&#1045;&#1058;&#1067;\2012-2013\%23&#1058;&#1040;&#1056;&#1059;&#1057;&#1054;&#1042;&#1040;_IELTS\IELTS%20&#1080;&#1090;&#1086;&#1075;&#1080;%20&#1089;%20&#1042;&#1064;&#1069;-&#1056;&#1069;&#1064;.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Documents%20and%20Settings\etarusova\&#1056;&#1072;&#1073;&#1086;&#1095;&#1080;&#1081;%20&#1089;&#1090;&#1086;&#1083;\&#1076;&#1083;&#1103;%20&#1086;&#1090;&#1095;&#1077;&#1090;&#1072;\IELTS\IELTS%20&#1080;&#1090;&#1086;&#1075;&#1080;%20&#1089;%20&#1042;&#1064;&#1069;-&#1056;&#1069;&#1064;.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Documents%20and%20Settings\etarusova\&#1056;&#1072;&#1073;&#1086;&#1095;&#1080;&#1081;%20&#1089;&#1090;&#1086;&#1083;\&#1076;&#1083;&#1103;%20&#1086;&#1090;&#1095;&#1077;&#1090;&#1072;\IELTS\IELTS%20&#1080;&#1090;&#1086;&#1075;&#1080;%20&#1089;%20&#1042;&#1064;&#1069;-&#1056;&#1069;&#1064;.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Documents%20and%20Settings\etarusova\&#1056;&#1072;&#1073;&#1086;&#1095;&#1080;&#1081;%20&#1089;&#1090;&#1086;&#1083;\&#1076;&#1083;&#1103;%20&#1086;&#1090;&#1095;&#1077;&#1090;&#1072;\IELTS\IELTS%20&#1080;&#1090;&#1086;&#1075;&#1080;%20&#1089;%20&#1042;&#1064;&#1069;-&#1056;&#1069;&#1064;.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fs5\UMU\&#1048;&#1075;&#1085;&#1072;&#1090;&#1077;&#1085;&#1082;&#1086;\1.IELTS_BEC\IELTS_&#1056;&#1045;&#1047;&#1059;&#1051;&#1068;&#1058;&#1040;&#1058;&#1067;\2013_&#1040;&#1053;&#1040;&#1051;&#1048;&#1047;%20IELTS_BEC_&#1074;&#1089;&#1077;\18.06.2013_IELTS%20&#1087;&#1077;&#1088;&#1077;&#1089;&#1095;&#1080;&#1090;&#1072;&#1085;&#1086;.xls"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fs5\UMU\1.&#1059;&#1052;&#1056;_&#1054;&#1058;&#1063;&#1045;&#1058;&#1067;\2012-2013\&#1048;&#1043;&#1053;&#1040;&#1058;&#1045;&#1053;&#1050;&#1054;\&#1055;&#1077;&#1088;&#1077;&#1079;&#1072;&#1095;&#1077;&#1090;%20&#1089;&#1077;&#1088;&#1090;&#1080;&#1092;&#1080;&#1082;&#1072;&#1090;&#1086;&#1074;\&#1054;&#1058;&#1063;&#1045;&#1058;_&#1087;.5.8.2_&#1058;&#1040;&#1041;&#1051;&#1048;&#1062;&#1040;_&#1044;&#1080;&#1072;&#1075;&#1088;&#1072;&#1084;&#1084;&#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mpankova\&#1052;&#1086;&#1080;%20&#1076;&#1086;&#1082;&#1091;&#1084;&#1077;&#1085;&#1090;&#1099;\My%20Dropbox\&#1084;&#1077;&#1090;&#1086;&#1076;&#1080;&#1095;&#1077;&#1089;&#1082;&#1086;&#1077;%20&#1091;&#1087;&#1088;&#1072;&#1074;&#1083;&#1077;&#1085;&#1080;&#1077;\&#1054;&#1058;&#1063;&#1045;&#1058;&#1067;\&#1086;&#1090;&#1095;&#1077;&#1090;%20&#1059;&#1052;&#1056;%2012_13\&#1088;&#1072;&#1079;&#1076;&#1077;&#1083;%205%20&#1054;&#1057;,%20&#1041;&#1059;&#1055;,%20&#1056;&#1059;&#1055;\&#1088;&#1072;&#1079;&#1076;&#1077;&#1083;%205.3%20&#1056;&#1059;&#1055;\&#1076;&#1080;&#1072;&#1075;&#1088;&#1072;&#1084;&#1084;&#1099;\5.3.1.5,%205.3.1.6%2010-13.xls"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fs5\UMU\1.&#1059;&#1052;&#1056;_&#1054;&#1058;&#1063;&#1045;&#1058;&#1067;\2012-2013\&#1048;&#1043;&#1053;&#1040;&#1058;&#1045;&#1053;&#1050;&#1054;\&#1055;&#1077;&#1088;&#1077;&#1079;&#1072;&#1095;&#1077;&#1090;%20&#1089;&#1077;&#1088;&#1090;&#1080;&#1092;&#1080;&#1082;&#1072;&#1090;&#1086;&#1074;\&#1054;&#1058;&#1063;&#1045;&#1058;_&#1087;.5.8.2_&#1058;&#1040;&#1041;&#1051;&#1048;&#1062;&#1040;_&#1044;&#1080;&#1072;&#1075;&#1088;&#1072;&#1084;&#1084;&#1099;.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fs5\UMU\1.&#1059;&#1052;&#1056;_&#1054;&#1058;&#1063;&#1045;&#1058;&#1067;\2012-2013\&#1048;&#1043;&#1053;&#1040;&#1058;&#1045;&#1053;&#1050;&#1054;\&#1055;&#1077;&#1088;&#1077;&#1079;&#1072;&#1095;&#1077;&#1090;%20&#1089;&#1077;&#1088;&#1090;&#1080;&#1092;&#1080;&#1082;&#1072;&#1090;&#1086;&#1074;\&#1054;&#1058;&#1063;&#1045;&#1058;_&#1087;.5.8.2_&#1058;&#1040;&#1041;&#1051;&#1048;&#1062;&#1040;_&#1044;&#1080;&#1072;&#1075;&#1088;&#1072;&#1084;&#1084;&#1099;.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fs5\UMU\1.&#1059;&#1052;&#1056;_&#1054;&#1058;&#1063;&#1045;&#1058;&#1067;\2012-2013\&#1048;&#1043;&#1053;&#1040;&#1058;&#1045;&#1053;&#1050;&#1054;\&#1055;&#1077;&#1088;&#1077;&#1079;&#1072;&#1095;&#1077;&#1090;%20&#1089;&#1077;&#1088;&#1090;&#1080;&#1092;&#1080;&#1082;&#1072;&#1090;&#1086;&#1074;\&#1054;&#1058;&#1063;&#1045;&#1058;_&#1087;.5.8.2_&#1058;&#1040;&#1041;&#1051;&#1048;&#1062;&#1040;_&#1044;&#1080;&#1072;&#1075;&#1088;&#1072;&#1084;&#1084;&#1099;.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fs5\UMU\1.&#1059;&#1052;&#1056;_&#1054;&#1058;&#1063;&#1045;&#1058;&#1067;\2012-2013\&#1048;&#1043;&#1053;&#1040;&#1058;&#1045;&#1053;&#1050;&#1054;\&#1055;&#1077;&#1088;&#1077;&#1079;&#1072;&#1095;&#1077;&#1090;%20&#1089;&#1077;&#1088;&#1090;&#1080;&#1092;&#1080;&#1082;&#1072;&#1090;&#1086;&#1074;\&#1054;&#1058;&#1063;&#1045;&#1058;_&#1087;.5.8.2_&#1058;&#1040;&#1041;&#1051;&#1048;&#1062;&#1040;_&#1044;&#1080;&#1072;&#1075;&#1088;&#1072;&#1084;&#1084;&#1099;.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C:\Users\User\Desktop\&#1048;&#1043;&#1040;-2013_&#1085;&#1086;&#1103;&#1073;&#1088;&#1100;%2013\&#1044;&#1080;&#1072;&#1075;&#1088;&#1072;&#1084;&#1084;&#1099;%20&#1074;%20&#1090;&#1077;&#1082;&#1089;&#1090;%20&#1086;&#1090;&#1095;&#1077;&#1090;&#1072;_2012.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C:\Users\User\Desktop\&#1048;&#1043;&#1040;-2013_&#1085;&#1086;&#1103;&#1073;&#1088;&#1100;%2013\&#1044;&#1080;&#1072;&#1075;&#1088;&#1072;&#1084;&#1084;&#1099;%20&#1074;%20&#1090;&#1077;&#1082;&#1089;&#1090;%20&#1086;&#1090;&#1095;&#1077;&#1090;&#1072;_2012.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C:\Users\User\Desktop\&#1048;&#1043;&#1040;-2013_&#1085;&#1086;&#1103;&#1073;&#1088;&#1100;%2013\&#1044;&#1080;&#1072;&#1075;&#1088;&#1072;&#1084;&#1084;&#1099;%20&#1074;%20&#1090;&#1077;&#1082;&#1089;&#1090;%20&#1086;&#1090;&#1095;&#1077;&#1090;&#1072;_2012.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C:\Users\User\Desktop\&#1048;&#1043;&#1040;-2013_&#1085;&#1086;&#1103;&#1073;&#1088;&#1100;%2013\&#1044;&#1080;&#1072;&#1075;&#1088;&#1072;&#1084;&#1084;&#1099;%20&#1074;%20&#1090;&#1077;&#1082;&#1089;&#1090;%20&#1086;&#1090;&#1095;&#1077;&#1090;&#1072;_2012.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C:\Documents%20and%20Settings\user\&#1056;&#1072;&#1073;&#1086;&#1095;&#1080;&#1081;%20&#1089;&#1090;&#1086;&#1083;\&#1048;&#1043;&#1040;-2013_&#1085;&#1086;&#1103;&#1073;&#1088;&#1100;%2013\&#1048;&#1043;&#1040;-2013_&#1085;&#1086;&#1103;&#1073;&#1088;&#1100;%2013\&#1044;&#1080;&#1072;&#1075;&#1088;&#1072;&#1084;&#1084;&#1099;%20&#1074;%20&#1090;&#1077;&#1082;&#1089;&#1090;%20&#1086;&#1090;&#1095;&#1077;&#1090;&#1072;_2012.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C:\Documents%20and%20Settings\user\&#1056;&#1072;&#1073;&#1086;&#1095;&#1080;&#1081;%20&#1089;&#1090;&#1086;&#1083;\&#1048;&#1043;&#1040;-2013_&#1085;&#1086;&#1103;&#1073;&#1088;&#1100;%2013\&#1048;&#1043;&#1040;-2013_&#1085;&#1086;&#1103;&#1073;&#1088;&#1100;%2013\&#1044;&#1080;&#1072;&#1075;&#1088;&#1072;&#1084;&#1084;&#1099;%20&#1074;%20&#1090;&#1077;&#1082;&#1089;&#1090;%20&#1086;&#1090;&#1095;&#1077;&#1090;&#1072;_201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mpankova\&#1052;&#1086;&#1080;%20&#1076;&#1086;&#1082;&#1091;&#1084;&#1077;&#1085;&#1090;&#1099;\My%20Dropbox\&#1084;&#1077;&#1090;&#1086;&#1076;&#1080;&#1095;&#1077;&#1089;&#1082;&#1086;&#1077;%20&#1091;&#1087;&#1088;&#1072;&#1074;&#1083;&#1077;&#1085;&#1080;&#1077;\&#1054;&#1058;&#1063;&#1045;&#1058;&#1067;\&#1086;&#1090;&#1095;&#1077;&#1090;%20&#1059;&#1052;&#1056;%2012_13\&#1088;&#1072;&#1079;&#1076;&#1077;&#1083;%205%20&#1054;&#1057;,%20&#1041;&#1059;&#1055;,%20&#1056;&#1059;&#1055;\&#1088;&#1072;&#1079;&#1076;&#1077;&#1083;%205.3%20&#1056;&#1059;&#1055;\&#1076;&#1080;&#1072;&#1075;&#1088;&#1072;&#1084;&#1084;&#1099;\5.3.1.5,%205.3.1.6%2010-13.xls"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C:\Documents%20and%20Settings\user\&#1056;&#1072;&#1073;&#1086;&#1095;&#1080;&#1081;%20&#1089;&#1090;&#1086;&#1083;\&#1048;&#1043;&#1040;-2013_&#1085;&#1086;&#1103;&#1073;&#1088;&#1100;%2013\&#1048;&#1043;&#1040;-2013_&#1085;&#1086;&#1103;&#1073;&#1088;&#1100;%2013\&#1044;&#1080;&#1072;&#1075;&#1088;&#1072;&#1084;&#1084;&#1099;%20&#1074;%20&#1090;&#1077;&#1082;&#1089;&#1090;%20&#1086;&#1090;&#1095;&#1077;&#1090;&#1072;_2012.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C:\Documents%20and%20Settings\user\&#1056;&#1072;&#1073;&#1086;&#1095;&#1080;&#1081;%20&#1089;&#1090;&#1086;&#1083;\&#1048;&#1043;&#1040;-2013_&#1042;&#1067;&#1043;&#1056;&#1059;&#1047;&#1050;&#1048;\&#1042;&#1085;&#1091;&#1090;&#1088;&#1080;&#1091;&#1085;&#1080;&#1074;&#1077;&#1088;&#1089;&#1080;&#1090;&#1077;&#1090;&#1089;&#1082;&#1072;&#1103;%20&#1084;&#1086;&#1073;&#1080;&#1083;&#1100;&#1085;&#1086;&#1089;&#1090;&#1100;_&#1089;&#1090;&#1091;&#1076;&#1077;&#1085;&#1090;&#1099;_15.08.2013%20(1).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C:\Documents%20and%20Settings\user\&#1056;&#1072;&#1073;&#1086;&#1095;&#1080;&#1081;%20&#1089;&#1090;&#1086;&#1083;\&#1048;&#1043;&#1040;-2013_&#1042;&#1067;&#1043;&#1056;&#1059;&#1047;&#1050;&#1048;\&#1076;&#1086;&#1084;&#1072;-10.11.13_&#1058;&#1072;&#1073;&#1083;&#1080;&#1094;&#1072;%20&#1089;%20&#1087;&#1088;&#1080;&#1084;&#1077;&#1095;&#1072;&#1085;&#1080;&#1103;&#1084;&#1080;.xlsx" TargetMode="External"/></Relationships>
</file>

<file path=word/charts/_rels/chart93.xml.rels><?xml version="1.0" encoding="UTF-8" standalone="yes"?>
<Relationships xmlns="http://schemas.openxmlformats.org/package/2006/relationships"><Relationship Id="rId2" Type="http://schemas.openxmlformats.org/officeDocument/2006/relationships/oleObject" Target="file:///D:\&#1048;&#1090;&#1086;&#1075;&#1080;%20&#1087;&#1088;&#1080;&#1077;&#1084;&#1072;%202013\&#1052;&#1086;&#1089;&#1082;&#1074;&#1072;.xlsx" TargetMode="External"/><Relationship Id="rId1" Type="http://schemas.openxmlformats.org/officeDocument/2006/relationships/themeOverride" Target="../theme/themeOverride1.xml"/></Relationships>
</file>

<file path=word/charts/_rels/chart94.xml.rels><?xml version="1.0" encoding="UTF-8" standalone="yes"?>
<Relationships xmlns="http://schemas.openxmlformats.org/package/2006/relationships"><Relationship Id="rId2" Type="http://schemas.openxmlformats.org/officeDocument/2006/relationships/oleObject" Target="file:///D:\&#1048;&#1090;&#1086;&#1075;&#1080;%20&#1087;&#1088;&#1080;&#1077;&#1084;&#1072;%202013\&#1094;&#1080;&#1092;&#1088;&#1099;.xlsx" TargetMode="External"/><Relationship Id="rId1" Type="http://schemas.openxmlformats.org/officeDocument/2006/relationships/themeOverride" Target="../theme/themeOverride2.xml"/></Relationships>
</file>

<file path=word/charts/_rels/chart95.xml.rels><?xml version="1.0" encoding="UTF-8" standalone="yes"?>
<Relationships xmlns="http://schemas.openxmlformats.org/package/2006/relationships"><Relationship Id="rId2" Type="http://schemas.openxmlformats.org/officeDocument/2006/relationships/oleObject" Target="file:///D:\&#1048;&#1090;&#1086;&#1075;&#1080;%20&#1087;&#1088;&#1080;&#1077;&#1084;&#1072;%202013\&#1052;&#1086;&#1089;&#1082;&#1074;&#1072;.xlsx" TargetMode="External"/><Relationship Id="rId1" Type="http://schemas.openxmlformats.org/officeDocument/2006/relationships/themeOverride" Target="../theme/themeOverride3.xml"/></Relationships>
</file>

<file path=word/charts/_rels/chart96.xml.rels><?xml version="1.0" encoding="UTF-8" standalone="yes"?>
<Relationships xmlns="http://schemas.openxmlformats.org/package/2006/relationships"><Relationship Id="rId2" Type="http://schemas.openxmlformats.org/officeDocument/2006/relationships/oleObject" Target="file:///D:\&#1048;&#1090;&#1086;&#1075;&#1080;%20&#1087;&#1088;&#1080;&#1077;&#1084;&#1072;%202013\&#1052;&#1086;&#1089;&#1082;&#1074;&#1072;.xlsx" TargetMode="External"/><Relationship Id="rId1" Type="http://schemas.openxmlformats.org/officeDocument/2006/relationships/themeOverride" Target="../theme/themeOverride4.xml"/></Relationships>
</file>

<file path=word/charts/_rels/chart97.xml.rels><?xml version="1.0" encoding="UTF-8" standalone="yes"?>
<Relationships xmlns="http://schemas.openxmlformats.org/package/2006/relationships"><Relationship Id="rId2" Type="http://schemas.openxmlformats.org/officeDocument/2006/relationships/oleObject" Target="file:///D:\&#1048;&#1090;&#1086;&#1075;&#1080;%20&#1087;&#1088;&#1080;&#1077;&#1084;&#1072;%202013\&#1052;&#1086;&#1089;&#1082;&#1074;&#1072;.xlsx" TargetMode="External"/><Relationship Id="rId1" Type="http://schemas.openxmlformats.org/officeDocument/2006/relationships/themeOverride" Target="../theme/themeOverride5.xml"/></Relationships>
</file>

<file path=word/charts/_rels/chart98.xml.rels><?xml version="1.0" encoding="UTF-8" standalone="yes"?>
<Relationships xmlns="http://schemas.openxmlformats.org/package/2006/relationships"><Relationship Id="rId2" Type="http://schemas.openxmlformats.org/officeDocument/2006/relationships/oleObject" Target="file:///D:\&#1048;&#1090;&#1086;&#1075;&#1080;%20&#1087;&#1088;&#1080;&#1077;&#1084;&#1072;%202013\&#1052;&#1086;&#1089;&#1082;&#1074;&#1072;.xlsx" TargetMode="External"/><Relationship Id="rId1" Type="http://schemas.openxmlformats.org/officeDocument/2006/relationships/themeOverride" Target="../theme/themeOverride6.xml"/></Relationships>
</file>

<file path=word/charts/_rels/chart99.xml.rels><?xml version="1.0" encoding="UTF-8" standalone="yes"?>
<Relationships xmlns="http://schemas.openxmlformats.org/package/2006/relationships"><Relationship Id="rId1" Type="http://schemas.openxmlformats.org/officeDocument/2006/relationships/oleObject" Target="file:///C:\Users\user\Documents\&#1057;&#1090;&#1072;&#1090;&#1080;&#1089;&#1090;&#1080;&#1082;&#1072;_2012_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r>
              <a:rPr lang="ru-RU" sz="1200">
                <a:latin typeface="+mj-lt"/>
              </a:rPr>
              <a:t>Количество реализуемых ОП по уровням</a:t>
            </a:r>
            <a:r>
              <a:rPr lang="ru-RU" sz="1200" baseline="0">
                <a:latin typeface="+mj-lt"/>
              </a:rPr>
              <a:t> подготовки</a:t>
            </a:r>
            <a:endParaRPr lang="ru-RU" sz="1200">
              <a:latin typeface="+mj-lt"/>
            </a:endParaRPr>
          </a:p>
        </c:rich>
      </c:tx>
      <c:overlay val="0"/>
      <c:spPr>
        <a:noFill/>
        <a:ln>
          <a:noFill/>
        </a:ln>
        <a:effectLst/>
      </c:spPr>
    </c:title>
    <c:autoTitleDeleted val="0"/>
    <c:plotArea>
      <c:layout/>
      <c:barChart>
        <c:barDir val="col"/>
        <c:grouping val="clustered"/>
        <c:varyColors val="0"/>
        <c:ser>
          <c:idx val="0"/>
          <c:order val="0"/>
          <c:tx>
            <c:strRef>
              <c:f>Лист1!$B$5</c:f>
              <c:strCache>
                <c:ptCount val="1"/>
                <c:pt idx="0">
                  <c:v>2012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Лист1!$A$6:$A$9</c:f>
              <c:strCache>
                <c:ptCount val="4"/>
                <c:pt idx="0">
                  <c:v>всего </c:v>
                </c:pt>
                <c:pt idx="1">
                  <c:v>бакалавров  </c:v>
                </c:pt>
                <c:pt idx="2">
                  <c:v>магистров  </c:v>
                </c:pt>
                <c:pt idx="3">
                  <c:v>специалистов  </c:v>
                </c:pt>
              </c:strCache>
            </c:strRef>
          </c:cat>
          <c:val>
            <c:numRef>
              <c:f>Лист1!$B$6:$B$9</c:f>
              <c:numCache>
                <c:formatCode>General</c:formatCode>
                <c:ptCount val="4"/>
                <c:pt idx="0">
                  <c:v>204</c:v>
                </c:pt>
                <c:pt idx="1">
                  <c:v>58</c:v>
                </c:pt>
                <c:pt idx="2">
                  <c:v>95</c:v>
                </c:pt>
                <c:pt idx="3">
                  <c:v>52</c:v>
                </c:pt>
              </c:numCache>
            </c:numRef>
          </c:val>
        </c:ser>
        <c:ser>
          <c:idx val="1"/>
          <c:order val="1"/>
          <c:tx>
            <c:strRef>
              <c:f>Лист1!$C$5</c:f>
              <c:strCache>
                <c:ptCount val="1"/>
                <c:pt idx="0">
                  <c:v>2013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Лист1!$A$6:$A$9</c:f>
              <c:strCache>
                <c:ptCount val="4"/>
                <c:pt idx="0">
                  <c:v>всего </c:v>
                </c:pt>
                <c:pt idx="1">
                  <c:v>бакалавров  </c:v>
                </c:pt>
                <c:pt idx="2">
                  <c:v>магистров  </c:v>
                </c:pt>
                <c:pt idx="3">
                  <c:v>специалистов  </c:v>
                </c:pt>
              </c:strCache>
            </c:strRef>
          </c:cat>
          <c:val>
            <c:numRef>
              <c:f>Лист1!$C$6:$C$9</c:f>
              <c:numCache>
                <c:formatCode>General</c:formatCode>
                <c:ptCount val="4"/>
                <c:pt idx="0">
                  <c:v>223</c:v>
                </c:pt>
                <c:pt idx="1">
                  <c:v>61</c:v>
                </c:pt>
                <c:pt idx="2">
                  <c:v>115</c:v>
                </c:pt>
                <c:pt idx="3">
                  <c:v>47</c:v>
                </c:pt>
              </c:numCache>
            </c:numRef>
          </c:val>
        </c:ser>
        <c:dLbls>
          <c:showLegendKey val="0"/>
          <c:showVal val="1"/>
          <c:showCatName val="0"/>
          <c:showSerName val="0"/>
          <c:showPercent val="0"/>
          <c:showBubbleSize val="0"/>
        </c:dLbls>
        <c:gapWidth val="219"/>
        <c:overlap val="-27"/>
        <c:axId val="316270464"/>
        <c:axId val="316272000"/>
      </c:barChart>
      <c:catAx>
        <c:axId val="31627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6272000"/>
        <c:crosses val="autoZero"/>
        <c:auto val="1"/>
        <c:lblAlgn val="ctr"/>
        <c:lblOffset val="100"/>
        <c:noMultiLvlLbl val="0"/>
      </c:catAx>
      <c:valAx>
        <c:axId val="316272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627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ru-RU" sz="1050"/>
              <a:t>Динамика количества средней аудиторной нагрузки  в РУПах 2011/2012 и 2012/2013</a:t>
            </a:r>
            <a:r>
              <a:rPr lang="ru-RU" sz="1050" baseline="0"/>
              <a:t> учебных годах</a:t>
            </a:r>
            <a:endParaRPr lang="ru-RU" sz="1050"/>
          </a:p>
        </c:rich>
      </c:tx>
      <c:overlay val="0"/>
    </c:title>
    <c:autoTitleDeleted val="0"/>
    <c:plotArea>
      <c:layout/>
      <c:radarChart>
        <c:radarStyle val="marker"/>
        <c:varyColors val="0"/>
        <c:ser>
          <c:idx val="0"/>
          <c:order val="0"/>
          <c:tx>
            <c:strRef>
              <c:f>Лист1!$O$10</c:f>
              <c:strCache>
                <c:ptCount val="1"/>
                <c:pt idx="0">
                  <c:v>11/12 учебный год</c:v>
                </c:pt>
              </c:strCache>
            </c:strRef>
          </c:tx>
          <c:marker>
            <c:symbol val="none"/>
          </c:marker>
          <c:cat>
            <c:multiLvlStrRef>
              <c:f>Лист1!$M$11:$N$22</c:f>
              <c:multiLvlStrCache>
                <c:ptCount val="12"/>
                <c:lvl>
                  <c:pt idx="0">
                    <c:v>МАГ</c:v>
                  </c:pt>
                  <c:pt idx="1">
                    <c:v>БАК</c:v>
                  </c:pt>
                  <c:pt idx="2">
                    <c:v>СПЕЦ</c:v>
                  </c:pt>
                  <c:pt idx="3">
                    <c:v>МАГ</c:v>
                  </c:pt>
                  <c:pt idx="4">
                    <c:v>БАК</c:v>
                  </c:pt>
                  <c:pt idx="5">
                    <c:v>СПЕЦ</c:v>
                  </c:pt>
                  <c:pt idx="6">
                    <c:v>МАГ</c:v>
                  </c:pt>
                  <c:pt idx="7">
                    <c:v>БАК</c:v>
                  </c:pt>
                  <c:pt idx="8">
                    <c:v>СПЕЦ</c:v>
                  </c:pt>
                  <c:pt idx="9">
                    <c:v>МАГ</c:v>
                  </c:pt>
                  <c:pt idx="10">
                    <c:v>БАК</c:v>
                  </c:pt>
                  <c:pt idx="11">
                    <c:v>СПЕЦ</c:v>
                  </c:pt>
                </c:lvl>
                <c:lvl>
                  <c:pt idx="0">
                    <c:v>Москва</c:v>
                  </c:pt>
                  <c:pt idx="3">
                    <c:v>СПб</c:v>
                  </c:pt>
                  <c:pt idx="6">
                    <c:v>НН</c:v>
                  </c:pt>
                  <c:pt idx="9">
                    <c:v>П</c:v>
                  </c:pt>
                </c:lvl>
              </c:multiLvlStrCache>
            </c:multiLvlStrRef>
          </c:cat>
          <c:val>
            <c:numRef>
              <c:f>Лист1!$O$11:$O$22</c:f>
              <c:numCache>
                <c:formatCode>#,##0.00</c:formatCode>
                <c:ptCount val="12"/>
                <c:pt idx="0">
                  <c:v>15.360000000000024</c:v>
                </c:pt>
                <c:pt idx="1">
                  <c:v>23.86</c:v>
                </c:pt>
                <c:pt idx="2">
                  <c:v>19.649999999999999</c:v>
                </c:pt>
                <c:pt idx="3">
                  <c:v>11.2</c:v>
                </c:pt>
                <c:pt idx="4">
                  <c:v>21.83000000000003</c:v>
                </c:pt>
                <c:pt idx="5">
                  <c:v>18.84</c:v>
                </c:pt>
                <c:pt idx="6">
                  <c:v>12.8</c:v>
                </c:pt>
                <c:pt idx="7">
                  <c:v>20.399999999999999</c:v>
                </c:pt>
                <c:pt idx="8">
                  <c:v>14.99</c:v>
                </c:pt>
                <c:pt idx="9">
                  <c:v>16</c:v>
                </c:pt>
                <c:pt idx="10">
                  <c:v>22</c:v>
                </c:pt>
                <c:pt idx="11">
                  <c:v>0</c:v>
                </c:pt>
              </c:numCache>
            </c:numRef>
          </c:val>
        </c:ser>
        <c:ser>
          <c:idx val="1"/>
          <c:order val="1"/>
          <c:tx>
            <c:strRef>
              <c:f>Лист1!$P$10</c:f>
              <c:strCache>
                <c:ptCount val="1"/>
                <c:pt idx="0">
                  <c:v>12/13 учебный год</c:v>
                </c:pt>
              </c:strCache>
            </c:strRef>
          </c:tx>
          <c:marker>
            <c:symbol val="none"/>
          </c:marker>
          <c:cat>
            <c:multiLvlStrRef>
              <c:f>Лист1!$M$11:$N$22</c:f>
              <c:multiLvlStrCache>
                <c:ptCount val="12"/>
                <c:lvl>
                  <c:pt idx="0">
                    <c:v>МАГ</c:v>
                  </c:pt>
                  <c:pt idx="1">
                    <c:v>БАК</c:v>
                  </c:pt>
                  <c:pt idx="2">
                    <c:v>СПЕЦ</c:v>
                  </c:pt>
                  <c:pt idx="3">
                    <c:v>МАГ</c:v>
                  </c:pt>
                  <c:pt idx="4">
                    <c:v>БАК</c:v>
                  </c:pt>
                  <c:pt idx="5">
                    <c:v>СПЕЦ</c:v>
                  </c:pt>
                  <c:pt idx="6">
                    <c:v>МАГ</c:v>
                  </c:pt>
                  <c:pt idx="7">
                    <c:v>БАК</c:v>
                  </c:pt>
                  <c:pt idx="8">
                    <c:v>СПЕЦ</c:v>
                  </c:pt>
                  <c:pt idx="9">
                    <c:v>МАГ</c:v>
                  </c:pt>
                  <c:pt idx="10">
                    <c:v>БАК</c:v>
                  </c:pt>
                  <c:pt idx="11">
                    <c:v>СПЕЦ</c:v>
                  </c:pt>
                </c:lvl>
                <c:lvl>
                  <c:pt idx="0">
                    <c:v>Москва</c:v>
                  </c:pt>
                  <c:pt idx="3">
                    <c:v>СПб</c:v>
                  </c:pt>
                  <c:pt idx="6">
                    <c:v>НН</c:v>
                  </c:pt>
                  <c:pt idx="9">
                    <c:v>П</c:v>
                  </c:pt>
                </c:lvl>
              </c:multiLvlStrCache>
            </c:multiLvlStrRef>
          </c:cat>
          <c:val>
            <c:numRef>
              <c:f>Лист1!$P$11:$P$22</c:f>
              <c:numCache>
                <c:formatCode>#,##0.00</c:formatCode>
                <c:ptCount val="12"/>
                <c:pt idx="0">
                  <c:v>11.5</c:v>
                </c:pt>
                <c:pt idx="1">
                  <c:v>18</c:v>
                </c:pt>
                <c:pt idx="2">
                  <c:v>14.3</c:v>
                </c:pt>
                <c:pt idx="3">
                  <c:v>12.4</c:v>
                </c:pt>
                <c:pt idx="4">
                  <c:v>22.6</c:v>
                </c:pt>
                <c:pt idx="5">
                  <c:v>18.3</c:v>
                </c:pt>
                <c:pt idx="6">
                  <c:v>14.5</c:v>
                </c:pt>
                <c:pt idx="7">
                  <c:v>23.8</c:v>
                </c:pt>
                <c:pt idx="8">
                  <c:v>18.7</c:v>
                </c:pt>
                <c:pt idx="9">
                  <c:v>12.48</c:v>
                </c:pt>
                <c:pt idx="10">
                  <c:v>20.079999999999988</c:v>
                </c:pt>
                <c:pt idx="11" formatCode="General">
                  <c:v>0</c:v>
                </c:pt>
              </c:numCache>
            </c:numRef>
          </c:val>
        </c:ser>
        <c:dLbls>
          <c:showLegendKey val="0"/>
          <c:showVal val="0"/>
          <c:showCatName val="0"/>
          <c:showSerName val="0"/>
          <c:showPercent val="0"/>
          <c:showBubbleSize val="0"/>
        </c:dLbls>
        <c:axId val="428507904"/>
        <c:axId val="428509440"/>
      </c:radarChart>
      <c:catAx>
        <c:axId val="428507904"/>
        <c:scaling>
          <c:orientation val="minMax"/>
        </c:scaling>
        <c:delete val="0"/>
        <c:axPos val="b"/>
        <c:majorGridlines/>
        <c:numFmt formatCode="General" sourceLinked="0"/>
        <c:majorTickMark val="none"/>
        <c:minorTickMark val="none"/>
        <c:tickLblPos val="nextTo"/>
        <c:spPr>
          <a:ln w="9525">
            <a:noFill/>
          </a:ln>
        </c:spPr>
        <c:txPr>
          <a:bodyPr/>
          <a:lstStyle/>
          <a:p>
            <a:pPr>
              <a:defRPr sz="900"/>
            </a:pPr>
            <a:endParaRPr lang="ru-RU"/>
          </a:p>
        </c:txPr>
        <c:crossAx val="428509440"/>
        <c:crosses val="autoZero"/>
        <c:auto val="1"/>
        <c:lblAlgn val="ctr"/>
        <c:lblOffset val="100"/>
        <c:noMultiLvlLbl val="0"/>
      </c:catAx>
      <c:valAx>
        <c:axId val="428509440"/>
        <c:scaling>
          <c:orientation val="minMax"/>
        </c:scaling>
        <c:delete val="0"/>
        <c:axPos val="l"/>
        <c:majorGridlines/>
        <c:numFmt formatCode="#,##0.00" sourceLinked="1"/>
        <c:majorTickMark val="none"/>
        <c:minorTickMark val="none"/>
        <c:tickLblPos val="nextTo"/>
        <c:crossAx val="428507904"/>
        <c:crosses val="autoZero"/>
        <c:crossBetween val="between"/>
      </c:valAx>
    </c:plotArea>
    <c:legend>
      <c:legendPos val="b"/>
      <c:overlay val="0"/>
    </c:legend>
    <c:plotVisOnly val="1"/>
    <c:dispBlanksAs val="gap"/>
    <c:showDLblsOverMax val="0"/>
  </c:chart>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4268665599639699"/>
          <c:y val="2.5839793281653829E-2"/>
          <c:w val="0.70443406014493259"/>
          <c:h val="0.90094773037091302"/>
        </c:manualLayout>
      </c:layout>
      <c:bar3DChart>
        <c:barDir val="bar"/>
        <c:grouping val="clustered"/>
        <c:varyColors val="0"/>
        <c:ser>
          <c:idx val="0"/>
          <c:order val="0"/>
          <c:tx>
            <c:v>2010/2011</c:v>
          </c:tx>
          <c:invertIfNegative val="0"/>
          <c:cat>
            <c:strRef>
              <c:f>Таблицы!$A$147:$A$169</c:f>
              <c:strCache>
                <c:ptCount val="23"/>
                <c:pt idx="0">
                  <c:v>Япония</c:v>
                </c:pt>
                <c:pt idx="1">
                  <c:v>Латвия</c:v>
                </c:pt>
                <c:pt idx="2">
                  <c:v>Босния и Герцеговина</c:v>
                </c:pt>
                <c:pt idx="3">
                  <c:v>Португалия</c:v>
                </c:pt>
                <c:pt idx="4">
                  <c:v>Люксембург</c:v>
                </c:pt>
                <c:pt idx="5">
                  <c:v>Венгрия</c:v>
                </c:pt>
                <c:pt idx="6">
                  <c:v>Чехия</c:v>
                </c:pt>
                <c:pt idx="7">
                  <c:v>Бельгия</c:v>
                </c:pt>
                <c:pt idx="8">
                  <c:v>Испания</c:v>
                </c:pt>
                <c:pt idx="9">
                  <c:v>Китай</c:v>
                </c:pt>
                <c:pt idx="10">
                  <c:v>Норвегия </c:v>
                </c:pt>
                <c:pt idx="11">
                  <c:v>Финляндия</c:v>
                </c:pt>
                <c:pt idx="12">
                  <c:v>Швеция</c:v>
                </c:pt>
                <c:pt idx="13">
                  <c:v>Канада</c:v>
                </c:pt>
                <c:pt idx="14">
                  <c:v>Швейцария</c:v>
                </c:pt>
                <c:pt idx="15">
                  <c:v>Южная Корея</c:v>
                </c:pt>
                <c:pt idx="16">
                  <c:v>Италия</c:v>
                </c:pt>
                <c:pt idx="17">
                  <c:v>Австрия</c:v>
                </c:pt>
                <c:pt idx="18">
                  <c:v>Нидерланды</c:v>
                </c:pt>
                <c:pt idx="19">
                  <c:v>США</c:v>
                </c:pt>
                <c:pt idx="20">
                  <c:v>Великобритания</c:v>
                </c:pt>
                <c:pt idx="21">
                  <c:v>Франция</c:v>
                </c:pt>
                <c:pt idx="22">
                  <c:v>Германия</c:v>
                </c:pt>
              </c:strCache>
            </c:strRef>
          </c:cat>
          <c:val>
            <c:numRef>
              <c:f>Таблицы!$B$147:$B$169</c:f>
              <c:numCache>
                <c:formatCode>General</c:formatCode>
                <c:ptCount val="23"/>
                <c:pt idx="0">
                  <c:v>1</c:v>
                </c:pt>
                <c:pt idx="1">
                  <c:v>1</c:v>
                </c:pt>
                <c:pt idx="2">
                  <c:v>0</c:v>
                </c:pt>
                <c:pt idx="3">
                  <c:v>0</c:v>
                </c:pt>
                <c:pt idx="4">
                  <c:v>2</c:v>
                </c:pt>
                <c:pt idx="5">
                  <c:v>0</c:v>
                </c:pt>
                <c:pt idx="6">
                  <c:v>0</c:v>
                </c:pt>
                <c:pt idx="7">
                  <c:v>0</c:v>
                </c:pt>
                <c:pt idx="8">
                  <c:v>0</c:v>
                </c:pt>
                <c:pt idx="9">
                  <c:v>0</c:v>
                </c:pt>
                <c:pt idx="10">
                  <c:v>0</c:v>
                </c:pt>
                <c:pt idx="11">
                  <c:v>3</c:v>
                </c:pt>
                <c:pt idx="12">
                  <c:v>0</c:v>
                </c:pt>
                <c:pt idx="13">
                  <c:v>0</c:v>
                </c:pt>
                <c:pt idx="14">
                  <c:v>0</c:v>
                </c:pt>
                <c:pt idx="15">
                  <c:v>0</c:v>
                </c:pt>
                <c:pt idx="16">
                  <c:v>8</c:v>
                </c:pt>
                <c:pt idx="17">
                  <c:v>0</c:v>
                </c:pt>
                <c:pt idx="18">
                  <c:v>6</c:v>
                </c:pt>
                <c:pt idx="19">
                  <c:v>0</c:v>
                </c:pt>
                <c:pt idx="20">
                  <c:v>3</c:v>
                </c:pt>
                <c:pt idx="21">
                  <c:v>48</c:v>
                </c:pt>
                <c:pt idx="22">
                  <c:v>22</c:v>
                </c:pt>
              </c:numCache>
            </c:numRef>
          </c:val>
        </c:ser>
        <c:ser>
          <c:idx val="1"/>
          <c:order val="1"/>
          <c:tx>
            <c:v>2011/2012</c:v>
          </c:tx>
          <c:invertIfNegative val="0"/>
          <c:cat>
            <c:strRef>
              <c:f>Таблицы!$A$147:$A$169</c:f>
              <c:strCache>
                <c:ptCount val="23"/>
                <c:pt idx="0">
                  <c:v>Япония</c:v>
                </c:pt>
                <c:pt idx="1">
                  <c:v>Латвия</c:v>
                </c:pt>
                <c:pt idx="2">
                  <c:v>Босния и Герцеговина</c:v>
                </c:pt>
                <c:pt idx="3">
                  <c:v>Португалия</c:v>
                </c:pt>
                <c:pt idx="4">
                  <c:v>Люксембург</c:v>
                </c:pt>
                <c:pt idx="5">
                  <c:v>Венгрия</c:v>
                </c:pt>
                <c:pt idx="6">
                  <c:v>Чехия</c:v>
                </c:pt>
                <c:pt idx="7">
                  <c:v>Бельгия</c:v>
                </c:pt>
                <c:pt idx="8">
                  <c:v>Испания</c:v>
                </c:pt>
                <c:pt idx="9">
                  <c:v>Китай</c:v>
                </c:pt>
                <c:pt idx="10">
                  <c:v>Норвегия </c:v>
                </c:pt>
                <c:pt idx="11">
                  <c:v>Финляндия</c:v>
                </c:pt>
                <c:pt idx="12">
                  <c:v>Швеция</c:v>
                </c:pt>
                <c:pt idx="13">
                  <c:v>Канада</c:v>
                </c:pt>
                <c:pt idx="14">
                  <c:v>Швейцария</c:v>
                </c:pt>
                <c:pt idx="15">
                  <c:v>Южная Корея</c:v>
                </c:pt>
                <c:pt idx="16">
                  <c:v>Италия</c:v>
                </c:pt>
                <c:pt idx="17">
                  <c:v>Австрия</c:v>
                </c:pt>
                <c:pt idx="18">
                  <c:v>Нидерланды</c:v>
                </c:pt>
                <c:pt idx="19">
                  <c:v>США</c:v>
                </c:pt>
                <c:pt idx="20">
                  <c:v>Великобритания</c:v>
                </c:pt>
                <c:pt idx="21">
                  <c:v>Франция</c:v>
                </c:pt>
                <c:pt idx="22">
                  <c:v>Германия</c:v>
                </c:pt>
              </c:strCache>
            </c:strRef>
          </c:cat>
          <c:val>
            <c:numRef>
              <c:f>Таблицы!$C$147:$C$169</c:f>
              <c:numCache>
                <c:formatCode>General</c:formatCode>
                <c:ptCount val="23"/>
                <c:pt idx="0">
                  <c:v>0</c:v>
                </c:pt>
                <c:pt idx="1">
                  <c:v>0</c:v>
                </c:pt>
                <c:pt idx="2">
                  <c:v>1</c:v>
                </c:pt>
                <c:pt idx="3">
                  <c:v>2</c:v>
                </c:pt>
                <c:pt idx="4">
                  <c:v>3</c:v>
                </c:pt>
                <c:pt idx="5">
                  <c:v>0</c:v>
                </c:pt>
                <c:pt idx="6">
                  <c:v>0</c:v>
                </c:pt>
                <c:pt idx="7">
                  <c:v>0</c:v>
                </c:pt>
                <c:pt idx="8">
                  <c:v>0</c:v>
                </c:pt>
                <c:pt idx="9">
                  <c:v>8</c:v>
                </c:pt>
                <c:pt idx="10">
                  <c:v>0</c:v>
                </c:pt>
                <c:pt idx="11">
                  <c:v>3</c:v>
                </c:pt>
                <c:pt idx="12">
                  <c:v>3</c:v>
                </c:pt>
                <c:pt idx="13">
                  <c:v>8</c:v>
                </c:pt>
                <c:pt idx="14">
                  <c:v>1</c:v>
                </c:pt>
                <c:pt idx="15">
                  <c:v>0</c:v>
                </c:pt>
                <c:pt idx="16">
                  <c:v>5</c:v>
                </c:pt>
                <c:pt idx="17">
                  <c:v>0</c:v>
                </c:pt>
                <c:pt idx="18">
                  <c:v>9</c:v>
                </c:pt>
                <c:pt idx="19">
                  <c:v>9</c:v>
                </c:pt>
                <c:pt idx="20">
                  <c:v>17</c:v>
                </c:pt>
                <c:pt idx="21">
                  <c:v>46</c:v>
                </c:pt>
                <c:pt idx="22">
                  <c:v>37</c:v>
                </c:pt>
              </c:numCache>
            </c:numRef>
          </c:val>
        </c:ser>
        <c:ser>
          <c:idx val="2"/>
          <c:order val="2"/>
          <c:tx>
            <c:v>2012/2013</c:v>
          </c:tx>
          <c:invertIfNegative val="0"/>
          <c:dLbls>
            <c:dLbl>
              <c:idx val="17"/>
              <c:layout>
                <c:manualLayout>
                  <c:x val="4.0983606557377103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accent3">
                        <a:lumMod val="7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Таблицы!$A$147:$A$169</c:f>
              <c:strCache>
                <c:ptCount val="23"/>
                <c:pt idx="0">
                  <c:v>Япония</c:v>
                </c:pt>
                <c:pt idx="1">
                  <c:v>Латвия</c:v>
                </c:pt>
                <c:pt idx="2">
                  <c:v>Босния и Герцеговина</c:v>
                </c:pt>
                <c:pt idx="3">
                  <c:v>Португалия</c:v>
                </c:pt>
                <c:pt idx="4">
                  <c:v>Люксембург</c:v>
                </c:pt>
                <c:pt idx="5">
                  <c:v>Венгрия</c:v>
                </c:pt>
                <c:pt idx="6">
                  <c:v>Чехия</c:v>
                </c:pt>
                <c:pt idx="7">
                  <c:v>Бельгия</c:v>
                </c:pt>
                <c:pt idx="8">
                  <c:v>Испания</c:v>
                </c:pt>
                <c:pt idx="9">
                  <c:v>Китай</c:v>
                </c:pt>
                <c:pt idx="10">
                  <c:v>Норвегия </c:v>
                </c:pt>
                <c:pt idx="11">
                  <c:v>Финляндия</c:v>
                </c:pt>
                <c:pt idx="12">
                  <c:v>Швеция</c:v>
                </c:pt>
                <c:pt idx="13">
                  <c:v>Канада</c:v>
                </c:pt>
                <c:pt idx="14">
                  <c:v>Швейцария</c:v>
                </c:pt>
                <c:pt idx="15">
                  <c:v>Южная Корея</c:v>
                </c:pt>
                <c:pt idx="16">
                  <c:v>Италия</c:v>
                </c:pt>
                <c:pt idx="17">
                  <c:v>Австрия</c:v>
                </c:pt>
                <c:pt idx="18">
                  <c:v>Нидерланды</c:v>
                </c:pt>
                <c:pt idx="19">
                  <c:v>США</c:v>
                </c:pt>
                <c:pt idx="20">
                  <c:v>Великобритания</c:v>
                </c:pt>
                <c:pt idx="21">
                  <c:v>Франция</c:v>
                </c:pt>
                <c:pt idx="22">
                  <c:v>Германия</c:v>
                </c:pt>
              </c:strCache>
            </c:strRef>
          </c:cat>
          <c:val>
            <c:numRef>
              <c:f>Таблицы!$D$147:$D$169</c:f>
              <c:numCache>
                <c:formatCode>General</c:formatCode>
                <c:ptCount val="23"/>
                <c:pt idx="0">
                  <c:v>0</c:v>
                </c:pt>
                <c:pt idx="1">
                  <c:v>0</c:v>
                </c:pt>
                <c:pt idx="2">
                  <c:v>0</c:v>
                </c:pt>
                <c:pt idx="3">
                  <c:v>0</c:v>
                </c:pt>
                <c:pt idx="4">
                  <c:v>0</c:v>
                </c:pt>
                <c:pt idx="5">
                  <c:v>1</c:v>
                </c:pt>
                <c:pt idx="6">
                  <c:v>1</c:v>
                </c:pt>
                <c:pt idx="7">
                  <c:v>2</c:v>
                </c:pt>
                <c:pt idx="8">
                  <c:v>2</c:v>
                </c:pt>
                <c:pt idx="9">
                  <c:v>2</c:v>
                </c:pt>
                <c:pt idx="10">
                  <c:v>2</c:v>
                </c:pt>
                <c:pt idx="11">
                  <c:v>3</c:v>
                </c:pt>
                <c:pt idx="12">
                  <c:v>5</c:v>
                </c:pt>
                <c:pt idx="13">
                  <c:v>5</c:v>
                </c:pt>
                <c:pt idx="14">
                  <c:v>6</c:v>
                </c:pt>
                <c:pt idx="15">
                  <c:v>7</c:v>
                </c:pt>
                <c:pt idx="16">
                  <c:v>11</c:v>
                </c:pt>
                <c:pt idx="17">
                  <c:v>12</c:v>
                </c:pt>
                <c:pt idx="18">
                  <c:v>21</c:v>
                </c:pt>
                <c:pt idx="19">
                  <c:v>21</c:v>
                </c:pt>
                <c:pt idx="20">
                  <c:v>23</c:v>
                </c:pt>
                <c:pt idx="21">
                  <c:v>49</c:v>
                </c:pt>
                <c:pt idx="22">
                  <c:v>58</c:v>
                </c:pt>
              </c:numCache>
            </c:numRef>
          </c:val>
        </c:ser>
        <c:dLbls>
          <c:showLegendKey val="0"/>
          <c:showVal val="0"/>
          <c:showCatName val="0"/>
          <c:showSerName val="0"/>
          <c:showPercent val="0"/>
          <c:showBubbleSize val="0"/>
        </c:dLbls>
        <c:gapWidth val="150"/>
        <c:shape val="box"/>
        <c:axId val="572856192"/>
        <c:axId val="572857728"/>
        <c:axId val="0"/>
      </c:bar3DChart>
      <c:catAx>
        <c:axId val="572856192"/>
        <c:scaling>
          <c:orientation val="minMax"/>
        </c:scaling>
        <c:delete val="0"/>
        <c:axPos val="l"/>
        <c:numFmt formatCode="General" sourceLinked="0"/>
        <c:majorTickMark val="out"/>
        <c:minorTickMark val="none"/>
        <c:tickLblPos val="nextTo"/>
        <c:txPr>
          <a:bodyPr/>
          <a:lstStyle/>
          <a:p>
            <a:pPr>
              <a:defRPr b="1"/>
            </a:pPr>
            <a:endParaRPr lang="ru-RU"/>
          </a:p>
        </c:txPr>
        <c:crossAx val="572857728"/>
        <c:crosses val="autoZero"/>
        <c:auto val="1"/>
        <c:lblAlgn val="ctr"/>
        <c:lblOffset val="100"/>
        <c:noMultiLvlLbl val="0"/>
      </c:catAx>
      <c:valAx>
        <c:axId val="572857728"/>
        <c:scaling>
          <c:orientation val="minMax"/>
        </c:scaling>
        <c:delete val="0"/>
        <c:axPos val="b"/>
        <c:majorGridlines/>
        <c:title>
          <c:tx>
            <c:rich>
              <a:bodyPr/>
              <a:lstStyle/>
              <a:p>
                <a:pPr>
                  <a:defRPr/>
                </a:pPr>
                <a:r>
                  <a:rPr lang="ru-RU"/>
                  <a:t>Число студентов</a:t>
                </a:r>
              </a:p>
            </c:rich>
          </c:tx>
          <c:overlay val="0"/>
        </c:title>
        <c:numFmt formatCode="General" sourceLinked="1"/>
        <c:majorTickMark val="out"/>
        <c:minorTickMark val="none"/>
        <c:tickLblPos val="nextTo"/>
        <c:crossAx val="572856192"/>
        <c:crosses val="autoZero"/>
        <c:crossBetween val="between"/>
      </c:valAx>
      <c:spPr>
        <a:ln>
          <a:noFill/>
        </a:ln>
      </c:spPr>
    </c:plotArea>
    <c:legend>
      <c:legendPos val="r"/>
      <c:layout>
        <c:manualLayout>
          <c:xMode val="edge"/>
          <c:yMode val="edge"/>
          <c:x val="0.71425349665817206"/>
          <c:y val="0.38957618669759414"/>
          <c:w val="0.23664867734229839"/>
          <c:h val="0.14017762314594387"/>
        </c:manualLayout>
      </c:layout>
      <c:overlay val="0"/>
      <c:txPr>
        <a:bodyPr/>
        <a:lstStyle/>
        <a:p>
          <a:pPr>
            <a:defRPr sz="1200" b="1"/>
          </a:pPr>
          <a:endParaRPr lang="ru-RU"/>
        </a:p>
      </c:txPr>
    </c:legend>
    <c:plotVisOnly val="1"/>
    <c:dispBlanksAs val="gap"/>
    <c:showDLblsOverMax val="0"/>
  </c:chart>
  <c:spPr>
    <a:ln>
      <a:noFill/>
    </a:ln>
  </c:sp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v>2010-2011</c:v>
          </c:tx>
          <c:invertIfNegative val="0"/>
          <c:cat>
            <c:strRef>
              <c:f>Лист2!$A$5:$A$14</c:f>
              <c:strCache>
                <c:ptCount val="10"/>
                <c:pt idx="0">
                  <c:v>психология</c:v>
                </c:pt>
                <c:pt idx="1">
                  <c:v>бизнес-информатика</c:v>
                </c:pt>
                <c:pt idx="2">
                  <c:v>юриспруденция</c:v>
                </c:pt>
                <c:pt idx="3">
                  <c:v>ГиМУ</c:v>
                </c:pt>
                <c:pt idx="4">
                  <c:v>филология</c:v>
                </c:pt>
                <c:pt idx="5">
                  <c:v>социология</c:v>
                </c:pt>
                <c:pt idx="6">
                  <c:v>политология</c:v>
                </c:pt>
                <c:pt idx="7">
                  <c:v>международные отношения</c:v>
                </c:pt>
                <c:pt idx="8">
                  <c:v>экономика</c:v>
                </c:pt>
                <c:pt idx="9">
                  <c:v>менеджмент</c:v>
                </c:pt>
              </c:strCache>
            </c:strRef>
          </c:cat>
          <c:val>
            <c:numRef>
              <c:f>Лист2!$B$5:$B$14</c:f>
              <c:numCache>
                <c:formatCode>General</c:formatCode>
                <c:ptCount val="10"/>
                <c:pt idx="0">
                  <c:v>0</c:v>
                </c:pt>
                <c:pt idx="1">
                  <c:v>0</c:v>
                </c:pt>
                <c:pt idx="2">
                  <c:v>1</c:v>
                </c:pt>
                <c:pt idx="3">
                  <c:v>0</c:v>
                </c:pt>
                <c:pt idx="4">
                  <c:v>0</c:v>
                </c:pt>
                <c:pt idx="5">
                  <c:v>1</c:v>
                </c:pt>
                <c:pt idx="6">
                  <c:v>1</c:v>
                </c:pt>
                <c:pt idx="7">
                  <c:v>10</c:v>
                </c:pt>
                <c:pt idx="8">
                  <c:v>2</c:v>
                </c:pt>
                <c:pt idx="9">
                  <c:v>5</c:v>
                </c:pt>
              </c:numCache>
            </c:numRef>
          </c:val>
        </c:ser>
        <c:ser>
          <c:idx val="1"/>
          <c:order val="1"/>
          <c:tx>
            <c:v>2011-2012</c:v>
          </c:tx>
          <c:invertIfNegative val="0"/>
          <c:cat>
            <c:strRef>
              <c:f>Лист2!$A$5:$A$14</c:f>
              <c:strCache>
                <c:ptCount val="10"/>
                <c:pt idx="0">
                  <c:v>психология</c:v>
                </c:pt>
                <c:pt idx="1">
                  <c:v>бизнес-информатика</c:v>
                </c:pt>
                <c:pt idx="2">
                  <c:v>юриспруденция</c:v>
                </c:pt>
                <c:pt idx="3">
                  <c:v>ГиМУ</c:v>
                </c:pt>
                <c:pt idx="4">
                  <c:v>филология</c:v>
                </c:pt>
                <c:pt idx="5">
                  <c:v>социология</c:v>
                </c:pt>
                <c:pt idx="6">
                  <c:v>политология</c:v>
                </c:pt>
                <c:pt idx="7">
                  <c:v>международные отношения</c:v>
                </c:pt>
                <c:pt idx="8">
                  <c:v>экономика</c:v>
                </c:pt>
                <c:pt idx="9">
                  <c:v>менеджмент</c:v>
                </c:pt>
              </c:strCache>
            </c:strRef>
          </c:cat>
          <c:val>
            <c:numRef>
              <c:f>Лист2!$C$5:$C$14</c:f>
              <c:numCache>
                <c:formatCode>General</c:formatCode>
                <c:ptCount val="10"/>
                <c:pt idx="0">
                  <c:v>1</c:v>
                </c:pt>
                <c:pt idx="1">
                  <c:v>1</c:v>
                </c:pt>
                <c:pt idx="2">
                  <c:v>3</c:v>
                </c:pt>
                <c:pt idx="3">
                  <c:v>0</c:v>
                </c:pt>
                <c:pt idx="4">
                  <c:v>0</c:v>
                </c:pt>
                <c:pt idx="5">
                  <c:v>7</c:v>
                </c:pt>
                <c:pt idx="6">
                  <c:v>5</c:v>
                </c:pt>
                <c:pt idx="7">
                  <c:v>18</c:v>
                </c:pt>
                <c:pt idx="8">
                  <c:v>5</c:v>
                </c:pt>
                <c:pt idx="9">
                  <c:v>4</c:v>
                </c:pt>
              </c:numCache>
            </c:numRef>
          </c:val>
        </c:ser>
        <c:ser>
          <c:idx val="2"/>
          <c:order val="2"/>
          <c:tx>
            <c:v>2012-2013</c:v>
          </c:tx>
          <c:invertIfNegative val="0"/>
          <c:dLbls>
            <c:spPr>
              <a:noFill/>
              <a:ln>
                <a:noFill/>
              </a:ln>
              <a:effectLst/>
            </c:spPr>
            <c:txPr>
              <a:bodyPr/>
              <a:lstStyle/>
              <a:p>
                <a:pPr>
                  <a:defRPr b="1">
                    <a:solidFill>
                      <a:schemeClr val="accent3">
                        <a:lumMod val="7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Лист2!$A$5:$A$14</c:f>
              <c:strCache>
                <c:ptCount val="10"/>
                <c:pt idx="0">
                  <c:v>психология</c:v>
                </c:pt>
                <c:pt idx="1">
                  <c:v>бизнес-информатика</c:v>
                </c:pt>
                <c:pt idx="2">
                  <c:v>юриспруденция</c:v>
                </c:pt>
                <c:pt idx="3">
                  <c:v>ГиМУ</c:v>
                </c:pt>
                <c:pt idx="4">
                  <c:v>филология</c:v>
                </c:pt>
                <c:pt idx="5">
                  <c:v>социология</c:v>
                </c:pt>
                <c:pt idx="6">
                  <c:v>политология</c:v>
                </c:pt>
                <c:pt idx="7">
                  <c:v>международные отношения</c:v>
                </c:pt>
                <c:pt idx="8">
                  <c:v>экономика</c:v>
                </c:pt>
                <c:pt idx="9">
                  <c:v>менеджмент</c:v>
                </c:pt>
              </c:strCache>
            </c:strRef>
          </c:cat>
          <c:val>
            <c:numRef>
              <c:f>Лист2!$D$5:$D$14</c:f>
              <c:numCache>
                <c:formatCode>General</c:formatCode>
                <c:ptCount val="10"/>
                <c:pt idx="0">
                  <c:v>0</c:v>
                </c:pt>
                <c:pt idx="1">
                  <c:v>0</c:v>
                </c:pt>
                <c:pt idx="2">
                  <c:v>3</c:v>
                </c:pt>
                <c:pt idx="3">
                  <c:v>3</c:v>
                </c:pt>
                <c:pt idx="4">
                  <c:v>4</c:v>
                </c:pt>
                <c:pt idx="5">
                  <c:v>9</c:v>
                </c:pt>
                <c:pt idx="6">
                  <c:v>11</c:v>
                </c:pt>
                <c:pt idx="7">
                  <c:v>14</c:v>
                </c:pt>
                <c:pt idx="8">
                  <c:v>23</c:v>
                </c:pt>
                <c:pt idx="9">
                  <c:v>34</c:v>
                </c:pt>
              </c:numCache>
            </c:numRef>
          </c:val>
        </c:ser>
        <c:dLbls>
          <c:showLegendKey val="0"/>
          <c:showVal val="0"/>
          <c:showCatName val="0"/>
          <c:showSerName val="0"/>
          <c:showPercent val="0"/>
          <c:showBubbleSize val="0"/>
        </c:dLbls>
        <c:gapWidth val="150"/>
        <c:shape val="box"/>
        <c:axId val="574273408"/>
        <c:axId val="574274944"/>
        <c:axId val="0"/>
      </c:bar3DChart>
      <c:catAx>
        <c:axId val="574273408"/>
        <c:scaling>
          <c:orientation val="minMax"/>
        </c:scaling>
        <c:delete val="0"/>
        <c:axPos val="l"/>
        <c:numFmt formatCode="General" sourceLinked="0"/>
        <c:majorTickMark val="none"/>
        <c:minorTickMark val="none"/>
        <c:tickLblPos val="nextTo"/>
        <c:txPr>
          <a:bodyPr/>
          <a:lstStyle/>
          <a:p>
            <a:pPr>
              <a:defRPr b="1"/>
            </a:pPr>
            <a:endParaRPr lang="ru-RU"/>
          </a:p>
        </c:txPr>
        <c:crossAx val="574274944"/>
        <c:crosses val="autoZero"/>
        <c:auto val="1"/>
        <c:lblAlgn val="ctr"/>
        <c:lblOffset val="100"/>
        <c:noMultiLvlLbl val="0"/>
      </c:catAx>
      <c:valAx>
        <c:axId val="574274944"/>
        <c:scaling>
          <c:orientation val="minMax"/>
        </c:scaling>
        <c:delete val="0"/>
        <c:axPos val="b"/>
        <c:majorGridlines/>
        <c:title>
          <c:tx>
            <c:rich>
              <a:bodyPr/>
              <a:lstStyle/>
              <a:p>
                <a:pPr>
                  <a:defRPr/>
                </a:pPr>
                <a:r>
                  <a:rPr lang="ru-RU"/>
                  <a:t>Число</a:t>
                </a:r>
                <a:r>
                  <a:rPr lang="ru-RU" baseline="0"/>
                  <a:t> студентов</a:t>
                </a:r>
                <a:endParaRPr lang="ru-RU"/>
              </a:p>
            </c:rich>
          </c:tx>
          <c:overlay val="0"/>
        </c:title>
        <c:numFmt formatCode="General" sourceLinked="1"/>
        <c:majorTickMark val="none"/>
        <c:minorTickMark val="none"/>
        <c:tickLblPos val="nextTo"/>
        <c:crossAx val="574273408"/>
        <c:crosses val="autoZero"/>
        <c:crossBetween val="between"/>
      </c:valAx>
    </c:plotArea>
    <c:legend>
      <c:legendPos val="r"/>
      <c:overlay val="0"/>
      <c:txPr>
        <a:bodyPr/>
        <a:lstStyle/>
        <a:p>
          <a:pPr>
            <a:defRPr b="1"/>
          </a:pPr>
          <a:endParaRPr lang="ru-RU"/>
        </a:p>
      </c:txPr>
    </c:legend>
    <c:plotVisOnly val="1"/>
    <c:dispBlanksAs val="gap"/>
    <c:showDLblsOverMax val="0"/>
  </c:chart>
  <c:spPr>
    <a:ln>
      <a:noFill/>
    </a:ln>
  </c:sp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8629497796793748"/>
          <c:y val="0.34315465112315502"/>
          <c:w val="0.69843997810775849"/>
          <c:h val="0.59412373453318779"/>
        </c:manualLayout>
      </c:layout>
      <c:pie3DChart>
        <c:varyColors val="1"/>
        <c:ser>
          <c:idx val="0"/>
          <c:order val="0"/>
          <c:explosion val="25"/>
          <c:dLbls>
            <c:dLbl>
              <c:idx val="0"/>
              <c:layout>
                <c:manualLayout>
                  <c:x val="0.133837573956223"/>
                  <c:y val="-0.14314401608889801"/>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3.3715285589301397E-2"/>
                  <c:y val="6.9241344831896242E-5"/>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5.7102154468134401E-2"/>
                  <c:y val="3.3979752530933605E-2"/>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0.20318819736574001"/>
                  <c:y val="-0.138959539148516"/>
                </c:manualLayout>
              </c:layout>
              <c:showLegendKey val="0"/>
              <c:showVal val="0"/>
              <c:showCatName val="1"/>
              <c:showSerName val="0"/>
              <c:showPercent val="1"/>
              <c:showBubbleSize val="0"/>
              <c:extLst>
                <c:ext xmlns:c15="http://schemas.microsoft.com/office/drawing/2012/chart" uri="{CE6537A1-D6FC-4f65-9D91-7224C49458BB}"/>
              </c:extLst>
            </c:dLbl>
            <c:dLbl>
              <c:idx val="8"/>
              <c:tx>
                <c:rich>
                  <a:bodyPr/>
                  <a:lstStyle/>
                  <a:p>
                    <a:r>
                      <a:rPr lang="ru-RU" sz="900"/>
                      <a:t>Культурология
1%</a:t>
                    </a:r>
                    <a:endParaRPr lang="ru-RU"/>
                  </a:p>
                </c:rich>
              </c:tx>
              <c:showLegendKey val="0"/>
              <c:showVal val="0"/>
              <c:showCatName val="1"/>
              <c:showSerName val="0"/>
              <c:showPercent val="1"/>
              <c:showBubbleSize val="0"/>
              <c:extLst>
                <c:ext xmlns:c15="http://schemas.microsoft.com/office/drawing/2012/chart" uri="{CE6537A1-D6FC-4f65-9D91-7224C49458BB}"/>
              </c:extLst>
            </c:dLbl>
            <c:dLbl>
              <c:idx val="9"/>
              <c:tx>
                <c:rich>
                  <a:bodyPr/>
                  <a:lstStyle/>
                  <a:p>
                    <a:r>
                      <a:rPr lang="ru-RU" sz="900"/>
                      <a:t>Журналистика
3%</a:t>
                    </a:r>
                    <a:endParaRPr lang="ru-RU"/>
                  </a:p>
                </c:rich>
              </c:tx>
              <c:showLegendKey val="0"/>
              <c:showVal val="0"/>
              <c:showCatName val="1"/>
              <c:showSerName val="0"/>
              <c:showPercent val="1"/>
              <c:showBubbleSize val="0"/>
              <c:extLst>
                <c:ext xmlns:c15="http://schemas.microsoft.com/office/drawing/2012/chart" uri="{CE6537A1-D6FC-4f65-9D91-7224C49458BB}"/>
              </c:extLst>
            </c:dLbl>
            <c:dLbl>
              <c:idx val="11"/>
              <c:tx>
                <c:rich>
                  <a:bodyPr/>
                  <a:lstStyle/>
                  <a:p>
                    <a:r>
                      <a:rPr lang="ru-RU" sz="900"/>
                      <a:t>Программная инженерия
5%</a:t>
                    </a:r>
                    <a:endParaRPr lang="ru-RU"/>
                  </a:p>
                </c:rich>
              </c:tx>
              <c:showLegendKey val="0"/>
              <c:showVal val="0"/>
              <c:showCatName val="1"/>
              <c:showSerName val="0"/>
              <c:showPercent val="1"/>
              <c:showBubbleSize val="0"/>
              <c:extLst>
                <c:ext xmlns:c15="http://schemas.microsoft.com/office/drawing/2012/chart" uri="{CE6537A1-D6FC-4f65-9D91-7224C49458BB}"/>
              </c:extLst>
            </c:dLbl>
            <c:dLbl>
              <c:idx val="12"/>
              <c:layout>
                <c:manualLayout>
                  <c:x val="-2.0578677665291801E-2"/>
                  <c:y val="-0.16854893138357699"/>
                </c:manualLayout>
              </c:layout>
              <c:tx>
                <c:rich>
                  <a:bodyPr/>
                  <a:lstStyle/>
                  <a:p>
                    <a:r>
                      <a:rPr lang="ru-RU" sz="900"/>
                      <a:t>Прикладная математика и информатика
1%</a:t>
                    </a:r>
                    <a:endParaRPr lang="ru-RU"/>
                  </a:p>
                </c:rich>
              </c:tx>
              <c:showLegendKey val="0"/>
              <c:showVal val="0"/>
              <c:showCatName val="1"/>
              <c:showSerName val="0"/>
              <c:showPercent val="1"/>
              <c:showBubbleSize val="0"/>
              <c:extLst>
                <c:ext xmlns:c15="http://schemas.microsoft.com/office/drawing/2012/chart" uri="{CE6537A1-D6FC-4f65-9D91-7224C49458BB}"/>
              </c:extLst>
            </c:dLbl>
            <c:dLbl>
              <c:idx val="13"/>
              <c:tx>
                <c:rich>
                  <a:bodyPr/>
                  <a:lstStyle/>
                  <a:p>
                    <a:r>
                      <a:rPr lang="ru-RU" sz="900"/>
                      <a:t>Градостроительство
1%</a:t>
                    </a:r>
                    <a:endParaRPr lang="ru-RU"/>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00" b="1"/>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Таблицы!$A$52:$A$65</c:f>
              <c:strCache>
                <c:ptCount val="14"/>
                <c:pt idx="0">
                  <c:v>Государственное и муниципальное управление</c:v>
                </c:pt>
                <c:pt idx="1">
                  <c:v>Международные отношения</c:v>
                </c:pt>
                <c:pt idx="2">
                  <c:v>Менеджмент</c:v>
                </c:pt>
                <c:pt idx="3">
                  <c:v>Политология</c:v>
                </c:pt>
                <c:pt idx="4">
                  <c:v>Социология</c:v>
                </c:pt>
                <c:pt idx="5">
                  <c:v>Философия</c:v>
                </c:pt>
                <c:pt idx="6">
                  <c:v>Экономика</c:v>
                </c:pt>
                <c:pt idx="7">
                  <c:v>Юриспруденция</c:v>
                </c:pt>
                <c:pt idx="8">
                  <c:v>культурология</c:v>
                </c:pt>
                <c:pt idx="9">
                  <c:v>журналистика</c:v>
                </c:pt>
                <c:pt idx="10">
                  <c:v>Бизнес-информатика</c:v>
                </c:pt>
                <c:pt idx="11">
                  <c:v>программная инженерия</c:v>
                </c:pt>
                <c:pt idx="12">
                  <c:v>прикладная математика и информатика</c:v>
                </c:pt>
                <c:pt idx="13">
                  <c:v>Градостроительство</c:v>
                </c:pt>
              </c:strCache>
            </c:strRef>
          </c:cat>
          <c:val>
            <c:numRef>
              <c:f>Таблицы!$B$52:$B$65</c:f>
              <c:numCache>
                <c:formatCode>General</c:formatCode>
                <c:ptCount val="14"/>
                <c:pt idx="0">
                  <c:v>4</c:v>
                </c:pt>
                <c:pt idx="1">
                  <c:v>2</c:v>
                </c:pt>
                <c:pt idx="2">
                  <c:v>40</c:v>
                </c:pt>
                <c:pt idx="3">
                  <c:v>3</c:v>
                </c:pt>
                <c:pt idx="4">
                  <c:v>8</c:v>
                </c:pt>
                <c:pt idx="5">
                  <c:v>2</c:v>
                </c:pt>
                <c:pt idx="6">
                  <c:v>42</c:v>
                </c:pt>
                <c:pt idx="7">
                  <c:v>3</c:v>
                </c:pt>
                <c:pt idx="8">
                  <c:v>1</c:v>
                </c:pt>
                <c:pt idx="9">
                  <c:v>4</c:v>
                </c:pt>
                <c:pt idx="10">
                  <c:v>8</c:v>
                </c:pt>
                <c:pt idx="11">
                  <c:v>6</c:v>
                </c:pt>
                <c:pt idx="12">
                  <c:v>1</c:v>
                </c:pt>
                <c:pt idx="13">
                  <c:v>1</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7963731806251499"/>
          <c:y val="0"/>
          <c:w val="0.46514634895651374"/>
          <c:h val="0.90992365749074178"/>
        </c:manualLayout>
      </c:layout>
      <c:bar3DChart>
        <c:barDir val="bar"/>
        <c:grouping val="clustered"/>
        <c:varyColors val="0"/>
        <c:ser>
          <c:idx val="0"/>
          <c:order val="0"/>
          <c:tx>
            <c:v>2010/2011</c:v>
          </c:tx>
          <c:invertIfNegative val="0"/>
          <c:cat>
            <c:strRef>
              <c:f>Таблицы!$A$97:$A$110</c:f>
              <c:strCache>
                <c:ptCount val="14"/>
                <c:pt idx="0">
                  <c:v>Градостроительство</c:v>
                </c:pt>
                <c:pt idx="1">
                  <c:v>Прикладная математика</c:v>
                </c:pt>
                <c:pt idx="2">
                  <c:v>Культурология</c:v>
                </c:pt>
                <c:pt idx="3">
                  <c:v>Философия</c:v>
                </c:pt>
                <c:pt idx="4">
                  <c:v>Политология</c:v>
                </c:pt>
                <c:pt idx="5">
                  <c:v>Международные отношения</c:v>
                </c:pt>
                <c:pt idx="6">
                  <c:v>Юриспруденция</c:v>
                </c:pt>
                <c:pt idx="7">
                  <c:v>Государственное и муниципальное управление</c:v>
                </c:pt>
                <c:pt idx="8">
                  <c:v>журналистика</c:v>
                </c:pt>
                <c:pt idx="9">
                  <c:v>программная инженерия</c:v>
                </c:pt>
                <c:pt idx="10">
                  <c:v>Социология</c:v>
                </c:pt>
                <c:pt idx="11">
                  <c:v>Бизнес-информатика</c:v>
                </c:pt>
                <c:pt idx="12">
                  <c:v>Менеджмент</c:v>
                </c:pt>
                <c:pt idx="13">
                  <c:v>Экономика</c:v>
                </c:pt>
              </c:strCache>
            </c:strRef>
          </c:cat>
          <c:val>
            <c:numRef>
              <c:f>Таблицы!$B$97:$B$110</c:f>
              <c:numCache>
                <c:formatCode>General</c:formatCode>
                <c:ptCount val="14"/>
                <c:pt idx="0">
                  <c:v>0</c:v>
                </c:pt>
                <c:pt idx="1">
                  <c:v>1</c:v>
                </c:pt>
                <c:pt idx="2">
                  <c:v>0</c:v>
                </c:pt>
                <c:pt idx="3">
                  <c:v>2</c:v>
                </c:pt>
                <c:pt idx="4">
                  <c:v>11</c:v>
                </c:pt>
                <c:pt idx="5">
                  <c:v>0</c:v>
                </c:pt>
                <c:pt idx="6">
                  <c:v>0</c:v>
                </c:pt>
                <c:pt idx="7">
                  <c:v>1</c:v>
                </c:pt>
                <c:pt idx="8">
                  <c:v>0</c:v>
                </c:pt>
                <c:pt idx="9">
                  <c:v>0</c:v>
                </c:pt>
                <c:pt idx="10">
                  <c:v>0</c:v>
                </c:pt>
                <c:pt idx="11">
                  <c:v>1</c:v>
                </c:pt>
                <c:pt idx="12">
                  <c:v>25</c:v>
                </c:pt>
                <c:pt idx="13">
                  <c:v>21</c:v>
                </c:pt>
              </c:numCache>
            </c:numRef>
          </c:val>
        </c:ser>
        <c:ser>
          <c:idx val="1"/>
          <c:order val="1"/>
          <c:tx>
            <c:v>2011/2012</c:v>
          </c:tx>
          <c:invertIfNegative val="0"/>
          <c:cat>
            <c:strRef>
              <c:f>Таблицы!$A$97:$A$110</c:f>
              <c:strCache>
                <c:ptCount val="14"/>
                <c:pt idx="0">
                  <c:v>Градостроительство</c:v>
                </c:pt>
                <c:pt idx="1">
                  <c:v>Прикладная математика</c:v>
                </c:pt>
                <c:pt idx="2">
                  <c:v>Культурология</c:v>
                </c:pt>
                <c:pt idx="3">
                  <c:v>Философия</c:v>
                </c:pt>
                <c:pt idx="4">
                  <c:v>Политология</c:v>
                </c:pt>
                <c:pt idx="5">
                  <c:v>Международные отношения</c:v>
                </c:pt>
                <c:pt idx="6">
                  <c:v>Юриспруденция</c:v>
                </c:pt>
                <c:pt idx="7">
                  <c:v>Государственное и муниципальное управление</c:v>
                </c:pt>
                <c:pt idx="8">
                  <c:v>журналистика</c:v>
                </c:pt>
                <c:pt idx="9">
                  <c:v>программная инженерия</c:v>
                </c:pt>
                <c:pt idx="10">
                  <c:v>Социология</c:v>
                </c:pt>
                <c:pt idx="11">
                  <c:v>Бизнес-информатика</c:v>
                </c:pt>
                <c:pt idx="12">
                  <c:v>Менеджмент</c:v>
                </c:pt>
                <c:pt idx="13">
                  <c:v>Экономика</c:v>
                </c:pt>
              </c:strCache>
            </c:strRef>
          </c:cat>
          <c:val>
            <c:numRef>
              <c:f>Таблицы!$C$97:$C$110</c:f>
              <c:numCache>
                <c:formatCode>General</c:formatCode>
                <c:ptCount val="14"/>
                <c:pt idx="0">
                  <c:v>0</c:v>
                </c:pt>
                <c:pt idx="1">
                  <c:v>0</c:v>
                </c:pt>
                <c:pt idx="2">
                  <c:v>0</c:v>
                </c:pt>
                <c:pt idx="3">
                  <c:v>4</c:v>
                </c:pt>
                <c:pt idx="4">
                  <c:v>5</c:v>
                </c:pt>
                <c:pt idx="5">
                  <c:v>4</c:v>
                </c:pt>
                <c:pt idx="6">
                  <c:v>6</c:v>
                </c:pt>
                <c:pt idx="7">
                  <c:v>5</c:v>
                </c:pt>
                <c:pt idx="8">
                  <c:v>2</c:v>
                </c:pt>
                <c:pt idx="9">
                  <c:v>0</c:v>
                </c:pt>
                <c:pt idx="10">
                  <c:v>5</c:v>
                </c:pt>
                <c:pt idx="11">
                  <c:v>3</c:v>
                </c:pt>
                <c:pt idx="12">
                  <c:v>36</c:v>
                </c:pt>
                <c:pt idx="13">
                  <c:v>29</c:v>
                </c:pt>
              </c:numCache>
            </c:numRef>
          </c:val>
        </c:ser>
        <c:ser>
          <c:idx val="2"/>
          <c:order val="2"/>
          <c:tx>
            <c:v>2012/2013</c:v>
          </c:tx>
          <c:invertIfNegative val="0"/>
          <c:dLbls>
            <c:spPr>
              <a:noFill/>
              <a:ln>
                <a:noFill/>
              </a:ln>
              <a:effectLst/>
            </c:spPr>
            <c:txPr>
              <a:bodyPr/>
              <a:lstStyle/>
              <a:p>
                <a:pPr>
                  <a:defRPr b="1">
                    <a:solidFill>
                      <a:schemeClr val="accent3">
                        <a:lumMod val="7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Таблицы!$A$97:$A$110</c:f>
              <c:strCache>
                <c:ptCount val="14"/>
                <c:pt idx="0">
                  <c:v>Градостроительство</c:v>
                </c:pt>
                <c:pt idx="1">
                  <c:v>Прикладная математика</c:v>
                </c:pt>
                <c:pt idx="2">
                  <c:v>Культурология</c:v>
                </c:pt>
                <c:pt idx="3">
                  <c:v>Философия</c:v>
                </c:pt>
                <c:pt idx="4">
                  <c:v>Политология</c:v>
                </c:pt>
                <c:pt idx="5">
                  <c:v>Международные отношения</c:v>
                </c:pt>
                <c:pt idx="6">
                  <c:v>Юриспруденция</c:v>
                </c:pt>
                <c:pt idx="7">
                  <c:v>Государственное и муниципальное управление</c:v>
                </c:pt>
                <c:pt idx="8">
                  <c:v>журналистика</c:v>
                </c:pt>
                <c:pt idx="9">
                  <c:v>программная инженерия</c:v>
                </c:pt>
                <c:pt idx="10">
                  <c:v>Социология</c:v>
                </c:pt>
                <c:pt idx="11">
                  <c:v>Бизнес-информатика</c:v>
                </c:pt>
                <c:pt idx="12">
                  <c:v>Менеджмент</c:v>
                </c:pt>
                <c:pt idx="13">
                  <c:v>Экономика</c:v>
                </c:pt>
              </c:strCache>
            </c:strRef>
          </c:cat>
          <c:val>
            <c:numRef>
              <c:f>Таблицы!$D$97:$D$110</c:f>
              <c:numCache>
                <c:formatCode>General</c:formatCode>
                <c:ptCount val="14"/>
                <c:pt idx="0">
                  <c:v>1</c:v>
                </c:pt>
                <c:pt idx="1">
                  <c:v>1</c:v>
                </c:pt>
                <c:pt idx="2">
                  <c:v>1</c:v>
                </c:pt>
                <c:pt idx="3">
                  <c:v>2</c:v>
                </c:pt>
                <c:pt idx="4">
                  <c:v>3</c:v>
                </c:pt>
                <c:pt idx="5">
                  <c:v>2</c:v>
                </c:pt>
                <c:pt idx="6">
                  <c:v>3</c:v>
                </c:pt>
                <c:pt idx="7">
                  <c:v>4</c:v>
                </c:pt>
                <c:pt idx="8">
                  <c:v>4</c:v>
                </c:pt>
                <c:pt idx="9">
                  <c:v>6</c:v>
                </c:pt>
                <c:pt idx="10">
                  <c:v>8</c:v>
                </c:pt>
                <c:pt idx="11">
                  <c:v>8</c:v>
                </c:pt>
                <c:pt idx="12">
                  <c:v>40</c:v>
                </c:pt>
                <c:pt idx="13">
                  <c:v>42</c:v>
                </c:pt>
              </c:numCache>
            </c:numRef>
          </c:val>
        </c:ser>
        <c:dLbls>
          <c:showLegendKey val="0"/>
          <c:showVal val="0"/>
          <c:showCatName val="0"/>
          <c:showSerName val="0"/>
          <c:showPercent val="0"/>
          <c:showBubbleSize val="0"/>
        </c:dLbls>
        <c:gapWidth val="150"/>
        <c:shape val="box"/>
        <c:axId val="574488576"/>
        <c:axId val="574490112"/>
        <c:axId val="0"/>
      </c:bar3DChart>
      <c:catAx>
        <c:axId val="574488576"/>
        <c:scaling>
          <c:orientation val="minMax"/>
        </c:scaling>
        <c:delete val="0"/>
        <c:axPos val="l"/>
        <c:numFmt formatCode="General" sourceLinked="0"/>
        <c:majorTickMark val="none"/>
        <c:minorTickMark val="none"/>
        <c:tickLblPos val="nextTo"/>
        <c:txPr>
          <a:bodyPr/>
          <a:lstStyle/>
          <a:p>
            <a:pPr>
              <a:defRPr b="1"/>
            </a:pPr>
            <a:endParaRPr lang="ru-RU"/>
          </a:p>
        </c:txPr>
        <c:crossAx val="574490112"/>
        <c:crosses val="autoZero"/>
        <c:auto val="1"/>
        <c:lblAlgn val="ctr"/>
        <c:lblOffset val="100"/>
        <c:noMultiLvlLbl val="0"/>
      </c:catAx>
      <c:valAx>
        <c:axId val="574490112"/>
        <c:scaling>
          <c:orientation val="minMax"/>
        </c:scaling>
        <c:delete val="0"/>
        <c:axPos val="b"/>
        <c:majorGridlines/>
        <c:title>
          <c:tx>
            <c:rich>
              <a:bodyPr/>
              <a:lstStyle/>
              <a:p>
                <a:pPr>
                  <a:defRPr/>
                </a:pPr>
                <a:r>
                  <a:rPr lang="ru-RU"/>
                  <a:t>Число студентов</a:t>
                </a:r>
              </a:p>
            </c:rich>
          </c:tx>
          <c:layout>
            <c:manualLayout>
              <c:xMode val="edge"/>
              <c:yMode val="edge"/>
              <c:x val="0.61981586157529867"/>
              <c:y val="0.89644824589361549"/>
            </c:manualLayout>
          </c:layout>
          <c:overlay val="0"/>
        </c:title>
        <c:numFmt formatCode="General" sourceLinked="1"/>
        <c:majorTickMark val="none"/>
        <c:minorTickMark val="none"/>
        <c:tickLblPos val="nextTo"/>
        <c:crossAx val="574488576"/>
        <c:crosses val="autoZero"/>
        <c:crossBetween val="between"/>
      </c:valAx>
    </c:plotArea>
    <c:legend>
      <c:legendPos val="r"/>
      <c:layout>
        <c:manualLayout>
          <c:xMode val="edge"/>
          <c:yMode val="edge"/>
          <c:x val="0.83746649272391149"/>
          <c:y val="0.42724981411221902"/>
          <c:w val="0.15069918774946187"/>
          <c:h val="0.23002014578686242"/>
        </c:manualLayout>
      </c:layout>
      <c:overlay val="0"/>
      <c:txPr>
        <a:bodyPr/>
        <a:lstStyle/>
        <a:p>
          <a:pPr>
            <a:defRPr b="1"/>
          </a:pPr>
          <a:endParaRPr lang="ru-RU"/>
        </a:p>
      </c:txPr>
    </c:legend>
    <c:plotVisOnly val="1"/>
    <c:dispBlanksAs val="gap"/>
    <c:showDLblsOverMax val="0"/>
  </c:chart>
  <c:spPr>
    <a:ln>
      <a:noFill/>
    </a:ln>
  </c:sp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39779157773731638"/>
          <c:y val="1.0748944151765199E-2"/>
          <c:w val="0.42360307564923538"/>
          <c:h val="0.88726003832114198"/>
        </c:manualLayout>
      </c:layout>
      <c:bar3DChart>
        <c:barDir val="bar"/>
        <c:grouping val="clustered"/>
        <c:varyColors val="0"/>
        <c:ser>
          <c:idx val="0"/>
          <c:order val="0"/>
          <c:tx>
            <c:v>2010/2011</c:v>
          </c:tx>
          <c:invertIfNegative val="0"/>
          <c:cat>
            <c:strRef>
              <c:f>Таблицы!$A$212:$A$218</c:f>
              <c:strCache>
                <c:ptCount val="7"/>
                <c:pt idx="0">
                  <c:v>политология</c:v>
                </c:pt>
                <c:pt idx="1">
                  <c:v>юриспруденция</c:v>
                </c:pt>
                <c:pt idx="2">
                  <c:v>ГиМУ</c:v>
                </c:pt>
                <c:pt idx="3">
                  <c:v> програмная инженерия</c:v>
                </c:pt>
                <c:pt idx="4">
                  <c:v>бизнес-информатика</c:v>
                </c:pt>
                <c:pt idx="5">
                  <c:v>экономика и финансы</c:v>
                </c:pt>
                <c:pt idx="6">
                  <c:v>менеджмент</c:v>
                </c:pt>
              </c:strCache>
            </c:strRef>
          </c:cat>
          <c:val>
            <c:numRef>
              <c:f>Таблицы!$B$212:$B$218</c:f>
              <c:numCache>
                <c:formatCode>General</c:formatCode>
                <c:ptCount val="7"/>
                <c:pt idx="0">
                  <c:v>7</c:v>
                </c:pt>
                <c:pt idx="1">
                  <c:v>2</c:v>
                </c:pt>
                <c:pt idx="2">
                  <c:v>0</c:v>
                </c:pt>
                <c:pt idx="3">
                  <c:v>0</c:v>
                </c:pt>
                <c:pt idx="4">
                  <c:v>0</c:v>
                </c:pt>
                <c:pt idx="5">
                  <c:v>21</c:v>
                </c:pt>
                <c:pt idx="6">
                  <c:v>3</c:v>
                </c:pt>
              </c:numCache>
            </c:numRef>
          </c:val>
        </c:ser>
        <c:ser>
          <c:idx val="1"/>
          <c:order val="1"/>
          <c:tx>
            <c:v>2011/2012</c:v>
          </c:tx>
          <c:invertIfNegative val="0"/>
          <c:cat>
            <c:strRef>
              <c:f>Таблицы!$A$212:$A$218</c:f>
              <c:strCache>
                <c:ptCount val="7"/>
                <c:pt idx="0">
                  <c:v>политология</c:v>
                </c:pt>
                <c:pt idx="1">
                  <c:v>юриспруденция</c:v>
                </c:pt>
                <c:pt idx="2">
                  <c:v>ГиМУ</c:v>
                </c:pt>
                <c:pt idx="3">
                  <c:v> програмная инженерия</c:v>
                </c:pt>
                <c:pt idx="4">
                  <c:v>бизнес-информатика</c:v>
                </c:pt>
                <c:pt idx="5">
                  <c:v>экономика и финансы</c:v>
                </c:pt>
                <c:pt idx="6">
                  <c:v>менеджмент</c:v>
                </c:pt>
              </c:strCache>
            </c:strRef>
          </c:cat>
          <c:val>
            <c:numRef>
              <c:f>Таблицы!$C$212:$C$218</c:f>
              <c:numCache>
                <c:formatCode>General</c:formatCode>
                <c:ptCount val="7"/>
                <c:pt idx="0">
                  <c:v>1</c:v>
                </c:pt>
                <c:pt idx="1">
                  <c:v>6</c:v>
                </c:pt>
                <c:pt idx="2">
                  <c:v>5</c:v>
                </c:pt>
                <c:pt idx="3">
                  <c:v>0</c:v>
                </c:pt>
                <c:pt idx="4">
                  <c:v>3</c:v>
                </c:pt>
                <c:pt idx="5">
                  <c:v>22</c:v>
                </c:pt>
                <c:pt idx="6">
                  <c:v>33</c:v>
                </c:pt>
              </c:numCache>
            </c:numRef>
          </c:val>
        </c:ser>
        <c:ser>
          <c:idx val="2"/>
          <c:order val="2"/>
          <c:tx>
            <c:v>2012/2013</c:v>
          </c:tx>
          <c:invertIfNegative val="0"/>
          <c:dLbls>
            <c:spPr>
              <a:noFill/>
              <a:ln>
                <a:noFill/>
              </a:ln>
              <a:effectLst/>
            </c:spPr>
            <c:txPr>
              <a:bodyPr/>
              <a:lstStyle/>
              <a:p>
                <a:pPr>
                  <a:defRPr b="1">
                    <a:solidFill>
                      <a:schemeClr val="accent3">
                        <a:lumMod val="7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Таблицы!$A$212:$A$218</c:f>
              <c:strCache>
                <c:ptCount val="7"/>
                <c:pt idx="0">
                  <c:v>политология</c:v>
                </c:pt>
                <c:pt idx="1">
                  <c:v>юриспруденция</c:v>
                </c:pt>
                <c:pt idx="2">
                  <c:v>ГиМУ</c:v>
                </c:pt>
                <c:pt idx="3">
                  <c:v> програмная инженерия</c:v>
                </c:pt>
                <c:pt idx="4">
                  <c:v>бизнес-информатика</c:v>
                </c:pt>
                <c:pt idx="5">
                  <c:v>экономика и финансы</c:v>
                </c:pt>
                <c:pt idx="6">
                  <c:v>менеджмент</c:v>
                </c:pt>
              </c:strCache>
            </c:strRef>
          </c:cat>
          <c:val>
            <c:numRef>
              <c:f>Таблицы!$D$212:$D$218</c:f>
              <c:numCache>
                <c:formatCode>General</c:formatCode>
                <c:ptCount val="7"/>
                <c:pt idx="0">
                  <c:v>0</c:v>
                </c:pt>
                <c:pt idx="1">
                  <c:v>0</c:v>
                </c:pt>
                <c:pt idx="2">
                  <c:v>0</c:v>
                </c:pt>
                <c:pt idx="3">
                  <c:v>6</c:v>
                </c:pt>
                <c:pt idx="4">
                  <c:v>8</c:v>
                </c:pt>
                <c:pt idx="5">
                  <c:v>21</c:v>
                </c:pt>
                <c:pt idx="6">
                  <c:v>30</c:v>
                </c:pt>
              </c:numCache>
            </c:numRef>
          </c:val>
        </c:ser>
        <c:dLbls>
          <c:showLegendKey val="0"/>
          <c:showVal val="0"/>
          <c:showCatName val="0"/>
          <c:showSerName val="0"/>
          <c:showPercent val="0"/>
          <c:showBubbleSize val="0"/>
        </c:dLbls>
        <c:gapWidth val="150"/>
        <c:shape val="box"/>
        <c:axId val="574525440"/>
        <c:axId val="574526976"/>
        <c:axId val="0"/>
      </c:bar3DChart>
      <c:catAx>
        <c:axId val="574525440"/>
        <c:scaling>
          <c:orientation val="minMax"/>
        </c:scaling>
        <c:delete val="0"/>
        <c:axPos val="l"/>
        <c:numFmt formatCode="General" sourceLinked="0"/>
        <c:majorTickMark val="out"/>
        <c:minorTickMark val="none"/>
        <c:tickLblPos val="nextTo"/>
        <c:txPr>
          <a:bodyPr/>
          <a:lstStyle/>
          <a:p>
            <a:pPr>
              <a:defRPr sz="1200"/>
            </a:pPr>
            <a:endParaRPr lang="ru-RU"/>
          </a:p>
        </c:txPr>
        <c:crossAx val="574526976"/>
        <c:crosses val="autoZero"/>
        <c:auto val="1"/>
        <c:lblAlgn val="ctr"/>
        <c:lblOffset val="100"/>
        <c:noMultiLvlLbl val="0"/>
      </c:catAx>
      <c:valAx>
        <c:axId val="574526976"/>
        <c:scaling>
          <c:orientation val="minMax"/>
        </c:scaling>
        <c:delete val="0"/>
        <c:axPos val="b"/>
        <c:majorGridlines/>
        <c:title>
          <c:tx>
            <c:rich>
              <a:bodyPr/>
              <a:lstStyle/>
              <a:p>
                <a:pPr>
                  <a:defRPr sz="1100"/>
                </a:pPr>
                <a:r>
                  <a:rPr lang="ru-RU" sz="1100"/>
                  <a:t>Число</a:t>
                </a:r>
                <a:r>
                  <a:rPr lang="ru-RU" sz="1100" baseline="0"/>
                  <a:t> студентов</a:t>
                </a:r>
                <a:endParaRPr lang="ru-RU" sz="1100"/>
              </a:p>
            </c:rich>
          </c:tx>
          <c:layout>
            <c:manualLayout>
              <c:xMode val="edge"/>
              <c:yMode val="edge"/>
              <c:x val="0.71986773712109564"/>
              <c:y val="0.75038809563846365"/>
            </c:manualLayout>
          </c:layout>
          <c:overlay val="0"/>
        </c:title>
        <c:numFmt formatCode="General" sourceLinked="1"/>
        <c:majorTickMark val="out"/>
        <c:minorTickMark val="none"/>
        <c:tickLblPos val="nextTo"/>
        <c:crossAx val="574525440"/>
        <c:crosses val="autoZero"/>
        <c:crossBetween val="between"/>
      </c:valAx>
    </c:plotArea>
    <c:legend>
      <c:legendPos val="r"/>
      <c:layout>
        <c:manualLayout>
          <c:xMode val="edge"/>
          <c:yMode val="edge"/>
          <c:x val="0.81204307948591303"/>
          <c:y val="0.36272137035502378"/>
          <c:w val="0.17319677291261087"/>
          <c:h val="0.23245171985080801"/>
        </c:manualLayout>
      </c:layout>
      <c:overlay val="0"/>
    </c:legend>
    <c:plotVisOnly val="1"/>
    <c:dispBlanksAs val="gap"/>
    <c:showDLblsOverMax val="0"/>
  </c:chart>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8428640202358098"/>
          <c:y val="2.9153274681938401E-2"/>
          <c:w val="0.46762367916445879"/>
          <c:h val="0.82547180581393997"/>
        </c:manualLayout>
      </c:layout>
      <c:bar3DChart>
        <c:barDir val="bar"/>
        <c:grouping val="stacked"/>
        <c:varyColors val="0"/>
        <c:ser>
          <c:idx val="0"/>
          <c:order val="0"/>
          <c:invertIfNegative val="0"/>
          <c:dLbls>
            <c:spPr>
              <a:noFill/>
              <a:ln>
                <a:noFill/>
              </a:ln>
              <a:effectLst/>
            </c:spPr>
            <c:txPr>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Таблицы!$A$256:$A$267</c:f>
              <c:strCache>
                <c:ptCount val="12"/>
                <c:pt idx="0">
                  <c:v>Университет Париж XII Валь де Марн</c:v>
                </c:pt>
                <c:pt idx="1">
                  <c:v>Эразмус, Роттердам</c:v>
                </c:pt>
                <c:pt idx="2">
                  <c:v>Университет Эссекса</c:v>
                </c:pt>
                <c:pt idx="3">
                  <c:v>Бизнес Школа Университета Лидс</c:v>
                </c:pt>
                <c:pt idx="4">
                  <c:v>Университет Париж 1 Пантеон Сорбонна</c:v>
                </c:pt>
                <c:pt idx="5">
                  <c:v>Университет Уорвика</c:v>
                </c:pt>
                <c:pt idx="6">
                  <c:v>Школа Финансов Дюзенберг</c:v>
                </c:pt>
                <c:pt idx="7">
                  <c:v>Технологический университет Эйндховена</c:v>
                </c:pt>
                <c:pt idx="8">
                  <c:v>Университет Ланкастера</c:v>
                </c:pt>
                <c:pt idx="9">
                  <c:v>Вестфальский университет им. Вильгельма, г. Мюнстер</c:v>
                </c:pt>
                <c:pt idx="10">
                  <c:v>Университет им.Гумбольдта, Берлин</c:v>
                </c:pt>
                <c:pt idx="11">
                  <c:v>ESCP Europe</c:v>
                </c:pt>
              </c:strCache>
            </c:strRef>
          </c:cat>
          <c:val>
            <c:numRef>
              <c:f>Таблицы!$B$256:$B$267</c:f>
              <c:numCache>
                <c:formatCode>General</c:formatCode>
                <c:ptCount val="12"/>
                <c:pt idx="0">
                  <c:v>1</c:v>
                </c:pt>
                <c:pt idx="1">
                  <c:v>1</c:v>
                </c:pt>
                <c:pt idx="2">
                  <c:v>1</c:v>
                </c:pt>
                <c:pt idx="3">
                  <c:v>2</c:v>
                </c:pt>
                <c:pt idx="4">
                  <c:v>2</c:v>
                </c:pt>
                <c:pt idx="5">
                  <c:v>3</c:v>
                </c:pt>
                <c:pt idx="6">
                  <c:v>4</c:v>
                </c:pt>
                <c:pt idx="7">
                  <c:v>6</c:v>
                </c:pt>
                <c:pt idx="8">
                  <c:v>6</c:v>
                </c:pt>
                <c:pt idx="9">
                  <c:v>6</c:v>
                </c:pt>
                <c:pt idx="10">
                  <c:v>12</c:v>
                </c:pt>
                <c:pt idx="11">
                  <c:v>21</c:v>
                </c:pt>
              </c:numCache>
            </c:numRef>
          </c:val>
        </c:ser>
        <c:dLbls>
          <c:showLegendKey val="0"/>
          <c:showVal val="0"/>
          <c:showCatName val="0"/>
          <c:showSerName val="0"/>
          <c:showPercent val="0"/>
          <c:showBubbleSize val="0"/>
        </c:dLbls>
        <c:gapWidth val="150"/>
        <c:shape val="box"/>
        <c:axId val="574900480"/>
        <c:axId val="574906368"/>
        <c:axId val="0"/>
      </c:bar3DChart>
      <c:catAx>
        <c:axId val="574900480"/>
        <c:scaling>
          <c:orientation val="minMax"/>
        </c:scaling>
        <c:delete val="0"/>
        <c:axPos val="l"/>
        <c:numFmt formatCode="General" sourceLinked="0"/>
        <c:majorTickMark val="out"/>
        <c:minorTickMark val="none"/>
        <c:tickLblPos val="nextTo"/>
        <c:txPr>
          <a:bodyPr/>
          <a:lstStyle/>
          <a:p>
            <a:pPr>
              <a:defRPr b="1"/>
            </a:pPr>
            <a:endParaRPr lang="ru-RU"/>
          </a:p>
        </c:txPr>
        <c:crossAx val="574906368"/>
        <c:crosses val="autoZero"/>
        <c:auto val="1"/>
        <c:lblAlgn val="ctr"/>
        <c:lblOffset val="100"/>
        <c:noMultiLvlLbl val="0"/>
      </c:catAx>
      <c:valAx>
        <c:axId val="574906368"/>
        <c:scaling>
          <c:orientation val="minMax"/>
        </c:scaling>
        <c:delete val="0"/>
        <c:axPos val="b"/>
        <c:majorGridlines/>
        <c:title>
          <c:tx>
            <c:rich>
              <a:bodyPr/>
              <a:lstStyle/>
              <a:p>
                <a:pPr>
                  <a:defRPr sz="1200"/>
                </a:pPr>
                <a:r>
                  <a:rPr lang="ru-RU" sz="1200"/>
                  <a:t>Число студентов</a:t>
                </a:r>
              </a:p>
            </c:rich>
          </c:tx>
          <c:layout>
            <c:manualLayout>
              <c:xMode val="edge"/>
              <c:yMode val="edge"/>
              <c:x val="0.74673868875198901"/>
              <c:y val="0.77801096284242799"/>
            </c:manualLayout>
          </c:layout>
          <c:overlay val="0"/>
        </c:title>
        <c:numFmt formatCode="General" sourceLinked="1"/>
        <c:majorTickMark val="out"/>
        <c:minorTickMark val="none"/>
        <c:tickLblPos val="nextTo"/>
        <c:crossAx val="574900480"/>
        <c:crosses val="autoZero"/>
        <c:crossBetween val="between"/>
      </c:valAx>
    </c:plotArea>
    <c:plotVisOnly val="1"/>
    <c:dispBlanksAs val="gap"/>
    <c:showDLblsOverMax val="0"/>
  </c:chart>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0.10530313340462102"/>
          <c:y val="3.9040189016163317E-2"/>
          <c:w val="0.81897670198632244"/>
          <c:h val="0.82995497928098572"/>
        </c:manualLayout>
      </c:layout>
      <c:bar3DChart>
        <c:barDir val="col"/>
        <c:grouping val="stacked"/>
        <c:varyColors val="0"/>
        <c:ser>
          <c:idx val="0"/>
          <c:order val="0"/>
          <c:invertIfNegative val="0"/>
          <c:dLbls>
            <c:spPr>
              <a:noFill/>
              <a:ln>
                <a:noFill/>
              </a:ln>
              <a:effectLst/>
            </c:spPr>
            <c:txPr>
              <a:bodyPr/>
              <a:lstStyle/>
              <a:p>
                <a:pPr>
                  <a:defRPr sz="1200"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Таблицы!$A$306:$A$308</c:f>
              <c:strCache>
                <c:ptCount val="3"/>
                <c:pt idx="0">
                  <c:v>2010/2011</c:v>
                </c:pt>
                <c:pt idx="1">
                  <c:v>2011/2012</c:v>
                </c:pt>
                <c:pt idx="2">
                  <c:v>2012/2013</c:v>
                </c:pt>
              </c:strCache>
            </c:strRef>
          </c:cat>
          <c:val>
            <c:numRef>
              <c:f>Таблицы!$B$306:$B$308</c:f>
              <c:numCache>
                <c:formatCode>General</c:formatCode>
                <c:ptCount val="3"/>
                <c:pt idx="0">
                  <c:v>155</c:v>
                </c:pt>
                <c:pt idx="1">
                  <c:v>402</c:v>
                </c:pt>
                <c:pt idx="2">
                  <c:v>389</c:v>
                </c:pt>
              </c:numCache>
            </c:numRef>
          </c:val>
        </c:ser>
        <c:dLbls>
          <c:showLegendKey val="0"/>
          <c:showVal val="0"/>
          <c:showCatName val="0"/>
          <c:showSerName val="0"/>
          <c:showPercent val="0"/>
          <c:showBubbleSize val="0"/>
        </c:dLbls>
        <c:gapWidth val="75"/>
        <c:shape val="cylinder"/>
        <c:axId val="574919040"/>
        <c:axId val="574920960"/>
        <c:axId val="0"/>
      </c:bar3DChart>
      <c:catAx>
        <c:axId val="574919040"/>
        <c:scaling>
          <c:orientation val="minMax"/>
        </c:scaling>
        <c:delete val="0"/>
        <c:axPos val="b"/>
        <c:title>
          <c:tx>
            <c:rich>
              <a:bodyPr/>
              <a:lstStyle/>
              <a:p>
                <a:pPr>
                  <a:defRPr sz="1200"/>
                </a:pPr>
                <a:r>
                  <a:rPr lang="ru-RU" sz="1200"/>
                  <a:t>Учебный год</a:t>
                </a:r>
              </a:p>
            </c:rich>
          </c:tx>
          <c:overlay val="0"/>
        </c:title>
        <c:numFmt formatCode="General" sourceLinked="0"/>
        <c:majorTickMark val="none"/>
        <c:minorTickMark val="none"/>
        <c:tickLblPos val="nextTo"/>
        <c:txPr>
          <a:bodyPr/>
          <a:lstStyle/>
          <a:p>
            <a:pPr>
              <a:defRPr b="1"/>
            </a:pPr>
            <a:endParaRPr lang="ru-RU"/>
          </a:p>
        </c:txPr>
        <c:crossAx val="574920960"/>
        <c:crosses val="autoZero"/>
        <c:auto val="1"/>
        <c:lblAlgn val="ctr"/>
        <c:lblOffset val="100"/>
        <c:noMultiLvlLbl val="0"/>
      </c:catAx>
      <c:valAx>
        <c:axId val="574920960"/>
        <c:scaling>
          <c:orientation val="minMax"/>
        </c:scaling>
        <c:delete val="0"/>
        <c:axPos val="l"/>
        <c:majorGridlines/>
        <c:numFmt formatCode="General" sourceLinked="1"/>
        <c:majorTickMark val="none"/>
        <c:minorTickMark val="none"/>
        <c:tickLblPos val="nextTo"/>
        <c:crossAx val="574919040"/>
        <c:crosses val="autoZero"/>
        <c:crossBetween val="between"/>
      </c:valAx>
    </c:plotArea>
    <c:plotVisOnly val="1"/>
    <c:dispBlanksAs val="gap"/>
    <c:showDLblsOverMax val="0"/>
  </c:chart>
  <c:spPr>
    <a:ln>
      <a:noFill/>
    </a:ln>
  </c:sp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a:lstStyle/>
          <a:p>
            <a:pPr>
              <a:defRPr sz="1200"/>
            </a:pPr>
            <a:r>
              <a:rPr lang="ru-RU" sz="1200"/>
              <a:t>Количество студентов из стран дальнего зарубежья</a:t>
            </a:r>
          </a:p>
        </c:rich>
      </c:tx>
      <c:layout>
        <c:manualLayout>
          <c:xMode val="edge"/>
          <c:yMode val="edge"/>
          <c:x val="0.13731420558731575"/>
          <c:y val="2.7777777777777964E-2"/>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3100348757775065E-2"/>
          <c:y val="0.16228018372703454"/>
          <c:w val="0.93689965124222563"/>
          <c:h val="0.73099919801691404"/>
        </c:manualLayout>
      </c:layout>
      <c:bar3DChart>
        <c:barDir val="col"/>
        <c:grouping val="stacked"/>
        <c:varyColors val="0"/>
        <c:ser>
          <c:idx val="0"/>
          <c:order val="0"/>
          <c:tx>
            <c:strRef>
              <c:f>'3 года лишений'!$B$2</c:f>
              <c:strCache>
                <c:ptCount val="1"/>
                <c:pt idx="0">
                  <c:v>Количество студентов</c:v>
                </c:pt>
              </c:strCache>
            </c:strRef>
          </c:tx>
          <c:invertIfNegative val="0"/>
          <c:dLbls>
            <c:spPr>
              <a:noFill/>
              <a:ln>
                <a:noFill/>
              </a:ln>
              <a:effectLst/>
            </c:spPr>
            <c:txPr>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 года лишений'!$A$3:$A$5</c:f>
              <c:strCache>
                <c:ptCount val="3"/>
                <c:pt idx="0">
                  <c:v>2010-2011</c:v>
                </c:pt>
                <c:pt idx="1">
                  <c:v>2011-2012</c:v>
                </c:pt>
                <c:pt idx="2">
                  <c:v>2012-2013</c:v>
                </c:pt>
              </c:strCache>
            </c:strRef>
          </c:cat>
          <c:val>
            <c:numRef>
              <c:f>'3 года лишений'!$B$3:$B$5</c:f>
              <c:numCache>
                <c:formatCode>General</c:formatCode>
                <c:ptCount val="3"/>
                <c:pt idx="0">
                  <c:v>260</c:v>
                </c:pt>
                <c:pt idx="1">
                  <c:v>383</c:v>
                </c:pt>
                <c:pt idx="2">
                  <c:v>412</c:v>
                </c:pt>
              </c:numCache>
            </c:numRef>
          </c:val>
        </c:ser>
        <c:dLbls>
          <c:showLegendKey val="0"/>
          <c:showVal val="1"/>
          <c:showCatName val="0"/>
          <c:showSerName val="0"/>
          <c:showPercent val="0"/>
          <c:showBubbleSize val="0"/>
        </c:dLbls>
        <c:gapWidth val="150"/>
        <c:shape val="cylinder"/>
        <c:axId val="574940288"/>
        <c:axId val="575287296"/>
        <c:axId val="0"/>
      </c:bar3DChart>
      <c:catAx>
        <c:axId val="574940288"/>
        <c:scaling>
          <c:orientation val="minMax"/>
        </c:scaling>
        <c:delete val="0"/>
        <c:axPos val="b"/>
        <c:numFmt formatCode="General" sourceLinked="0"/>
        <c:majorTickMark val="out"/>
        <c:minorTickMark val="none"/>
        <c:tickLblPos val="nextTo"/>
        <c:txPr>
          <a:bodyPr/>
          <a:lstStyle/>
          <a:p>
            <a:pPr>
              <a:defRPr b="1"/>
            </a:pPr>
            <a:endParaRPr lang="ru-RU"/>
          </a:p>
        </c:txPr>
        <c:crossAx val="575287296"/>
        <c:crosses val="autoZero"/>
        <c:auto val="1"/>
        <c:lblAlgn val="ctr"/>
        <c:lblOffset val="100"/>
        <c:noMultiLvlLbl val="0"/>
      </c:catAx>
      <c:valAx>
        <c:axId val="575287296"/>
        <c:scaling>
          <c:orientation val="minMax"/>
        </c:scaling>
        <c:delete val="0"/>
        <c:axPos val="l"/>
        <c:majorGridlines/>
        <c:numFmt formatCode="General" sourceLinked="1"/>
        <c:majorTickMark val="out"/>
        <c:minorTickMark val="none"/>
        <c:tickLblPos val="nextTo"/>
        <c:crossAx val="574940288"/>
        <c:crosses val="autoZero"/>
        <c:crossBetween val="between"/>
      </c:valAx>
    </c:plotArea>
    <c:plotVisOnly val="1"/>
    <c:dispBlanksAs val="gap"/>
    <c:showDLblsOverMax val="0"/>
  </c:chart>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0262633195380592E-2"/>
          <c:y val="4.8695261776488495E-2"/>
          <c:w val="0.74950046431687978"/>
          <c:h val="0.84142906478795221"/>
        </c:manualLayout>
      </c:layout>
      <c:bar3DChart>
        <c:barDir val="col"/>
        <c:grouping val="stacked"/>
        <c:varyColors val="0"/>
        <c:ser>
          <c:idx val="0"/>
          <c:order val="0"/>
          <c:tx>
            <c:strRef>
              <c:f>' данные по категориям'!$A$3</c:f>
              <c:strCache>
                <c:ptCount val="1"/>
                <c:pt idx="0">
                  <c:v>Exchange &amp;  Visiting</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данные по категориям'!$B$2:$D$2</c:f>
              <c:strCache>
                <c:ptCount val="3"/>
                <c:pt idx="0">
                  <c:v>2010-2011</c:v>
                </c:pt>
                <c:pt idx="1">
                  <c:v>2011-2012</c:v>
                </c:pt>
                <c:pt idx="2">
                  <c:v>2012-2013</c:v>
                </c:pt>
              </c:strCache>
            </c:strRef>
          </c:cat>
          <c:val>
            <c:numRef>
              <c:f>' данные по категориям'!$B$3:$D$3</c:f>
              <c:numCache>
                <c:formatCode>General</c:formatCode>
                <c:ptCount val="3"/>
                <c:pt idx="0">
                  <c:v>81</c:v>
                </c:pt>
                <c:pt idx="1">
                  <c:v>119</c:v>
                </c:pt>
                <c:pt idx="2">
                  <c:v>194</c:v>
                </c:pt>
              </c:numCache>
            </c:numRef>
          </c:val>
        </c:ser>
        <c:ser>
          <c:idx val="1"/>
          <c:order val="1"/>
          <c:tx>
            <c:strRef>
              <c:f>' данные по категориям'!$A$4</c:f>
              <c:strCache>
                <c:ptCount val="1"/>
                <c:pt idx="0">
                  <c:v>Short-Term Program</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данные по категориям'!$B$2:$D$2</c:f>
              <c:strCache>
                <c:ptCount val="3"/>
                <c:pt idx="0">
                  <c:v>2010-2011</c:v>
                </c:pt>
                <c:pt idx="1">
                  <c:v>2011-2012</c:v>
                </c:pt>
                <c:pt idx="2">
                  <c:v>2012-2013</c:v>
                </c:pt>
              </c:strCache>
            </c:strRef>
          </c:cat>
          <c:val>
            <c:numRef>
              <c:f>' данные по категориям'!$B$4:$D$4</c:f>
              <c:numCache>
                <c:formatCode>General</c:formatCode>
                <c:ptCount val="3"/>
                <c:pt idx="0">
                  <c:v>145</c:v>
                </c:pt>
                <c:pt idx="1">
                  <c:v>226</c:v>
                </c:pt>
                <c:pt idx="2">
                  <c:v>181</c:v>
                </c:pt>
              </c:numCache>
            </c:numRef>
          </c:val>
        </c:ser>
        <c:ser>
          <c:idx val="2"/>
          <c:order val="2"/>
          <c:tx>
            <c:strRef>
              <c:f>' данные по категориям'!$A$5</c:f>
              <c:strCache>
                <c:ptCount val="1"/>
                <c:pt idx="0">
                  <c:v>Full-Degree</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данные по категориям'!$B$2:$D$2</c:f>
              <c:strCache>
                <c:ptCount val="3"/>
                <c:pt idx="0">
                  <c:v>2010-2011</c:v>
                </c:pt>
                <c:pt idx="1">
                  <c:v>2011-2012</c:v>
                </c:pt>
                <c:pt idx="2">
                  <c:v>2012-2013</c:v>
                </c:pt>
              </c:strCache>
            </c:strRef>
          </c:cat>
          <c:val>
            <c:numRef>
              <c:f>' данные по категориям'!$B$5:$D$5</c:f>
              <c:numCache>
                <c:formatCode>General</c:formatCode>
                <c:ptCount val="3"/>
                <c:pt idx="0">
                  <c:v>34</c:v>
                </c:pt>
                <c:pt idx="1">
                  <c:v>38</c:v>
                </c:pt>
                <c:pt idx="2">
                  <c:v>37</c:v>
                </c:pt>
              </c:numCache>
            </c:numRef>
          </c:val>
        </c:ser>
        <c:dLbls>
          <c:showLegendKey val="0"/>
          <c:showVal val="1"/>
          <c:showCatName val="0"/>
          <c:showSerName val="0"/>
          <c:showPercent val="0"/>
          <c:showBubbleSize val="0"/>
        </c:dLbls>
        <c:gapWidth val="150"/>
        <c:shape val="cylinder"/>
        <c:axId val="575326848"/>
        <c:axId val="576008576"/>
        <c:axId val="0"/>
      </c:bar3DChart>
      <c:catAx>
        <c:axId val="575326848"/>
        <c:scaling>
          <c:orientation val="minMax"/>
        </c:scaling>
        <c:delete val="0"/>
        <c:axPos val="b"/>
        <c:numFmt formatCode="General" sourceLinked="0"/>
        <c:majorTickMark val="out"/>
        <c:minorTickMark val="none"/>
        <c:tickLblPos val="nextTo"/>
        <c:txPr>
          <a:bodyPr/>
          <a:lstStyle/>
          <a:p>
            <a:pPr>
              <a:defRPr b="1"/>
            </a:pPr>
            <a:endParaRPr lang="ru-RU"/>
          </a:p>
        </c:txPr>
        <c:crossAx val="576008576"/>
        <c:crosses val="autoZero"/>
        <c:auto val="1"/>
        <c:lblAlgn val="ctr"/>
        <c:lblOffset val="100"/>
        <c:noMultiLvlLbl val="0"/>
      </c:catAx>
      <c:valAx>
        <c:axId val="576008576"/>
        <c:scaling>
          <c:orientation val="minMax"/>
        </c:scaling>
        <c:delete val="0"/>
        <c:axPos val="l"/>
        <c:majorGridlines/>
        <c:numFmt formatCode="General" sourceLinked="1"/>
        <c:majorTickMark val="out"/>
        <c:minorTickMark val="none"/>
        <c:tickLblPos val="nextTo"/>
        <c:crossAx val="575326848"/>
        <c:crosses val="autoZero"/>
        <c:crossBetween val="between"/>
      </c:valAx>
    </c:plotArea>
    <c:legend>
      <c:legendPos val="r"/>
      <c:overlay val="0"/>
      <c:txPr>
        <a:bodyPr/>
        <a:lstStyle/>
        <a:p>
          <a:pPr>
            <a:defRPr b="1"/>
          </a:pPr>
          <a:endParaRPr lang="ru-RU"/>
        </a:p>
      </c:txPr>
    </c:legend>
    <c:plotVisOnly val="1"/>
    <c:dispBlanksAs val="gap"/>
    <c:showDLblsOverMax val="0"/>
  </c:chart>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'по странам'!$B$2</c:f>
              <c:strCache>
                <c:ptCount val="1"/>
                <c:pt idx="0">
                  <c:v>2010-2011</c:v>
                </c:pt>
              </c:strCache>
            </c:strRef>
          </c:tx>
          <c:invertIfNegative val="0"/>
          <c:cat>
            <c:strRef>
              <c:f>'по странам'!$A$3:$A$9</c:f>
              <c:strCache>
                <c:ptCount val="7"/>
                <c:pt idx="0">
                  <c:v>Великобритания</c:v>
                </c:pt>
                <c:pt idx="1">
                  <c:v>Германия</c:v>
                </c:pt>
                <c:pt idx="2">
                  <c:v>Италия</c:v>
                </c:pt>
                <c:pt idx="3">
                  <c:v>КНР</c:v>
                </c:pt>
                <c:pt idx="4">
                  <c:v>США</c:v>
                </c:pt>
                <c:pt idx="5">
                  <c:v>Финляндия</c:v>
                </c:pt>
                <c:pt idx="6">
                  <c:v>Франция</c:v>
                </c:pt>
              </c:strCache>
            </c:strRef>
          </c:cat>
          <c:val>
            <c:numRef>
              <c:f>'по странам'!$B$3:$B$9</c:f>
              <c:numCache>
                <c:formatCode>General</c:formatCode>
                <c:ptCount val="7"/>
                <c:pt idx="0">
                  <c:v>21</c:v>
                </c:pt>
                <c:pt idx="1">
                  <c:v>43</c:v>
                </c:pt>
                <c:pt idx="2">
                  <c:v>17</c:v>
                </c:pt>
                <c:pt idx="3">
                  <c:v>12</c:v>
                </c:pt>
                <c:pt idx="4">
                  <c:v>52</c:v>
                </c:pt>
                <c:pt idx="5">
                  <c:v>5</c:v>
                </c:pt>
                <c:pt idx="6">
                  <c:v>11</c:v>
                </c:pt>
              </c:numCache>
            </c:numRef>
          </c:val>
        </c:ser>
        <c:ser>
          <c:idx val="1"/>
          <c:order val="1"/>
          <c:tx>
            <c:strRef>
              <c:f>'по странам'!$C$2</c:f>
              <c:strCache>
                <c:ptCount val="1"/>
                <c:pt idx="0">
                  <c:v>2011-2012</c:v>
                </c:pt>
              </c:strCache>
            </c:strRef>
          </c:tx>
          <c:invertIfNegative val="0"/>
          <c:cat>
            <c:strRef>
              <c:f>'по странам'!$A$3:$A$9</c:f>
              <c:strCache>
                <c:ptCount val="7"/>
                <c:pt idx="0">
                  <c:v>Великобритания</c:v>
                </c:pt>
                <c:pt idx="1">
                  <c:v>Германия</c:v>
                </c:pt>
                <c:pt idx="2">
                  <c:v>Италия</c:v>
                </c:pt>
                <c:pt idx="3">
                  <c:v>КНР</c:v>
                </c:pt>
                <c:pt idx="4">
                  <c:v>США</c:v>
                </c:pt>
                <c:pt idx="5">
                  <c:v>Финляндия</c:v>
                </c:pt>
                <c:pt idx="6">
                  <c:v>Франция</c:v>
                </c:pt>
              </c:strCache>
            </c:strRef>
          </c:cat>
          <c:val>
            <c:numRef>
              <c:f>'по странам'!$C$3:$C$9</c:f>
              <c:numCache>
                <c:formatCode>General</c:formatCode>
                <c:ptCount val="7"/>
                <c:pt idx="0">
                  <c:v>26</c:v>
                </c:pt>
                <c:pt idx="1">
                  <c:v>62</c:v>
                </c:pt>
                <c:pt idx="2">
                  <c:v>8</c:v>
                </c:pt>
                <c:pt idx="3">
                  <c:v>16</c:v>
                </c:pt>
                <c:pt idx="4">
                  <c:v>56</c:v>
                </c:pt>
                <c:pt idx="5">
                  <c:v>4</c:v>
                </c:pt>
                <c:pt idx="6">
                  <c:v>20</c:v>
                </c:pt>
              </c:numCache>
            </c:numRef>
          </c:val>
        </c:ser>
        <c:ser>
          <c:idx val="2"/>
          <c:order val="2"/>
          <c:tx>
            <c:strRef>
              <c:f>'по странам'!$D$2</c:f>
              <c:strCache>
                <c:ptCount val="1"/>
                <c:pt idx="0">
                  <c:v>2012-2013</c:v>
                </c:pt>
              </c:strCache>
            </c:strRef>
          </c:tx>
          <c:invertIfNegative val="0"/>
          <c:cat>
            <c:strRef>
              <c:f>'по странам'!$A$3:$A$9</c:f>
              <c:strCache>
                <c:ptCount val="7"/>
                <c:pt idx="0">
                  <c:v>Великобритания</c:v>
                </c:pt>
                <c:pt idx="1">
                  <c:v>Германия</c:v>
                </c:pt>
                <c:pt idx="2">
                  <c:v>Италия</c:v>
                </c:pt>
                <c:pt idx="3">
                  <c:v>КНР</c:v>
                </c:pt>
                <c:pt idx="4">
                  <c:v>США</c:v>
                </c:pt>
                <c:pt idx="5">
                  <c:v>Финляндия</c:v>
                </c:pt>
                <c:pt idx="6">
                  <c:v>Франция</c:v>
                </c:pt>
              </c:strCache>
            </c:strRef>
          </c:cat>
          <c:val>
            <c:numRef>
              <c:f>'по странам'!$D$3:$D$9</c:f>
              <c:numCache>
                <c:formatCode>General</c:formatCode>
                <c:ptCount val="7"/>
                <c:pt idx="0">
                  <c:v>29</c:v>
                </c:pt>
                <c:pt idx="1">
                  <c:v>64</c:v>
                </c:pt>
                <c:pt idx="2">
                  <c:v>5</c:v>
                </c:pt>
                <c:pt idx="3">
                  <c:v>20</c:v>
                </c:pt>
                <c:pt idx="4">
                  <c:v>95</c:v>
                </c:pt>
                <c:pt idx="5">
                  <c:v>5</c:v>
                </c:pt>
                <c:pt idx="6">
                  <c:v>29</c:v>
                </c:pt>
              </c:numCache>
            </c:numRef>
          </c:val>
        </c:ser>
        <c:dLbls>
          <c:showLegendKey val="0"/>
          <c:showVal val="0"/>
          <c:showCatName val="0"/>
          <c:showSerName val="0"/>
          <c:showPercent val="0"/>
          <c:showBubbleSize val="0"/>
        </c:dLbls>
        <c:gapWidth val="150"/>
        <c:axId val="576030208"/>
        <c:axId val="576031744"/>
      </c:barChart>
      <c:catAx>
        <c:axId val="576030208"/>
        <c:scaling>
          <c:orientation val="minMax"/>
        </c:scaling>
        <c:delete val="0"/>
        <c:axPos val="b"/>
        <c:numFmt formatCode="General" sourceLinked="1"/>
        <c:majorTickMark val="out"/>
        <c:minorTickMark val="none"/>
        <c:tickLblPos val="nextTo"/>
        <c:txPr>
          <a:bodyPr/>
          <a:lstStyle/>
          <a:p>
            <a:pPr>
              <a:defRPr b="1"/>
            </a:pPr>
            <a:endParaRPr lang="ru-RU"/>
          </a:p>
        </c:txPr>
        <c:crossAx val="576031744"/>
        <c:crosses val="autoZero"/>
        <c:auto val="1"/>
        <c:lblAlgn val="ctr"/>
        <c:lblOffset val="100"/>
        <c:noMultiLvlLbl val="0"/>
      </c:catAx>
      <c:valAx>
        <c:axId val="576031744"/>
        <c:scaling>
          <c:orientation val="minMax"/>
        </c:scaling>
        <c:delete val="0"/>
        <c:axPos val="l"/>
        <c:majorGridlines/>
        <c:numFmt formatCode="General" sourceLinked="1"/>
        <c:majorTickMark val="out"/>
        <c:minorTickMark val="none"/>
        <c:tickLblPos val="nextTo"/>
        <c:crossAx val="576030208"/>
        <c:crosses val="autoZero"/>
        <c:crossBetween val="between"/>
      </c:valAx>
    </c:plotArea>
    <c:legend>
      <c:legendPos val="r"/>
      <c:overlay val="0"/>
      <c:txPr>
        <a:bodyPr/>
        <a:lstStyle/>
        <a:p>
          <a:pPr>
            <a:defRPr b="1"/>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b="1" i="0" baseline="0"/>
              <a:t>Распределение среднего числ форм итогового контроля </a:t>
            </a:r>
          </a:p>
          <a:p>
            <a:pPr>
              <a:defRPr/>
            </a:pPr>
            <a:r>
              <a:rPr lang="ru-RU" sz="1000" b="1" i="0" baseline="0"/>
              <a:t>по модулям (бакалавриат) НИУ ВШЭ (Москва)</a:t>
            </a:r>
            <a:endParaRPr lang="ru-RU" sz="1000" baseline="0"/>
          </a:p>
        </c:rich>
      </c:tx>
      <c:overlay val="0"/>
    </c:title>
    <c:autoTitleDeleted val="0"/>
    <c:plotArea>
      <c:layout/>
      <c:lineChart>
        <c:grouping val="standard"/>
        <c:varyColors val="0"/>
        <c:ser>
          <c:idx val="0"/>
          <c:order val="0"/>
          <c:tx>
            <c:strRef>
              <c:f>БАК!$C$2</c:f>
              <c:strCache>
                <c:ptCount val="1"/>
                <c:pt idx="0">
                  <c:v>2010/2011</c:v>
                </c:pt>
              </c:strCache>
            </c:strRef>
          </c:tx>
          <c:marker>
            <c:symbol val="none"/>
          </c:marker>
          <c:cat>
            <c:numRef>
              <c:f>БАК!$B$3:$B$6</c:f>
              <c:numCache>
                <c:formatCode>General</c:formatCode>
                <c:ptCount val="4"/>
                <c:pt idx="0">
                  <c:v>1</c:v>
                </c:pt>
                <c:pt idx="1">
                  <c:v>2</c:v>
                </c:pt>
                <c:pt idx="2">
                  <c:v>3</c:v>
                </c:pt>
                <c:pt idx="3">
                  <c:v>4</c:v>
                </c:pt>
              </c:numCache>
            </c:numRef>
          </c:cat>
          <c:val>
            <c:numRef>
              <c:f>БАК!$C$3:$C$6</c:f>
              <c:numCache>
                <c:formatCode>General</c:formatCode>
                <c:ptCount val="4"/>
                <c:pt idx="0">
                  <c:v>1.3</c:v>
                </c:pt>
                <c:pt idx="1">
                  <c:v>5.5</c:v>
                </c:pt>
                <c:pt idx="2">
                  <c:v>3.8</c:v>
                </c:pt>
                <c:pt idx="3">
                  <c:v>6.3</c:v>
                </c:pt>
              </c:numCache>
            </c:numRef>
          </c:val>
          <c:smooth val="0"/>
        </c:ser>
        <c:ser>
          <c:idx val="1"/>
          <c:order val="1"/>
          <c:tx>
            <c:strRef>
              <c:f>БАК!$D$2</c:f>
              <c:strCache>
                <c:ptCount val="1"/>
                <c:pt idx="0">
                  <c:v>2011/2012</c:v>
                </c:pt>
              </c:strCache>
            </c:strRef>
          </c:tx>
          <c:marker>
            <c:symbol val="none"/>
          </c:marker>
          <c:cat>
            <c:numRef>
              <c:f>БАК!$B$3:$B$6</c:f>
              <c:numCache>
                <c:formatCode>General</c:formatCode>
                <c:ptCount val="4"/>
                <c:pt idx="0">
                  <c:v>1</c:v>
                </c:pt>
                <c:pt idx="1">
                  <c:v>2</c:v>
                </c:pt>
                <c:pt idx="2">
                  <c:v>3</c:v>
                </c:pt>
                <c:pt idx="3">
                  <c:v>4</c:v>
                </c:pt>
              </c:numCache>
            </c:numRef>
          </c:cat>
          <c:val>
            <c:numRef>
              <c:f>БАК!$D$3:$D$6</c:f>
              <c:numCache>
                <c:formatCode>General</c:formatCode>
                <c:ptCount val="4"/>
                <c:pt idx="0">
                  <c:v>1.9000000000000001</c:v>
                </c:pt>
                <c:pt idx="1">
                  <c:v>4.9000000000000004</c:v>
                </c:pt>
                <c:pt idx="2">
                  <c:v>3.4</c:v>
                </c:pt>
                <c:pt idx="3">
                  <c:v>5.2</c:v>
                </c:pt>
              </c:numCache>
            </c:numRef>
          </c:val>
          <c:smooth val="0"/>
        </c:ser>
        <c:ser>
          <c:idx val="2"/>
          <c:order val="2"/>
          <c:tx>
            <c:strRef>
              <c:f>БАК!$E$2</c:f>
              <c:strCache>
                <c:ptCount val="1"/>
                <c:pt idx="0">
                  <c:v>2012/2013</c:v>
                </c:pt>
              </c:strCache>
            </c:strRef>
          </c:tx>
          <c:marker>
            <c:symbol val="none"/>
          </c:marker>
          <c:cat>
            <c:numRef>
              <c:f>БАК!$B$3:$B$6</c:f>
              <c:numCache>
                <c:formatCode>General</c:formatCode>
                <c:ptCount val="4"/>
                <c:pt idx="0">
                  <c:v>1</c:v>
                </c:pt>
                <c:pt idx="1">
                  <c:v>2</c:v>
                </c:pt>
                <c:pt idx="2">
                  <c:v>3</c:v>
                </c:pt>
                <c:pt idx="3">
                  <c:v>4</c:v>
                </c:pt>
              </c:numCache>
            </c:numRef>
          </c:cat>
          <c:val>
            <c:numRef>
              <c:f>БАК!$E$3:$E$6</c:f>
              <c:numCache>
                <c:formatCode>General</c:formatCode>
                <c:ptCount val="4"/>
                <c:pt idx="0">
                  <c:v>2.8</c:v>
                </c:pt>
                <c:pt idx="1">
                  <c:v>5</c:v>
                </c:pt>
                <c:pt idx="2">
                  <c:v>3.7</c:v>
                </c:pt>
                <c:pt idx="3">
                  <c:v>6.5</c:v>
                </c:pt>
              </c:numCache>
            </c:numRef>
          </c:val>
          <c:smooth val="0"/>
        </c:ser>
        <c:dLbls>
          <c:showLegendKey val="0"/>
          <c:showVal val="0"/>
          <c:showCatName val="0"/>
          <c:showSerName val="0"/>
          <c:showPercent val="0"/>
          <c:showBubbleSize val="0"/>
        </c:dLbls>
        <c:hiLowLines/>
        <c:marker val="1"/>
        <c:smooth val="0"/>
        <c:axId val="428519808"/>
        <c:axId val="428521728"/>
      </c:lineChart>
      <c:catAx>
        <c:axId val="428519808"/>
        <c:scaling>
          <c:orientation val="minMax"/>
        </c:scaling>
        <c:delete val="0"/>
        <c:axPos val="b"/>
        <c:title>
          <c:tx>
            <c:rich>
              <a:bodyPr/>
              <a:lstStyle/>
              <a:p>
                <a:pPr>
                  <a:defRPr/>
                </a:pPr>
                <a:r>
                  <a:rPr lang="ru-RU"/>
                  <a:t>Модули</a:t>
                </a:r>
              </a:p>
            </c:rich>
          </c:tx>
          <c:overlay val="0"/>
        </c:title>
        <c:numFmt formatCode="General" sourceLinked="1"/>
        <c:majorTickMark val="none"/>
        <c:minorTickMark val="none"/>
        <c:tickLblPos val="nextTo"/>
        <c:crossAx val="428521728"/>
        <c:crosses val="autoZero"/>
        <c:auto val="1"/>
        <c:lblAlgn val="ctr"/>
        <c:lblOffset val="100"/>
        <c:noMultiLvlLbl val="0"/>
      </c:catAx>
      <c:valAx>
        <c:axId val="428521728"/>
        <c:scaling>
          <c:orientation val="minMax"/>
          <c:max val="7"/>
          <c:min val="0"/>
        </c:scaling>
        <c:delete val="0"/>
        <c:axPos val="l"/>
        <c:majorGridlines/>
        <c:title>
          <c:tx>
            <c:rich>
              <a:bodyPr/>
              <a:lstStyle/>
              <a:p>
                <a:pPr>
                  <a:defRPr/>
                </a:pPr>
                <a:r>
                  <a:rPr lang="ru-RU" sz="1000" b="1" i="0" baseline="0"/>
                  <a:t>Среднее кол-во форм </a:t>
                </a:r>
              </a:p>
              <a:p>
                <a:pPr>
                  <a:defRPr/>
                </a:pPr>
                <a:r>
                  <a:rPr lang="ru-RU" sz="1000" b="1" i="0" baseline="0"/>
                  <a:t>итогового контроля</a:t>
                </a:r>
                <a:endParaRPr lang="ru-RU" sz="1000" baseline="0"/>
              </a:p>
            </c:rich>
          </c:tx>
          <c:overlay val="0"/>
        </c:title>
        <c:numFmt formatCode="General" sourceLinked="1"/>
        <c:majorTickMark val="out"/>
        <c:minorTickMark val="none"/>
        <c:tickLblPos val="nextTo"/>
        <c:crossAx val="428519808"/>
        <c:crosses val="autoZero"/>
        <c:crossBetween val="between"/>
        <c:majorUnit val="2"/>
        <c:minorUnit val="0.2"/>
      </c:valAx>
    </c:plotArea>
    <c:legend>
      <c:legendPos val="r"/>
      <c:overlay val="0"/>
    </c:legend>
    <c:plotVisOnly val="1"/>
    <c:dispBlanksAs val="gap"/>
    <c:showDLblsOverMax val="0"/>
  </c:chart>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xPr>
        <a:bodyPr/>
        <a:lstStyle/>
        <a:p>
          <a:pPr>
            <a:defRPr sz="1200"/>
          </a:pPr>
          <a:endParaRPr lang="ru-RU"/>
        </a:p>
      </c:txPr>
    </c:title>
    <c:autoTitleDeleted val="0"/>
    <c:plotArea>
      <c:layout/>
      <c:lineChart>
        <c:grouping val="stacked"/>
        <c:varyColors val="0"/>
        <c:ser>
          <c:idx val="0"/>
          <c:order val="0"/>
          <c:tx>
            <c:strRef>
              <c:f>динамика!$B$1</c:f>
              <c:strCache>
                <c:ptCount val="1"/>
                <c:pt idx="0">
                  <c:v>Динамика увеличения числа иностранных студентов</c:v>
                </c:pt>
              </c:strCache>
            </c:strRef>
          </c:tx>
          <c:marker>
            <c:symbol val="none"/>
          </c:marker>
          <c:cat>
            <c:numRef>
              <c:f>динамика!$A$2:$A$3</c:f>
              <c:numCache>
                <c:formatCode>General</c:formatCode>
                <c:ptCount val="2"/>
                <c:pt idx="0">
                  <c:v>2012</c:v>
                </c:pt>
                <c:pt idx="1">
                  <c:v>2013</c:v>
                </c:pt>
              </c:numCache>
            </c:numRef>
          </c:cat>
          <c:val>
            <c:numRef>
              <c:f>динамика!$B$2:$B$3</c:f>
              <c:numCache>
                <c:formatCode>General</c:formatCode>
                <c:ptCount val="2"/>
                <c:pt idx="0">
                  <c:v>150</c:v>
                </c:pt>
                <c:pt idx="1">
                  <c:v>232</c:v>
                </c:pt>
              </c:numCache>
            </c:numRef>
          </c:val>
          <c:smooth val="0"/>
        </c:ser>
        <c:dLbls>
          <c:showLegendKey val="0"/>
          <c:showVal val="0"/>
          <c:showCatName val="0"/>
          <c:showSerName val="0"/>
          <c:showPercent val="0"/>
          <c:showBubbleSize val="0"/>
        </c:dLbls>
        <c:marker val="1"/>
        <c:smooth val="0"/>
        <c:axId val="576051840"/>
        <c:axId val="576053632"/>
      </c:lineChart>
      <c:catAx>
        <c:axId val="576051840"/>
        <c:scaling>
          <c:orientation val="minMax"/>
        </c:scaling>
        <c:delete val="0"/>
        <c:axPos val="b"/>
        <c:numFmt formatCode="General" sourceLinked="1"/>
        <c:majorTickMark val="none"/>
        <c:minorTickMark val="none"/>
        <c:tickLblPos val="nextTo"/>
        <c:crossAx val="576053632"/>
        <c:crosses val="autoZero"/>
        <c:auto val="1"/>
        <c:lblAlgn val="ctr"/>
        <c:lblOffset val="100"/>
        <c:noMultiLvlLbl val="0"/>
      </c:catAx>
      <c:valAx>
        <c:axId val="576053632"/>
        <c:scaling>
          <c:orientation val="minMax"/>
        </c:scaling>
        <c:delete val="0"/>
        <c:axPos val="l"/>
        <c:majorGridlines/>
        <c:numFmt formatCode="General" sourceLinked="1"/>
        <c:majorTickMark val="none"/>
        <c:minorTickMark val="none"/>
        <c:tickLblPos val="nextTo"/>
        <c:crossAx val="576051840"/>
        <c:crosses val="autoZero"/>
        <c:crossBetween val="between"/>
      </c:valAx>
      <c:dTable>
        <c:showHorzBorder val="1"/>
        <c:showVertBorder val="1"/>
        <c:showOutline val="1"/>
        <c:showKeys val="1"/>
        <c:txPr>
          <a:bodyPr/>
          <a:lstStyle/>
          <a:p>
            <a:pPr rtl="0">
              <a:defRPr b="1"/>
            </a:pPr>
            <a:endParaRPr lang="ru-RU"/>
          </a:p>
        </c:txPr>
      </c:dTable>
    </c:plotArea>
    <c:plotVisOnly val="1"/>
    <c:dispBlanksAs val="zero"/>
    <c:showDLblsOverMax val="0"/>
  </c:chart>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ru-RU" sz="1200"/>
              <a:t>Динамика контингента студентов </a:t>
            </a:r>
          </a:p>
          <a:p>
            <a:pPr>
              <a:defRPr sz="1200"/>
            </a:pPr>
            <a:r>
              <a:rPr lang="ru-RU" sz="1200"/>
              <a:t>из стран СНГ и Балтии (по уровням обучения)</a:t>
            </a:r>
          </a:p>
        </c:rich>
      </c:tx>
      <c:overlay val="0"/>
    </c:title>
    <c:autoTitleDeleted val="0"/>
    <c:plotArea>
      <c:layout/>
      <c:barChart>
        <c:barDir val="bar"/>
        <c:grouping val="clustered"/>
        <c:varyColors val="0"/>
        <c:ser>
          <c:idx val="0"/>
          <c:order val="0"/>
          <c:tx>
            <c:strRef>
              <c:f>'ПЦО_Динамика контингента'!$B$16</c:f>
              <c:strCache>
                <c:ptCount val="1"/>
                <c:pt idx="0">
                  <c:v>2007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'ПЦО_Динамика контингента'!$A$17:$A$18</c:f>
              <c:strCache>
                <c:ptCount val="2"/>
                <c:pt idx="0">
                  <c:v>Бакалавры</c:v>
                </c:pt>
                <c:pt idx="1">
                  <c:v>Магистры</c:v>
                </c:pt>
              </c:strCache>
            </c:strRef>
          </c:cat>
          <c:val>
            <c:numRef>
              <c:f>'ПЦО_Динамика контингента'!$B$17:$B$18</c:f>
              <c:numCache>
                <c:formatCode>General</c:formatCode>
                <c:ptCount val="2"/>
                <c:pt idx="0">
                  <c:v>11</c:v>
                </c:pt>
                <c:pt idx="1">
                  <c:v>12</c:v>
                </c:pt>
              </c:numCache>
            </c:numRef>
          </c:val>
        </c:ser>
        <c:ser>
          <c:idx val="1"/>
          <c:order val="1"/>
          <c:tx>
            <c:strRef>
              <c:f>'ПЦО_Динамика контингента'!$C$16</c:f>
              <c:strCache>
                <c:ptCount val="1"/>
                <c:pt idx="0">
                  <c:v>2008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'ПЦО_Динамика контингента'!$A$17:$A$18</c:f>
              <c:strCache>
                <c:ptCount val="2"/>
                <c:pt idx="0">
                  <c:v>Бакалавры</c:v>
                </c:pt>
                <c:pt idx="1">
                  <c:v>Магистры</c:v>
                </c:pt>
              </c:strCache>
            </c:strRef>
          </c:cat>
          <c:val>
            <c:numRef>
              <c:f>'ПЦО_Динамика контингента'!$C$17:$C$18</c:f>
              <c:numCache>
                <c:formatCode>General</c:formatCode>
                <c:ptCount val="2"/>
                <c:pt idx="0">
                  <c:v>14</c:v>
                </c:pt>
                <c:pt idx="1">
                  <c:v>19</c:v>
                </c:pt>
              </c:numCache>
            </c:numRef>
          </c:val>
        </c:ser>
        <c:ser>
          <c:idx val="2"/>
          <c:order val="2"/>
          <c:tx>
            <c:strRef>
              <c:f>'ПЦО_Динамика контингента'!$D$16</c:f>
              <c:strCache>
                <c:ptCount val="1"/>
                <c:pt idx="0">
                  <c:v>2009</c:v>
                </c:pt>
              </c:strCache>
            </c:strRef>
          </c:tx>
          <c:invertIfNegative val="0"/>
          <c:cat>
            <c:strRef>
              <c:f>'ПЦО_Динамика контингента'!$A$17:$A$18</c:f>
              <c:strCache>
                <c:ptCount val="2"/>
                <c:pt idx="0">
                  <c:v>Бакалавры</c:v>
                </c:pt>
                <c:pt idx="1">
                  <c:v>Магистры</c:v>
                </c:pt>
              </c:strCache>
            </c:strRef>
          </c:cat>
          <c:val>
            <c:numRef>
              <c:f>'ПЦО_Динамика контингента'!$D$17:$D$18</c:f>
              <c:numCache>
                <c:formatCode>General</c:formatCode>
                <c:ptCount val="2"/>
                <c:pt idx="0">
                  <c:v>24</c:v>
                </c:pt>
                <c:pt idx="1">
                  <c:v>39</c:v>
                </c:pt>
              </c:numCache>
            </c:numRef>
          </c:val>
        </c:ser>
        <c:ser>
          <c:idx val="3"/>
          <c:order val="3"/>
          <c:tx>
            <c:strRef>
              <c:f>'ПЦО_Динамика контингента'!$E$16</c:f>
              <c:strCache>
                <c:ptCount val="1"/>
                <c:pt idx="0">
                  <c:v>2010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'ПЦО_Динамика контингента'!$A$17:$A$18</c:f>
              <c:strCache>
                <c:ptCount val="2"/>
                <c:pt idx="0">
                  <c:v>Бакалавры</c:v>
                </c:pt>
                <c:pt idx="1">
                  <c:v>Магистры</c:v>
                </c:pt>
              </c:strCache>
            </c:strRef>
          </c:cat>
          <c:val>
            <c:numRef>
              <c:f>'ПЦО_Динамика контингента'!$E$17:$E$18</c:f>
              <c:numCache>
                <c:formatCode>General</c:formatCode>
                <c:ptCount val="2"/>
                <c:pt idx="0">
                  <c:v>24</c:v>
                </c:pt>
                <c:pt idx="1">
                  <c:v>71</c:v>
                </c:pt>
              </c:numCache>
            </c:numRef>
          </c:val>
        </c:ser>
        <c:ser>
          <c:idx val="4"/>
          <c:order val="4"/>
          <c:tx>
            <c:strRef>
              <c:f>'ПЦО_Динамика контингента'!$F$16</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'ПЦО_Динамика контингента'!$A$17:$A$18</c:f>
              <c:strCache>
                <c:ptCount val="2"/>
                <c:pt idx="0">
                  <c:v>Бакалавры</c:v>
                </c:pt>
                <c:pt idx="1">
                  <c:v>Магистры</c:v>
                </c:pt>
              </c:strCache>
            </c:strRef>
          </c:cat>
          <c:val>
            <c:numRef>
              <c:f>'ПЦО_Динамика контингента'!$F$17:$F$18</c:f>
              <c:numCache>
                <c:formatCode>General</c:formatCode>
                <c:ptCount val="2"/>
                <c:pt idx="0">
                  <c:v>57</c:v>
                </c:pt>
                <c:pt idx="1">
                  <c:v>95</c:v>
                </c:pt>
              </c:numCache>
            </c:numRef>
          </c:val>
        </c:ser>
        <c:ser>
          <c:idx val="5"/>
          <c:order val="5"/>
          <c:tx>
            <c:strRef>
              <c:f>'ПЦО_Динамика контингента'!$G$16</c:f>
              <c:strCache>
                <c:ptCount val="1"/>
                <c:pt idx="0">
                  <c:v>2012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'ПЦО_Динамика контингента'!$A$17:$A$18</c:f>
              <c:strCache>
                <c:ptCount val="2"/>
                <c:pt idx="0">
                  <c:v>Бакалавры</c:v>
                </c:pt>
                <c:pt idx="1">
                  <c:v>Магистры</c:v>
                </c:pt>
              </c:strCache>
            </c:strRef>
          </c:cat>
          <c:val>
            <c:numRef>
              <c:f>'ПЦО_Динамика контингента'!$G$17:$G$18</c:f>
              <c:numCache>
                <c:formatCode>General</c:formatCode>
                <c:ptCount val="2"/>
                <c:pt idx="0">
                  <c:v>92</c:v>
                </c:pt>
                <c:pt idx="1">
                  <c:v>125</c:v>
                </c:pt>
              </c:numCache>
            </c:numRef>
          </c:val>
        </c:ser>
        <c:ser>
          <c:idx val="6"/>
          <c:order val="6"/>
          <c:tx>
            <c:strRef>
              <c:f>'ПЦО_Динамика контингента'!$H$16</c:f>
              <c:strCache>
                <c:ptCount val="1"/>
                <c:pt idx="0">
                  <c:v>2013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'ПЦО_Динамика контингента'!$A$17:$A$18</c:f>
              <c:strCache>
                <c:ptCount val="2"/>
                <c:pt idx="0">
                  <c:v>Бакалавры</c:v>
                </c:pt>
                <c:pt idx="1">
                  <c:v>Магистры</c:v>
                </c:pt>
              </c:strCache>
            </c:strRef>
          </c:cat>
          <c:val>
            <c:numRef>
              <c:f>'ПЦО_Динамика контингента'!$H$17:$H$18</c:f>
              <c:numCache>
                <c:formatCode>General</c:formatCode>
                <c:ptCount val="2"/>
                <c:pt idx="0">
                  <c:v>168</c:v>
                </c:pt>
                <c:pt idx="1">
                  <c:v>162</c:v>
                </c:pt>
              </c:numCache>
            </c:numRef>
          </c:val>
        </c:ser>
        <c:dLbls>
          <c:showLegendKey val="0"/>
          <c:showVal val="0"/>
          <c:showCatName val="0"/>
          <c:showSerName val="0"/>
          <c:showPercent val="0"/>
          <c:showBubbleSize val="0"/>
        </c:dLbls>
        <c:gapWidth val="150"/>
        <c:axId val="577635072"/>
        <c:axId val="577636608"/>
      </c:barChart>
      <c:catAx>
        <c:axId val="577635072"/>
        <c:scaling>
          <c:orientation val="minMax"/>
        </c:scaling>
        <c:delete val="0"/>
        <c:axPos val="l"/>
        <c:numFmt formatCode="General" sourceLinked="1"/>
        <c:majorTickMark val="out"/>
        <c:minorTickMark val="none"/>
        <c:tickLblPos val="nextTo"/>
        <c:crossAx val="577636608"/>
        <c:crosses val="autoZero"/>
        <c:auto val="1"/>
        <c:lblAlgn val="ctr"/>
        <c:lblOffset val="100"/>
        <c:noMultiLvlLbl val="0"/>
      </c:catAx>
      <c:valAx>
        <c:axId val="577636608"/>
        <c:scaling>
          <c:orientation val="minMax"/>
        </c:scaling>
        <c:delete val="0"/>
        <c:axPos val="b"/>
        <c:majorGridlines/>
        <c:numFmt formatCode="General" sourceLinked="1"/>
        <c:majorTickMark val="out"/>
        <c:minorTickMark val="none"/>
        <c:tickLblPos val="nextTo"/>
        <c:crossAx val="577635072"/>
        <c:crosses val="autoZero"/>
        <c:crossBetween val="between"/>
      </c:valAx>
    </c:plotArea>
    <c:legend>
      <c:legendPos val="r"/>
      <c:overlay val="0"/>
    </c:legend>
    <c:plotVisOnly val="1"/>
    <c:dispBlanksAs val="gap"/>
    <c:showDLblsOverMax val="0"/>
  </c:chart>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ru-RU" sz="1200"/>
              <a:t>Удельный вес отчисленных студентов от числа поступивших в соответствуюшем учебном году (по уровням образования)</a:t>
            </a:r>
          </a:p>
        </c:rich>
      </c:tx>
      <c:overlay val="0"/>
    </c:title>
    <c:autoTitleDeleted val="0"/>
    <c:plotArea>
      <c:layout/>
      <c:barChart>
        <c:barDir val="bar"/>
        <c:grouping val="clustered"/>
        <c:varyColors val="0"/>
        <c:ser>
          <c:idx val="0"/>
          <c:order val="0"/>
          <c:tx>
            <c:strRef>
              <c:f>'Отчисление студентов'!$A$3</c:f>
              <c:strCache>
                <c:ptCount val="1"/>
                <c:pt idx="0">
                  <c:v>Магистры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'Отчисление студентов'!$B$2:$E$2</c:f>
              <c:numCache>
                <c:formatCode>General</c:formatCode>
                <c:ptCount val="4"/>
                <c:pt idx="0">
                  <c:v>2010</c:v>
                </c:pt>
                <c:pt idx="1">
                  <c:v>2011</c:v>
                </c:pt>
                <c:pt idx="2">
                  <c:v>2012</c:v>
                </c:pt>
                <c:pt idx="3">
                  <c:v>2013</c:v>
                </c:pt>
              </c:numCache>
            </c:numRef>
          </c:cat>
          <c:val>
            <c:numRef>
              <c:f>'Отчисление студентов'!$B$3:$E$3</c:f>
              <c:numCache>
                <c:formatCode>General</c:formatCode>
                <c:ptCount val="4"/>
                <c:pt idx="0">
                  <c:v>19</c:v>
                </c:pt>
                <c:pt idx="1">
                  <c:v>16</c:v>
                </c:pt>
                <c:pt idx="2">
                  <c:v>15</c:v>
                </c:pt>
                <c:pt idx="3">
                  <c:v>2</c:v>
                </c:pt>
              </c:numCache>
            </c:numRef>
          </c:val>
        </c:ser>
        <c:ser>
          <c:idx val="1"/>
          <c:order val="1"/>
          <c:tx>
            <c:strRef>
              <c:f>'Отчисление студентов'!$A$4</c:f>
              <c:strCache>
                <c:ptCount val="1"/>
                <c:pt idx="0">
                  <c:v>Бакалавры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'Отчисление студентов'!$B$2:$E$2</c:f>
              <c:numCache>
                <c:formatCode>General</c:formatCode>
                <c:ptCount val="4"/>
                <c:pt idx="0">
                  <c:v>2010</c:v>
                </c:pt>
                <c:pt idx="1">
                  <c:v>2011</c:v>
                </c:pt>
                <c:pt idx="2">
                  <c:v>2012</c:v>
                </c:pt>
                <c:pt idx="3">
                  <c:v>2013</c:v>
                </c:pt>
              </c:numCache>
            </c:numRef>
          </c:cat>
          <c:val>
            <c:numRef>
              <c:f>'Отчисление студентов'!$B$4:$E$4</c:f>
              <c:numCache>
                <c:formatCode>General</c:formatCode>
                <c:ptCount val="4"/>
                <c:pt idx="0">
                  <c:v>23</c:v>
                </c:pt>
                <c:pt idx="1">
                  <c:v>23</c:v>
                </c:pt>
                <c:pt idx="2">
                  <c:v>12</c:v>
                </c:pt>
                <c:pt idx="3">
                  <c:v>1</c:v>
                </c:pt>
              </c:numCache>
            </c:numRef>
          </c:val>
        </c:ser>
        <c:dLbls>
          <c:showLegendKey val="0"/>
          <c:showVal val="0"/>
          <c:showCatName val="0"/>
          <c:showSerName val="0"/>
          <c:showPercent val="0"/>
          <c:showBubbleSize val="0"/>
        </c:dLbls>
        <c:gapWidth val="150"/>
        <c:axId val="577679360"/>
        <c:axId val="577680896"/>
      </c:barChart>
      <c:catAx>
        <c:axId val="577679360"/>
        <c:scaling>
          <c:orientation val="minMax"/>
        </c:scaling>
        <c:delete val="0"/>
        <c:axPos val="l"/>
        <c:numFmt formatCode="General" sourceLinked="1"/>
        <c:majorTickMark val="out"/>
        <c:minorTickMark val="none"/>
        <c:tickLblPos val="nextTo"/>
        <c:crossAx val="577680896"/>
        <c:crosses val="autoZero"/>
        <c:auto val="1"/>
        <c:lblAlgn val="ctr"/>
        <c:lblOffset val="100"/>
        <c:noMultiLvlLbl val="0"/>
      </c:catAx>
      <c:valAx>
        <c:axId val="577680896"/>
        <c:scaling>
          <c:orientation val="minMax"/>
        </c:scaling>
        <c:delete val="0"/>
        <c:axPos val="b"/>
        <c:majorGridlines/>
        <c:numFmt formatCode="General" sourceLinked="1"/>
        <c:majorTickMark val="out"/>
        <c:minorTickMark val="none"/>
        <c:tickLblPos val="nextTo"/>
        <c:crossAx val="577679360"/>
        <c:crosses val="autoZero"/>
        <c:crossBetween val="between"/>
      </c:valAx>
    </c:plotArea>
    <c:legend>
      <c:legendPos val="r"/>
      <c:overlay val="0"/>
    </c:legend>
    <c:plotVisOnly val="1"/>
    <c:dispBlanksAs val="gap"/>
    <c:showDLblsOverMax val="0"/>
  </c:chart>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ru-RU" sz="1200"/>
              <a:t>Распределение</a:t>
            </a:r>
            <a:r>
              <a:rPr lang="ru-RU" sz="1200" baseline="0"/>
              <a:t>  студентов, отчисленных в 2013 году по причинам отчисления (в % от общего количества)</a:t>
            </a:r>
            <a:endParaRPr lang="ru-RU" sz="1200"/>
          </a:p>
        </c:rich>
      </c:tx>
      <c:overlay val="0"/>
    </c:title>
    <c:autoTitleDeleted val="0"/>
    <c:plotArea>
      <c:layout/>
      <c:barChart>
        <c:barDir val="bar"/>
        <c:grouping val="percentStacked"/>
        <c:varyColors val="0"/>
        <c:ser>
          <c:idx val="0"/>
          <c:order val="0"/>
          <c:tx>
            <c:strRef>
              <c:f>'Отчисление студентов'!$A$14</c:f>
              <c:strCache>
                <c:ptCount val="1"/>
                <c:pt idx="0">
                  <c:v>За академическую неуспеваемость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'Отчисление студентов'!$B$13:$C$13</c:f>
              <c:strCache>
                <c:ptCount val="2"/>
                <c:pt idx="0">
                  <c:v>бакалавры</c:v>
                </c:pt>
                <c:pt idx="1">
                  <c:v>магистры</c:v>
                </c:pt>
              </c:strCache>
            </c:strRef>
          </c:cat>
          <c:val>
            <c:numRef>
              <c:f>'Отчисление студентов'!$B$14:$C$14</c:f>
              <c:numCache>
                <c:formatCode>0.00</c:formatCode>
                <c:ptCount val="2"/>
                <c:pt idx="0">
                  <c:v>61.53846153846154</c:v>
                </c:pt>
                <c:pt idx="1">
                  <c:v>57.894736842105289</c:v>
                </c:pt>
              </c:numCache>
            </c:numRef>
          </c:val>
        </c:ser>
        <c:ser>
          <c:idx val="1"/>
          <c:order val="1"/>
          <c:tx>
            <c:strRef>
              <c:f>'Отчисление студентов'!$A$15</c:f>
              <c:strCache>
                <c:ptCount val="1"/>
                <c:pt idx="0">
                  <c:v>По собственному желанию</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'Отчисление студентов'!$B$13:$C$13</c:f>
              <c:strCache>
                <c:ptCount val="2"/>
                <c:pt idx="0">
                  <c:v>бакалавры</c:v>
                </c:pt>
                <c:pt idx="1">
                  <c:v>магистры</c:v>
                </c:pt>
              </c:strCache>
            </c:strRef>
          </c:cat>
          <c:val>
            <c:numRef>
              <c:f>'Отчисление студентов'!$B$15:$C$15</c:f>
              <c:numCache>
                <c:formatCode>0.00</c:formatCode>
                <c:ptCount val="2"/>
                <c:pt idx="0">
                  <c:v>30.76923076923077</c:v>
                </c:pt>
                <c:pt idx="1">
                  <c:v>42.105263157894726</c:v>
                </c:pt>
              </c:numCache>
            </c:numRef>
          </c:val>
        </c:ser>
        <c:ser>
          <c:idx val="2"/>
          <c:order val="2"/>
          <c:tx>
            <c:strRef>
              <c:f>'Отчисление студентов'!$A$16</c:f>
              <c:strCache>
                <c:ptCount val="1"/>
                <c:pt idx="0">
                  <c:v>Нарушение правил внутреннего распорядка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'Отчисление студентов'!$B$13:$C$13</c:f>
              <c:strCache>
                <c:ptCount val="2"/>
                <c:pt idx="0">
                  <c:v>бакалавры</c:v>
                </c:pt>
                <c:pt idx="1">
                  <c:v>магистры</c:v>
                </c:pt>
              </c:strCache>
            </c:strRef>
          </c:cat>
          <c:val>
            <c:numRef>
              <c:f>'Отчисление студентов'!$B$16:$C$16</c:f>
              <c:numCache>
                <c:formatCode>0.00</c:formatCode>
                <c:ptCount val="2"/>
                <c:pt idx="0">
                  <c:v>7.6923076923076925</c:v>
                </c:pt>
                <c:pt idx="1">
                  <c:v>0</c:v>
                </c:pt>
              </c:numCache>
            </c:numRef>
          </c:val>
        </c:ser>
        <c:dLbls>
          <c:showLegendKey val="0"/>
          <c:showVal val="0"/>
          <c:showCatName val="0"/>
          <c:showSerName val="0"/>
          <c:showPercent val="0"/>
          <c:showBubbleSize val="0"/>
        </c:dLbls>
        <c:gapWidth val="150"/>
        <c:overlap val="100"/>
        <c:axId val="577929600"/>
        <c:axId val="577931136"/>
      </c:barChart>
      <c:catAx>
        <c:axId val="577929600"/>
        <c:scaling>
          <c:orientation val="minMax"/>
        </c:scaling>
        <c:delete val="0"/>
        <c:axPos val="l"/>
        <c:numFmt formatCode="General" sourceLinked="0"/>
        <c:majorTickMark val="out"/>
        <c:minorTickMark val="none"/>
        <c:tickLblPos val="nextTo"/>
        <c:crossAx val="577931136"/>
        <c:crosses val="autoZero"/>
        <c:auto val="1"/>
        <c:lblAlgn val="ctr"/>
        <c:lblOffset val="100"/>
        <c:noMultiLvlLbl val="0"/>
      </c:catAx>
      <c:valAx>
        <c:axId val="577931136"/>
        <c:scaling>
          <c:orientation val="minMax"/>
        </c:scaling>
        <c:delete val="0"/>
        <c:axPos val="b"/>
        <c:majorGridlines/>
        <c:numFmt formatCode="0%" sourceLinked="1"/>
        <c:majorTickMark val="out"/>
        <c:minorTickMark val="none"/>
        <c:tickLblPos val="nextTo"/>
        <c:crossAx val="577929600"/>
        <c:crosses val="autoZero"/>
        <c:crossBetween val="between"/>
      </c:valAx>
    </c:plotArea>
    <c:legend>
      <c:legendPos val="r"/>
      <c:overlay val="0"/>
    </c:legend>
    <c:plotVisOnly val="1"/>
    <c:dispBlanksAs val="gap"/>
    <c:showDLblsOverMax val="0"/>
  </c:chart>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200"/>
            </a:pPr>
            <a:r>
              <a:rPr lang="ru-RU" sz="1200"/>
              <a:t>Количество иностранных студентов на включенном обучении </a:t>
            </a:r>
          </a:p>
        </c:rich>
      </c:tx>
      <c:overlay val="0"/>
    </c:title>
    <c:autoTitleDeleted val="0"/>
    <c:plotArea>
      <c:layout>
        <c:manualLayout>
          <c:layoutTarget val="inner"/>
          <c:xMode val="edge"/>
          <c:yMode val="edge"/>
          <c:x val="1.2564462554042199E-3"/>
          <c:y val="0.19788097200544788"/>
          <c:w val="0.93888888888889055"/>
          <c:h val="0.66945610965295821"/>
        </c:manualLayout>
      </c:layout>
      <c:lineChart>
        <c:grouping val="standard"/>
        <c:varyColors val="0"/>
        <c:ser>
          <c:idx val="0"/>
          <c:order val="0"/>
          <c:tx>
            <c:strRef>
              <c:f>'переделанный график'!$B$1</c:f>
              <c:strCache>
                <c:ptCount val="1"/>
                <c:pt idx="0">
                  <c:v>Количество иностранных студентов на включенном обучении 2009-2013 год</c:v>
                </c:pt>
              </c:strCache>
            </c:strRef>
          </c:tx>
          <c:marker>
            <c:symbol val="none"/>
          </c:marker>
          <c:dLbls>
            <c:dLbl>
              <c:idx val="0"/>
              <c:layout>
                <c:manualLayout>
                  <c:x val="0"/>
                  <c:y val="1.388888888888895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31481481481480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7996E-3"/>
                  <c:y val="1.388888888888895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3333333333333506E-3"/>
                  <c:y val="4.6296296296296493E-3"/>
                </c:manualLayout>
              </c:layout>
              <c:tx>
                <c:rich>
                  <a:bodyPr/>
                  <a:lstStyle/>
                  <a:p>
                    <a:pPr>
                      <a:defRPr b="1">
                        <a:solidFill>
                          <a:schemeClr val="accent3">
                            <a:lumMod val="75000"/>
                          </a:schemeClr>
                        </a:solidFill>
                      </a:defRPr>
                    </a:pPr>
                    <a:r>
                      <a:rPr lang="en-US" sz="1050"/>
                      <a:t>194</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'переделанный график'!$A$2:$A$5</c:f>
              <c:strCache>
                <c:ptCount val="4"/>
                <c:pt idx="0">
                  <c:v>2009-2010</c:v>
                </c:pt>
                <c:pt idx="1">
                  <c:v>2010-2011</c:v>
                </c:pt>
                <c:pt idx="2">
                  <c:v>2011-2012</c:v>
                </c:pt>
                <c:pt idx="3">
                  <c:v>2012-2013</c:v>
                </c:pt>
              </c:strCache>
            </c:strRef>
          </c:cat>
          <c:val>
            <c:numRef>
              <c:f>'переделанный график'!$B$2:$B$5</c:f>
              <c:numCache>
                <c:formatCode>General</c:formatCode>
                <c:ptCount val="4"/>
                <c:pt idx="0">
                  <c:v>26</c:v>
                </c:pt>
                <c:pt idx="1">
                  <c:v>81</c:v>
                </c:pt>
                <c:pt idx="2">
                  <c:v>119</c:v>
                </c:pt>
                <c:pt idx="3">
                  <c:v>194</c:v>
                </c:pt>
              </c:numCache>
            </c:numRef>
          </c:val>
          <c:smooth val="0"/>
        </c:ser>
        <c:dLbls>
          <c:showLegendKey val="0"/>
          <c:showVal val="1"/>
          <c:showCatName val="0"/>
          <c:showSerName val="0"/>
          <c:showPercent val="0"/>
          <c:showBubbleSize val="0"/>
        </c:dLbls>
        <c:marker val="1"/>
        <c:smooth val="0"/>
        <c:axId val="577944192"/>
        <c:axId val="577970560"/>
      </c:lineChart>
      <c:catAx>
        <c:axId val="577944192"/>
        <c:scaling>
          <c:orientation val="minMax"/>
        </c:scaling>
        <c:delete val="0"/>
        <c:axPos val="b"/>
        <c:numFmt formatCode="General" sourceLinked="0"/>
        <c:majorTickMark val="none"/>
        <c:minorTickMark val="none"/>
        <c:tickLblPos val="nextTo"/>
        <c:txPr>
          <a:bodyPr/>
          <a:lstStyle/>
          <a:p>
            <a:pPr>
              <a:defRPr b="1"/>
            </a:pPr>
            <a:endParaRPr lang="ru-RU"/>
          </a:p>
        </c:txPr>
        <c:crossAx val="577970560"/>
        <c:crosses val="autoZero"/>
        <c:auto val="1"/>
        <c:lblAlgn val="ctr"/>
        <c:lblOffset val="100"/>
        <c:noMultiLvlLbl val="0"/>
      </c:catAx>
      <c:valAx>
        <c:axId val="577970560"/>
        <c:scaling>
          <c:orientation val="minMax"/>
        </c:scaling>
        <c:delete val="1"/>
        <c:axPos val="l"/>
        <c:numFmt formatCode="General" sourceLinked="1"/>
        <c:majorTickMark val="out"/>
        <c:minorTickMark val="none"/>
        <c:tickLblPos val="none"/>
        <c:crossAx val="577944192"/>
        <c:crosses val="autoZero"/>
        <c:crossBetween val="between"/>
      </c:valAx>
    </c:plotArea>
    <c:plotVisOnly val="1"/>
    <c:dispBlanksAs val="gap"/>
    <c:showDLblsOverMax val="0"/>
  </c:chart>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'по странам включенное'!$B$2</c:f>
              <c:strCache>
                <c:ptCount val="1"/>
                <c:pt idx="0">
                  <c:v>2010-2011</c:v>
                </c:pt>
              </c:strCache>
            </c:strRef>
          </c:tx>
          <c:invertIfNegative val="0"/>
          <c:cat>
            <c:strRef>
              <c:f>'по странам включенное'!$A$3:$A$8</c:f>
              <c:strCache>
                <c:ptCount val="6"/>
                <c:pt idx="0">
                  <c:v>Великобритания</c:v>
                </c:pt>
                <c:pt idx="1">
                  <c:v>Германия</c:v>
                </c:pt>
                <c:pt idx="2">
                  <c:v>Италия</c:v>
                </c:pt>
                <c:pt idx="3">
                  <c:v>США</c:v>
                </c:pt>
                <c:pt idx="4">
                  <c:v>Финляндия</c:v>
                </c:pt>
                <c:pt idx="5">
                  <c:v>Франция</c:v>
                </c:pt>
              </c:strCache>
            </c:strRef>
          </c:cat>
          <c:val>
            <c:numRef>
              <c:f>'по странам включенное'!$B$3:$B$8</c:f>
              <c:numCache>
                <c:formatCode>General</c:formatCode>
                <c:ptCount val="6"/>
                <c:pt idx="0">
                  <c:v>8</c:v>
                </c:pt>
                <c:pt idx="1">
                  <c:v>12</c:v>
                </c:pt>
                <c:pt idx="2">
                  <c:v>4</c:v>
                </c:pt>
                <c:pt idx="3">
                  <c:v>35</c:v>
                </c:pt>
                <c:pt idx="4">
                  <c:v>2</c:v>
                </c:pt>
                <c:pt idx="5">
                  <c:v>10</c:v>
                </c:pt>
              </c:numCache>
            </c:numRef>
          </c:val>
        </c:ser>
        <c:ser>
          <c:idx val="1"/>
          <c:order val="1"/>
          <c:tx>
            <c:strRef>
              <c:f>'по странам включенное'!$C$2</c:f>
              <c:strCache>
                <c:ptCount val="1"/>
                <c:pt idx="0">
                  <c:v>2011-2012</c:v>
                </c:pt>
              </c:strCache>
            </c:strRef>
          </c:tx>
          <c:invertIfNegative val="0"/>
          <c:cat>
            <c:strRef>
              <c:f>'по странам включенное'!$A$3:$A$8</c:f>
              <c:strCache>
                <c:ptCount val="6"/>
                <c:pt idx="0">
                  <c:v>Великобритания</c:v>
                </c:pt>
                <c:pt idx="1">
                  <c:v>Германия</c:v>
                </c:pt>
                <c:pt idx="2">
                  <c:v>Италия</c:v>
                </c:pt>
                <c:pt idx="3">
                  <c:v>США</c:v>
                </c:pt>
                <c:pt idx="4">
                  <c:v>Финляндия</c:v>
                </c:pt>
                <c:pt idx="5">
                  <c:v>Франция</c:v>
                </c:pt>
              </c:strCache>
            </c:strRef>
          </c:cat>
          <c:val>
            <c:numRef>
              <c:f>'по странам включенное'!$C$3:$C$8</c:f>
              <c:numCache>
                <c:formatCode>General</c:formatCode>
                <c:ptCount val="6"/>
                <c:pt idx="0">
                  <c:v>9</c:v>
                </c:pt>
                <c:pt idx="1">
                  <c:v>19</c:v>
                </c:pt>
                <c:pt idx="2">
                  <c:v>6</c:v>
                </c:pt>
                <c:pt idx="3">
                  <c:v>30</c:v>
                </c:pt>
                <c:pt idx="4">
                  <c:v>4</c:v>
                </c:pt>
                <c:pt idx="5">
                  <c:v>17</c:v>
                </c:pt>
              </c:numCache>
            </c:numRef>
          </c:val>
        </c:ser>
        <c:ser>
          <c:idx val="2"/>
          <c:order val="2"/>
          <c:tx>
            <c:strRef>
              <c:f>'по странам включенное'!$D$2</c:f>
              <c:strCache>
                <c:ptCount val="1"/>
                <c:pt idx="0">
                  <c:v>2012-2013</c:v>
                </c:pt>
              </c:strCache>
            </c:strRef>
          </c:tx>
          <c:invertIfNegative val="0"/>
          <c:cat>
            <c:strRef>
              <c:f>'по странам включенное'!$A$3:$A$8</c:f>
              <c:strCache>
                <c:ptCount val="6"/>
                <c:pt idx="0">
                  <c:v>Великобритания</c:v>
                </c:pt>
                <c:pt idx="1">
                  <c:v>Германия</c:v>
                </c:pt>
                <c:pt idx="2">
                  <c:v>Италия</c:v>
                </c:pt>
                <c:pt idx="3">
                  <c:v>США</c:v>
                </c:pt>
                <c:pt idx="4">
                  <c:v>Финляндия</c:v>
                </c:pt>
                <c:pt idx="5">
                  <c:v>Франция</c:v>
                </c:pt>
              </c:strCache>
            </c:strRef>
          </c:cat>
          <c:val>
            <c:numRef>
              <c:f>'по странам включенное'!$D$3:$D$8</c:f>
              <c:numCache>
                <c:formatCode>General</c:formatCode>
                <c:ptCount val="6"/>
                <c:pt idx="0">
                  <c:v>11</c:v>
                </c:pt>
                <c:pt idx="1">
                  <c:v>51</c:v>
                </c:pt>
                <c:pt idx="2">
                  <c:v>2</c:v>
                </c:pt>
                <c:pt idx="3">
                  <c:v>38</c:v>
                </c:pt>
                <c:pt idx="4">
                  <c:v>4</c:v>
                </c:pt>
                <c:pt idx="5">
                  <c:v>18</c:v>
                </c:pt>
              </c:numCache>
            </c:numRef>
          </c:val>
        </c:ser>
        <c:dLbls>
          <c:showLegendKey val="0"/>
          <c:showVal val="0"/>
          <c:showCatName val="0"/>
          <c:showSerName val="0"/>
          <c:showPercent val="0"/>
          <c:showBubbleSize val="0"/>
        </c:dLbls>
        <c:gapWidth val="150"/>
        <c:axId val="578004480"/>
        <c:axId val="578006016"/>
      </c:barChart>
      <c:catAx>
        <c:axId val="578004480"/>
        <c:scaling>
          <c:orientation val="minMax"/>
        </c:scaling>
        <c:delete val="0"/>
        <c:axPos val="b"/>
        <c:numFmt formatCode="General" sourceLinked="1"/>
        <c:majorTickMark val="out"/>
        <c:minorTickMark val="none"/>
        <c:tickLblPos val="nextTo"/>
        <c:txPr>
          <a:bodyPr/>
          <a:lstStyle/>
          <a:p>
            <a:pPr>
              <a:defRPr b="1"/>
            </a:pPr>
            <a:endParaRPr lang="ru-RU"/>
          </a:p>
        </c:txPr>
        <c:crossAx val="578006016"/>
        <c:crosses val="autoZero"/>
        <c:auto val="1"/>
        <c:lblAlgn val="ctr"/>
        <c:lblOffset val="100"/>
        <c:noMultiLvlLbl val="0"/>
      </c:catAx>
      <c:valAx>
        <c:axId val="578006016"/>
        <c:scaling>
          <c:orientation val="minMax"/>
        </c:scaling>
        <c:delete val="0"/>
        <c:axPos val="l"/>
        <c:majorGridlines/>
        <c:numFmt formatCode="General" sourceLinked="1"/>
        <c:majorTickMark val="out"/>
        <c:minorTickMark val="none"/>
        <c:tickLblPos val="nextTo"/>
        <c:crossAx val="578004480"/>
        <c:crosses val="autoZero"/>
        <c:crossBetween val="between"/>
      </c:valAx>
    </c:plotArea>
    <c:legend>
      <c:legendPos val="r"/>
      <c:overlay val="0"/>
      <c:txPr>
        <a:bodyPr/>
        <a:lstStyle/>
        <a:p>
          <a:pPr>
            <a:defRPr b="1"/>
          </a:pPr>
          <a:endParaRPr lang="ru-RU"/>
        </a:p>
      </c:txPr>
    </c:legend>
    <c:plotVisOnly val="1"/>
    <c:dispBlanksAs val="gap"/>
    <c:showDLblsOverMax val="0"/>
  </c:chart>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Лист1!$C$1</c:f>
              <c:strCache>
                <c:ptCount val="1"/>
                <c:pt idx="0">
                  <c:v>Количество студентов на включенном обучении по направлениям обучения</c:v>
                </c:pt>
              </c:strCache>
            </c:strRef>
          </c:tx>
          <c:dLbls>
            <c:spPr>
              <a:noFill/>
              <a:ln>
                <a:noFill/>
              </a:ln>
              <a:effectLst/>
            </c:spPr>
            <c:txPr>
              <a:bodyPr/>
              <a:lstStyle/>
              <a:p>
                <a:pPr>
                  <a:defRPr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Лист1!$A$2:$B$11</c:f>
              <c:strCache>
                <c:ptCount val="10"/>
                <c:pt idx="0">
                  <c:v>Мировая экономика </c:v>
                </c:pt>
                <c:pt idx="1">
                  <c:v>Экономика</c:v>
                </c:pt>
                <c:pt idx="2">
                  <c:v>Политология</c:v>
                </c:pt>
                <c:pt idx="3">
                  <c:v>Социология</c:v>
                </c:pt>
                <c:pt idx="4">
                  <c:v>Менеджмент</c:v>
                </c:pt>
                <c:pt idx="5">
                  <c:v>Юриспруденция </c:v>
                </c:pt>
                <c:pt idx="6">
                  <c:v>Международные отношения </c:v>
                </c:pt>
                <c:pt idx="7">
                  <c:v>ГМУ</c:v>
                </c:pt>
                <c:pt idx="8">
                  <c:v>Востоковедение</c:v>
                </c:pt>
                <c:pt idx="9">
                  <c:v>Филология</c:v>
                </c:pt>
              </c:strCache>
            </c:strRef>
          </c:cat>
          <c:val>
            <c:numRef>
              <c:f>Лист1!$C$2:$C$11</c:f>
              <c:numCache>
                <c:formatCode>General</c:formatCode>
                <c:ptCount val="10"/>
                <c:pt idx="0">
                  <c:v>15</c:v>
                </c:pt>
                <c:pt idx="1">
                  <c:v>19</c:v>
                </c:pt>
                <c:pt idx="2">
                  <c:v>9</c:v>
                </c:pt>
                <c:pt idx="3">
                  <c:v>9</c:v>
                </c:pt>
                <c:pt idx="4">
                  <c:v>14</c:v>
                </c:pt>
                <c:pt idx="5">
                  <c:v>4</c:v>
                </c:pt>
                <c:pt idx="6">
                  <c:v>8</c:v>
                </c:pt>
                <c:pt idx="7">
                  <c:v>2</c:v>
                </c:pt>
                <c:pt idx="8">
                  <c:v>2</c:v>
                </c:pt>
                <c:pt idx="9">
                  <c:v>3</c:v>
                </c:pt>
              </c:numCache>
            </c:numRef>
          </c:val>
        </c:ser>
        <c:dLbls>
          <c:showLegendKey val="0"/>
          <c:showVal val="0"/>
          <c:showCatName val="0"/>
          <c:showSerName val="0"/>
          <c:showPercent val="1"/>
          <c:showBubbleSize val="0"/>
          <c:showLeaderLines val="1"/>
        </c:dLbls>
        <c:firstSliceAng val="0"/>
      </c:pieChart>
    </c:plotArea>
    <c:legend>
      <c:legendPos val="r"/>
      <c:legendEntry>
        <c:idx val="0"/>
        <c:txPr>
          <a:bodyPr/>
          <a:lstStyle/>
          <a:p>
            <a:pPr>
              <a:defRPr b="1"/>
            </a:pPr>
            <a:endParaRPr lang="ru-RU"/>
          </a:p>
        </c:txPr>
      </c:legendEntry>
      <c:legendEntry>
        <c:idx val="1"/>
        <c:txPr>
          <a:bodyPr/>
          <a:lstStyle/>
          <a:p>
            <a:pPr>
              <a:defRPr b="1"/>
            </a:pPr>
            <a:endParaRPr lang="ru-RU"/>
          </a:p>
        </c:txPr>
      </c:legendEntry>
      <c:legendEntry>
        <c:idx val="2"/>
        <c:txPr>
          <a:bodyPr/>
          <a:lstStyle/>
          <a:p>
            <a:pPr>
              <a:defRPr b="1"/>
            </a:pPr>
            <a:endParaRPr lang="ru-RU"/>
          </a:p>
        </c:txPr>
      </c:legendEntry>
      <c:legendEntry>
        <c:idx val="3"/>
        <c:txPr>
          <a:bodyPr/>
          <a:lstStyle/>
          <a:p>
            <a:pPr>
              <a:defRPr b="1"/>
            </a:pPr>
            <a:endParaRPr lang="ru-RU"/>
          </a:p>
        </c:txPr>
      </c:legendEntry>
      <c:legendEntry>
        <c:idx val="4"/>
        <c:txPr>
          <a:bodyPr/>
          <a:lstStyle/>
          <a:p>
            <a:pPr>
              <a:defRPr b="1"/>
            </a:pPr>
            <a:endParaRPr lang="ru-RU"/>
          </a:p>
        </c:txPr>
      </c:legendEntry>
      <c:legendEntry>
        <c:idx val="5"/>
        <c:txPr>
          <a:bodyPr/>
          <a:lstStyle/>
          <a:p>
            <a:pPr>
              <a:defRPr b="1"/>
            </a:pPr>
            <a:endParaRPr lang="ru-RU"/>
          </a:p>
        </c:txPr>
      </c:legendEntry>
      <c:legendEntry>
        <c:idx val="6"/>
        <c:txPr>
          <a:bodyPr/>
          <a:lstStyle/>
          <a:p>
            <a:pPr>
              <a:defRPr b="1"/>
            </a:pPr>
            <a:endParaRPr lang="ru-RU"/>
          </a:p>
        </c:txPr>
      </c:legendEntry>
      <c:legendEntry>
        <c:idx val="7"/>
        <c:txPr>
          <a:bodyPr/>
          <a:lstStyle/>
          <a:p>
            <a:pPr>
              <a:defRPr b="1"/>
            </a:pPr>
            <a:endParaRPr lang="ru-RU"/>
          </a:p>
        </c:txPr>
      </c:legendEntry>
      <c:legendEntry>
        <c:idx val="8"/>
        <c:txPr>
          <a:bodyPr/>
          <a:lstStyle/>
          <a:p>
            <a:pPr>
              <a:defRPr b="1"/>
            </a:pPr>
            <a:endParaRPr lang="ru-RU"/>
          </a:p>
        </c:txPr>
      </c:legendEntry>
      <c:legendEntry>
        <c:idx val="9"/>
        <c:txPr>
          <a:bodyPr/>
          <a:lstStyle/>
          <a:p>
            <a:pPr>
              <a:defRPr b="1"/>
            </a:pPr>
            <a:endParaRPr lang="ru-RU"/>
          </a:p>
        </c:txPr>
      </c:legendEntry>
      <c:overlay val="0"/>
    </c:legend>
    <c:plotVisOnly val="1"/>
    <c:dispBlanksAs val="zero"/>
    <c:showDLblsOverMax val="0"/>
  </c:chart>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txPr>
        <a:bodyPr/>
        <a:lstStyle/>
        <a:p>
          <a:pPr>
            <a:defRPr sz="1200"/>
          </a:pPr>
          <a:endParaRPr lang="ru-RU"/>
        </a:p>
      </c:txPr>
    </c:title>
    <c:autoTitleDeleted val="0"/>
    <c:plotArea>
      <c:layout>
        <c:manualLayout>
          <c:layoutTarget val="inner"/>
          <c:xMode val="edge"/>
          <c:yMode val="edge"/>
          <c:x val="2.5538973808566654E-2"/>
          <c:y val="0.15997624634705143"/>
          <c:w val="0.94892205238286664"/>
          <c:h val="0.71282812415759067"/>
        </c:manualLayout>
      </c:layout>
      <c:lineChart>
        <c:grouping val="standard"/>
        <c:varyColors val="0"/>
        <c:ser>
          <c:idx val="0"/>
          <c:order val="0"/>
          <c:tx>
            <c:strRef>
              <c:f>'Динамика шорт программ'!$B$1</c:f>
              <c:strCache>
                <c:ptCount val="1"/>
                <c:pt idx="0">
                  <c:v>Количество иностранных студентов - участников краткосрочных программ</c:v>
                </c:pt>
              </c:strCache>
            </c:strRef>
          </c:tx>
          <c:marker>
            <c:symbol val="none"/>
          </c:marker>
          <c:dLbls>
            <c:dLbl>
              <c:idx val="0"/>
              <c:layout>
                <c:manualLayout>
                  <c:x val="-3.5493199713672194E-2"/>
                  <c:y val="2.850356294536819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3289342964361028E-2"/>
                  <c:y val="4.275534441805215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990091321229481E-2"/>
                  <c:y val="3.800475059382420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'Динамика шорт программ'!$A$2:$A$4</c:f>
              <c:strCache>
                <c:ptCount val="3"/>
                <c:pt idx="0">
                  <c:v>2010-2011</c:v>
                </c:pt>
                <c:pt idx="1">
                  <c:v>2011-2012</c:v>
                </c:pt>
                <c:pt idx="2">
                  <c:v>2012-2013</c:v>
                </c:pt>
              </c:strCache>
            </c:strRef>
          </c:cat>
          <c:val>
            <c:numRef>
              <c:f>'Динамика шорт программ'!$B$2:$B$4</c:f>
              <c:numCache>
                <c:formatCode>General</c:formatCode>
                <c:ptCount val="3"/>
                <c:pt idx="0">
                  <c:v>145</c:v>
                </c:pt>
                <c:pt idx="1">
                  <c:v>226</c:v>
                </c:pt>
                <c:pt idx="2">
                  <c:v>181</c:v>
                </c:pt>
              </c:numCache>
            </c:numRef>
          </c:val>
          <c:smooth val="0"/>
        </c:ser>
        <c:dLbls>
          <c:showLegendKey val="0"/>
          <c:showVal val="1"/>
          <c:showCatName val="0"/>
          <c:showSerName val="0"/>
          <c:showPercent val="0"/>
          <c:showBubbleSize val="0"/>
        </c:dLbls>
        <c:marker val="1"/>
        <c:smooth val="0"/>
        <c:axId val="579355008"/>
        <c:axId val="579357696"/>
      </c:lineChart>
      <c:catAx>
        <c:axId val="579355008"/>
        <c:scaling>
          <c:orientation val="minMax"/>
        </c:scaling>
        <c:delete val="0"/>
        <c:axPos val="b"/>
        <c:numFmt formatCode="General" sourceLinked="0"/>
        <c:majorTickMark val="none"/>
        <c:minorTickMark val="none"/>
        <c:tickLblPos val="nextTo"/>
        <c:spPr>
          <a:ln w="9525">
            <a:noFill/>
          </a:ln>
        </c:spPr>
        <c:txPr>
          <a:bodyPr/>
          <a:lstStyle/>
          <a:p>
            <a:pPr>
              <a:defRPr b="1"/>
            </a:pPr>
            <a:endParaRPr lang="ru-RU"/>
          </a:p>
        </c:txPr>
        <c:crossAx val="579357696"/>
        <c:crosses val="autoZero"/>
        <c:auto val="1"/>
        <c:lblAlgn val="ctr"/>
        <c:lblOffset val="100"/>
        <c:noMultiLvlLbl val="0"/>
      </c:catAx>
      <c:valAx>
        <c:axId val="579357696"/>
        <c:scaling>
          <c:orientation val="minMax"/>
        </c:scaling>
        <c:delete val="1"/>
        <c:axPos val="l"/>
        <c:numFmt formatCode="General" sourceLinked="1"/>
        <c:majorTickMark val="none"/>
        <c:minorTickMark val="none"/>
        <c:tickLblPos val="none"/>
        <c:crossAx val="579355008"/>
        <c:crosses val="autoZero"/>
        <c:crossBetween val="between"/>
      </c:valAx>
    </c:plotArea>
    <c:plotVisOnly val="1"/>
    <c:dispBlanksAs val="gap"/>
    <c:showDLblsOverMax val="0"/>
  </c:chart>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1"/>
    <c:plotArea>
      <c:layout/>
      <c:barChart>
        <c:barDir val="bar"/>
        <c:grouping val="clustered"/>
        <c:varyColors val="0"/>
        <c:ser>
          <c:idx val="0"/>
          <c:order val="0"/>
          <c:tx>
            <c:strRef>
              <c:f>'летние школы'!$B$2</c:f>
              <c:strCache>
                <c:ptCount val="1"/>
                <c:pt idx="0">
                  <c:v>Количество студентов-участников летних школ 2012-2013</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'летние школы'!$A$3:$A$12</c:f>
              <c:strCache>
                <c:ptCount val="10"/>
                <c:pt idx="0">
                  <c:v>Летняя школа "Culture, Public Policy and Administration in Russia"</c:v>
                </c:pt>
                <c:pt idx="1">
                  <c:v>Международная школа по киберправу</c:v>
                </c:pt>
                <c:pt idx="2">
                  <c:v>Международная летняя школа "Анализ социальных сетей: Исследование интернета", Санкт-Петербург</c:v>
                </c:pt>
                <c:pt idx="3">
                  <c:v>Зимняя школа политологов</c:v>
                </c:pt>
                <c:pt idx="4">
                  <c:v>Летняя школа "Русский язык как иностранный", Нижний Новогород </c:v>
                </c:pt>
                <c:pt idx="5">
                  <c:v>Российско-китайская летняя школа</c:v>
                </c:pt>
                <c:pt idx="6">
                  <c:v>Международная летняя школа исторического факультета, Санкт-Петербург</c:v>
                </c:pt>
                <c:pt idx="7">
                  <c:v>Летняя школа "Современный русский язык", Нижний Новгород</c:v>
                </c:pt>
                <c:pt idx="8">
                  <c:v>Летняя языковая школа по русскому языку "Москва-Техас"</c:v>
                </c:pt>
                <c:pt idx="9">
                  <c:v>Летняя школа "Exploring Enterpreneurship at the Heart of the European Economy"</c:v>
                </c:pt>
              </c:strCache>
            </c:strRef>
          </c:cat>
          <c:val>
            <c:numRef>
              <c:f>'летние школы'!$B$3:$B$12</c:f>
              <c:numCache>
                <c:formatCode>General</c:formatCode>
                <c:ptCount val="10"/>
                <c:pt idx="0">
                  <c:v>6</c:v>
                </c:pt>
                <c:pt idx="1">
                  <c:v>7</c:v>
                </c:pt>
                <c:pt idx="2">
                  <c:v>8</c:v>
                </c:pt>
                <c:pt idx="3">
                  <c:v>9</c:v>
                </c:pt>
                <c:pt idx="4">
                  <c:v>12</c:v>
                </c:pt>
                <c:pt idx="5">
                  <c:v>14</c:v>
                </c:pt>
                <c:pt idx="6">
                  <c:v>15</c:v>
                </c:pt>
                <c:pt idx="7">
                  <c:v>23</c:v>
                </c:pt>
                <c:pt idx="8">
                  <c:v>26</c:v>
                </c:pt>
                <c:pt idx="9">
                  <c:v>28</c:v>
                </c:pt>
              </c:numCache>
            </c:numRef>
          </c:val>
        </c:ser>
        <c:dLbls>
          <c:showLegendKey val="0"/>
          <c:showVal val="1"/>
          <c:showCatName val="0"/>
          <c:showSerName val="0"/>
          <c:showPercent val="0"/>
          <c:showBubbleSize val="0"/>
        </c:dLbls>
        <c:gapWidth val="75"/>
        <c:axId val="579397504"/>
        <c:axId val="579408640"/>
      </c:barChart>
      <c:catAx>
        <c:axId val="579397504"/>
        <c:scaling>
          <c:orientation val="minMax"/>
        </c:scaling>
        <c:delete val="0"/>
        <c:axPos val="l"/>
        <c:numFmt formatCode="General" sourceLinked="0"/>
        <c:majorTickMark val="none"/>
        <c:minorTickMark val="none"/>
        <c:tickLblPos val="nextTo"/>
        <c:txPr>
          <a:bodyPr/>
          <a:lstStyle/>
          <a:p>
            <a:pPr>
              <a:defRPr sz="900" b="0"/>
            </a:pPr>
            <a:endParaRPr lang="ru-RU"/>
          </a:p>
        </c:txPr>
        <c:crossAx val="579408640"/>
        <c:crosses val="autoZero"/>
        <c:auto val="1"/>
        <c:lblAlgn val="ctr"/>
        <c:lblOffset val="100"/>
        <c:noMultiLvlLbl val="0"/>
      </c:catAx>
      <c:valAx>
        <c:axId val="579408640"/>
        <c:scaling>
          <c:orientation val="minMax"/>
        </c:scaling>
        <c:delete val="0"/>
        <c:axPos val="b"/>
        <c:numFmt formatCode="General" sourceLinked="1"/>
        <c:majorTickMark val="none"/>
        <c:minorTickMark val="none"/>
        <c:tickLblPos val="nextTo"/>
        <c:crossAx val="579397504"/>
        <c:crosses val="autoZero"/>
        <c:crossBetween val="between"/>
      </c:valAx>
    </c:plotArea>
    <c:legend>
      <c:legendPos val="b"/>
      <c:overlay val="0"/>
    </c:legend>
    <c:plotVisOnly val="1"/>
    <c:dispBlanksAs val="gap"/>
    <c:showDLblsOverMax val="0"/>
  </c:chart>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623840045114585E-2"/>
          <c:y val="0"/>
          <c:w val="0.93764015200932804"/>
          <c:h val="1"/>
        </c:manualLayout>
      </c:layout>
      <c:doughnutChart>
        <c:varyColors val="1"/>
        <c:ser>
          <c:idx val="0"/>
          <c:order val="0"/>
          <c:explosion val="25"/>
          <c:dLbls>
            <c:dLbl>
              <c:idx val="6"/>
              <c:layout>
                <c:manualLayout>
                  <c:x val="-1.0405376821435899E-2"/>
                  <c:y val="2.0188109247006588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2.2544983113111202E-2"/>
                  <c:y val="2.0188109247006588E-2"/>
                </c:manualLayout>
              </c:layout>
              <c:spPr/>
              <c:txPr>
                <a:bodyPr rot="-180000" vert="horz" anchor="ctr" anchorCtr="0"/>
                <a:lstStyle/>
                <a:p>
                  <a:pPr>
                    <a:defRPr/>
                  </a:pPr>
                  <a:endParaRPr lang="ru-RU"/>
                </a:p>
              </c:txPr>
              <c:showLegendKey val="0"/>
              <c:showVal val="1"/>
              <c:showCatName val="1"/>
              <c:showSerName val="0"/>
              <c:showPercent val="0"/>
              <c:showBubbleSize val="0"/>
              <c:separator> </c:separator>
              <c:extLst>
                <c:ext xmlns:c15="http://schemas.microsoft.com/office/drawing/2012/chart" uri="{CE6537A1-D6FC-4f65-9D91-7224C49458BB}"/>
              </c:extLst>
            </c:dLbl>
            <c:dLbl>
              <c:idx val="12"/>
              <c:spPr/>
              <c:txPr>
                <a:bodyPr rot="2100000" vert="horz" anchor="ctr" anchorCtr="0"/>
                <a:lstStyle/>
                <a:p>
                  <a:pPr>
                    <a:defRPr/>
                  </a:pPr>
                  <a:endParaRPr lang="ru-RU"/>
                </a:p>
              </c:txPr>
              <c:showLegendKey val="0"/>
              <c:showVal val="1"/>
              <c:showCatName val="1"/>
              <c:showSerName val="0"/>
              <c:showPercent val="0"/>
              <c:showBubbleSize val="0"/>
              <c:extLst>
                <c:ext xmlns:c15="http://schemas.microsoft.com/office/drawing/2012/chart" uri="{CE6537A1-D6FC-4f65-9D91-7224C49458BB}"/>
              </c:extLst>
            </c:dLbl>
            <c:dLbl>
              <c:idx val="13"/>
              <c:spPr/>
              <c:txPr>
                <a:bodyPr rot="2640000" vert="horz" anchor="ctr" anchorCtr="0"/>
                <a:lstStyle/>
                <a:p>
                  <a:pPr>
                    <a:defRPr/>
                  </a:pPr>
                  <a:endParaRPr lang="ru-RU"/>
                </a:p>
              </c:txPr>
              <c:showLegendKey val="0"/>
              <c:showVal val="1"/>
              <c:showCatName val="1"/>
              <c:showSerName val="0"/>
              <c:showPercent val="0"/>
              <c:showBubbleSize val="0"/>
              <c:extLst>
                <c:ext xmlns:c15="http://schemas.microsoft.com/office/drawing/2012/chart" uri="{CE6537A1-D6FC-4f65-9D91-7224C49458BB}"/>
              </c:extLst>
            </c:dLbl>
            <c:dLbl>
              <c:idx val="14"/>
              <c:spPr/>
              <c:txPr>
                <a:bodyPr rot="2820000" vert="horz" anchor="ctr" anchorCtr="0"/>
                <a:lstStyle/>
                <a:p>
                  <a:pPr>
                    <a:defRPr/>
                  </a:pPr>
                  <a:endParaRPr lang="ru-RU"/>
                </a:p>
              </c:txPr>
              <c:showLegendKey val="0"/>
              <c:showVal val="1"/>
              <c:showCatName val="1"/>
              <c:showSerName val="0"/>
              <c:showPercent val="0"/>
              <c:showBubbleSize val="0"/>
              <c:extLst>
                <c:ext xmlns:c15="http://schemas.microsoft.com/office/drawing/2012/chart" uri="{CE6537A1-D6FC-4f65-9D91-7224C49458BB}"/>
              </c:extLst>
            </c:dLbl>
            <c:dLbl>
              <c:idx val="15"/>
              <c:spPr/>
              <c:txPr>
                <a:bodyPr rot="3480000" vert="horz" anchor="ctr" anchorCtr="0"/>
                <a:lstStyle/>
                <a:p>
                  <a:pPr>
                    <a:defRPr/>
                  </a:pPr>
                  <a:endParaRPr lang="ru-RU"/>
                </a:p>
              </c:txPr>
              <c:showLegendKey val="0"/>
              <c:showVal val="1"/>
              <c:showCatName val="1"/>
              <c:showSerName val="0"/>
              <c:showPercent val="0"/>
              <c:showBubbleSize val="0"/>
              <c:extLst>
                <c:ext xmlns:c15="http://schemas.microsoft.com/office/drawing/2012/chart" uri="{CE6537A1-D6FC-4f65-9D91-7224C49458BB}"/>
              </c:extLst>
            </c:dLbl>
            <c:dLbl>
              <c:idx val="16"/>
              <c:spPr/>
              <c:txPr>
                <a:bodyPr rot="4320000" vert="horz" anchor="ctr" anchorCtr="0"/>
                <a:lstStyle/>
                <a:p>
                  <a:pPr>
                    <a:defRPr/>
                  </a:pPr>
                  <a:endParaRPr lang="ru-RU"/>
                </a:p>
              </c:txPr>
              <c:showLegendKey val="0"/>
              <c:showVal val="1"/>
              <c:showCatName val="1"/>
              <c:showSerName val="0"/>
              <c:showPercent val="0"/>
              <c:showBubbleSize val="0"/>
              <c:extLst>
                <c:ext xmlns:c15="http://schemas.microsoft.com/office/drawing/2012/chart" uri="{CE6537A1-D6FC-4f65-9D91-7224C49458BB}"/>
              </c:extLst>
            </c:dLbl>
            <c:dLbl>
              <c:idx val="17"/>
              <c:spPr/>
              <c:txPr>
                <a:bodyPr rot="4320000" vert="horz" anchor="ctr" anchorCtr="0"/>
                <a:lstStyle/>
                <a:p>
                  <a:pPr>
                    <a:defRPr/>
                  </a:pPr>
                  <a:endParaRPr lang="ru-RU"/>
                </a:p>
              </c:txPr>
              <c:showLegendKey val="0"/>
              <c:showVal val="1"/>
              <c:showCatName val="1"/>
              <c:showSerName val="0"/>
              <c:showPercent val="0"/>
              <c:showBubbleSize val="0"/>
              <c:extLst>
                <c:ext xmlns:c15="http://schemas.microsoft.com/office/drawing/2012/chart" uri="{CE6537A1-D6FC-4f65-9D91-7224C49458BB}"/>
              </c:extLst>
            </c:dLbl>
            <c:dLbl>
              <c:idx val="18"/>
              <c:spPr/>
              <c:txPr>
                <a:bodyPr rot="4860000" vert="horz" anchor="ctr" anchorCtr="0"/>
                <a:lstStyle/>
                <a:p>
                  <a:pPr>
                    <a:defRPr/>
                  </a:pPr>
                  <a:endParaRPr lang="ru-RU"/>
                </a:p>
              </c:txPr>
              <c:showLegendKey val="0"/>
              <c:showVal val="1"/>
              <c:showCatName val="1"/>
              <c:showSerName val="0"/>
              <c:showPercent val="0"/>
              <c:showBubbleSize val="0"/>
              <c:extLst>
                <c:ext xmlns:c15="http://schemas.microsoft.com/office/drawing/2012/chart" uri="{CE6537A1-D6FC-4f65-9D91-7224C49458BB}"/>
              </c:extLst>
            </c:dLbl>
            <c:dLbl>
              <c:idx val="19"/>
              <c:spPr/>
              <c:txPr>
                <a:bodyPr rot="5400000" vert="horz" anchor="ctr" anchorCtr="0"/>
                <a:lstStyle/>
                <a:p>
                  <a:pPr>
                    <a:defRPr/>
                  </a:pPr>
                  <a:endParaRPr lang="ru-RU"/>
                </a:p>
              </c:txPr>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vert="horz" anchor="ctr" anchorCtr="0"/>
              <a:lstStyle/>
              <a:p>
                <a:pPr>
                  <a:defRPr/>
                </a:pPr>
                <a:endParaRPr lang="ru-RU"/>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Лист1!$A$93:$A$112</c:f>
              <c:strCache>
                <c:ptCount val="20"/>
                <c:pt idx="0">
                  <c:v> Германия</c:v>
                </c:pt>
                <c:pt idx="1">
                  <c:v> США</c:v>
                </c:pt>
                <c:pt idx="2">
                  <c:v> Украина</c:v>
                </c:pt>
                <c:pt idx="3">
                  <c:v> Япония</c:v>
                </c:pt>
                <c:pt idx="4">
                  <c:v> Белоруссия</c:v>
                </c:pt>
                <c:pt idx="5">
                  <c:v> Корея</c:v>
                </c:pt>
                <c:pt idx="6">
                  <c:v> Аргентина</c:v>
                </c:pt>
                <c:pt idx="7">
                  <c:v> Великобритания</c:v>
                </c:pt>
                <c:pt idx="8">
                  <c:v> Греция</c:v>
                </c:pt>
                <c:pt idx="9">
                  <c:v> Китай</c:v>
                </c:pt>
                <c:pt idx="10">
                  <c:v> Турция</c:v>
                </c:pt>
                <c:pt idx="11">
                  <c:v> Эстония</c:v>
                </c:pt>
                <c:pt idx="12">
                  <c:v> Австралия</c:v>
                </c:pt>
                <c:pt idx="13">
                  <c:v> Болгария</c:v>
                </c:pt>
                <c:pt idx="14">
                  <c:v> Испания</c:v>
                </c:pt>
                <c:pt idx="15">
                  <c:v> Казахстан</c:v>
                </c:pt>
                <c:pt idx="16">
                  <c:v> Канада</c:v>
                </c:pt>
                <c:pt idx="17">
                  <c:v> Мексика</c:v>
                </c:pt>
                <c:pt idx="18">
                  <c:v> Польша</c:v>
                </c:pt>
                <c:pt idx="19">
                  <c:v> Франция</c:v>
                </c:pt>
              </c:strCache>
            </c:strRef>
          </c:cat>
          <c:val>
            <c:numRef>
              <c:f>Лист1!$B$93:$B$112</c:f>
              <c:numCache>
                <c:formatCode>General</c:formatCode>
                <c:ptCount val="20"/>
                <c:pt idx="0">
                  <c:v>8</c:v>
                </c:pt>
                <c:pt idx="1">
                  <c:v>5</c:v>
                </c:pt>
                <c:pt idx="2">
                  <c:v>5</c:v>
                </c:pt>
                <c:pt idx="3">
                  <c:v>5</c:v>
                </c:pt>
                <c:pt idx="4">
                  <c:v>3</c:v>
                </c:pt>
                <c:pt idx="5">
                  <c:v>3</c:v>
                </c:pt>
                <c:pt idx="6">
                  <c:v>2</c:v>
                </c:pt>
                <c:pt idx="7">
                  <c:v>2</c:v>
                </c:pt>
                <c:pt idx="8">
                  <c:v>2</c:v>
                </c:pt>
                <c:pt idx="9">
                  <c:v>2</c:v>
                </c:pt>
                <c:pt idx="10">
                  <c:v>2</c:v>
                </c:pt>
                <c:pt idx="11">
                  <c:v>2</c:v>
                </c:pt>
                <c:pt idx="12">
                  <c:v>1</c:v>
                </c:pt>
                <c:pt idx="13">
                  <c:v>1</c:v>
                </c:pt>
                <c:pt idx="14">
                  <c:v>1</c:v>
                </c:pt>
                <c:pt idx="15">
                  <c:v>1</c:v>
                </c:pt>
                <c:pt idx="16">
                  <c:v>1</c:v>
                </c:pt>
                <c:pt idx="17">
                  <c:v>1</c:v>
                </c:pt>
                <c:pt idx="18">
                  <c:v>1</c:v>
                </c:pt>
                <c:pt idx="19">
                  <c:v>1</c:v>
                </c:pt>
              </c:numCache>
            </c:numRef>
          </c:val>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b="1" i="0" baseline="0"/>
              <a:t>Распределение среднего числ форм итогового контроля </a:t>
            </a:r>
          </a:p>
          <a:p>
            <a:pPr>
              <a:defRPr/>
            </a:pPr>
            <a:r>
              <a:rPr lang="ru-RU" sz="1000" b="1" i="0" baseline="0"/>
              <a:t>по модулям (специалитет) НИУ ВШЭ (Москва)</a:t>
            </a:r>
            <a:endParaRPr lang="ru-RU" sz="1000" baseline="0"/>
          </a:p>
        </c:rich>
      </c:tx>
      <c:overlay val="0"/>
    </c:title>
    <c:autoTitleDeleted val="0"/>
    <c:plotArea>
      <c:layout/>
      <c:lineChart>
        <c:grouping val="standard"/>
        <c:varyColors val="0"/>
        <c:ser>
          <c:idx val="0"/>
          <c:order val="0"/>
          <c:tx>
            <c:strRef>
              <c:f>СПЕЦ!$C$2</c:f>
              <c:strCache>
                <c:ptCount val="1"/>
                <c:pt idx="0">
                  <c:v>2010/2011</c:v>
                </c:pt>
              </c:strCache>
            </c:strRef>
          </c:tx>
          <c:marker>
            <c:symbol val="none"/>
          </c:marker>
          <c:cat>
            <c:numRef>
              <c:f>СПЕЦ!$B$3:$B$6</c:f>
              <c:numCache>
                <c:formatCode>General</c:formatCode>
                <c:ptCount val="4"/>
                <c:pt idx="0">
                  <c:v>1</c:v>
                </c:pt>
                <c:pt idx="1">
                  <c:v>2</c:v>
                </c:pt>
                <c:pt idx="2">
                  <c:v>3</c:v>
                </c:pt>
                <c:pt idx="3">
                  <c:v>4</c:v>
                </c:pt>
              </c:numCache>
            </c:numRef>
          </c:cat>
          <c:val>
            <c:numRef>
              <c:f>СПЕЦ!$C$3:$C$6</c:f>
              <c:numCache>
                <c:formatCode>General</c:formatCode>
                <c:ptCount val="4"/>
                <c:pt idx="0">
                  <c:v>1.5</c:v>
                </c:pt>
                <c:pt idx="1">
                  <c:v>5.5</c:v>
                </c:pt>
                <c:pt idx="2">
                  <c:v>4.4000000000000004</c:v>
                </c:pt>
                <c:pt idx="3">
                  <c:v>7.3</c:v>
                </c:pt>
              </c:numCache>
            </c:numRef>
          </c:val>
          <c:smooth val="0"/>
        </c:ser>
        <c:ser>
          <c:idx val="1"/>
          <c:order val="1"/>
          <c:tx>
            <c:strRef>
              <c:f>СПЕЦ!$D$2</c:f>
              <c:strCache>
                <c:ptCount val="1"/>
                <c:pt idx="0">
                  <c:v>2011/2012</c:v>
                </c:pt>
              </c:strCache>
            </c:strRef>
          </c:tx>
          <c:marker>
            <c:symbol val="none"/>
          </c:marker>
          <c:cat>
            <c:numRef>
              <c:f>СПЕЦ!$B$3:$B$6</c:f>
              <c:numCache>
                <c:formatCode>General</c:formatCode>
                <c:ptCount val="4"/>
                <c:pt idx="0">
                  <c:v>1</c:v>
                </c:pt>
                <c:pt idx="1">
                  <c:v>2</c:v>
                </c:pt>
                <c:pt idx="2">
                  <c:v>3</c:v>
                </c:pt>
                <c:pt idx="3">
                  <c:v>4</c:v>
                </c:pt>
              </c:numCache>
            </c:numRef>
          </c:cat>
          <c:val>
            <c:numRef>
              <c:f>СПЕЦ!$D$3:$D$6</c:f>
              <c:numCache>
                <c:formatCode>General</c:formatCode>
                <c:ptCount val="4"/>
                <c:pt idx="0">
                  <c:v>1.8</c:v>
                </c:pt>
                <c:pt idx="1">
                  <c:v>5.4</c:v>
                </c:pt>
                <c:pt idx="2">
                  <c:v>4</c:v>
                </c:pt>
                <c:pt idx="3">
                  <c:v>7</c:v>
                </c:pt>
              </c:numCache>
            </c:numRef>
          </c:val>
          <c:smooth val="0"/>
        </c:ser>
        <c:ser>
          <c:idx val="2"/>
          <c:order val="2"/>
          <c:tx>
            <c:strRef>
              <c:f>СПЕЦ!$E$2</c:f>
              <c:strCache>
                <c:ptCount val="1"/>
                <c:pt idx="0">
                  <c:v>2012/2013</c:v>
                </c:pt>
              </c:strCache>
            </c:strRef>
          </c:tx>
          <c:marker>
            <c:symbol val="none"/>
          </c:marker>
          <c:cat>
            <c:numRef>
              <c:f>СПЕЦ!$B$3:$B$6</c:f>
              <c:numCache>
                <c:formatCode>General</c:formatCode>
                <c:ptCount val="4"/>
                <c:pt idx="0">
                  <c:v>1</c:v>
                </c:pt>
                <c:pt idx="1">
                  <c:v>2</c:v>
                </c:pt>
                <c:pt idx="2">
                  <c:v>3</c:v>
                </c:pt>
                <c:pt idx="3">
                  <c:v>4</c:v>
                </c:pt>
              </c:numCache>
            </c:numRef>
          </c:cat>
          <c:val>
            <c:numRef>
              <c:f>СПЕЦ!$E$3:$E$6</c:f>
              <c:numCache>
                <c:formatCode>General</c:formatCode>
                <c:ptCount val="4"/>
                <c:pt idx="0">
                  <c:v>3</c:v>
                </c:pt>
                <c:pt idx="1">
                  <c:v>4.84</c:v>
                </c:pt>
                <c:pt idx="2">
                  <c:v>2.5299999999999998</c:v>
                </c:pt>
                <c:pt idx="3">
                  <c:v>3.4499999999999997</c:v>
                </c:pt>
              </c:numCache>
            </c:numRef>
          </c:val>
          <c:smooth val="0"/>
        </c:ser>
        <c:dLbls>
          <c:showLegendKey val="0"/>
          <c:showVal val="0"/>
          <c:showCatName val="0"/>
          <c:showSerName val="0"/>
          <c:showPercent val="0"/>
          <c:showBubbleSize val="0"/>
        </c:dLbls>
        <c:hiLowLines/>
        <c:marker val="1"/>
        <c:smooth val="0"/>
        <c:axId val="439895168"/>
        <c:axId val="439897088"/>
      </c:lineChart>
      <c:catAx>
        <c:axId val="439895168"/>
        <c:scaling>
          <c:orientation val="minMax"/>
        </c:scaling>
        <c:delete val="0"/>
        <c:axPos val="b"/>
        <c:title>
          <c:tx>
            <c:rich>
              <a:bodyPr/>
              <a:lstStyle/>
              <a:p>
                <a:pPr>
                  <a:defRPr/>
                </a:pPr>
                <a:r>
                  <a:rPr lang="ru-RU"/>
                  <a:t>Модули</a:t>
                </a:r>
              </a:p>
            </c:rich>
          </c:tx>
          <c:overlay val="0"/>
        </c:title>
        <c:numFmt formatCode="General" sourceLinked="1"/>
        <c:majorTickMark val="none"/>
        <c:minorTickMark val="none"/>
        <c:tickLblPos val="nextTo"/>
        <c:crossAx val="439897088"/>
        <c:crosses val="autoZero"/>
        <c:auto val="1"/>
        <c:lblAlgn val="ctr"/>
        <c:lblOffset val="100"/>
        <c:noMultiLvlLbl val="0"/>
      </c:catAx>
      <c:valAx>
        <c:axId val="439897088"/>
        <c:scaling>
          <c:orientation val="minMax"/>
          <c:max val="8"/>
          <c:min val="0"/>
        </c:scaling>
        <c:delete val="0"/>
        <c:axPos val="l"/>
        <c:majorGridlines/>
        <c:title>
          <c:tx>
            <c:rich>
              <a:bodyPr/>
              <a:lstStyle/>
              <a:p>
                <a:pPr>
                  <a:defRPr/>
                </a:pPr>
                <a:r>
                  <a:rPr lang="ru-RU" sz="1000" b="1" i="0" baseline="0"/>
                  <a:t>Среднее кол-во форм </a:t>
                </a:r>
              </a:p>
              <a:p>
                <a:pPr>
                  <a:defRPr/>
                </a:pPr>
                <a:r>
                  <a:rPr lang="ru-RU" sz="1000" b="1" i="0" baseline="0"/>
                  <a:t>итогового контроля</a:t>
                </a:r>
                <a:endParaRPr lang="ru-RU" sz="1000" baseline="0"/>
              </a:p>
            </c:rich>
          </c:tx>
          <c:layout>
            <c:manualLayout>
              <c:xMode val="edge"/>
              <c:yMode val="edge"/>
              <c:x val="1.9444444444444403E-2"/>
              <c:y val="0.16064814814814801"/>
            </c:manualLayout>
          </c:layout>
          <c:overlay val="0"/>
        </c:title>
        <c:numFmt formatCode="General" sourceLinked="1"/>
        <c:majorTickMark val="out"/>
        <c:minorTickMark val="none"/>
        <c:tickLblPos val="nextTo"/>
        <c:crossAx val="439895168"/>
        <c:crosses val="autoZero"/>
        <c:crossBetween val="between"/>
        <c:majorUnit val="2"/>
        <c:minorUnit val="0.2"/>
      </c:valAx>
    </c:plotArea>
    <c:legend>
      <c:legendPos val="r"/>
      <c:overlay val="0"/>
    </c:legend>
    <c:plotVisOnly val="1"/>
    <c:dispBlanksAs val="gap"/>
    <c:showDLblsOverMax val="0"/>
  </c:chart>
  <c:txPr>
    <a:bodyPr/>
    <a:lstStyle/>
    <a:p>
      <a:pPr>
        <a:defRPr baseline="0">
          <a:latin typeface="Times New Roman" pitchFamily="18" charset="0"/>
        </a:defRPr>
      </a:pPr>
      <a:endParaRPr lang="ru-RU"/>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200"/>
            </a:pPr>
            <a:r>
              <a:rPr lang="ru-RU" sz="1200"/>
              <a:t>Возрастной состав иностранных преподавателей, чел</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Лист1!$A$23:$A$32</c:f>
              <c:strCache>
                <c:ptCount val="10"/>
                <c:pt idx="0">
                  <c:v>менее 25 лет</c:v>
                </c:pt>
                <c:pt idx="1">
                  <c:v> 25-29 лет</c:v>
                </c:pt>
                <c:pt idx="2">
                  <c:v> 30-34 лет </c:v>
                </c:pt>
                <c:pt idx="3">
                  <c:v> 35-39 лет </c:v>
                </c:pt>
                <c:pt idx="4">
                  <c:v> 40-44 лет</c:v>
                </c:pt>
                <c:pt idx="5">
                  <c:v> 45-49 лет</c:v>
                </c:pt>
                <c:pt idx="6">
                  <c:v> 50-54 лет</c:v>
                </c:pt>
                <c:pt idx="7">
                  <c:v> 55-59 лет</c:v>
                </c:pt>
                <c:pt idx="8">
                  <c:v> 60-64 лет</c:v>
                </c:pt>
                <c:pt idx="9">
                  <c:v> 65лет  и более</c:v>
                </c:pt>
              </c:strCache>
            </c:strRef>
          </c:cat>
          <c:val>
            <c:numRef>
              <c:f>Лист1!$B$23:$B$32</c:f>
              <c:numCache>
                <c:formatCode>General</c:formatCode>
                <c:ptCount val="10"/>
                <c:pt idx="0">
                  <c:v>1</c:v>
                </c:pt>
                <c:pt idx="1">
                  <c:v>5</c:v>
                </c:pt>
                <c:pt idx="2">
                  <c:v>15</c:v>
                </c:pt>
                <c:pt idx="3">
                  <c:v>10</c:v>
                </c:pt>
                <c:pt idx="4">
                  <c:v>3</c:v>
                </c:pt>
                <c:pt idx="5">
                  <c:v>5</c:v>
                </c:pt>
                <c:pt idx="6">
                  <c:v>3</c:v>
                </c:pt>
                <c:pt idx="7">
                  <c:v>2</c:v>
                </c:pt>
                <c:pt idx="8">
                  <c:v>3</c:v>
                </c:pt>
                <c:pt idx="9">
                  <c:v>2</c:v>
                </c:pt>
              </c:numCache>
            </c:numRef>
          </c:val>
        </c:ser>
        <c:dLbls>
          <c:showLegendKey val="0"/>
          <c:showVal val="1"/>
          <c:showCatName val="0"/>
          <c:showSerName val="0"/>
          <c:showPercent val="0"/>
          <c:showBubbleSize val="0"/>
        </c:dLbls>
        <c:gapWidth val="150"/>
        <c:shape val="cylinder"/>
        <c:axId val="579757568"/>
        <c:axId val="579768704"/>
        <c:axId val="0"/>
      </c:bar3DChart>
      <c:catAx>
        <c:axId val="579757568"/>
        <c:scaling>
          <c:orientation val="minMax"/>
        </c:scaling>
        <c:delete val="0"/>
        <c:axPos val="b"/>
        <c:numFmt formatCode="General" sourceLinked="0"/>
        <c:majorTickMark val="none"/>
        <c:minorTickMark val="none"/>
        <c:tickLblPos val="nextTo"/>
        <c:txPr>
          <a:bodyPr/>
          <a:lstStyle/>
          <a:p>
            <a:pPr>
              <a:defRPr>
                <a:latin typeface="Arial" pitchFamily="34" charset="0"/>
                <a:cs typeface="Arial" pitchFamily="34" charset="0"/>
              </a:defRPr>
            </a:pPr>
            <a:endParaRPr lang="ru-RU"/>
          </a:p>
        </c:txPr>
        <c:crossAx val="579768704"/>
        <c:crosses val="autoZero"/>
        <c:auto val="1"/>
        <c:lblAlgn val="ctr"/>
        <c:lblOffset val="100"/>
        <c:noMultiLvlLbl val="0"/>
      </c:catAx>
      <c:valAx>
        <c:axId val="579768704"/>
        <c:scaling>
          <c:orientation val="minMax"/>
        </c:scaling>
        <c:delete val="1"/>
        <c:axPos val="l"/>
        <c:numFmt formatCode="General" sourceLinked="1"/>
        <c:majorTickMark val="none"/>
        <c:minorTickMark val="none"/>
        <c:tickLblPos val="none"/>
        <c:crossAx val="579757568"/>
        <c:crosses val="autoZero"/>
        <c:crossBetween val="between"/>
      </c:valAx>
    </c:plotArea>
    <c:plotVisOnly val="1"/>
    <c:dispBlanksAs val="gap"/>
    <c:showDLblsOverMax val="0"/>
  </c:chart>
  <c:spPr>
    <a:ln>
      <a:noFill/>
    </a:ln>
  </c:sp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Распределение иностранных преподавателей по подразделениям, чел </a:t>
            </a:r>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Лист1!$A$43:$A$66</c:f>
              <c:strCache>
                <c:ptCount val="24"/>
                <c:pt idx="0">
                  <c:v> Международный институт экономики и финансов</c:v>
                </c:pt>
                <c:pt idx="1">
                  <c:v> Кафедра восточной филологии Отделения востоковедения Факультета философии</c:v>
                </c:pt>
                <c:pt idx="2">
                  <c:v> Факультет социологии</c:v>
                </c:pt>
                <c:pt idx="3">
                  <c:v> Факультет математики</c:v>
                </c:pt>
                <c:pt idx="4">
                  <c:v> Факультет экономики</c:v>
                </c:pt>
                <c:pt idx="5">
                  <c:v> Факультет менеджмента</c:v>
                </c:pt>
                <c:pt idx="6">
                  <c:v> Кафедра психологии личности Факультета психологии</c:v>
                </c:pt>
                <c:pt idx="7">
                  <c:v> Факультет филологии</c:v>
                </c:pt>
                <c:pt idx="8">
                  <c:v> Базовая кафедра «УАЙТ ЭНД КЕЙС» Факультета права</c:v>
                </c:pt>
                <c:pt idx="9">
                  <c:v> Кафедра анализа социальных институтов Факультета социологии</c:v>
                </c:pt>
                <c:pt idx="10">
                  <c:v> Кафедра макроэкономического анализа Учебно-научного департамента теоретической экономики Факультета экономики </c:v>
                </c:pt>
                <c:pt idx="11">
                  <c:v> Кафедра международного частного права Факультета права</c:v>
                </c:pt>
                <c:pt idx="12">
                  <c:v> Кафедра международных валютно-финансовых отношений </c:v>
                </c:pt>
                <c:pt idx="13">
                  <c:v> Кафедра мировой политики Факультета мировой экономики и мировой политики</c:v>
                </c:pt>
                <c:pt idx="14">
                  <c:v> Кафедра наук о культуре Отделения культурологии Факультета философии</c:v>
                </c:pt>
                <c:pt idx="15">
                  <c:v> Кафедра общего и стратегического менеджмента Факультета менеджмента</c:v>
                </c:pt>
                <c:pt idx="16">
                  <c:v> Кафедра сравнительной политологии Факультета прикладной политологии</c:v>
                </c:pt>
                <c:pt idx="17">
                  <c:v> Кафедра экономики и управления в негосударственных некоммерческих организациях Факультета ГИМУ</c:v>
                </c:pt>
                <c:pt idx="18">
                  <c:v> Кафедра теории права и сравнительного правоведения Факультета права</c:v>
                </c:pt>
                <c:pt idx="19">
                  <c:v> Кафедра управления развитием территорий и регионалистики</c:v>
                </c:pt>
                <c:pt idx="20">
                  <c:v> Кафедра цивилизационного развития Востока</c:v>
                </c:pt>
                <c:pt idx="21">
                  <c:v> Лаборатория сравнительных социальных исследований</c:v>
                </c:pt>
                <c:pt idx="22">
                  <c:v> Отделение востоковедения</c:v>
                </c:pt>
                <c:pt idx="23">
                  <c:v> Факультет прикладной политологии</c:v>
                </c:pt>
              </c:strCache>
            </c:strRef>
          </c:cat>
          <c:val>
            <c:numRef>
              <c:f>Лист1!$B$43:$B$66</c:f>
              <c:numCache>
                <c:formatCode>General</c:formatCode>
                <c:ptCount val="24"/>
                <c:pt idx="0">
                  <c:v>7</c:v>
                </c:pt>
                <c:pt idx="1">
                  <c:v>6</c:v>
                </c:pt>
                <c:pt idx="2">
                  <c:v>5</c:v>
                </c:pt>
                <c:pt idx="3">
                  <c:v>4</c:v>
                </c:pt>
                <c:pt idx="4">
                  <c:v>4</c:v>
                </c:pt>
                <c:pt idx="5">
                  <c:v>3</c:v>
                </c:pt>
                <c:pt idx="6">
                  <c:v>2</c:v>
                </c:pt>
                <c:pt idx="7">
                  <c:v>2</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numCache>
            </c:numRef>
          </c:val>
        </c:ser>
        <c:dLbls>
          <c:showLegendKey val="0"/>
          <c:showVal val="1"/>
          <c:showCatName val="0"/>
          <c:showSerName val="0"/>
          <c:showPercent val="0"/>
          <c:showBubbleSize val="0"/>
        </c:dLbls>
        <c:gapWidth val="150"/>
        <c:overlap val="-25"/>
        <c:axId val="579784064"/>
        <c:axId val="579795200"/>
      </c:barChart>
      <c:catAx>
        <c:axId val="579784064"/>
        <c:scaling>
          <c:orientation val="maxMin"/>
        </c:scaling>
        <c:delete val="0"/>
        <c:axPos val="l"/>
        <c:numFmt formatCode="General" sourceLinked="0"/>
        <c:majorTickMark val="none"/>
        <c:minorTickMark val="none"/>
        <c:tickLblPos val="nextTo"/>
        <c:txPr>
          <a:bodyPr/>
          <a:lstStyle/>
          <a:p>
            <a:pPr>
              <a:defRPr sz="900">
                <a:latin typeface="Arial Narrow" pitchFamily="34" charset="0"/>
              </a:defRPr>
            </a:pPr>
            <a:endParaRPr lang="ru-RU"/>
          </a:p>
        </c:txPr>
        <c:crossAx val="579795200"/>
        <c:crosses val="autoZero"/>
        <c:auto val="1"/>
        <c:lblAlgn val="ctr"/>
        <c:lblOffset val="100"/>
        <c:tickLblSkip val="1"/>
        <c:noMultiLvlLbl val="0"/>
      </c:catAx>
      <c:valAx>
        <c:axId val="579795200"/>
        <c:scaling>
          <c:orientation val="minMax"/>
        </c:scaling>
        <c:delete val="1"/>
        <c:axPos val="t"/>
        <c:numFmt formatCode="General" sourceLinked="1"/>
        <c:majorTickMark val="none"/>
        <c:minorTickMark val="none"/>
        <c:tickLblPos val="none"/>
        <c:crossAx val="579784064"/>
        <c:crosses val="autoZero"/>
        <c:crossBetween val="between"/>
      </c:valAx>
    </c:plotArea>
    <c:plotVisOnly val="1"/>
    <c:dispBlanksAs val="gap"/>
    <c:showDLblsOverMax val="0"/>
  </c:chart>
  <c:spPr>
    <a:ln>
      <a:noFill/>
    </a:ln>
  </c:sp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Распределение иностранных преподавателей по должностям</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spPr>
            <a:ln>
              <a:solidFill>
                <a:schemeClr val="accent1"/>
              </a:solidFill>
            </a:ln>
          </c:spPr>
          <c:dLbls>
            <c:dLbl>
              <c:idx val="0"/>
              <c:layout>
                <c:manualLayout>
                  <c:x val="-0.13842446650690451"/>
                  <c:y val="-9.2258126243228128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03909619993153"/>
                  <c:y val="-0.14424110375741481"/>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8.7487572749058495E-2"/>
                  <c:y val="3.835845761795200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Доцент</c:v>
                </c:pt>
                <c:pt idx="1">
                  <c:v>Преподаватель</c:v>
                </c:pt>
                <c:pt idx="2">
                  <c:v>Профессор</c:v>
                </c:pt>
                <c:pt idx="3">
                  <c:v>Старший преподаватель</c:v>
                </c:pt>
              </c:strCache>
            </c:strRef>
          </c:cat>
          <c:val>
            <c:numRef>
              <c:f>Лист1!$B$2:$B$5</c:f>
              <c:numCache>
                <c:formatCode>General</c:formatCode>
                <c:ptCount val="4"/>
                <c:pt idx="0">
                  <c:v>27</c:v>
                </c:pt>
                <c:pt idx="1">
                  <c:v>8</c:v>
                </c:pt>
                <c:pt idx="2">
                  <c:v>10</c:v>
                </c:pt>
                <c:pt idx="3">
                  <c:v>4</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70948429652571465"/>
          <c:y val="0.19094604648231481"/>
          <c:w val="0.28410955357037793"/>
          <c:h val="0.46939100493376451"/>
        </c:manualLayout>
      </c:layout>
      <c:overlay val="0"/>
      <c:txPr>
        <a:bodyPr/>
        <a:lstStyle/>
        <a:p>
          <a:pPr>
            <a:defRPr>
              <a:latin typeface="Arial" pitchFamily="34" charset="0"/>
              <a:cs typeface="Arial" pitchFamily="34" charset="0"/>
            </a:defRPr>
          </a:pPr>
          <a:endParaRPr lang="ru-RU"/>
        </a:p>
      </c:txPr>
    </c:legend>
    <c:plotVisOnly val="1"/>
    <c:dispBlanksAs val="zero"/>
    <c:showDLblsOverMax val="0"/>
  </c:chart>
  <c:spPr>
    <a:ln>
      <a:noFill/>
    </a:ln>
  </c:sp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pPr>
            <a:r>
              <a:rPr lang="ru-RU" sz="1200"/>
              <a:t>Распределение иностранных преподавателей по виду занятости, %</a:t>
            </a:r>
          </a:p>
        </c:rich>
      </c:tx>
      <c:overlay val="0"/>
    </c:title>
    <c:autoTitleDeleted val="0"/>
    <c:view3D>
      <c:rotX val="15"/>
      <c:rotY val="0"/>
      <c:depthPercent val="100"/>
      <c:rAngAx val="0"/>
      <c:perspective val="30"/>
    </c:view3D>
    <c:floor>
      <c:thickness val="0"/>
      <c:spPr>
        <a:noFill/>
        <a:ln w="9525">
          <a:noFill/>
        </a:ln>
      </c:spPr>
    </c:floor>
    <c:sideWall>
      <c:thickness val="0"/>
    </c:sideWall>
    <c:backWall>
      <c:thickness val="0"/>
    </c:backWall>
    <c:plotArea>
      <c:layout>
        <c:manualLayout>
          <c:layoutTarget val="inner"/>
          <c:xMode val="edge"/>
          <c:yMode val="edge"/>
          <c:x val="1.6215383646589247E-2"/>
          <c:y val="7.7972601858010582E-2"/>
          <c:w val="0.95460092195550805"/>
          <c:h val="0.92202745858181379"/>
        </c:manualLayout>
      </c:layout>
      <c:bar3DChart>
        <c:barDir val="col"/>
        <c:grouping val="percentStacked"/>
        <c:varyColors val="0"/>
        <c:ser>
          <c:idx val="0"/>
          <c:order val="0"/>
          <c:tx>
            <c:strRef>
              <c:f>Лист2!$G$6</c:f>
              <c:strCache>
                <c:ptCount val="1"/>
                <c:pt idx="0">
                  <c:v>Основное место работы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Лист2!$H$6</c:f>
              <c:numCache>
                <c:formatCode>0</c:formatCode>
                <c:ptCount val="1"/>
                <c:pt idx="0">
                  <c:v>61.224489795918295</c:v>
                </c:pt>
              </c:numCache>
            </c:numRef>
          </c:val>
        </c:ser>
        <c:ser>
          <c:idx val="1"/>
          <c:order val="1"/>
          <c:tx>
            <c:strRef>
              <c:f>Лист2!$G$7</c:f>
              <c:strCache>
                <c:ptCount val="1"/>
                <c:pt idx="0">
                  <c:v>Внутренний совместитель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Лист2!$H$7</c:f>
              <c:numCache>
                <c:formatCode>0</c:formatCode>
                <c:ptCount val="1"/>
                <c:pt idx="0">
                  <c:v>32.653061224489811</c:v>
                </c:pt>
              </c:numCache>
            </c:numRef>
          </c:val>
        </c:ser>
        <c:ser>
          <c:idx val="2"/>
          <c:order val="2"/>
          <c:tx>
            <c:strRef>
              <c:f>Лист2!$G$8</c:f>
              <c:strCache>
                <c:ptCount val="1"/>
                <c:pt idx="0">
                  <c:v>Внешний совместитель</c:v>
                </c:pt>
              </c:strCache>
            </c:strRef>
          </c:tx>
          <c:invertIfNegative val="0"/>
          <c:dLbls>
            <c:dLbl>
              <c:idx val="0"/>
              <c:layout>
                <c:manualLayout>
                  <c:x val="1.1894142134998499E-3"/>
                  <c:y val="-3.774198275976937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Лист2!$H$8</c:f>
              <c:numCache>
                <c:formatCode>0</c:formatCode>
                <c:ptCount val="1"/>
                <c:pt idx="0">
                  <c:v>6.1224489795918355</c:v>
                </c:pt>
              </c:numCache>
            </c:numRef>
          </c:val>
        </c:ser>
        <c:dLbls>
          <c:showLegendKey val="0"/>
          <c:showVal val="1"/>
          <c:showCatName val="0"/>
          <c:showSerName val="0"/>
          <c:showPercent val="0"/>
          <c:showBubbleSize val="0"/>
        </c:dLbls>
        <c:gapWidth val="75"/>
        <c:shape val="pyramid"/>
        <c:axId val="581463040"/>
        <c:axId val="581477120"/>
        <c:axId val="0"/>
      </c:bar3DChart>
      <c:catAx>
        <c:axId val="581463040"/>
        <c:scaling>
          <c:orientation val="minMax"/>
        </c:scaling>
        <c:delete val="1"/>
        <c:axPos val="b"/>
        <c:majorTickMark val="none"/>
        <c:minorTickMark val="none"/>
        <c:tickLblPos val="none"/>
        <c:crossAx val="581477120"/>
        <c:crosses val="autoZero"/>
        <c:auto val="1"/>
        <c:lblAlgn val="ctr"/>
        <c:lblOffset val="100"/>
        <c:noMultiLvlLbl val="0"/>
      </c:catAx>
      <c:valAx>
        <c:axId val="581477120"/>
        <c:scaling>
          <c:orientation val="minMax"/>
        </c:scaling>
        <c:delete val="1"/>
        <c:axPos val="l"/>
        <c:numFmt formatCode="0%" sourceLinked="1"/>
        <c:majorTickMark val="none"/>
        <c:minorTickMark val="none"/>
        <c:tickLblPos val="none"/>
        <c:crossAx val="581463040"/>
        <c:crosses val="autoZero"/>
        <c:crossBetween val="between"/>
      </c:valAx>
    </c:plotArea>
    <c:legend>
      <c:legendPos val="b"/>
      <c:layout>
        <c:manualLayout>
          <c:xMode val="edge"/>
          <c:yMode val="edge"/>
          <c:x val="3.3498903526500499E-2"/>
          <c:y val="0.86501294720710198"/>
          <c:w val="0.94160524429158876"/>
          <c:h val="0.1189939555824002"/>
        </c:manualLayout>
      </c:layout>
      <c:overlay val="0"/>
    </c:legend>
    <c:plotVisOnly val="1"/>
    <c:dispBlanksAs val="gap"/>
    <c:showDLblsOverMax val="0"/>
  </c:chart>
  <c:spPr>
    <a:ln>
      <a:noFill/>
    </a:ln>
  </c:sp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u="none" strike="noStrike" baseline="0">
                <a:effectLst/>
              </a:rPr>
              <a:t>Распределение  численности иностранных преподавателей по ученой степени</a:t>
            </a:r>
            <a:endParaRPr lang="ru-RU" sz="12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7354891556524691E-2"/>
          <c:y val="0.19487131272770009"/>
          <c:w val="0.91264504648783307"/>
          <c:h val="0.70376669047253149"/>
        </c:manualLayout>
      </c:layout>
      <c:pie3DChart>
        <c:varyColors val="1"/>
        <c:ser>
          <c:idx val="0"/>
          <c:order val="0"/>
          <c:dLbls>
            <c:dLbl>
              <c:idx val="0"/>
              <c:layout>
                <c:manualLayout>
                  <c:x val="-0.25525968165967738"/>
                  <c:y val="-0.10234493250676401"/>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23741115545395439"/>
                  <c:y val="7.1468532087066203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Лист3!$B$11:$B$14</c:f>
              <c:strCache>
                <c:ptCount val="4"/>
                <c:pt idx="0">
                  <c:v>Степень PhD</c:v>
                </c:pt>
                <c:pt idx="1">
                  <c:v>Доктор наук</c:v>
                </c:pt>
                <c:pt idx="2">
                  <c:v>Кандидат наук</c:v>
                </c:pt>
                <c:pt idx="3">
                  <c:v>Не имеют ученой степени</c:v>
                </c:pt>
              </c:strCache>
            </c:strRef>
          </c:cat>
          <c:val>
            <c:numRef>
              <c:f>Лист3!$C$11:$C$14</c:f>
              <c:numCache>
                <c:formatCode>General</c:formatCode>
                <c:ptCount val="4"/>
                <c:pt idx="0">
                  <c:v>25</c:v>
                </c:pt>
                <c:pt idx="1">
                  <c:v>2</c:v>
                </c:pt>
                <c:pt idx="2">
                  <c:v>2</c:v>
                </c:pt>
                <c:pt idx="3">
                  <c:v>20</c:v>
                </c:pt>
              </c:numCache>
            </c:numRef>
          </c:val>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200"/>
              <a:t>Доля штатных преподавателей в общем числе ППС, Москва и филиалы на конец 2012/13 учебного года</a:t>
            </a:r>
          </a:p>
        </c:rich>
      </c:tx>
      <c:overlay val="0"/>
    </c:title>
    <c:autoTitleDeleted val="0"/>
    <c:plotArea>
      <c:layout>
        <c:manualLayout>
          <c:layoutTarget val="inner"/>
          <c:xMode val="edge"/>
          <c:yMode val="edge"/>
          <c:x val="0.16318907971149299"/>
          <c:y val="0.27749044157204178"/>
          <c:w val="0.80531485729638164"/>
          <c:h val="0.62374460225720263"/>
        </c:manualLayout>
      </c:layout>
      <c:barChart>
        <c:barDir val="col"/>
        <c:grouping val="clustered"/>
        <c:varyColors val="0"/>
        <c:ser>
          <c:idx val="0"/>
          <c:order val="0"/>
          <c:tx>
            <c:strRef>
              <c:f>'ППС по должн.'!$H$5</c:f>
              <c:strCache>
                <c:ptCount val="1"/>
                <c:pt idx="0">
                  <c:v>Общее кол-во ППС, из них: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'ППС по должн.'!$I$4:$M$4</c:f>
              <c:strCache>
                <c:ptCount val="4"/>
                <c:pt idx="0">
                  <c:v>Москва</c:v>
                </c:pt>
                <c:pt idx="1">
                  <c:v>С-Пб</c:v>
                </c:pt>
                <c:pt idx="2">
                  <c:v>Н.Новг.</c:v>
                </c:pt>
                <c:pt idx="3">
                  <c:v>Пермь</c:v>
                </c:pt>
              </c:strCache>
            </c:strRef>
          </c:cat>
          <c:val>
            <c:numRef>
              <c:f>'ППС по должн.'!$I$5:$M$5</c:f>
              <c:numCache>
                <c:formatCode>General</c:formatCode>
                <c:ptCount val="5"/>
                <c:pt idx="0">
                  <c:v>2705</c:v>
                </c:pt>
                <c:pt idx="1">
                  <c:v>313</c:v>
                </c:pt>
                <c:pt idx="2">
                  <c:v>331</c:v>
                </c:pt>
                <c:pt idx="3">
                  <c:v>183</c:v>
                </c:pt>
              </c:numCache>
            </c:numRef>
          </c:val>
        </c:ser>
        <c:ser>
          <c:idx val="1"/>
          <c:order val="1"/>
          <c:tx>
            <c:strRef>
              <c:f>'ППС по должн.'!$H$6</c:f>
              <c:strCache>
                <c:ptCount val="1"/>
                <c:pt idx="0">
                  <c:v>Штатных преподавателей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'ППС по должн.'!$I$4:$M$4</c:f>
              <c:strCache>
                <c:ptCount val="4"/>
                <c:pt idx="0">
                  <c:v>Москва</c:v>
                </c:pt>
                <c:pt idx="1">
                  <c:v>С-Пб</c:v>
                </c:pt>
                <c:pt idx="2">
                  <c:v>Н.Новг.</c:v>
                </c:pt>
                <c:pt idx="3">
                  <c:v>Пермь</c:v>
                </c:pt>
              </c:strCache>
            </c:strRef>
          </c:cat>
          <c:val>
            <c:numRef>
              <c:f>'ППС по должн.'!$I$6:$M$6</c:f>
              <c:numCache>
                <c:formatCode>General</c:formatCode>
                <c:ptCount val="5"/>
                <c:pt idx="0">
                  <c:v>1628</c:v>
                </c:pt>
                <c:pt idx="1">
                  <c:v>227</c:v>
                </c:pt>
                <c:pt idx="2">
                  <c:v>226</c:v>
                </c:pt>
                <c:pt idx="3">
                  <c:v>110</c:v>
                </c:pt>
              </c:numCache>
            </c:numRef>
          </c:val>
        </c:ser>
        <c:dLbls>
          <c:showLegendKey val="0"/>
          <c:showVal val="0"/>
          <c:showCatName val="0"/>
          <c:showSerName val="0"/>
          <c:showPercent val="0"/>
          <c:showBubbleSize val="0"/>
        </c:dLbls>
        <c:gapWidth val="150"/>
        <c:axId val="319345024"/>
        <c:axId val="319346560"/>
      </c:barChart>
      <c:catAx>
        <c:axId val="319345024"/>
        <c:scaling>
          <c:orientation val="minMax"/>
        </c:scaling>
        <c:delete val="0"/>
        <c:axPos val="b"/>
        <c:numFmt formatCode="General" sourceLinked="0"/>
        <c:majorTickMark val="out"/>
        <c:minorTickMark val="none"/>
        <c:tickLblPos val="nextTo"/>
        <c:crossAx val="319346560"/>
        <c:crosses val="autoZero"/>
        <c:auto val="1"/>
        <c:lblAlgn val="ctr"/>
        <c:lblOffset val="100"/>
        <c:noMultiLvlLbl val="0"/>
      </c:catAx>
      <c:valAx>
        <c:axId val="319346560"/>
        <c:scaling>
          <c:orientation val="minMax"/>
        </c:scaling>
        <c:delete val="0"/>
        <c:axPos val="l"/>
        <c:majorGridlines>
          <c:spPr>
            <a:ln>
              <a:noFill/>
            </a:ln>
          </c:spPr>
        </c:majorGridlines>
        <c:title>
          <c:tx>
            <c:rich>
              <a:bodyPr rot="-5400000" vert="horz"/>
              <a:lstStyle/>
              <a:p>
                <a:pPr>
                  <a:defRPr b="0"/>
                </a:pPr>
                <a:r>
                  <a:rPr lang="ru-RU" b="0"/>
                  <a:t>Количество человек</a:t>
                </a:r>
              </a:p>
            </c:rich>
          </c:tx>
          <c:overlay val="0"/>
        </c:title>
        <c:numFmt formatCode="General" sourceLinked="1"/>
        <c:majorTickMark val="out"/>
        <c:minorTickMark val="none"/>
        <c:tickLblPos val="nextTo"/>
        <c:crossAx val="319345024"/>
        <c:crosses val="autoZero"/>
        <c:crossBetween val="between"/>
      </c:valAx>
    </c:plotArea>
    <c:legend>
      <c:legendPos val="t"/>
      <c:overlay val="0"/>
      <c:txPr>
        <a:bodyPr/>
        <a:lstStyle/>
        <a:p>
          <a:pPr>
            <a:defRPr sz="1200"/>
          </a:pPr>
          <a:endParaRPr lang="ru-RU"/>
        </a:p>
      </c:txPr>
    </c:legend>
    <c:plotVisOnly val="1"/>
    <c:dispBlanksAs val="gap"/>
    <c:showDLblsOverMax val="0"/>
  </c:chart>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tx>
            <c:strRef>
              <c:f>Лист1!$A$34</c:f>
              <c:strCache>
                <c:ptCount val="1"/>
                <c:pt idx="0">
                  <c:v>профессора</c:v>
                </c:pt>
              </c:strCache>
            </c:strRef>
          </c:tx>
          <c:invertIfNegative val="0"/>
          <c:cat>
            <c:strRef>
              <c:f>Лист1!$B$33:$E$33</c:f>
              <c:strCache>
                <c:ptCount val="4"/>
                <c:pt idx="0">
                  <c:v>Москва</c:v>
                </c:pt>
                <c:pt idx="1">
                  <c:v>С-Пб</c:v>
                </c:pt>
                <c:pt idx="2">
                  <c:v>Н.Новг.</c:v>
                </c:pt>
                <c:pt idx="3">
                  <c:v>Пермь</c:v>
                </c:pt>
              </c:strCache>
            </c:strRef>
          </c:cat>
          <c:val>
            <c:numRef>
              <c:f>Лист1!$B$34:$E$34</c:f>
              <c:numCache>
                <c:formatCode>General</c:formatCode>
                <c:ptCount val="4"/>
                <c:pt idx="0">
                  <c:v>729</c:v>
                </c:pt>
                <c:pt idx="1">
                  <c:v>65</c:v>
                </c:pt>
                <c:pt idx="2">
                  <c:v>46</c:v>
                </c:pt>
                <c:pt idx="3">
                  <c:v>15</c:v>
                </c:pt>
              </c:numCache>
            </c:numRef>
          </c:val>
        </c:ser>
        <c:ser>
          <c:idx val="1"/>
          <c:order val="1"/>
          <c:tx>
            <c:strRef>
              <c:f>Лист1!$A$35</c:f>
              <c:strCache>
                <c:ptCount val="1"/>
                <c:pt idx="0">
                  <c:v>доценты</c:v>
                </c:pt>
              </c:strCache>
            </c:strRef>
          </c:tx>
          <c:invertIfNegative val="0"/>
          <c:cat>
            <c:strRef>
              <c:f>Лист1!$B$33:$E$33</c:f>
              <c:strCache>
                <c:ptCount val="4"/>
                <c:pt idx="0">
                  <c:v>Москва</c:v>
                </c:pt>
                <c:pt idx="1">
                  <c:v>С-Пб</c:v>
                </c:pt>
                <c:pt idx="2">
                  <c:v>Н.Новг.</c:v>
                </c:pt>
                <c:pt idx="3">
                  <c:v>Пермь</c:v>
                </c:pt>
              </c:strCache>
            </c:strRef>
          </c:cat>
          <c:val>
            <c:numRef>
              <c:f>Лист1!$B$35:$E$35</c:f>
              <c:numCache>
                <c:formatCode>General</c:formatCode>
                <c:ptCount val="4"/>
                <c:pt idx="0">
                  <c:v>1105</c:v>
                </c:pt>
                <c:pt idx="1">
                  <c:v>129</c:v>
                </c:pt>
                <c:pt idx="2">
                  <c:v>155</c:v>
                </c:pt>
                <c:pt idx="3">
                  <c:v>97</c:v>
                </c:pt>
              </c:numCache>
            </c:numRef>
          </c:val>
        </c:ser>
        <c:ser>
          <c:idx val="2"/>
          <c:order val="2"/>
          <c:tx>
            <c:strRef>
              <c:f>Лист1!$A$36</c:f>
              <c:strCache>
                <c:ptCount val="1"/>
                <c:pt idx="0">
                  <c:v>старшие преподаватели</c:v>
                </c:pt>
              </c:strCache>
            </c:strRef>
          </c:tx>
          <c:invertIfNegative val="0"/>
          <c:cat>
            <c:strRef>
              <c:f>Лист1!$B$33:$E$33</c:f>
              <c:strCache>
                <c:ptCount val="4"/>
                <c:pt idx="0">
                  <c:v>Москва</c:v>
                </c:pt>
                <c:pt idx="1">
                  <c:v>С-Пб</c:v>
                </c:pt>
                <c:pt idx="2">
                  <c:v>Н.Новг.</c:v>
                </c:pt>
                <c:pt idx="3">
                  <c:v>Пермь</c:v>
                </c:pt>
              </c:strCache>
            </c:strRef>
          </c:cat>
          <c:val>
            <c:numRef>
              <c:f>Лист1!$B$36:$E$36</c:f>
              <c:numCache>
                <c:formatCode>General</c:formatCode>
                <c:ptCount val="4"/>
                <c:pt idx="0">
                  <c:v>464</c:v>
                </c:pt>
                <c:pt idx="1">
                  <c:v>81</c:v>
                </c:pt>
                <c:pt idx="2">
                  <c:v>77</c:v>
                </c:pt>
                <c:pt idx="3">
                  <c:v>40</c:v>
                </c:pt>
              </c:numCache>
            </c:numRef>
          </c:val>
        </c:ser>
        <c:ser>
          <c:idx val="3"/>
          <c:order val="3"/>
          <c:tx>
            <c:strRef>
              <c:f>Лист1!$A$37</c:f>
              <c:strCache>
                <c:ptCount val="1"/>
                <c:pt idx="0">
                  <c:v>преподаватели, асс.</c:v>
                </c:pt>
              </c:strCache>
            </c:strRef>
          </c:tx>
          <c:invertIfNegative val="0"/>
          <c:cat>
            <c:strRef>
              <c:f>Лист1!$B$33:$E$33</c:f>
              <c:strCache>
                <c:ptCount val="4"/>
                <c:pt idx="0">
                  <c:v>Москва</c:v>
                </c:pt>
                <c:pt idx="1">
                  <c:v>С-Пб</c:v>
                </c:pt>
                <c:pt idx="2">
                  <c:v>Н.Новг.</c:v>
                </c:pt>
                <c:pt idx="3">
                  <c:v>Пермь</c:v>
                </c:pt>
              </c:strCache>
            </c:strRef>
          </c:cat>
          <c:val>
            <c:numRef>
              <c:f>Лист1!$B$37:$E$37</c:f>
              <c:numCache>
                <c:formatCode>General</c:formatCode>
                <c:ptCount val="4"/>
                <c:pt idx="0">
                  <c:v>407</c:v>
                </c:pt>
                <c:pt idx="1">
                  <c:v>38</c:v>
                </c:pt>
                <c:pt idx="2">
                  <c:v>53</c:v>
                </c:pt>
                <c:pt idx="3">
                  <c:v>31</c:v>
                </c:pt>
              </c:numCache>
            </c:numRef>
          </c:val>
        </c:ser>
        <c:dLbls>
          <c:showLegendKey val="0"/>
          <c:showVal val="0"/>
          <c:showCatName val="0"/>
          <c:showSerName val="0"/>
          <c:showPercent val="0"/>
          <c:showBubbleSize val="0"/>
        </c:dLbls>
        <c:gapWidth val="150"/>
        <c:axId val="359027840"/>
        <c:axId val="359029376"/>
      </c:barChart>
      <c:catAx>
        <c:axId val="359027840"/>
        <c:scaling>
          <c:orientation val="minMax"/>
        </c:scaling>
        <c:delete val="0"/>
        <c:axPos val="l"/>
        <c:numFmt formatCode="General" sourceLinked="0"/>
        <c:majorTickMark val="out"/>
        <c:minorTickMark val="none"/>
        <c:tickLblPos val="nextTo"/>
        <c:txPr>
          <a:bodyPr/>
          <a:lstStyle/>
          <a:p>
            <a:pPr>
              <a:defRPr sz="1200"/>
            </a:pPr>
            <a:endParaRPr lang="ru-RU"/>
          </a:p>
        </c:txPr>
        <c:crossAx val="359029376"/>
        <c:crosses val="autoZero"/>
        <c:auto val="1"/>
        <c:lblAlgn val="ctr"/>
        <c:lblOffset val="100"/>
        <c:noMultiLvlLbl val="0"/>
      </c:catAx>
      <c:valAx>
        <c:axId val="359029376"/>
        <c:scaling>
          <c:orientation val="minMax"/>
        </c:scaling>
        <c:delete val="0"/>
        <c:axPos val="b"/>
        <c:majorGridlines/>
        <c:numFmt formatCode="General" sourceLinked="1"/>
        <c:majorTickMark val="out"/>
        <c:minorTickMark val="none"/>
        <c:tickLblPos val="nextTo"/>
        <c:txPr>
          <a:bodyPr/>
          <a:lstStyle/>
          <a:p>
            <a:pPr>
              <a:defRPr sz="1100"/>
            </a:pPr>
            <a:endParaRPr lang="ru-RU"/>
          </a:p>
        </c:txPr>
        <c:crossAx val="359027840"/>
        <c:crosses val="autoZero"/>
        <c:crossBetween val="between"/>
      </c:valAx>
    </c:plotArea>
    <c:legend>
      <c:legendPos val="b"/>
      <c:overlay val="0"/>
      <c:txPr>
        <a:bodyPr/>
        <a:lstStyle/>
        <a:p>
          <a:pPr>
            <a:defRPr sz="1100"/>
          </a:pPr>
          <a:endParaRPr lang="ru-RU"/>
        </a:p>
      </c:txPr>
    </c:legend>
    <c:plotVisOnly val="1"/>
    <c:dispBlanksAs val="gap"/>
    <c:showDLblsOverMax val="0"/>
  </c:chart>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ru-RU" sz="1200"/>
              <a:t>Преподаватели Москвы: должности и степени за 2 года </a:t>
            </a:r>
          </a:p>
          <a:p>
            <a:pPr>
              <a:defRPr sz="1200"/>
            </a:pPr>
            <a:r>
              <a:rPr lang="ru-RU" sz="1200"/>
              <a:t>(штатные и совместители)</a:t>
            </a:r>
          </a:p>
        </c:rich>
      </c:tx>
      <c:overlay val="0"/>
    </c:title>
    <c:autoTitleDeleted val="0"/>
    <c:plotArea>
      <c:layout>
        <c:manualLayout>
          <c:layoutTarget val="inner"/>
          <c:xMode val="edge"/>
          <c:yMode val="edge"/>
          <c:x val="0.16902045182159148"/>
          <c:y val="0.31256357502605014"/>
          <c:w val="0.78720431631807375"/>
          <c:h val="0.59607166044257964"/>
        </c:manualLayout>
      </c:layout>
      <c:barChart>
        <c:barDir val="bar"/>
        <c:grouping val="percentStacked"/>
        <c:varyColors val="0"/>
        <c:ser>
          <c:idx val="0"/>
          <c:order val="0"/>
          <c:tx>
            <c:strRef>
              <c:f>'ППС по должн.'!$A$83</c:f>
              <c:strCache>
                <c:ptCount val="1"/>
                <c:pt idx="0">
                  <c:v>со степенью</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'ППС по должн.'!$B$81:$I$82</c:f>
              <c:multiLvlStrCache>
                <c:ptCount val="8"/>
                <c:lvl>
                  <c:pt idx="0">
                    <c:v>проф.</c:v>
                  </c:pt>
                  <c:pt idx="1">
                    <c:v>доц</c:v>
                  </c:pt>
                  <c:pt idx="2">
                    <c:v>ст.преп.</c:v>
                  </c:pt>
                  <c:pt idx="3">
                    <c:v>препод.</c:v>
                  </c:pt>
                  <c:pt idx="4">
                    <c:v>проф.</c:v>
                  </c:pt>
                  <c:pt idx="5">
                    <c:v>доц</c:v>
                  </c:pt>
                  <c:pt idx="6">
                    <c:v>ст.преп.</c:v>
                  </c:pt>
                  <c:pt idx="7">
                    <c:v>препод.</c:v>
                  </c:pt>
                </c:lvl>
                <c:lvl>
                  <c:pt idx="0">
                    <c:v>2011-12</c:v>
                  </c:pt>
                  <c:pt idx="4">
                    <c:v>2012-13</c:v>
                  </c:pt>
                </c:lvl>
              </c:multiLvlStrCache>
            </c:multiLvlStrRef>
          </c:cat>
          <c:val>
            <c:numRef>
              <c:f>'ППС по должн.'!$B$83:$I$83</c:f>
              <c:numCache>
                <c:formatCode>General</c:formatCode>
                <c:ptCount val="8"/>
                <c:pt idx="0">
                  <c:v>561</c:v>
                </c:pt>
                <c:pt idx="1">
                  <c:v>769</c:v>
                </c:pt>
                <c:pt idx="2">
                  <c:v>66</c:v>
                </c:pt>
                <c:pt idx="3">
                  <c:v>17</c:v>
                </c:pt>
                <c:pt idx="4">
                  <c:v>712</c:v>
                </c:pt>
                <c:pt idx="5">
                  <c:v>1013</c:v>
                </c:pt>
                <c:pt idx="6">
                  <c:v>76</c:v>
                </c:pt>
                <c:pt idx="7">
                  <c:v>21</c:v>
                </c:pt>
              </c:numCache>
            </c:numRef>
          </c:val>
        </c:ser>
        <c:ser>
          <c:idx val="1"/>
          <c:order val="1"/>
          <c:tx>
            <c:strRef>
              <c:f>'ППС по должн.'!$A$84</c:f>
              <c:strCache>
                <c:ptCount val="1"/>
                <c:pt idx="0">
                  <c:v>без степени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'ППС по должн.'!$B$81:$I$82</c:f>
              <c:multiLvlStrCache>
                <c:ptCount val="8"/>
                <c:lvl>
                  <c:pt idx="0">
                    <c:v>проф.</c:v>
                  </c:pt>
                  <c:pt idx="1">
                    <c:v>доц</c:v>
                  </c:pt>
                  <c:pt idx="2">
                    <c:v>ст.преп.</c:v>
                  </c:pt>
                  <c:pt idx="3">
                    <c:v>препод.</c:v>
                  </c:pt>
                  <c:pt idx="4">
                    <c:v>проф.</c:v>
                  </c:pt>
                  <c:pt idx="5">
                    <c:v>доц</c:v>
                  </c:pt>
                  <c:pt idx="6">
                    <c:v>ст.преп.</c:v>
                  </c:pt>
                  <c:pt idx="7">
                    <c:v>препод.</c:v>
                  </c:pt>
                </c:lvl>
                <c:lvl>
                  <c:pt idx="0">
                    <c:v>2011-12</c:v>
                  </c:pt>
                  <c:pt idx="4">
                    <c:v>2012-13</c:v>
                  </c:pt>
                </c:lvl>
              </c:multiLvlStrCache>
            </c:multiLvlStrRef>
          </c:cat>
          <c:val>
            <c:numRef>
              <c:f>'ППС по должн.'!$B$84:$I$84</c:f>
              <c:numCache>
                <c:formatCode>General</c:formatCode>
                <c:ptCount val="8"/>
                <c:pt idx="0">
                  <c:v>17</c:v>
                </c:pt>
                <c:pt idx="1">
                  <c:v>79</c:v>
                </c:pt>
                <c:pt idx="2">
                  <c:v>288</c:v>
                </c:pt>
                <c:pt idx="3">
                  <c:v>328</c:v>
                </c:pt>
                <c:pt idx="4">
                  <c:v>17</c:v>
                </c:pt>
                <c:pt idx="5">
                  <c:v>92</c:v>
                </c:pt>
                <c:pt idx="6">
                  <c:v>388</c:v>
                </c:pt>
                <c:pt idx="7">
                  <c:v>386</c:v>
                </c:pt>
              </c:numCache>
            </c:numRef>
          </c:val>
        </c:ser>
        <c:dLbls>
          <c:showLegendKey val="0"/>
          <c:showVal val="0"/>
          <c:showCatName val="0"/>
          <c:showSerName val="0"/>
          <c:showPercent val="0"/>
          <c:showBubbleSize val="0"/>
        </c:dLbls>
        <c:gapWidth val="150"/>
        <c:overlap val="100"/>
        <c:axId val="328925184"/>
        <c:axId val="328926720"/>
      </c:barChart>
      <c:catAx>
        <c:axId val="328925184"/>
        <c:scaling>
          <c:orientation val="minMax"/>
        </c:scaling>
        <c:delete val="0"/>
        <c:axPos val="l"/>
        <c:numFmt formatCode="General" sourceLinked="0"/>
        <c:majorTickMark val="out"/>
        <c:minorTickMark val="none"/>
        <c:tickLblPos val="nextTo"/>
        <c:crossAx val="328926720"/>
        <c:crosses val="autoZero"/>
        <c:auto val="1"/>
        <c:lblAlgn val="ctr"/>
        <c:lblOffset val="100"/>
        <c:noMultiLvlLbl val="0"/>
      </c:catAx>
      <c:valAx>
        <c:axId val="328926720"/>
        <c:scaling>
          <c:orientation val="minMax"/>
        </c:scaling>
        <c:delete val="0"/>
        <c:axPos val="b"/>
        <c:majorGridlines/>
        <c:numFmt formatCode="0%" sourceLinked="1"/>
        <c:majorTickMark val="out"/>
        <c:minorTickMark val="none"/>
        <c:tickLblPos val="nextTo"/>
        <c:crossAx val="328925184"/>
        <c:crosses val="autoZero"/>
        <c:crossBetween val="between"/>
      </c:valAx>
    </c:plotArea>
    <c:legend>
      <c:legendPos val="t"/>
      <c:layout>
        <c:manualLayout>
          <c:xMode val="edge"/>
          <c:yMode val="edge"/>
          <c:x val="0.31428190952399432"/>
          <c:y val="0.18118466898954652"/>
          <c:w val="0.37580061084835814"/>
          <c:h val="0.11128932523209498"/>
        </c:manualLayout>
      </c:layout>
      <c:overlay val="0"/>
      <c:txPr>
        <a:bodyPr/>
        <a:lstStyle/>
        <a:p>
          <a:pPr>
            <a:defRPr sz="1100"/>
          </a:pPr>
          <a:endParaRPr lang="ru-RU"/>
        </a:p>
      </c:txPr>
    </c:legend>
    <c:plotVisOnly val="1"/>
    <c:dispBlanksAs val="gap"/>
    <c:showDLblsOverMax val="0"/>
  </c:chart>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baseline="0">
                <a:effectLst/>
              </a:rPr>
              <a:t>Москва 2012-13: преподаватели с нулевой аудиторной нагрузкой</a:t>
            </a:r>
            <a:endParaRPr lang="ru-RU" sz="1200">
              <a:effectLst/>
            </a:endParaRPr>
          </a:p>
        </c:rich>
      </c:tx>
      <c:overlay val="0"/>
    </c:title>
    <c:autoTitleDeleted val="0"/>
    <c:plotArea>
      <c:layout/>
      <c:barChart>
        <c:barDir val="bar"/>
        <c:grouping val="percentStacked"/>
        <c:varyColors val="0"/>
        <c:ser>
          <c:idx val="0"/>
          <c:order val="0"/>
          <c:tx>
            <c:strRef>
              <c:f>Лист1!$A$3</c:f>
              <c:strCache>
                <c:ptCount val="1"/>
                <c:pt idx="0">
                  <c:v>без нагрузки</c:v>
                </c:pt>
              </c:strCache>
            </c:strRef>
          </c:tx>
          <c:spPr>
            <a:solidFill>
              <a:srgbClr val="FF0000"/>
            </a:solidFill>
          </c:spPr>
          <c:invertIfNegative val="0"/>
          <c:dLbls>
            <c:showLegendKey val="0"/>
            <c:showVal val="1"/>
            <c:showCatName val="0"/>
            <c:showSerName val="0"/>
            <c:showPercent val="0"/>
            <c:showBubbleSize val="0"/>
            <c:showLeaderLines val="0"/>
          </c:dLbls>
          <c:cat>
            <c:strRef>
              <c:f>Лист1!$B$2:$F$2</c:f>
              <c:strCache>
                <c:ptCount val="5"/>
                <c:pt idx="0">
                  <c:v>проф.</c:v>
                </c:pt>
                <c:pt idx="1">
                  <c:v>доц</c:v>
                </c:pt>
                <c:pt idx="2">
                  <c:v>ст.преп.</c:v>
                </c:pt>
                <c:pt idx="3">
                  <c:v>препод.</c:v>
                </c:pt>
                <c:pt idx="4">
                  <c:v>асс.</c:v>
                </c:pt>
              </c:strCache>
            </c:strRef>
          </c:cat>
          <c:val>
            <c:numRef>
              <c:f>Лист1!$B$3:$F$3</c:f>
              <c:numCache>
                <c:formatCode>General</c:formatCode>
                <c:ptCount val="5"/>
                <c:pt idx="0">
                  <c:v>27</c:v>
                </c:pt>
                <c:pt idx="1">
                  <c:v>45</c:v>
                </c:pt>
                <c:pt idx="2">
                  <c:v>15</c:v>
                </c:pt>
                <c:pt idx="3">
                  <c:v>18</c:v>
                </c:pt>
                <c:pt idx="4">
                  <c:v>8</c:v>
                </c:pt>
              </c:numCache>
            </c:numRef>
          </c:val>
        </c:ser>
        <c:ser>
          <c:idx val="1"/>
          <c:order val="1"/>
          <c:tx>
            <c:strRef>
              <c:f>Лист1!$A$4</c:f>
              <c:strCache>
                <c:ptCount val="1"/>
                <c:pt idx="0">
                  <c:v>с нагрузкой</c:v>
                </c:pt>
              </c:strCache>
            </c:strRef>
          </c:tx>
          <c:spPr>
            <a:solidFill>
              <a:schemeClr val="accent1">
                <a:lumMod val="60000"/>
                <a:lumOff val="40000"/>
              </a:schemeClr>
            </a:solidFill>
          </c:spPr>
          <c:invertIfNegative val="0"/>
          <c:dLbls>
            <c:dLblPos val="ctr"/>
            <c:showLegendKey val="0"/>
            <c:showVal val="1"/>
            <c:showCatName val="0"/>
            <c:showSerName val="0"/>
            <c:showPercent val="0"/>
            <c:showBubbleSize val="0"/>
            <c:showLeaderLines val="0"/>
          </c:dLbls>
          <c:cat>
            <c:strRef>
              <c:f>Лист1!$B$2:$F$2</c:f>
              <c:strCache>
                <c:ptCount val="5"/>
                <c:pt idx="0">
                  <c:v>проф.</c:v>
                </c:pt>
                <c:pt idx="1">
                  <c:v>доц</c:v>
                </c:pt>
                <c:pt idx="2">
                  <c:v>ст.преп.</c:v>
                </c:pt>
                <c:pt idx="3">
                  <c:v>препод.</c:v>
                </c:pt>
                <c:pt idx="4">
                  <c:v>асс.</c:v>
                </c:pt>
              </c:strCache>
            </c:strRef>
          </c:cat>
          <c:val>
            <c:numRef>
              <c:f>Лист1!$B$4:$F$4</c:f>
              <c:numCache>
                <c:formatCode>General</c:formatCode>
                <c:ptCount val="5"/>
                <c:pt idx="0">
                  <c:v>679</c:v>
                </c:pt>
                <c:pt idx="1">
                  <c:v>1025</c:v>
                </c:pt>
                <c:pt idx="2">
                  <c:v>468</c:v>
                </c:pt>
                <c:pt idx="3">
                  <c:v>301</c:v>
                </c:pt>
                <c:pt idx="4">
                  <c:v>64</c:v>
                </c:pt>
              </c:numCache>
            </c:numRef>
          </c:val>
        </c:ser>
        <c:dLbls>
          <c:showLegendKey val="0"/>
          <c:showVal val="0"/>
          <c:showCatName val="0"/>
          <c:showSerName val="0"/>
          <c:showPercent val="0"/>
          <c:showBubbleSize val="0"/>
        </c:dLbls>
        <c:gapWidth val="150"/>
        <c:overlap val="100"/>
        <c:axId val="328962048"/>
        <c:axId val="328963584"/>
      </c:barChart>
      <c:catAx>
        <c:axId val="328962048"/>
        <c:scaling>
          <c:orientation val="minMax"/>
        </c:scaling>
        <c:delete val="0"/>
        <c:axPos val="l"/>
        <c:majorTickMark val="out"/>
        <c:minorTickMark val="none"/>
        <c:tickLblPos val="nextTo"/>
        <c:crossAx val="328963584"/>
        <c:crosses val="autoZero"/>
        <c:auto val="1"/>
        <c:lblAlgn val="ctr"/>
        <c:lblOffset val="100"/>
        <c:noMultiLvlLbl val="0"/>
      </c:catAx>
      <c:valAx>
        <c:axId val="328963584"/>
        <c:scaling>
          <c:orientation val="minMax"/>
        </c:scaling>
        <c:delete val="0"/>
        <c:axPos val="b"/>
        <c:majorGridlines/>
        <c:numFmt formatCode="0%" sourceLinked="1"/>
        <c:majorTickMark val="out"/>
        <c:minorTickMark val="none"/>
        <c:tickLblPos val="nextTo"/>
        <c:crossAx val="328962048"/>
        <c:crosses val="autoZero"/>
        <c:crossBetween val="between"/>
      </c:valAx>
    </c:plotArea>
    <c:legend>
      <c:legendPos val="t"/>
      <c:overlay val="0"/>
    </c:legend>
    <c:plotVisOnly val="1"/>
    <c:dispBlanksAs val="gap"/>
    <c:showDLblsOverMax val="0"/>
  </c:chart>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Фактическая аудиторная нагрузка по должностям, 2012-13</a:t>
            </a:r>
          </a:p>
        </c:rich>
      </c:tx>
      <c:overlay val="0"/>
    </c:title>
    <c:autoTitleDeleted val="0"/>
    <c:plotArea>
      <c:layout/>
      <c:lineChart>
        <c:grouping val="standard"/>
        <c:varyColors val="0"/>
        <c:ser>
          <c:idx val="0"/>
          <c:order val="0"/>
          <c:tx>
            <c:strRef>
              <c:f>Лист1!$K$4</c:f>
              <c:strCache>
                <c:ptCount val="1"/>
                <c:pt idx="0">
                  <c:v>проф.</c:v>
                </c:pt>
              </c:strCache>
            </c:strRef>
          </c:tx>
          <c:marker>
            <c:symbol val="none"/>
          </c:marker>
          <c:cat>
            <c:multiLvlStrRef>
              <c:f>Лист1!$I$5:$J$11</c:f>
              <c:multiLvlStrCache>
                <c:ptCount val="7"/>
                <c:lvl>
                  <c:pt idx="0">
                    <c:v>0-100</c:v>
                  </c:pt>
                  <c:pt idx="1">
                    <c:v>100-200</c:v>
                  </c:pt>
                  <c:pt idx="2">
                    <c:v>200-300</c:v>
                  </c:pt>
                  <c:pt idx="3">
                    <c:v>300-400</c:v>
                  </c:pt>
                  <c:pt idx="4">
                    <c:v>400-500</c:v>
                  </c:pt>
                  <c:pt idx="5">
                    <c:v>500-600</c:v>
                  </c:pt>
                  <c:pt idx="6">
                    <c:v>&gt; 600</c:v>
                  </c:pt>
                </c:lvl>
                <c:lvl>
                  <c:pt idx="0">
                    <c:v>Ставка 1 (0,7-1) </c:v>
                  </c:pt>
                </c:lvl>
              </c:multiLvlStrCache>
            </c:multiLvlStrRef>
          </c:cat>
          <c:val>
            <c:numRef>
              <c:f>Лист1!$K$5:$K$11</c:f>
              <c:numCache>
                <c:formatCode>General</c:formatCode>
                <c:ptCount val="7"/>
                <c:pt idx="0">
                  <c:v>88</c:v>
                </c:pt>
                <c:pt idx="1">
                  <c:v>122</c:v>
                </c:pt>
                <c:pt idx="2">
                  <c:v>89</c:v>
                </c:pt>
                <c:pt idx="3">
                  <c:v>44</c:v>
                </c:pt>
                <c:pt idx="4">
                  <c:v>17</c:v>
                </c:pt>
                <c:pt idx="5">
                  <c:v>2</c:v>
                </c:pt>
                <c:pt idx="6">
                  <c:v>0</c:v>
                </c:pt>
              </c:numCache>
            </c:numRef>
          </c:val>
          <c:smooth val="1"/>
        </c:ser>
        <c:ser>
          <c:idx val="1"/>
          <c:order val="1"/>
          <c:tx>
            <c:strRef>
              <c:f>Лист1!$L$4</c:f>
              <c:strCache>
                <c:ptCount val="1"/>
                <c:pt idx="0">
                  <c:v>доц.</c:v>
                </c:pt>
              </c:strCache>
            </c:strRef>
          </c:tx>
          <c:marker>
            <c:symbol val="none"/>
          </c:marker>
          <c:cat>
            <c:multiLvlStrRef>
              <c:f>Лист1!$I$5:$J$11</c:f>
              <c:multiLvlStrCache>
                <c:ptCount val="7"/>
                <c:lvl>
                  <c:pt idx="0">
                    <c:v>0-100</c:v>
                  </c:pt>
                  <c:pt idx="1">
                    <c:v>100-200</c:v>
                  </c:pt>
                  <c:pt idx="2">
                    <c:v>200-300</c:v>
                  </c:pt>
                  <c:pt idx="3">
                    <c:v>300-400</c:v>
                  </c:pt>
                  <c:pt idx="4">
                    <c:v>400-500</c:v>
                  </c:pt>
                  <c:pt idx="5">
                    <c:v>500-600</c:v>
                  </c:pt>
                  <c:pt idx="6">
                    <c:v>&gt; 600</c:v>
                  </c:pt>
                </c:lvl>
                <c:lvl>
                  <c:pt idx="0">
                    <c:v>Ставка 1 (0,7-1) </c:v>
                  </c:pt>
                </c:lvl>
              </c:multiLvlStrCache>
            </c:multiLvlStrRef>
          </c:cat>
          <c:val>
            <c:numRef>
              <c:f>Лист1!$L$5:$L$11</c:f>
              <c:numCache>
                <c:formatCode>General</c:formatCode>
                <c:ptCount val="7"/>
                <c:pt idx="0">
                  <c:v>54</c:v>
                </c:pt>
                <c:pt idx="1">
                  <c:v>131</c:v>
                </c:pt>
                <c:pt idx="2">
                  <c:v>163</c:v>
                </c:pt>
                <c:pt idx="3">
                  <c:v>127</c:v>
                </c:pt>
                <c:pt idx="4">
                  <c:v>69</c:v>
                </c:pt>
                <c:pt idx="5">
                  <c:v>33</c:v>
                </c:pt>
                <c:pt idx="6">
                  <c:v>22</c:v>
                </c:pt>
              </c:numCache>
            </c:numRef>
          </c:val>
          <c:smooth val="1"/>
        </c:ser>
        <c:ser>
          <c:idx val="2"/>
          <c:order val="2"/>
          <c:tx>
            <c:strRef>
              <c:f>Лист1!$M$4</c:f>
              <c:strCache>
                <c:ptCount val="1"/>
                <c:pt idx="0">
                  <c:v>ст.преп.</c:v>
                </c:pt>
              </c:strCache>
            </c:strRef>
          </c:tx>
          <c:marker>
            <c:symbol val="none"/>
          </c:marker>
          <c:cat>
            <c:multiLvlStrRef>
              <c:f>Лист1!$I$5:$J$11</c:f>
              <c:multiLvlStrCache>
                <c:ptCount val="7"/>
                <c:lvl>
                  <c:pt idx="0">
                    <c:v>0-100</c:v>
                  </c:pt>
                  <c:pt idx="1">
                    <c:v>100-200</c:v>
                  </c:pt>
                  <c:pt idx="2">
                    <c:v>200-300</c:v>
                  </c:pt>
                  <c:pt idx="3">
                    <c:v>300-400</c:v>
                  </c:pt>
                  <c:pt idx="4">
                    <c:v>400-500</c:v>
                  </c:pt>
                  <c:pt idx="5">
                    <c:v>500-600</c:v>
                  </c:pt>
                  <c:pt idx="6">
                    <c:v>&gt; 600</c:v>
                  </c:pt>
                </c:lvl>
                <c:lvl>
                  <c:pt idx="0">
                    <c:v>Ставка 1 (0,7-1) </c:v>
                  </c:pt>
                </c:lvl>
              </c:multiLvlStrCache>
            </c:multiLvlStrRef>
          </c:cat>
          <c:val>
            <c:numRef>
              <c:f>Лист1!$M$5:$M$11</c:f>
              <c:numCache>
                <c:formatCode>General</c:formatCode>
                <c:ptCount val="7"/>
                <c:pt idx="0">
                  <c:v>9</c:v>
                </c:pt>
                <c:pt idx="1">
                  <c:v>28</c:v>
                </c:pt>
                <c:pt idx="2">
                  <c:v>53</c:v>
                </c:pt>
                <c:pt idx="3">
                  <c:v>75</c:v>
                </c:pt>
                <c:pt idx="4">
                  <c:v>61</c:v>
                </c:pt>
                <c:pt idx="5">
                  <c:v>36</c:v>
                </c:pt>
                <c:pt idx="6">
                  <c:v>40</c:v>
                </c:pt>
              </c:numCache>
            </c:numRef>
          </c:val>
          <c:smooth val="1"/>
        </c:ser>
        <c:ser>
          <c:idx val="3"/>
          <c:order val="3"/>
          <c:tx>
            <c:strRef>
              <c:f>Лист1!$N$4</c:f>
              <c:strCache>
                <c:ptCount val="1"/>
                <c:pt idx="0">
                  <c:v>преп., асс.</c:v>
                </c:pt>
              </c:strCache>
            </c:strRef>
          </c:tx>
          <c:marker>
            <c:symbol val="none"/>
          </c:marker>
          <c:cat>
            <c:multiLvlStrRef>
              <c:f>Лист1!$I$5:$J$11</c:f>
              <c:multiLvlStrCache>
                <c:ptCount val="7"/>
                <c:lvl>
                  <c:pt idx="0">
                    <c:v>0-100</c:v>
                  </c:pt>
                  <c:pt idx="1">
                    <c:v>100-200</c:v>
                  </c:pt>
                  <c:pt idx="2">
                    <c:v>200-300</c:v>
                  </c:pt>
                  <c:pt idx="3">
                    <c:v>300-400</c:v>
                  </c:pt>
                  <c:pt idx="4">
                    <c:v>400-500</c:v>
                  </c:pt>
                  <c:pt idx="5">
                    <c:v>500-600</c:v>
                  </c:pt>
                  <c:pt idx="6">
                    <c:v>&gt; 600</c:v>
                  </c:pt>
                </c:lvl>
                <c:lvl>
                  <c:pt idx="0">
                    <c:v>Ставка 1 (0,7-1) </c:v>
                  </c:pt>
                </c:lvl>
              </c:multiLvlStrCache>
            </c:multiLvlStrRef>
          </c:cat>
          <c:val>
            <c:numRef>
              <c:f>Лист1!$N$5:$N$11</c:f>
              <c:numCache>
                <c:formatCode>General</c:formatCode>
                <c:ptCount val="7"/>
                <c:pt idx="0">
                  <c:v>15</c:v>
                </c:pt>
                <c:pt idx="1">
                  <c:v>24</c:v>
                </c:pt>
                <c:pt idx="2">
                  <c:v>25</c:v>
                </c:pt>
                <c:pt idx="3">
                  <c:v>42</c:v>
                </c:pt>
                <c:pt idx="4">
                  <c:v>40</c:v>
                </c:pt>
                <c:pt idx="5">
                  <c:v>22</c:v>
                </c:pt>
                <c:pt idx="6">
                  <c:v>21</c:v>
                </c:pt>
              </c:numCache>
            </c:numRef>
          </c:val>
          <c:smooth val="1"/>
        </c:ser>
        <c:dLbls>
          <c:showLegendKey val="0"/>
          <c:showVal val="0"/>
          <c:showCatName val="0"/>
          <c:showSerName val="0"/>
          <c:showPercent val="0"/>
          <c:showBubbleSize val="0"/>
        </c:dLbls>
        <c:marker val="1"/>
        <c:smooth val="0"/>
        <c:axId val="428359040"/>
        <c:axId val="428365312"/>
      </c:lineChart>
      <c:catAx>
        <c:axId val="428359040"/>
        <c:scaling>
          <c:orientation val="minMax"/>
        </c:scaling>
        <c:delete val="0"/>
        <c:axPos val="b"/>
        <c:title>
          <c:tx>
            <c:rich>
              <a:bodyPr/>
              <a:lstStyle/>
              <a:p>
                <a:pPr>
                  <a:defRPr/>
                </a:pPr>
                <a:r>
                  <a:rPr lang="ru-RU"/>
                  <a:t>аудиторных часов нагрузки</a:t>
                </a:r>
              </a:p>
            </c:rich>
          </c:tx>
          <c:overlay val="0"/>
        </c:title>
        <c:numFmt formatCode="General" sourceLinked="0"/>
        <c:majorTickMark val="out"/>
        <c:minorTickMark val="none"/>
        <c:tickLblPos val="nextTo"/>
        <c:txPr>
          <a:bodyPr/>
          <a:lstStyle/>
          <a:p>
            <a:pPr>
              <a:defRPr sz="900"/>
            </a:pPr>
            <a:endParaRPr lang="ru-RU"/>
          </a:p>
        </c:txPr>
        <c:crossAx val="428365312"/>
        <c:crosses val="autoZero"/>
        <c:auto val="1"/>
        <c:lblAlgn val="ctr"/>
        <c:lblOffset val="100"/>
        <c:noMultiLvlLbl val="0"/>
      </c:catAx>
      <c:valAx>
        <c:axId val="428365312"/>
        <c:scaling>
          <c:orientation val="minMax"/>
          <c:max val="180"/>
        </c:scaling>
        <c:delete val="0"/>
        <c:axPos val="l"/>
        <c:majorGridlines/>
        <c:title>
          <c:tx>
            <c:rich>
              <a:bodyPr rot="-5400000" vert="horz"/>
              <a:lstStyle/>
              <a:p>
                <a:pPr>
                  <a:defRPr sz="900"/>
                </a:pPr>
                <a:r>
                  <a:rPr lang="ru-RU" sz="900"/>
                  <a:t>Количество преподавателей</a:t>
                </a:r>
              </a:p>
            </c:rich>
          </c:tx>
          <c:layout>
            <c:manualLayout>
              <c:xMode val="edge"/>
              <c:yMode val="edge"/>
              <c:x val="2.44580322401334E-2"/>
              <c:y val="0.28144891880584844"/>
            </c:manualLayout>
          </c:layout>
          <c:overlay val="0"/>
        </c:title>
        <c:numFmt formatCode="General" sourceLinked="1"/>
        <c:majorTickMark val="out"/>
        <c:minorTickMark val="none"/>
        <c:tickLblPos val="nextTo"/>
        <c:txPr>
          <a:bodyPr/>
          <a:lstStyle/>
          <a:p>
            <a:pPr>
              <a:defRPr sz="800"/>
            </a:pPr>
            <a:endParaRPr lang="ru-RU"/>
          </a:p>
        </c:txPr>
        <c:crossAx val="428359040"/>
        <c:crosses val="autoZero"/>
        <c:crossBetween val="between"/>
        <c:majorUnit val="20"/>
      </c:valAx>
    </c:plotArea>
    <c:legend>
      <c:legendPos val="r"/>
      <c:overlay val="0"/>
      <c:txPr>
        <a:bodyPr/>
        <a:lstStyle/>
        <a:p>
          <a:pPr>
            <a:defRPr sz="900"/>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b="1" i="0" baseline="0"/>
              <a:t>Распределение среднего числ форм итогового контроля </a:t>
            </a:r>
          </a:p>
          <a:p>
            <a:pPr>
              <a:defRPr/>
            </a:pPr>
            <a:r>
              <a:rPr lang="ru-RU" sz="1000" b="1" i="0" baseline="0"/>
              <a:t>по модулям (магистратура) НИУ ВШЭ (Москва)</a:t>
            </a:r>
            <a:endParaRPr lang="ru-RU" sz="1000" baseline="0"/>
          </a:p>
        </c:rich>
      </c:tx>
      <c:overlay val="0"/>
    </c:title>
    <c:autoTitleDeleted val="0"/>
    <c:plotArea>
      <c:layout/>
      <c:lineChart>
        <c:grouping val="standard"/>
        <c:varyColors val="0"/>
        <c:ser>
          <c:idx val="0"/>
          <c:order val="0"/>
          <c:tx>
            <c:strRef>
              <c:f>МАГ!$C$2</c:f>
              <c:strCache>
                <c:ptCount val="1"/>
                <c:pt idx="0">
                  <c:v>2010/2011</c:v>
                </c:pt>
              </c:strCache>
            </c:strRef>
          </c:tx>
          <c:marker>
            <c:symbol val="none"/>
          </c:marker>
          <c:cat>
            <c:numRef>
              <c:f>МАГ!$B$3:$B$6</c:f>
              <c:numCache>
                <c:formatCode>General</c:formatCode>
                <c:ptCount val="4"/>
                <c:pt idx="0">
                  <c:v>1</c:v>
                </c:pt>
                <c:pt idx="1">
                  <c:v>2</c:v>
                </c:pt>
                <c:pt idx="2">
                  <c:v>3</c:v>
                </c:pt>
                <c:pt idx="3">
                  <c:v>4</c:v>
                </c:pt>
              </c:numCache>
            </c:numRef>
          </c:cat>
          <c:val>
            <c:numRef>
              <c:f>МАГ!$C$3:$C$6</c:f>
              <c:numCache>
                <c:formatCode>General</c:formatCode>
                <c:ptCount val="4"/>
                <c:pt idx="0">
                  <c:v>1.2</c:v>
                </c:pt>
                <c:pt idx="1">
                  <c:v>3.5</c:v>
                </c:pt>
                <c:pt idx="2">
                  <c:v>2</c:v>
                </c:pt>
                <c:pt idx="3">
                  <c:v>4.5</c:v>
                </c:pt>
              </c:numCache>
            </c:numRef>
          </c:val>
          <c:smooth val="0"/>
        </c:ser>
        <c:ser>
          <c:idx val="1"/>
          <c:order val="1"/>
          <c:tx>
            <c:strRef>
              <c:f>МАГ!$D$2</c:f>
              <c:strCache>
                <c:ptCount val="1"/>
                <c:pt idx="0">
                  <c:v>2011/2012</c:v>
                </c:pt>
              </c:strCache>
            </c:strRef>
          </c:tx>
          <c:marker>
            <c:symbol val="none"/>
          </c:marker>
          <c:cat>
            <c:numRef>
              <c:f>МАГ!$B$3:$B$6</c:f>
              <c:numCache>
                <c:formatCode>General</c:formatCode>
                <c:ptCount val="4"/>
                <c:pt idx="0">
                  <c:v>1</c:v>
                </c:pt>
                <c:pt idx="1">
                  <c:v>2</c:v>
                </c:pt>
                <c:pt idx="2">
                  <c:v>3</c:v>
                </c:pt>
                <c:pt idx="3">
                  <c:v>4</c:v>
                </c:pt>
              </c:numCache>
            </c:numRef>
          </c:cat>
          <c:val>
            <c:numRef>
              <c:f>МАГ!$D$3:$D$6</c:f>
              <c:numCache>
                <c:formatCode>General</c:formatCode>
                <c:ptCount val="4"/>
                <c:pt idx="0">
                  <c:v>0.8</c:v>
                </c:pt>
                <c:pt idx="1">
                  <c:v>3.8</c:v>
                </c:pt>
                <c:pt idx="2">
                  <c:v>2</c:v>
                </c:pt>
                <c:pt idx="3">
                  <c:v>4.5999999999999996</c:v>
                </c:pt>
              </c:numCache>
            </c:numRef>
          </c:val>
          <c:smooth val="0"/>
        </c:ser>
        <c:ser>
          <c:idx val="2"/>
          <c:order val="2"/>
          <c:tx>
            <c:strRef>
              <c:f>МАГ!$E$2</c:f>
              <c:strCache>
                <c:ptCount val="1"/>
                <c:pt idx="0">
                  <c:v>2012/2013</c:v>
                </c:pt>
              </c:strCache>
            </c:strRef>
          </c:tx>
          <c:marker>
            <c:symbol val="none"/>
          </c:marker>
          <c:cat>
            <c:numRef>
              <c:f>МАГ!$B$3:$B$6</c:f>
              <c:numCache>
                <c:formatCode>General</c:formatCode>
                <c:ptCount val="4"/>
                <c:pt idx="0">
                  <c:v>1</c:v>
                </c:pt>
                <c:pt idx="1">
                  <c:v>2</c:v>
                </c:pt>
                <c:pt idx="2">
                  <c:v>3</c:v>
                </c:pt>
                <c:pt idx="3">
                  <c:v>4</c:v>
                </c:pt>
              </c:numCache>
            </c:numRef>
          </c:cat>
          <c:val>
            <c:numRef>
              <c:f>МАГ!$E$3:$E$6</c:f>
              <c:numCache>
                <c:formatCode>General</c:formatCode>
                <c:ptCount val="4"/>
                <c:pt idx="0">
                  <c:v>1</c:v>
                </c:pt>
                <c:pt idx="1">
                  <c:v>3.6</c:v>
                </c:pt>
                <c:pt idx="2">
                  <c:v>2.2000000000000002</c:v>
                </c:pt>
                <c:pt idx="3">
                  <c:v>3.8</c:v>
                </c:pt>
              </c:numCache>
            </c:numRef>
          </c:val>
          <c:smooth val="0"/>
        </c:ser>
        <c:dLbls>
          <c:showLegendKey val="0"/>
          <c:showVal val="0"/>
          <c:showCatName val="0"/>
          <c:showSerName val="0"/>
          <c:showPercent val="0"/>
          <c:showBubbleSize val="0"/>
        </c:dLbls>
        <c:hiLowLines/>
        <c:marker val="1"/>
        <c:smooth val="0"/>
        <c:axId val="439920512"/>
        <c:axId val="439926784"/>
      </c:lineChart>
      <c:catAx>
        <c:axId val="439920512"/>
        <c:scaling>
          <c:orientation val="minMax"/>
        </c:scaling>
        <c:delete val="0"/>
        <c:axPos val="b"/>
        <c:title>
          <c:tx>
            <c:rich>
              <a:bodyPr/>
              <a:lstStyle/>
              <a:p>
                <a:pPr>
                  <a:defRPr/>
                </a:pPr>
                <a:r>
                  <a:rPr lang="ru-RU"/>
                  <a:t>Модули</a:t>
                </a:r>
              </a:p>
            </c:rich>
          </c:tx>
          <c:overlay val="0"/>
        </c:title>
        <c:numFmt formatCode="General" sourceLinked="1"/>
        <c:majorTickMark val="none"/>
        <c:minorTickMark val="none"/>
        <c:tickLblPos val="nextTo"/>
        <c:crossAx val="439926784"/>
        <c:crosses val="autoZero"/>
        <c:auto val="1"/>
        <c:lblAlgn val="ctr"/>
        <c:lblOffset val="100"/>
        <c:noMultiLvlLbl val="0"/>
      </c:catAx>
      <c:valAx>
        <c:axId val="439926784"/>
        <c:scaling>
          <c:orientation val="minMax"/>
        </c:scaling>
        <c:delete val="0"/>
        <c:axPos val="l"/>
        <c:majorGridlines/>
        <c:title>
          <c:tx>
            <c:rich>
              <a:bodyPr/>
              <a:lstStyle/>
              <a:p>
                <a:pPr>
                  <a:defRPr/>
                </a:pPr>
                <a:r>
                  <a:rPr lang="ru-RU" sz="1000" b="1" i="0" baseline="0"/>
                  <a:t>Среднее кол-во форм итогового контроля</a:t>
                </a:r>
                <a:endParaRPr lang="ru-RU" sz="1000" baseline="0"/>
              </a:p>
            </c:rich>
          </c:tx>
          <c:layout>
            <c:manualLayout>
              <c:xMode val="edge"/>
              <c:yMode val="edge"/>
              <c:x val="2.2222222222222202E-2"/>
              <c:y val="0.178298702245553"/>
            </c:manualLayout>
          </c:layout>
          <c:overlay val="0"/>
        </c:title>
        <c:numFmt formatCode="General" sourceLinked="1"/>
        <c:majorTickMark val="out"/>
        <c:minorTickMark val="none"/>
        <c:tickLblPos val="nextTo"/>
        <c:crossAx val="439920512"/>
        <c:crosses val="autoZero"/>
        <c:crossBetween val="between"/>
      </c:valAx>
    </c:plotArea>
    <c:legend>
      <c:legendPos val="r"/>
      <c:overlay val="0"/>
    </c:legend>
    <c:plotVisOnly val="1"/>
    <c:dispBlanksAs val="gap"/>
    <c:showDLblsOverMax val="0"/>
  </c:chart>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Фактическая аудиторная нагрузка по должностям, 2011-12</a:t>
            </a:r>
          </a:p>
        </c:rich>
      </c:tx>
      <c:overlay val="0"/>
    </c:title>
    <c:autoTitleDeleted val="0"/>
    <c:plotArea>
      <c:layout/>
      <c:lineChart>
        <c:grouping val="standard"/>
        <c:varyColors val="0"/>
        <c:ser>
          <c:idx val="0"/>
          <c:order val="0"/>
          <c:tx>
            <c:strRef>
              <c:f>Лист1!$C$45</c:f>
              <c:strCache>
                <c:ptCount val="1"/>
                <c:pt idx="0">
                  <c:v>проф.</c:v>
                </c:pt>
              </c:strCache>
            </c:strRef>
          </c:tx>
          <c:marker>
            <c:symbol val="none"/>
          </c:marker>
          <c:cat>
            <c:multiLvlStrRef>
              <c:f>Лист1!$A$46:$B$52</c:f>
              <c:multiLvlStrCache>
                <c:ptCount val="7"/>
                <c:lvl>
                  <c:pt idx="0">
                    <c:v>0-100</c:v>
                  </c:pt>
                  <c:pt idx="1">
                    <c:v>100-200</c:v>
                  </c:pt>
                  <c:pt idx="2">
                    <c:v>200-300</c:v>
                  </c:pt>
                  <c:pt idx="3">
                    <c:v>300-400</c:v>
                  </c:pt>
                  <c:pt idx="4">
                    <c:v>400-500</c:v>
                  </c:pt>
                  <c:pt idx="5">
                    <c:v>500-600</c:v>
                  </c:pt>
                  <c:pt idx="6">
                    <c:v>&gt; 600</c:v>
                  </c:pt>
                </c:lvl>
                <c:lvl>
                  <c:pt idx="0">
                    <c:v>Ставка 1 (0,7-1) </c:v>
                  </c:pt>
                </c:lvl>
              </c:multiLvlStrCache>
            </c:multiLvlStrRef>
          </c:cat>
          <c:val>
            <c:numRef>
              <c:f>Лист1!$C$46:$C$52</c:f>
              <c:numCache>
                <c:formatCode>0%</c:formatCode>
                <c:ptCount val="7"/>
                <c:pt idx="0">
                  <c:v>5.4872280037843203E-2</c:v>
                </c:pt>
                <c:pt idx="1">
                  <c:v>9.9337748344371063E-2</c:v>
                </c:pt>
                <c:pt idx="2">
                  <c:v>7.2847682119205434E-2</c:v>
                </c:pt>
                <c:pt idx="3">
                  <c:v>1.5137180700094599E-2</c:v>
                </c:pt>
                <c:pt idx="4">
                  <c:v>5.6764427625354934E-3</c:v>
                </c:pt>
                <c:pt idx="5">
                  <c:v>1.8921475875118394E-3</c:v>
                </c:pt>
                <c:pt idx="6">
                  <c:v>0</c:v>
                </c:pt>
              </c:numCache>
            </c:numRef>
          </c:val>
          <c:smooth val="1"/>
        </c:ser>
        <c:ser>
          <c:idx val="1"/>
          <c:order val="1"/>
          <c:tx>
            <c:strRef>
              <c:f>Лист1!$D$45</c:f>
              <c:strCache>
                <c:ptCount val="1"/>
                <c:pt idx="0">
                  <c:v>доц.</c:v>
                </c:pt>
              </c:strCache>
            </c:strRef>
          </c:tx>
          <c:marker>
            <c:symbol val="none"/>
          </c:marker>
          <c:cat>
            <c:multiLvlStrRef>
              <c:f>Лист1!$A$46:$B$52</c:f>
              <c:multiLvlStrCache>
                <c:ptCount val="7"/>
                <c:lvl>
                  <c:pt idx="0">
                    <c:v>0-100</c:v>
                  </c:pt>
                  <c:pt idx="1">
                    <c:v>100-200</c:v>
                  </c:pt>
                  <c:pt idx="2">
                    <c:v>200-300</c:v>
                  </c:pt>
                  <c:pt idx="3">
                    <c:v>300-400</c:v>
                  </c:pt>
                  <c:pt idx="4">
                    <c:v>400-500</c:v>
                  </c:pt>
                  <c:pt idx="5">
                    <c:v>500-600</c:v>
                  </c:pt>
                  <c:pt idx="6">
                    <c:v>&gt; 600</c:v>
                  </c:pt>
                </c:lvl>
                <c:lvl>
                  <c:pt idx="0">
                    <c:v>Ставка 1 (0,7-1) </c:v>
                  </c:pt>
                </c:lvl>
              </c:multiLvlStrCache>
            </c:multiLvlStrRef>
          </c:cat>
          <c:val>
            <c:numRef>
              <c:f>Лист1!$D$46:$D$52</c:f>
              <c:numCache>
                <c:formatCode>0%</c:formatCode>
                <c:ptCount val="7"/>
                <c:pt idx="0">
                  <c:v>4.1627246925260201E-2</c:v>
                </c:pt>
                <c:pt idx="1">
                  <c:v>9.3661305581836066E-2</c:v>
                </c:pt>
                <c:pt idx="2">
                  <c:v>0.11352885525071002</c:v>
                </c:pt>
                <c:pt idx="3">
                  <c:v>9.3661305581836066E-2</c:v>
                </c:pt>
                <c:pt idx="4">
                  <c:v>5.1087984862819423E-2</c:v>
                </c:pt>
                <c:pt idx="5">
                  <c:v>1.2298959318826901E-2</c:v>
                </c:pt>
                <c:pt idx="6">
                  <c:v>8.5146641438032227E-3</c:v>
                </c:pt>
              </c:numCache>
            </c:numRef>
          </c:val>
          <c:smooth val="1"/>
        </c:ser>
        <c:ser>
          <c:idx val="2"/>
          <c:order val="2"/>
          <c:tx>
            <c:strRef>
              <c:f>Лист1!$E$45</c:f>
              <c:strCache>
                <c:ptCount val="1"/>
                <c:pt idx="0">
                  <c:v>ст.преп.</c:v>
                </c:pt>
              </c:strCache>
            </c:strRef>
          </c:tx>
          <c:marker>
            <c:symbol val="none"/>
          </c:marker>
          <c:cat>
            <c:multiLvlStrRef>
              <c:f>Лист1!$A$46:$B$52</c:f>
              <c:multiLvlStrCache>
                <c:ptCount val="7"/>
                <c:lvl>
                  <c:pt idx="0">
                    <c:v>0-100</c:v>
                  </c:pt>
                  <c:pt idx="1">
                    <c:v>100-200</c:v>
                  </c:pt>
                  <c:pt idx="2">
                    <c:v>200-300</c:v>
                  </c:pt>
                  <c:pt idx="3">
                    <c:v>300-400</c:v>
                  </c:pt>
                  <c:pt idx="4">
                    <c:v>400-500</c:v>
                  </c:pt>
                  <c:pt idx="5">
                    <c:v>500-600</c:v>
                  </c:pt>
                  <c:pt idx="6">
                    <c:v>&gt; 600</c:v>
                  </c:pt>
                </c:lvl>
                <c:lvl>
                  <c:pt idx="0">
                    <c:v>Ставка 1 (0,7-1) </c:v>
                  </c:pt>
                </c:lvl>
              </c:multiLvlStrCache>
            </c:multiLvlStrRef>
          </c:cat>
          <c:val>
            <c:numRef>
              <c:f>Лист1!$E$46:$E$52</c:f>
              <c:numCache>
                <c:formatCode>0%</c:formatCode>
                <c:ptCount val="7"/>
                <c:pt idx="0">
                  <c:v>6.6225165562913716E-3</c:v>
                </c:pt>
                <c:pt idx="1">
                  <c:v>1.9867549668874277E-2</c:v>
                </c:pt>
                <c:pt idx="2">
                  <c:v>3.5004730368968798E-2</c:v>
                </c:pt>
                <c:pt idx="3">
                  <c:v>8.2308420056764406E-2</c:v>
                </c:pt>
                <c:pt idx="4">
                  <c:v>3.8789025543992398E-2</c:v>
                </c:pt>
                <c:pt idx="5">
                  <c:v>1.9867549668874277E-2</c:v>
                </c:pt>
                <c:pt idx="6">
                  <c:v>1.5137180700094599E-2</c:v>
                </c:pt>
              </c:numCache>
            </c:numRef>
          </c:val>
          <c:smooth val="1"/>
        </c:ser>
        <c:ser>
          <c:idx val="3"/>
          <c:order val="3"/>
          <c:tx>
            <c:strRef>
              <c:f>Лист1!$F$45</c:f>
              <c:strCache>
                <c:ptCount val="1"/>
                <c:pt idx="0">
                  <c:v>преп., асс.</c:v>
                </c:pt>
              </c:strCache>
            </c:strRef>
          </c:tx>
          <c:marker>
            <c:symbol val="none"/>
          </c:marker>
          <c:cat>
            <c:multiLvlStrRef>
              <c:f>Лист1!$A$46:$B$52</c:f>
              <c:multiLvlStrCache>
                <c:ptCount val="7"/>
                <c:lvl>
                  <c:pt idx="0">
                    <c:v>0-100</c:v>
                  </c:pt>
                  <c:pt idx="1">
                    <c:v>100-200</c:v>
                  </c:pt>
                  <c:pt idx="2">
                    <c:v>200-300</c:v>
                  </c:pt>
                  <c:pt idx="3">
                    <c:v>300-400</c:v>
                  </c:pt>
                  <c:pt idx="4">
                    <c:v>400-500</c:v>
                  </c:pt>
                  <c:pt idx="5">
                    <c:v>500-600</c:v>
                  </c:pt>
                  <c:pt idx="6">
                    <c:v>&gt; 600</c:v>
                  </c:pt>
                </c:lvl>
                <c:lvl>
                  <c:pt idx="0">
                    <c:v>Ставка 1 (0,7-1) </c:v>
                  </c:pt>
                </c:lvl>
              </c:multiLvlStrCache>
            </c:multiLvlStrRef>
          </c:cat>
          <c:val>
            <c:numRef>
              <c:f>Лист1!$F$46:$F$52</c:f>
              <c:numCache>
                <c:formatCode>0%</c:formatCode>
                <c:ptCount val="7"/>
                <c:pt idx="0">
                  <c:v>5.6764427625354934E-3</c:v>
                </c:pt>
                <c:pt idx="1">
                  <c:v>1.9867549668874277E-2</c:v>
                </c:pt>
                <c:pt idx="2">
                  <c:v>2.5543992431409687E-2</c:v>
                </c:pt>
                <c:pt idx="3">
                  <c:v>2.8382213812677401E-2</c:v>
                </c:pt>
                <c:pt idx="4">
                  <c:v>1.4191106906338699E-2</c:v>
                </c:pt>
                <c:pt idx="5">
                  <c:v>1.5137180700094599E-2</c:v>
                </c:pt>
                <c:pt idx="6">
                  <c:v>9.4607379375591921E-3</c:v>
                </c:pt>
              </c:numCache>
            </c:numRef>
          </c:val>
          <c:smooth val="1"/>
        </c:ser>
        <c:dLbls>
          <c:showLegendKey val="0"/>
          <c:showVal val="0"/>
          <c:showCatName val="0"/>
          <c:showSerName val="0"/>
          <c:showPercent val="0"/>
          <c:showBubbleSize val="0"/>
        </c:dLbls>
        <c:dropLines/>
        <c:marker val="1"/>
        <c:smooth val="0"/>
        <c:axId val="428397312"/>
        <c:axId val="428399232"/>
      </c:lineChart>
      <c:catAx>
        <c:axId val="428397312"/>
        <c:scaling>
          <c:orientation val="minMax"/>
        </c:scaling>
        <c:delete val="0"/>
        <c:axPos val="b"/>
        <c:title>
          <c:tx>
            <c:rich>
              <a:bodyPr/>
              <a:lstStyle/>
              <a:p>
                <a:pPr>
                  <a:defRPr/>
                </a:pPr>
                <a:r>
                  <a:rPr lang="ru-RU"/>
                  <a:t>фактические аудиторные часы</a:t>
                </a:r>
              </a:p>
            </c:rich>
          </c:tx>
          <c:overlay val="0"/>
        </c:title>
        <c:numFmt formatCode="General" sourceLinked="0"/>
        <c:majorTickMark val="out"/>
        <c:minorTickMark val="none"/>
        <c:tickLblPos val="nextTo"/>
        <c:crossAx val="428399232"/>
        <c:crosses val="autoZero"/>
        <c:auto val="1"/>
        <c:lblAlgn val="ctr"/>
        <c:lblOffset val="100"/>
        <c:noMultiLvlLbl val="0"/>
      </c:catAx>
      <c:valAx>
        <c:axId val="428399232"/>
        <c:scaling>
          <c:orientation val="minMax"/>
          <c:max val="0.12000000000000002"/>
          <c:min val="0"/>
        </c:scaling>
        <c:delete val="0"/>
        <c:axPos val="l"/>
        <c:majorGridlines/>
        <c:numFmt formatCode="0%" sourceLinked="1"/>
        <c:majorTickMark val="out"/>
        <c:minorTickMark val="none"/>
        <c:tickLblPos val="nextTo"/>
        <c:crossAx val="428397312"/>
        <c:crosses val="autoZero"/>
        <c:crossBetween val="between"/>
        <c:majorUnit val="2.0000000000000011E-2"/>
      </c:valAx>
    </c:plotArea>
    <c:legend>
      <c:legendPos val="t"/>
      <c:overlay val="0"/>
    </c:legend>
    <c:plotVisOnly val="1"/>
    <c:dispBlanksAs val="gap"/>
    <c:showDLblsOverMax val="0"/>
  </c:chart>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Фактическая аудиторная нагрузка по должностям, 2012-13</a:t>
            </a:r>
          </a:p>
        </c:rich>
      </c:tx>
      <c:overlay val="0"/>
    </c:title>
    <c:autoTitleDeleted val="0"/>
    <c:plotArea>
      <c:layout/>
      <c:lineChart>
        <c:grouping val="standard"/>
        <c:varyColors val="0"/>
        <c:ser>
          <c:idx val="0"/>
          <c:order val="0"/>
          <c:tx>
            <c:strRef>
              <c:f>Лист1!$K$45</c:f>
              <c:strCache>
                <c:ptCount val="1"/>
                <c:pt idx="0">
                  <c:v>проф.</c:v>
                </c:pt>
              </c:strCache>
            </c:strRef>
          </c:tx>
          <c:marker>
            <c:symbol val="none"/>
          </c:marker>
          <c:cat>
            <c:multiLvlStrRef>
              <c:f>Лист1!$I$46:$J$52</c:f>
              <c:multiLvlStrCache>
                <c:ptCount val="7"/>
                <c:lvl>
                  <c:pt idx="0">
                    <c:v>0-100</c:v>
                  </c:pt>
                  <c:pt idx="1">
                    <c:v>100-200</c:v>
                  </c:pt>
                  <c:pt idx="2">
                    <c:v>200-300</c:v>
                  </c:pt>
                  <c:pt idx="3">
                    <c:v>300-400</c:v>
                  </c:pt>
                  <c:pt idx="4">
                    <c:v>400-500</c:v>
                  </c:pt>
                  <c:pt idx="5">
                    <c:v>500-600</c:v>
                  </c:pt>
                  <c:pt idx="6">
                    <c:v>&gt; 600</c:v>
                  </c:pt>
                </c:lvl>
                <c:lvl>
                  <c:pt idx="0">
                    <c:v>Ставка 1 (0,7-1) </c:v>
                  </c:pt>
                </c:lvl>
              </c:multiLvlStrCache>
            </c:multiLvlStrRef>
          </c:cat>
          <c:val>
            <c:numRef>
              <c:f>Лист1!$K$46:$K$52</c:f>
              <c:numCache>
                <c:formatCode>0%</c:formatCode>
                <c:ptCount val="7"/>
                <c:pt idx="0">
                  <c:v>6.0606060606060601E-2</c:v>
                </c:pt>
                <c:pt idx="1">
                  <c:v>8.4022038567493712E-2</c:v>
                </c:pt>
                <c:pt idx="2">
                  <c:v>6.1294765840220422E-2</c:v>
                </c:pt>
                <c:pt idx="3">
                  <c:v>3.03030303030303E-2</c:v>
                </c:pt>
                <c:pt idx="4">
                  <c:v>1.1707988980716301E-2</c:v>
                </c:pt>
                <c:pt idx="5">
                  <c:v>1.3774104683195647E-3</c:v>
                </c:pt>
                <c:pt idx="6">
                  <c:v>0</c:v>
                </c:pt>
              </c:numCache>
            </c:numRef>
          </c:val>
          <c:smooth val="1"/>
        </c:ser>
        <c:ser>
          <c:idx val="1"/>
          <c:order val="1"/>
          <c:tx>
            <c:strRef>
              <c:f>Лист1!$L$45</c:f>
              <c:strCache>
                <c:ptCount val="1"/>
                <c:pt idx="0">
                  <c:v>доц.</c:v>
                </c:pt>
              </c:strCache>
            </c:strRef>
          </c:tx>
          <c:marker>
            <c:symbol val="none"/>
          </c:marker>
          <c:cat>
            <c:multiLvlStrRef>
              <c:f>Лист1!$I$46:$J$52</c:f>
              <c:multiLvlStrCache>
                <c:ptCount val="7"/>
                <c:lvl>
                  <c:pt idx="0">
                    <c:v>0-100</c:v>
                  </c:pt>
                  <c:pt idx="1">
                    <c:v>100-200</c:v>
                  </c:pt>
                  <c:pt idx="2">
                    <c:v>200-300</c:v>
                  </c:pt>
                  <c:pt idx="3">
                    <c:v>300-400</c:v>
                  </c:pt>
                  <c:pt idx="4">
                    <c:v>400-500</c:v>
                  </c:pt>
                  <c:pt idx="5">
                    <c:v>500-600</c:v>
                  </c:pt>
                  <c:pt idx="6">
                    <c:v>&gt; 600</c:v>
                  </c:pt>
                </c:lvl>
                <c:lvl>
                  <c:pt idx="0">
                    <c:v>Ставка 1 (0,7-1) </c:v>
                  </c:pt>
                </c:lvl>
              </c:multiLvlStrCache>
            </c:multiLvlStrRef>
          </c:cat>
          <c:val>
            <c:numRef>
              <c:f>Лист1!$L$46:$L$52</c:f>
              <c:numCache>
                <c:formatCode>0%</c:formatCode>
                <c:ptCount val="7"/>
                <c:pt idx="0">
                  <c:v>3.7190082644628114E-2</c:v>
                </c:pt>
                <c:pt idx="1">
                  <c:v>9.0220385674931208E-2</c:v>
                </c:pt>
                <c:pt idx="2">
                  <c:v>0.11225895316804398</c:v>
                </c:pt>
                <c:pt idx="3">
                  <c:v>8.7465564738292451E-2</c:v>
                </c:pt>
                <c:pt idx="4">
                  <c:v>4.7520661157024933E-2</c:v>
                </c:pt>
                <c:pt idx="5">
                  <c:v>2.2727272727272822E-2</c:v>
                </c:pt>
                <c:pt idx="6">
                  <c:v>1.5151515151515103E-2</c:v>
                </c:pt>
              </c:numCache>
            </c:numRef>
          </c:val>
          <c:smooth val="1"/>
        </c:ser>
        <c:ser>
          <c:idx val="2"/>
          <c:order val="2"/>
          <c:tx>
            <c:strRef>
              <c:f>Лист1!$M$45</c:f>
              <c:strCache>
                <c:ptCount val="1"/>
                <c:pt idx="0">
                  <c:v>ст.преп.</c:v>
                </c:pt>
              </c:strCache>
            </c:strRef>
          </c:tx>
          <c:marker>
            <c:symbol val="none"/>
          </c:marker>
          <c:cat>
            <c:multiLvlStrRef>
              <c:f>Лист1!$I$46:$J$52</c:f>
              <c:multiLvlStrCache>
                <c:ptCount val="7"/>
                <c:lvl>
                  <c:pt idx="0">
                    <c:v>0-100</c:v>
                  </c:pt>
                  <c:pt idx="1">
                    <c:v>100-200</c:v>
                  </c:pt>
                  <c:pt idx="2">
                    <c:v>200-300</c:v>
                  </c:pt>
                  <c:pt idx="3">
                    <c:v>300-400</c:v>
                  </c:pt>
                  <c:pt idx="4">
                    <c:v>400-500</c:v>
                  </c:pt>
                  <c:pt idx="5">
                    <c:v>500-600</c:v>
                  </c:pt>
                  <c:pt idx="6">
                    <c:v>&gt; 600</c:v>
                  </c:pt>
                </c:lvl>
                <c:lvl>
                  <c:pt idx="0">
                    <c:v>Ставка 1 (0,7-1) </c:v>
                  </c:pt>
                </c:lvl>
              </c:multiLvlStrCache>
            </c:multiLvlStrRef>
          </c:cat>
          <c:val>
            <c:numRef>
              <c:f>Лист1!$M$46:$M$52</c:f>
              <c:numCache>
                <c:formatCode>0%</c:formatCode>
                <c:ptCount val="7"/>
                <c:pt idx="0">
                  <c:v>6.1983471074380124E-3</c:v>
                </c:pt>
                <c:pt idx="1">
                  <c:v>1.9283746556473799E-2</c:v>
                </c:pt>
                <c:pt idx="2">
                  <c:v>3.6501377410468494E-2</c:v>
                </c:pt>
                <c:pt idx="3">
                  <c:v>5.1652892561983466E-2</c:v>
                </c:pt>
                <c:pt idx="4">
                  <c:v>4.2011019283746662E-2</c:v>
                </c:pt>
                <c:pt idx="5">
                  <c:v>2.4793388429752185E-2</c:v>
                </c:pt>
                <c:pt idx="6">
                  <c:v>2.7548209366391199E-2</c:v>
                </c:pt>
              </c:numCache>
            </c:numRef>
          </c:val>
          <c:smooth val="1"/>
        </c:ser>
        <c:ser>
          <c:idx val="3"/>
          <c:order val="3"/>
          <c:tx>
            <c:strRef>
              <c:f>Лист1!$N$45</c:f>
              <c:strCache>
                <c:ptCount val="1"/>
                <c:pt idx="0">
                  <c:v>преп., асс.</c:v>
                </c:pt>
              </c:strCache>
            </c:strRef>
          </c:tx>
          <c:marker>
            <c:symbol val="none"/>
          </c:marker>
          <c:cat>
            <c:multiLvlStrRef>
              <c:f>Лист1!$I$46:$J$52</c:f>
              <c:multiLvlStrCache>
                <c:ptCount val="7"/>
                <c:lvl>
                  <c:pt idx="0">
                    <c:v>0-100</c:v>
                  </c:pt>
                  <c:pt idx="1">
                    <c:v>100-200</c:v>
                  </c:pt>
                  <c:pt idx="2">
                    <c:v>200-300</c:v>
                  </c:pt>
                  <c:pt idx="3">
                    <c:v>300-400</c:v>
                  </c:pt>
                  <c:pt idx="4">
                    <c:v>400-500</c:v>
                  </c:pt>
                  <c:pt idx="5">
                    <c:v>500-600</c:v>
                  </c:pt>
                  <c:pt idx="6">
                    <c:v>&gt; 600</c:v>
                  </c:pt>
                </c:lvl>
                <c:lvl>
                  <c:pt idx="0">
                    <c:v>Ставка 1 (0,7-1) </c:v>
                  </c:pt>
                </c:lvl>
              </c:multiLvlStrCache>
            </c:multiLvlStrRef>
          </c:cat>
          <c:val>
            <c:numRef>
              <c:f>Лист1!$N$46:$N$52</c:f>
              <c:numCache>
                <c:formatCode>0%</c:formatCode>
                <c:ptCount val="7"/>
                <c:pt idx="0">
                  <c:v>1.0330578512396701E-2</c:v>
                </c:pt>
                <c:pt idx="1">
                  <c:v>1.6528925619834763E-2</c:v>
                </c:pt>
                <c:pt idx="2">
                  <c:v>1.7217630853994498E-2</c:v>
                </c:pt>
                <c:pt idx="3">
                  <c:v>2.89256198347107E-2</c:v>
                </c:pt>
                <c:pt idx="4">
                  <c:v>2.7548209366391199E-2</c:v>
                </c:pt>
                <c:pt idx="5">
                  <c:v>1.5151515151515103E-2</c:v>
                </c:pt>
                <c:pt idx="6">
                  <c:v>1.446280991735545E-2</c:v>
                </c:pt>
              </c:numCache>
            </c:numRef>
          </c:val>
          <c:smooth val="1"/>
        </c:ser>
        <c:dLbls>
          <c:showLegendKey val="0"/>
          <c:showVal val="0"/>
          <c:showCatName val="0"/>
          <c:showSerName val="0"/>
          <c:showPercent val="0"/>
          <c:showBubbleSize val="0"/>
        </c:dLbls>
        <c:dropLines/>
        <c:marker val="1"/>
        <c:smooth val="0"/>
        <c:axId val="329745920"/>
        <c:axId val="329747840"/>
      </c:lineChart>
      <c:catAx>
        <c:axId val="329745920"/>
        <c:scaling>
          <c:orientation val="minMax"/>
        </c:scaling>
        <c:delete val="0"/>
        <c:axPos val="b"/>
        <c:title>
          <c:tx>
            <c:rich>
              <a:bodyPr/>
              <a:lstStyle/>
              <a:p>
                <a:pPr>
                  <a:defRPr/>
                </a:pPr>
                <a:r>
                  <a:rPr lang="ru-RU" sz="1050" b="1" i="0" baseline="0">
                    <a:effectLst/>
                  </a:rPr>
                  <a:t>фактические аудиторные часы</a:t>
                </a:r>
                <a:endParaRPr lang="ru-RU" sz="500">
                  <a:effectLst/>
                </a:endParaRPr>
              </a:p>
            </c:rich>
          </c:tx>
          <c:overlay val="0"/>
        </c:title>
        <c:numFmt formatCode="General" sourceLinked="0"/>
        <c:majorTickMark val="out"/>
        <c:minorTickMark val="none"/>
        <c:tickLblPos val="nextTo"/>
        <c:crossAx val="329747840"/>
        <c:crosses val="autoZero"/>
        <c:auto val="1"/>
        <c:lblAlgn val="ctr"/>
        <c:lblOffset val="100"/>
        <c:noMultiLvlLbl val="0"/>
      </c:catAx>
      <c:valAx>
        <c:axId val="329747840"/>
        <c:scaling>
          <c:orientation val="minMax"/>
          <c:max val="0.12000000000000002"/>
          <c:min val="0"/>
        </c:scaling>
        <c:delete val="0"/>
        <c:axPos val="l"/>
        <c:majorGridlines/>
        <c:numFmt formatCode="0%" sourceLinked="1"/>
        <c:majorTickMark val="out"/>
        <c:minorTickMark val="none"/>
        <c:tickLblPos val="nextTo"/>
        <c:crossAx val="329745920"/>
        <c:crosses val="autoZero"/>
        <c:crossBetween val="between"/>
        <c:majorUnit val="2.0000000000000011E-2"/>
      </c:valAx>
    </c:plotArea>
    <c:legend>
      <c:legendPos val="t"/>
      <c:overlay val="0"/>
    </c:legend>
    <c:plotVisOnly val="1"/>
    <c:dispBlanksAs val="gap"/>
    <c:showDLblsOverMax val="0"/>
  </c:chart>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Общая</a:t>
            </a:r>
            <a:r>
              <a:rPr lang="ru-RU" sz="1200" baseline="0"/>
              <a:t> численность заявок и реальных учебных ассистентов с 2010 по 2013 год по факультетам Москвы</a:t>
            </a:r>
            <a:endParaRPr lang="ru-RU" sz="1200"/>
          </a:p>
        </c:rich>
      </c:tx>
      <c:layout>
        <c:manualLayout>
          <c:xMode val="edge"/>
          <c:yMode val="edge"/>
          <c:x val="7.6227812261788055E-2"/>
          <c:y val="1.5379545204877535E-2"/>
        </c:manualLayout>
      </c:layout>
      <c:overlay val="0"/>
    </c:title>
    <c:autoTitleDeleted val="0"/>
    <c:plotArea>
      <c:layout>
        <c:manualLayout>
          <c:layoutTarget val="inner"/>
          <c:xMode val="edge"/>
          <c:yMode val="edge"/>
          <c:x val="0.15851835083829313"/>
          <c:y val="0.10300624323041542"/>
          <c:w val="0.77035471036962067"/>
          <c:h val="0.84748400711241301"/>
        </c:manualLayout>
      </c:layout>
      <c:barChart>
        <c:barDir val="bar"/>
        <c:grouping val="clustered"/>
        <c:varyColors val="0"/>
        <c:ser>
          <c:idx val="0"/>
          <c:order val="0"/>
          <c:tx>
            <c:strRef>
              <c:f>'по головам'!$F$33</c:f>
              <c:strCache>
                <c:ptCount val="1"/>
                <c:pt idx="0">
                  <c:v>Заявки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головам'!$E$34:$E$61</c:f>
              <c:strCache>
                <c:ptCount val="28"/>
                <c:pt idx="0">
                  <c:v>ВШУ</c:v>
                </c:pt>
                <c:pt idx="1">
                  <c:v>интегр.комм.</c:v>
                </c:pt>
                <c:pt idx="2">
                  <c:v>ИнОбр</c:v>
                </c:pt>
                <c:pt idx="3">
                  <c:v>МИЭФ</c:v>
                </c:pt>
                <c:pt idx="4">
                  <c:v>восток</c:v>
                </c:pt>
                <c:pt idx="5">
                  <c:v>демогр.</c:v>
                </c:pt>
                <c:pt idx="6">
                  <c:v>СБ ВШЭ-РЭШ</c:v>
                </c:pt>
                <c:pt idx="7">
                  <c:v>логист</c:v>
                </c:pt>
                <c:pt idx="8">
                  <c:v>публ.пол.</c:v>
                </c:pt>
                <c:pt idx="9">
                  <c:v>ПИ</c:v>
                </c:pt>
                <c:pt idx="10">
                  <c:v>культ</c:v>
                </c:pt>
                <c:pt idx="11">
                  <c:v>медиа </c:v>
                </c:pt>
                <c:pt idx="12">
                  <c:v>филол</c:v>
                </c:pt>
                <c:pt idx="13">
                  <c:v>ГиМУ</c:v>
                </c:pt>
                <c:pt idx="14">
                  <c:v>МИЭМ</c:v>
                </c:pt>
                <c:pt idx="15">
                  <c:v>мен</c:v>
                </c:pt>
                <c:pt idx="16">
                  <c:v>статист</c:v>
                </c:pt>
                <c:pt idx="17">
                  <c:v>ист</c:v>
                </c:pt>
                <c:pt idx="18">
                  <c:v>БИ</c:v>
                </c:pt>
                <c:pt idx="19">
                  <c:v>псих</c:v>
                </c:pt>
                <c:pt idx="20">
                  <c:v>ПМиИ</c:v>
                </c:pt>
                <c:pt idx="21">
                  <c:v>МЭиМП</c:v>
                </c:pt>
                <c:pt idx="22">
                  <c:v>ПП</c:v>
                </c:pt>
                <c:pt idx="23">
                  <c:v>филос</c:v>
                </c:pt>
                <c:pt idx="24">
                  <c:v>соц</c:v>
                </c:pt>
                <c:pt idx="25">
                  <c:v>мат</c:v>
                </c:pt>
                <c:pt idx="26">
                  <c:v>права</c:v>
                </c:pt>
                <c:pt idx="27">
                  <c:v>экон</c:v>
                </c:pt>
              </c:strCache>
            </c:strRef>
          </c:cat>
          <c:val>
            <c:numRef>
              <c:f>'по головам'!$F$34:$F$61</c:f>
              <c:numCache>
                <c:formatCode>General</c:formatCode>
                <c:ptCount val="28"/>
                <c:pt idx="0">
                  <c:v>2</c:v>
                </c:pt>
                <c:pt idx="1">
                  <c:v>2</c:v>
                </c:pt>
                <c:pt idx="2">
                  <c:v>5</c:v>
                </c:pt>
                <c:pt idx="3">
                  <c:v>8</c:v>
                </c:pt>
                <c:pt idx="4">
                  <c:v>11</c:v>
                </c:pt>
                <c:pt idx="5">
                  <c:v>13</c:v>
                </c:pt>
                <c:pt idx="6">
                  <c:v>14</c:v>
                </c:pt>
                <c:pt idx="7">
                  <c:v>15</c:v>
                </c:pt>
                <c:pt idx="8">
                  <c:v>20</c:v>
                </c:pt>
                <c:pt idx="9">
                  <c:v>24</c:v>
                </c:pt>
                <c:pt idx="10">
                  <c:v>27</c:v>
                </c:pt>
                <c:pt idx="11">
                  <c:v>30</c:v>
                </c:pt>
                <c:pt idx="12">
                  <c:v>32</c:v>
                </c:pt>
                <c:pt idx="13">
                  <c:v>33</c:v>
                </c:pt>
                <c:pt idx="14">
                  <c:v>33</c:v>
                </c:pt>
                <c:pt idx="15">
                  <c:v>35</c:v>
                </c:pt>
                <c:pt idx="16">
                  <c:v>36</c:v>
                </c:pt>
                <c:pt idx="17">
                  <c:v>48</c:v>
                </c:pt>
                <c:pt idx="18">
                  <c:v>49</c:v>
                </c:pt>
                <c:pt idx="19">
                  <c:v>71</c:v>
                </c:pt>
                <c:pt idx="20">
                  <c:v>72</c:v>
                </c:pt>
                <c:pt idx="21">
                  <c:v>74</c:v>
                </c:pt>
                <c:pt idx="22">
                  <c:v>74</c:v>
                </c:pt>
                <c:pt idx="23">
                  <c:v>75</c:v>
                </c:pt>
                <c:pt idx="24">
                  <c:v>129</c:v>
                </c:pt>
                <c:pt idx="25">
                  <c:v>175</c:v>
                </c:pt>
                <c:pt idx="26">
                  <c:v>230</c:v>
                </c:pt>
                <c:pt idx="27">
                  <c:v>261</c:v>
                </c:pt>
              </c:numCache>
            </c:numRef>
          </c:val>
        </c:ser>
        <c:ser>
          <c:idx val="1"/>
          <c:order val="1"/>
          <c:tx>
            <c:strRef>
              <c:f>'по головам'!$G$33</c:f>
              <c:strCache>
                <c:ptCount val="1"/>
                <c:pt idx="0">
                  <c:v>Учебные ассистенты "по головам"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головам'!$E$34:$E$61</c:f>
              <c:strCache>
                <c:ptCount val="28"/>
                <c:pt idx="0">
                  <c:v>ВШУ</c:v>
                </c:pt>
                <c:pt idx="1">
                  <c:v>интегр.комм.</c:v>
                </c:pt>
                <c:pt idx="2">
                  <c:v>ИнОбр</c:v>
                </c:pt>
                <c:pt idx="3">
                  <c:v>МИЭФ</c:v>
                </c:pt>
                <c:pt idx="4">
                  <c:v>восток</c:v>
                </c:pt>
                <c:pt idx="5">
                  <c:v>демогр.</c:v>
                </c:pt>
                <c:pt idx="6">
                  <c:v>СБ ВШЭ-РЭШ</c:v>
                </c:pt>
                <c:pt idx="7">
                  <c:v>логист</c:v>
                </c:pt>
                <c:pt idx="8">
                  <c:v>публ.пол.</c:v>
                </c:pt>
                <c:pt idx="9">
                  <c:v>ПИ</c:v>
                </c:pt>
                <c:pt idx="10">
                  <c:v>культ</c:v>
                </c:pt>
                <c:pt idx="11">
                  <c:v>медиа </c:v>
                </c:pt>
                <c:pt idx="12">
                  <c:v>филол</c:v>
                </c:pt>
                <c:pt idx="13">
                  <c:v>ГиМУ</c:v>
                </c:pt>
                <c:pt idx="14">
                  <c:v>МИЭМ</c:v>
                </c:pt>
                <c:pt idx="15">
                  <c:v>мен</c:v>
                </c:pt>
                <c:pt idx="16">
                  <c:v>статист</c:v>
                </c:pt>
                <c:pt idx="17">
                  <c:v>ист</c:v>
                </c:pt>
                <c:pt idx="18">
                  <c:v>БИ</c:v>
                </c:pt>
                <c:pt idx="19">
                  <c:v>псих</c:v>
                </c:pt>
                <c:pt idx="20">
                  <c:v>ПМиИ</c:v>
                </c:pt>
                <c:pt idx="21">
                  <c:v>МЭиМП</c:v>
                </c:pt>
                <c:pt idx="22">
                  <c:v>ПП</c:v>
                </c:pt>
                <c:pt idx="23">
                  <c:v>филос</c:v>
                </c:pt>
                <c:pt idx="24">
                  <c:v>соц</c:v>
                </c:pt>
                <c:pt idx="25">
                  <c:v>мат</c:v>
                </c:pt>
                <c:pt idx="26">
                  <c:v>права</c:v>
                </c:pt>
                <c:pt idx="27">
                  <c:v>экон</c:v>
                </c:pt>
              </c:strCache>
            </c:strRef>
          </c:cat>
          <c:val>
            <c:numRef>
              <c:f>'по головам'!$G$34:$G$61</c:f>
              <c:numCache>
                <c:formatCode>General</c:formatCode>
                <c:ptCount val="28"/>
                <c:pt idx="0">
                  <c:v>2</c:v>
                </c:pt>
                <c:pt idx="1">
                  <c:v>2</c:v>
                </c:pt>
                <c:pt idx="2">
                  <c:v>3</c:v>
                </c:pt>
                <c:pt idx="3">
                  <c:v>5</c:v>
                </c:pt>
                <c:pt idx="4">
                  <c:v>11</c:v>
                </c:pt>
                <c:pt idx="5">
                  <c:v>10</c:v>
                </c:pt>
                <c:pt idx="6">
                  <c:v>13</c:v>
                </c:pt>
                <c:pt idx="7">
                  <c:v>9</c:v>
                </c:pt>
                <c:pt idx="8">
                  <c:v>13</c:v>
                </c:pt>
                <c:pt idx="9">
                  <c:v>14</c:v>
                </c:pt>
                <c:pt idx="10">
                  <c:v>12</c:v>
                </c:pt>
                <c:pt idx="11">
                  <c:v>15</c:v>
                </c:pt>
                <c:pt idx="12">
                  <c:v>28</c:v>
                </c:pt>
                <c:pt idx="13">
                  <c:v>18</c:v>
                </c:pt>
                <c:pt idx="14">
                  <c:v>29</c:v>
                </c:pt>
                <c:pt idx="15">
                  <c:v>25</c:v>
                </c:pt>
                <c:pt idx="16">
                  <c:v>21</c:v>
                </c:pt>
                <c:pt idx="17">
                  <c:v>26</c:v>
                </c:pt>
                <c:pt idx="18">
                  <c:v>22</c:v>
                </c:pt>
                <c:pt idx="19">
                  <c:v>46</c:v>
                </c:pt>
                <c:pt idx="20">
                  <c:v>43</c:v>
                </c:pt>
                <c:pt idx="21">
                  <c:v>41</c:v>
                </c:pt>
                <c:pt idx="22">
                  <c:v>42</c:v>
                </c:pt>
                <c:pt idx="23">
                  <c:v>45</c:v>
                </c:pt>
                <c:pt idx="24">
                  <c:v>73</c:v>
                </c:pt>
                <c:pt idx="25">
                  <c:v>82</c:v>
                </c:pt>
                <c:pt idx="26">
                  <c:v>125</c:v>
                </c:pt>
                <c:pt idx="27">
                  <c:v>160</c:v>
                </c:pt>
              </c:numCache>
            </c:numRef>
          </c:val>
        </c:ser>
        <c:dLbls>
          <c:showLegendKey val="0"/>
          <c:showVal val="1"/>
          <c:showCatName val="0"/>
          <c:showSerName val="0"/>
          <c:showPercent val="0"/>
          <c:showBubbleSize val="0"/>
        </c:dLbls>
        <c:gapWidth val="75"/>
        <c:axId val="329787264"/>
        <c:axId val="329788800"/>
      </c:barChart>
      <c:catAx>
        <c:axId val="329787264"/>
        <c:scaling>
          <c:orientation val="minMax"/>
        </c:scaling>
        <c:delete val="0"/>
        <c:axPos val="l"/>
        <c:numFmt formatCode="General" sourceLinked="0"/>
        <c:majorTickMark val="none"/>
        <c:minorTickMark val="none"/>
        <c:tickLblPos val="nextTo"/>
        <c:crossAx val="329788800"/>
        <c:crosses val="autoZero"/>
        <c:auto val="1"/>
        <c:lblAlgn val="ctr"/>
        <c:lblOffset val="100"/>
        <c:noMultiLvlLbl val="0"/>
      </c:catAx>
      <c:valAx>
        <c:axId val="329788800"/>
        <c:scaling>
          <c:orientation val="minMax"/>
        </c:scaling>
        <c:delete val="0"/>
        <c:axPos val="b"/>
        <c:numFmt formatCode="General" sourceLinked="1"/>
        <c:majorTickMark val="none"/>
        <c:minorTickMark val="none"/>
        <c:tickLblPos val="nextTo"/>
        <c:crossAx val="329787264"/>
        <c:crosses val="autoZero"/>
        <c:crossBetween val="between"/>
      </c:valAx>
    </c:plotArea>
    <c:legend>
      <c:legendPos val="r"/>
      <c:layout>
        <c:manualLayout>
          <c:xMode val="edge"/>
          <c:yMode val="edge"/>
          <c:x val="0.44858189688066302"/>
          <c:y val="0.47781959126798573"/>
          <c:w val="0.53399460317378911"/>
          <c:h val="0.122445965590381"/>
        </c:manualLayout>
      </c:layout>
      <c:overlay val="1"/>
      <c:txPr>
        <a:bodyPr/>
        <a:lstStyle/>
        <a:p>
          <a:pPr>
            <a:defRPr sz="1200"/>
          </a:pPr>
          <a:endParaRPr lang="ru-RU"/>
        </a:p>
      </c:txPr>
    </c:legend>
    <c:plotVisOnly val="1"/>
    <c:dispBlanksAs val="gap"/>
    <c:showDLblsOverMax val="0"/>
  </c:chart>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Гендерное соотношение УА</a:t>
            </a:r>
            <a:r>
              <a:rPr lang="ru-RU" sz="1200" baseline="0"/>
              <a:t> по факультетам за все периоды</a:t>
            </a:r>
            <a:endParaRPr lang="ru-RU" sz="1200"/>
          </a:p>
        </c:rich>
      </c:tx>
      <c:overlay val="0"/>
    </c:title>
    <c:autoTitleDeleted val="0"/>
    <c:plotArea>
      <c:layout>
        <c:manualLayout>
          <c:layoutTarget val="inner"/>
          <c:xMode val="edge"/>
          <c:yMode val="edge"/>
          <c:x val="0.14044382406214548"/>
          <c:y val="0.14718052210420288"/>
          <c:w val="0.83067691346979133"/>
          <c:h val="0.83623113894832501"/>
        </c:manualLayout>
      </c:layout>
      <c:barChart>
        <c:barDir val="bar"/>
        <c:grouping val="percentStacked"/>
        <c:varyColors val="0"/>
        <c:ser>
          <c:idx val="0"/>
          <c:order val="0"/>
          <c:tx>
            <c:strRef>
              <c:f>'по головам'!$I$64</c:f>
              <c:strCache>
                <c:ptCount val="1"/>
                <c:pt idx="0">
                  <c:v>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головам'!$H$65:$H$92</c:f>
              <c:strCache>
                <c:ptCount val="28"/>
                <c:pt idx="0">
                  <c:v>экон</c:v>
                </c:pt>
                <c:pt idx="1">
                  <c:v>статист</c:v>
                </c:pt>
                <c:pt idx="2">
                  <c:v>мен</c:v>
                </c:pt>
                <c:pt idx="3">
                  <c:v>логист</c:v>
                </c:pt>
                <c:pt idx="4">
                  <c:v>соц</c:v>
                </c:pt>
                <c:pt idx="5">
                  <c:v>права</c:v>
                </c:pt>
                <c:pt idx="6">
                  <c:v>БИ</c:v>
                </c:pt>
                <c:pt idx="7">
                  <c:v>ПИ</c:v>
                </c:pt>
                <c:pt idx="8">
                  <c:v>ПМиИ</c:v>
                </c:pt>
                <c:pt idx="9">
                  <c:v>МЭиМП</c:v>
                </c:pt>
                <c:pt idx="10">
                  <c:v>ГиМУ</c:v>
                </c:pt>
                <c:pt idx="11">
                  <c:v>ПП</c:v>
                </c:pt>
                <c:pt idx="12">
                  <c:v>мат</c:v>
                </c:pt>
                <c:pt idx="13">
                  <c:v>псих</c:v>
                </c:pt>
                <c:pt idx="14">
                  <c:v>филос</c:v>
                </c:pt>
                <c:pt idx="15">
                  <c:v>культ</c:v>
                </c:pt>
                <c:pt idx="16">
                  <c:v>ист</c:v>
                </c:pt>
                <c:pt idx="17">
                  <c:v>филол</c:v>
                </c:pt>
                <c:pt idx="18">
                  <c:v>медиа </c:v>
                </c:pt>
                <c:pt idx="19">
                  <c:v>публ.пол.</c:v>
                </c:pt>
                <c:pt idx="20">
                  <c:v>демогр.</c:v>
                </c:pt>
                <c:pt idx="21">
                  <c:v>восток</c:v>
                </c:pt>
                <c:pt idx="22">
                  <c:v>ИнОбр</c:v>
                </c:pt>
                <c:pt idx="23">
                  <c:v>МИЭФ</c:v>
                </c:pt>
                <c:pt idx="24">
                  <c:v>СБ ВШЭ-РЭШ</c:v>
                </c:pt>
                <c:pt idx="25">
                  <c:v>ВШУ</c:v>
                </c:pt>
                <c:pt idx="26">
                  <c:v>интегр.комм.</c:v>
                </c:pt>
                <c:pt idx="27">
                  <c:v>МИЭМ</c:v>
                </c:pt>
              </c:strCache>
            </c:strRef>
          </c:cat>
          <c:val>
            <c:numRef>
              <c:f>'по головам'!$I$65:$I$92</c:f>
              <c:numCache>
                <c:formatCode>General</c:formatCode>
                <c:ptCount val="28"/>
                <c:pt idx="0">
                  <c:v>63</c:v>
                </c:pt>
                <c:pt idx="1">
                  <c:v>2</c:v>
                </c:pt>
                <c:pt idx="2">
                  <c:v>5</c:v>
                </c:pt>
                <c:pt idx="3">
                  <c:v>0</c:v>
                </c:pt>
                <c:pt idx="4">
                  <c:v>5</c:v>
                </c:pt>
                <c:pt idx="5">
                  <c:v>41</c:v>
                </c:pt>
                <c:pt idx="6">
                  <c:v>10</c:v>
                </c:pt>
                <c:pt idx="7">
                  <c:v>6</c:v>
                </c:pt>
                <c:pt idx="8">
                  <c:v>15</c:v>
                </c:pt>
                <c:pt idx="9">
                  <c:v>10</c:v>
                </c:pt>
                <c:pt idx="10">
                  <c:v>5</c:v>
                </c:pt>
                <c:pt idx="11">
                  <c:v>10</c:v>
                </c:pt>
                <c:pt idx="12">
                  <c:v>42</c:v>
                </c:pt>
                <c:pt idx="13">
                  <c:v>6</c:v>
                </c:pt>
                <c:pt idx="14">
                  <c:v>19</c:v>
                </c:pt>
                <c:pt idx="15">
                  <c:v>1</c:v>
                </c:pt>
                <c:pt idx="16">
                  <c:v>4</c:v>
                </c:pt>
                <c:pt idx="17">
                  <c:v>2</c:v>
                </c:pt>
                <c:pt idx="18">
                  <c:v>2</c:v>
                </c:pt>
                <c:pt idx="19">
                  <c:v>4</c:v>
                </c:pt>
                <c:pt idx="20">
                  <c:v>0</c:v>
                </c:pt>
                <c:pt idx="21">
                  <c:v>0</c:v>
                </c:pt>
                <c:pt idx="22">
                  <c:v>0</c:v>
                </c:pt>
                <c:pt idx="23">
                  <c:v>0</c:v>
                </c:pt>
                <c:pt idx="24">
                  <c:v>9</c:v>
                </c:pt>
                <c:pt idx="25">
                  <c:v>1</c:v>
                </c:pt>
                <c:pt idx="26">
                  <c:v>1</c:v>
                </c:pt>
                <c:pt idx="27">
                  <c:v>11</c:v>
                </c:pt>
              </c:numCache>
            </c:numRef>
          </c:val>
        </c:ser>
        <c:ser>
          <c:idx val="1"/>
          <c:order val="1"/>
          <c:tx>
            <c:strRef>
              <c:f>'по головам'!$J$64</c:f>
              <c:strCache>
                <c:ptCount val="1"/>
                <c:pt idx="0">
                  <c:v>ж</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головам'!$H$65:$H$92</c:f>
              <c:strCache>
                <c:ptCount val="28"/>
                <c:pt idx="0">
                  <c:v>экон</c:v>
                </c:pt>
                <c:pt idx="1">
                  <c:v>статист</c:v>
                </c:pt>
                <c:pt idx="2">
                  <c:v>мен</c:v>
                </c:pt>
                <c:pt idx="3">
                  <c:v>логист</c:v>
                </c:pt>
                <c:pt idx="4">
                  <c:v>соц</c:v>
                </c:pt>
                <c:pt idx="5">
                  <c:v>права</c:v>
                </c:pt>
                <c:pt idx="6">
                  <c:v>БИ</c:v>
                </c:pt>
                <c:pt idx="7">
                  <c:v>ПИ</c:v>
                </c:pt>
                <c:pt idx="8">
                  <c:v>ПМиИ</c:v>
                </c:pt>
                <c:pt idx="9">
                  <c:v>МЭиМП</c:v>
                </c:pt>
                <c:pt idx="10">
                  <c:v>ГиМУ</c:v>
                </c:pt>
                <c:pt idx="11">
                  <c:v>ПП</c:v>
                </c:pt>
                <c:pt idx="12">
                  <c:v>мат</c:v>
                </c:pt>
                <c:pt idx="13">
                  <c:v>псих</c:v>
                </c:pt>
                <c:pt idx="14">
                  <c:v>филос</c:v>
                </c:pt>
                <c:pt idx="15">
                  <c:v>культ</c:v>
                </c:pt>
                <c:pt idx="16">
                  <c:v>ист</c:v>
                </c:pt>
                <c:pt idx="17">
                  <c:v>филол</c:v>
                </c:pt>
                <c:pt idx="18">
                  <c:v>медиа </c:v>
                </c:pt>
                <c:pt idx="19">
                  <c:v>публ.пол.</c:v>
                </c:pt>
                <c:pt idx="20">
                  <c:v>демогр.</c:v>
                </c:pt>
                <c:pt idx="21">
                  <c:v>восток</c:v>
                </c:pt>
                <c:pt idx="22">
                  <c:v>ИнОбр</c:v>
                </c:pt>
                <c:pt idx="23">
                  <c:v>МИЭФ</c:v>
                </c:pt>
                <c:pt idx="24">
                  <c:v>СБ ВШЭ-РЭШ</c:v>
                </c:pt>
                <c:pt idx="25">
                  <c:v>ВШУ</c:v>
                </c:pt>
                <c:pt idx="26">
                  <c:v>интегр.комм.</c:v>
                </c:pt>
                <c:pt idx="27">
                  <c:v>МИЭМ</c:v>
                </c:pt>
              </c:strCache>
            </c:strRef>
          </c:cat>
          <c:val>
            <c:numRef>
              <c:f>'по головам'!$J$65:$J$92</c:f>
              <c:numCache>
                <c:formatCode>General</c:formatCode>
                <c:ptCount val="28"/>
                <c:pt idx="0">
                  <c:v>97</c:v>
                </c:pt>
                <c:pt idx="1">
                  <c:v>19</c:v>
                </c:pt>
                <c:pt idx="2">
                  <c:v>20</c:v>
                </c:pt>
                <c:pt idx="3">
                  <c:v>9</c:v>
                </c:pt>
                <c:pt idx="4">
                  <c:v>68</c:v>
                </c:pt>
                <c:pt idx="5">
                  <c:v>84</c:v>
                </c:pt>
                <c:pt idx="6">
                  <c:v>12</c:v>
                </c:pt>
                <c:pt idx="7">
                  <c:v>8</c:v>
                </c:pt>
                <c:pt idx="8">
                  <c:v>28</c:v>
                </c:pt>
                <c:pt idx="9">
                  <c:v>31</c:v>
                </c:pt>
                <c:pt idx="10">
                  <c:v>13</c:v>
                </c:pt>
                <c:pt idx="11">
                  <c:v>32</c:v>
                </c:pt>
                <c:pt idx="12">
                  <c:v>40</c:v>
                </c:pt>
                <c:pt idx="13">
                  <c:v>40</c:v>
                </c:pt>
                <c:pt idx="14">
                  <c:v>26</c:v>
                </c:pt>
                <c:pt idx="15">
                  <c:v>11</c:v>
                </c:pt>
                <c:pt idx="16">
                  <c:v>22</c:v>
                </c:pt>
                <c:pt idx="17">
                  <c:v>26</c:v>
                </c:pt>
                <c:pt idx="18">
                  <c:v>13</c:v>
                </c:pt>
                <c:pt idx="19">
                  <c:v>9</c:v>
                </c:pt>
                <c:pt idx="20">
                  <c:v>10</c:v>
                </c:pt>
                <c:pt idx="21">
                  <c:v>11</c:v>
                </c:pt>
                <c:pt idx="22">
                  <c:v>3</c:v>
                </c:pt>
                <c:pt idx="23">
                  <c:v>5</c:v>
                </c:pt>
                <c:pt idx="24">
                  <c:v>4</c:v>
                </c:pt>
                <c:pt idx="25">
                  <c:v>1</c:v>
                </c:pt>
                <c:pt idx="26">
                  <c:v>1</c:v>
                </c:pt>
                <c:pt idx="27">
                  <c:v>18</c:v>
                </c:pt>
              </c:numCache>
            </c:numRef>
          </c:val>
        </c:ser>
        <c:dLbls>
          <c:showLegendKey val="0"/>
          <c:showVal val="1"/>
          <c:showCatName val="0"/>
          <c:showSerName val="0"/>
          <c:showPercent val="0"/>
          <c:showBubbleSize val="0"/>
        </c:dLbls>
        <c:gapWidth val="95"/>
        <c:overlap val="100"/>
        <c:axId val="329839744"/>
        <c:axId val="329841280"/>
      </c:barChart>
      <c:catAx>
        <c:axId val="329839744"/>
        <c:scaling>
          <c:orientation val="minMax"/>
        </c:scaling>
        <c:delete val="0"/>
        <c:axPos val="l"/>
        <c:numFmt formatCode="General" sourceLinked="0"/>
        <c:majorTickMark val="none"/>
        <c:minorTickMark val="none"/>
        <c:tickLblPos val="nextTo"/>
        <c:txPr>
          <a:bodyPr/>
          <a:lstStyle/>
          <a:p>
            <a:pPr>
              <a:defRPr sz="800"/>
            </a:pPr>
            <a:endParaRPr lang="ru-RU"/>
          </a:p>
        </c:txPr>
        <c:crossAx val="329841280"/>
        <c:crosses val="autoZero"/>
        <c:auto val="1"/>
        <c:lblAlgn val="ctr"/>
        <c:lblOffset val="100"/>
        <c:noMultiLvlLbl val="0"/>
      </c:catAx>
      <c:valAx>
        <c:axId val="329841280"/>
        <c:scaling>
          <c:orientation val="minMax"/>
        </c:scaling>
        <c:delete val="1"/>
        <c:axPos val="b"/>
        <c:numFmt formatCode="0%" sourceLinked="1"/>
        <c:majorTickMark val="out"/>
        <c:minorTickMark val="none"/>
        <c:tickLblPos val="none"/>
        <c:crossAx val="329839744"/>
        <c:crosses val="autoZero"/>
        <c:crossBetween val="between"/>
      </c:valAx>
    </c:plotArea>
    <c:legend>
      <c:legendPos val="t"/>
      <c:layout>
        <c:manualLayout>
          <c:xMode val="edge"/>
          <c:yMode val="edge"/>
          <c:x val="0.45944125361537375"/>
          <c:y val="9.5908967759414848E-2"/>
          <c:w val="9.8889346595754268E-2"/>
          <c:h val="5.3109393566389274E-2"/>
        </c:manualLayout>
      </c:layout>
      <c:overlay val="0"/>
      <c:txPr>
        <a:bodyPr/>
        <a:lstStyle/>
        <a:p>
          <a:pPr>
            <a:defRPr sz="1200"/>
          </a:pPr>
          <a:endParaRPr lang="ru-RU"/>
        </a:p>
      </c:txPr>
    </c:legend>
    <c:plotVisOnly val="1"/>
    <c:dispBlanksAs val="gap"/>
    <c:showDLblsOverMax val="0"/>
  </c:chart>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200" b="1" i="0" baseline="0">
                <a:effectLst/>
              </a:rPr>
              <a:t>Доля преподавателей, активно использующих </a:t>
            </a:r>
            <a:r>
              <a:rPr lang="en-US" sz="1200" b="1" i="0" baseline="0">
                <a:effectLst/>
              </a:rPr>
              <a:t>LMS</a:t>
            </a:r>
            <a:r>
              <a:rPr lang="ru-RU" sz="1200" b="1" i="0" baseline="0">
                <a:effectLst/>
              </a:rPr>
              <a:t> для организации обучения</a:t>
            </a:r>
            <a:r>
              <a:rPr lang="en-US" sz="1200" b="1" i="0" baseline="0">
                <a:effectLst/>
              </a:rPr>
              <a:t> </a:t>
            </a:r>
            <a:endParaRPr lang="ru-RU" sz="1200" b="1">
              <a:effectLst/>
            </a:endParaRPr>
          </a:p>
        </c:rich>
      </c:tx>
      <c:layout>
        <c:manualLayout>
          <c:xMode val="edge"/>
          <c:yMode val="edge"/>
          <c:x val="0.10036968054360255"/>
          <c:y val="5.1273320564659115E-2"/>
        </c:manualLayout>
      </c:layout>
      <c:overlay val="1"/>
    </c:title>
    <c:autoTitleDeleted val="0"/>
    <c:plotArea>
      <c:layout>
        <c:manualLayout>
          <c:layoutTarget val="inner"/>
          <c:xMode val="edge"/>
          <c:yMode val="edge"/>
          <c:x val="8.0672961141212307E-2"/>
          <c:y val="0.26608731646287875"/>
          <c:w val="0.89248958583873828"/>
          <c:h val="0.46917193829604126"/>
        </c:manualLayout>
      </c:layout>
      <c:barChart>
        <c:barDir val="col"/>
        <c:grouping val="clustered"/>
        <c:varyColors val="0"/>
        <c:ser>
          <c:idx val="0"/>
          <c:order val="0"/>
          <c:tx>
            <c:strRef>
              <c:f>Лист1!$B$1</c:f>
              <c:strCache>
                <c:ptCount val="1"/>
                <c:pt idx="0">
                  <c:v>Ноябрь 2013</c:v>
                </c:pt>
              </c:strCache>
            </c:strRef>
          </c:tx>
          <c:invertIfNegative val="0"/>
          <c:dLbls>
            <c:spPr>
              <a:noFill/>
              <a:ln>
                <a:noFill/>
              </a:ln>
              <a:effectLst/>
            </c:spPr>
            <c:txPr>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Москва</c:v>
                </c:pt>
                <c:pt idx="1">
                  <c:v>Н. Новгород</c:v>
                </c:pt>
                <c:pt idx="2">
                  <c:v>С.Пб</c:v>
                </c:pt>
                <c:pt idx="3">
                  <c:v>Пермь</c:v>
                </c:pt>
              </c:strCache>
            </c:strRef>
          </c:cat>
          <c:val>
            <c:numRef>
              <c:f>Лист1!$B$2:$B$5</c:f>
              <c:numCache>
                <c:formatCode>0%</c:formatCode>
                <c:ptCount val="4"/>
                <c:pt idx="0">
                  <c:v>0.25</c:v>
                </c:pt>
                <c:pt idx="1">
                  <c:v>0.3600000000000001</c:v>
                </c:pt>
                <c:pt idx="2">
                  <c:v>0.15000000000000005</c:v>
                </c:pt>
                <c:pt idx="3">
                  <c:v>0.55000000000000004</c:v>
                </c:pt>
              </c:numCache>
            </c:numRef>
          </c:val>
        </c:ser>
        <c:ser>
          <c:idx val="1"/>
          <c:order val="1"/>
          <c:tx>
            <c:strRef>
              <c:f>Лист1!$C$1</c:f>
              <c:strCache>
                <c:ptCount val="1"/>
                <c:pt idx="0">
                  <c:v>Июнь 2013</c:v>
                </c:pt>
              </c:strCache>
            </c:strRef>
          </c:tx>
          <c:invertIfNegative val="0"/>
          <c:dLbls>
            <c:spPr>
              <a:noFill/>
              <a:ln>
                <a:noFill/>
              </a:ln>
              <a:effectLst/>
            </c:spPr>
            <c:txPr>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Москва</c:v>
                </c:pt>
                <c:pt idx="1">
                  <c:v>Н. Новгород</c:v>
                </c:pt>
                <c:pt idx="2">
                  <c:v>С.Пб</c:v>
                </c:pt>
                <c:pt idx="3">
                  <c:v>Пермь</c:v>
                </c:pt>
              </c:strCache>
            </c:strRef>
          </c:cat>
          <c:val>
            <c:numRef>
              <c:f>Лист1!$C$2:$C$5</c:f>
              <c:numCache>
                <c:formatCode>0%</c:formatCode>
                <c:ptCount val="4"/>
                <c:pt idx="0">
                  <c:v>0.3600000000000001</c:v>
                </c:pt>
                <c:pt idx="1">
                  <c:v>0.69000000000000017</c:v>
                </c:pt>
                <c:pt idx="2">
                  <c:v>0.4900000000000001</c:v>
                </c:pt>
                <c:pt idx="3">
                  <c:v>0.84000000000000019</c:v>
                </c:pt>
              </c:numCache>
            </c:numRef>
          </c:val>
        </c:ser>
        <c:ser>
          <c:idx val="2"/>
          <c:order val="2"/>
          <c:tx>
            <c:strRef>
              <c:f>Лист1!$D$1</c:f>
              <c:strCache>
                <c:ptCount val="1"/>
                <c:pt idx="0">
                  <c:v>Ноябрь 2013</c:v>
                </c:pt>
              </c:strCache>
            </c:strRef>
          </c:tx>
          <c:invertIfNegative val="0"/>
          <c:dLbls>
            <c:spPr>
              <a:noFill/>
              <a:ln>
                <a:noFill/>
              </a:ln>
              <a:effectLst/>
            </c:spPr>
            <c:txPr>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Москва</c:v>
                </c:pt>
                <c:pt idx="1">
                  <c:v>Н. Новгород</c:v>
                </c:pt>
                <c:pt idx="2">
                  <c:v>С.Пб</c:v>
                </c:pt>
                <c:pt idx="3">
                  <c:v>Пермь</c:v>
                </c:pt>
              </c:strCache>
            </c:strRef>
          </c:cat>
          <c:val>
            <c:numRef>
              <c:f>Лист1!$D$2:$D$5</c:f>
              <c:numCache>
                <c:formatCode>0%</c:formatCode>
                <c:ptCount val="4"/>
                <c:pt idx="0">
                  <c:v>0.28000000000000008</c:v>
                </c:pt>
                <c:pt idx="1">
                  <c:v>0.53</c:v>
                </c:pt>
                <c:pt idx="2">
                  <c:v>0.33000000000000013</c:v>
                </c:pt>
                <c:pt idx="3">
                  <c:v>0.4300000000000001</c:v>
                </c:pt>
              </c:numCache>
            </c:numRef>
          </c:val>
        </c:ser>
        <c:dLbls>
          <c:showLegendKey val="0"/>
          <c:showVal val="1"/>
          <c:showCatName val="0"/>
          <c:showSerName val="0"/>
          <c:showPercent val="0"/>
          <c:showBubbleSize val="0"/>
        </c:dLbls>
        <c:gapWidth val="150"/>
        <c:axId val="359105280"/>
        <c:axId val="359106816"/>
      </c:barChart>
      <c:catAx>
        <c:axId val="359105280"/>
        <c:scaling>
          <c:orientation val="minMax"/>
        </c:scaling>
        <c:delete val="0"/>
        <c:axPos val="b"/>
        <c:numFmt formatCode="General" sourceLinked="0"/>
        <c:majorTickMark val="out"/>
        <c:minorTickMark val="none"/>
        <c:tickLblPos val="nextTo"/>
        <c:crossAx val="359106816"/>
        <c:crosses val="autoZero"/>
        <c:auto val="1"/>
        <c:lblAlgn val="ctr"/>
        <c:lblOffset val="100"/>
        <c:noMultiLvlLbl val="0"/>
      </c:catAx>
      <c:valAx>
        <c:axId val="359106816"/>
        <c:scaling>
          <c:orientation val="minMax"/>
          <c:max val="1"/>
        </c:scaling>
        <c:delete val="0"/>
        <c:axPos val="l"/>
        <c:numFmt formatCode="0%" sourceLinked="1"/>
        <c:majorTickMark val="out"/>
        <c:minorTickMark val="none"/>
        <c:tickLblPos val="nextTo"/>
        <c:crossAx val="359105280"/>
        <c:crosses val="autoZero"/>
        <c:crossBetween val="between"/>
        <c:majorUnit val="0.2"/>
      </c:valAx>
    </c:plotArea>
    <c:legend>
      <c:legendPos val="b"/>
      <c:overlay val="0"/>
    </c:legend>
    <c:plotVisOnly val="1"/>
    <c:dispBlanksAs val="gap"/>
    <c:showDLblsOverMax val="0"/>
  </c:chart>
  <c:externalData r:id="rId1">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ru-RU" sz="1400" b="1"/>
              <a:t>Доля дисциплин, поддержка преподавания которых ведется в </a:t>
            </a:r>
            <a:r>
              <a:rPr lang="en-US" sz="1400" b="1"/>
              <a:t>LMS</a:t>
            </a:r>
          </a:p>
        </c:rich>
      </c:tx>
      <c:layout>
        <c:manualLayout>
          <c:xMode val="edge"/>
          <c:yMode val="edge"/>
          <c:x val="0.11819318393854462"/>
          <c:y val="2.2918258212375867E-2"/>
        </c:manualLayout>
      </c:layout>
      <c:overlay val="0"/>
    </c:title>
    <c:autoTitleDeleted val="0"/>
    <c:plotArea>
      <c:layout/>
      <c:barChart>
        <c:barDir val="col"/>
        <c:grouping val="clustered"/>
        <c:varyColors val="0"/>
        <c:ser>
          <c:idx val="0"/>
          <c:order val="0"/>
          <c:tx>
            <c:strRef>
              <c:f>Лист1!$B$9</c:f>
              <c:strCache>
                <c:ptCount val="1"/>
                <c:pt idx="0">
                  <c:v>Ноябрь 2013</c:v>
                </c:pt>
              </c:strCache>
            </c:strRef>
          </c:tx>
          <c:invertIfNegative val="0"/>
          <c:dLbls>
            <c:spPr>
              <a:noFill/>
              <a:ln>
                <a:noFill/>
              </a:ln>
              <a:effectLst/>
            </c:spPr>
            <c:txPr>
              <a:bodyPr/>
              <a:lstStyle/>
              <a:p>
                <a:pPr>
                  <a:defRPr sz="105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Лист1!$A$10:$A$13</c:f>
              <c:strCache>
                <c:ptCount val="4"/>
                <c:pt idx="0">
                  <c:v>Москва</c:v>
                </c:pt>
                <c:pt idx="1">
                  <c:v>Н. Новгород</c:v>
                </c:pt>
                <c:pt idx="2">
                  <c:v>С.Пб</c:v>
                </c:pt>
                <c:pt idx="3">
                  <c:v>Пермь</c:v>
                </c:pt>
              </c:strCache>
            </c:strRef>
          </c:cat>
          <c:val>
            <c:numRef>
              <c:f>Лист1!$B$10:$B$13</c:f>
              <c:numCache>
                <c:formatCode>0%</c:formatCode>
                <c:ptCount val="4"/>
                <c:pt idx="0">
                  <c:v>7.0000000000000021E-2</c:v>
                </c:pt>
                <c:pt idx="1">
                  <c:v>3.0000000000000002E-2</c:v>
                </c:pt>
                <c:pt idx="2">
                  <c:v>0.05</c:v>
                </c:pt>
                <c:pt idx="3">
                  <c:v>0.1</c:v>
                </c:pt>
              </c:numCache>
            </c:numRef>
          </c:val>
        </c:ser>
        <c:ser>
          <c:idx val="1"/>
          <c:order val="1"/>
          <c:tx>
            <c:strRef>
              <c:f>Лист1!$C$9</c:f>
              <c:strCache>
                <c:ptCount val="1"/>
                <c:pt idx="0">
                  <c:v>Июнь 2013</c:v>
                </c:pt>
              </c:strCache>
            </c:strRef>
          </c:tx>
          <c:invertIfNegative val="0"/>
          <c:dLbls>
            <c:spPr>
              <a:noFill/>
              <a:ln>
                <a:noFill/>
              </a:ln>
              <a:effectLst/>
            </c:spPr>
            <c:txPr>
              <a:bodyPr/>
              <a:lstStyle/>
              <a:p>
                <a:pPr>
                  <a:defRPr sz="105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Лист1!$A$10:$A$13</c:f>
              <c:strCache>
                <c:ptCount val="4"/>
                <c:pt idx="0">
                  <c:v>Москва</c:v>
                </c:pt>
                <c:pt idx="1">
                  <c:v>Н. Новгород</c:v>
                </c:pt>
                <c:pt idx="2">
                  <c:v>С.Пб</c:v>
                </c:pt>
                <c:pt idx="3">
                  <c:v>Пермь</c:v>
                </c:pt>
              </c:strCache>
            </c:strRef>
          </c:cat>
          <c:val>
            <c:numRef>
              <c:f>Лист1!$C$10:$C$13</c:f>
              <c:numCache>
                <c:formatCode>0%</c:formatCode>
                <c:ptCount val="4"/>
                <c:pt idx="0">
                  <c:v>0.22</c:v>
                </c:pt>
                <c:pt idx="1">
                  <c:v>0.13</c:v>
                </c:pt>
                <c:pt idx="2">
                  <c:v>0.38000000000000012</c:v>
                </c:pt>
                <c:pt idx="3">
                  <c:v>0.38000000000000012</c:v>
                </c:pt>
              </c:numCache>
            </c:numRef>
          </c:val>
        </c:ser>
        <c:ser>
          <c:idx val="2"/>
          <c:order val="2"/>
          <c:tx>
            <c:strRef>
              <c:f>Лист1!$D$9</c:f>
              <c:strCache>
                <c:ptCount val="1"/>
                <c:pt idx="0">
                  <c:v>Ноябрь 2013</c:v>
                </c:pt>
              </c:strCache>
            </c:strRef>
          </c:tx>
          <c:invertIfNegative val="0"/>
          <c:dLbls>
            <c:spPr>
              <a:noFill/>
              <a:ln>
                <a:noFill/>
              </a:ln>
              <a:effectLst/>
            </c:spPr>
            <c:txPr>
              <a:bodyPr/>
              <a:lstStyle/>
              <a:p>
                <a:pPr>
                  <a:defRPr sz="105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Лист1!$A$10:$A$13</c:f>
              <c:strCache>
                <c:ptCount val="4"/>
                <c:pt idx="0">
                  <c:v>Москва</c:v>
                </c:pt>
                <c:pt idx="1">
                  <c:v>Н. Новгород</c:v>
                </c:pt>
                <c:pt idx="2">
                  <c:v>С.Пб</c:v>
                </c:pt>
                <c:pt idx="3">
                  <c:v>Пермь</c:v>
                </c:pt>
              </c:strCache>
            </c:strRef>
          </c:cat>
          <c:val>
            <c:numRef>
              <c:f>Лист1!$D$10:$D$13</c:f>
              <c:numCache>
                <c:formatCode>0%</c:formatCode>
                <c:ptCount val="4"/>
                <c:pt idx="0">
                  <c:v>0.18000000000000005</c:v>
                </c:pt>
                <c:pt idx="1">
                  <c:v>0.11</c:v>
                </c:pt>
                <c:pt idx="2">
                  <c:v>0.14000000000000001</c:v>
                </c:pt>
                <c:pt idx="3">
                  <c:v>0.41000000000000009</c:v>
                </c:pt>
              </c:numCache>
            </c:numRef>
          </c:val>
        </c:ser>
        <c:dLbls>
          <c:showLegendKey val="0"/>
          <c:showVal val="1"/>
          <c:showCatName val="0"/>
          <c:showSerName val="0"/>
          <c:showPercent val="0"/>
          <c:showBubbleSize val="0"/>
        </c:dLbls>
        <c:gapWidth val="150"/>
        <c:axId val="360273024"/>
        <c:axId val="360274560"/>
      </c:barChart>
      <c:catAx>
        <c:axId val="360273024"/>
        <c:scaling>
          <c:orientation val="minMax"/>
        </c:scaling>
        <c:delete val="0"/>
        <c:axPos val="b"/>
        <c:numFmt formatCode="General" sourceLinked="0"/>
        <c:majorTickMark val="out"/>
        <c:minorTickMark val="none"/>
        <c:tickLblPos val="nextTo"/>
        <c:crossAx val="360274560"/>
        <c:crosses val="autoZero"/>
        <c:auto val="1"/>
        <c:lblAlgn val="ctr"/>
        <c:lblOffset val="100"/>
        <c:noMultiLvlLbl val="0"/>
      </c:catAx>
      <c:valAx>
        <c:axId val="360274560"/>
        <c:scaling>
          <c:orientation val="minMax"/>
          <c:max val="1"/>
        </c:scaling>
        <c:delete val="0"/>
        <c:axPos val="l"/>
        <c:numFmt formatCode="0%" sourceLinked="1"/>
        <c:majorTickMark val="out"/>
        <c:minorTickMark val="none"/>
        <c:tickLblPos val="nextTo"/>
        <c:crossAx val="360273024"/>
        <c:crosses val="autoZero"/>
        <c:crossBetween val="between"/>
        <c:majorUnit val="0.2"/>
      </c:valAx>
    </c:plotArea>
    <c:legend>
      <c:legendPos val="b"/>
      <c:overlay val="0"/>
    </c:legend>
    <c:plotVisOnly val="1"/>
    <c:dispBlanksAs val="gap"/>
    <c:showDLblsOverMax val="0"/>
  </c:chart>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sz="1200"/>
              <a:t>Количество</a:t>
            </a:r>
            <a:r>
              <a:rPr lang="ru-RU" sz="1200" baseline="0"/>
              <a:t> обращений (в %)</a:t>
            </a:r>
            <a:endParaRPr lang="ru-RU" sz="1200"/>
          </a:p>
        </c:rich>
      </c:tx>
      <c:overlay val="0"/>
    </c:title>
    <c:autoTitleDeleted val="0"/>
    <c:plotArea>
      <c:layout/>
      <c:pieChart>
        <c:varyColors val="1"/>
        <c:ser>
          <c:idx val="0"/>
          <c:order val="0"/>
          <c:explosion val="11"/>
          <c:dLbls>
            <c:dLbl>
              <c:idx val="0"/>
              <c:tx>
                <c:rich>
                  <a:bodyPr/>
                  <a:lstStyle/>
                  <a:p>
                    <a:r>
                      <a:rPr lang="ru-RU"/>
                      <a:t>одобрение</a:t>
                    </a:r>
                    <a:r>
                      <a:rPr lang="ru-RU" baseline="0"/>
                      <a:t> </a:t>
                    </a:r>
                    <a:r>
                      <a:rPr lang="ru-RU"/>
                      <a:t> 9%</a:t>
                    </a:r>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8.5050087489064147E-2"/>
                  <c:y val="-0.27935185185185402"/>
                </c:manualLayout>
              </c:layout>
              <c:tx>
                <c:rich>
                  <a:bodyPr/>
                  <a:lstStyle/>
                  <a:p>
                    <a:r>
                      <a:rPr lang="ru-RU"/>
                      <a:t>неодобрение  88%</a:t>
                    </a:r>
                  </a:p>
                </c:rich>
              </c:tx>
              <c:showLegendKey val="0"/>
              <c:showVal val="1"/>
              <c:showCatName val="1"/>
              <c:showSerName val="0"/>
              <c:showPercent val="0"/>
              <c:showBubbleSize val="0"/>
              <c:extLst>
                <c:ext xmlns:c15="http://schemas.microsoft.com/office/drawing/2012/chart" uri="{CE6537A1-D6FC-4f65-9D91-7224C49458BB}"/>
              </c:extLst>
            </c:dLbl>
            <c:dLbl>
              <c:idx val="2"/>
              <c:tx>
                <c:rich>
                  <a:bodyPr/>
                  <a:lstStyle/>
                  <a:p>
                    <a:r>
                      <a:rPr lang="ru-RU"/>
                      <a:t>спам  3%</a:t>
                    </a:r>
                  </a:p>
                </c:rich>
              </c:tx>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'cводная таблица'!$A$47:$A$49</c:f>
              <c:strCache>
                <c:ptCount val="3"/>
                <c:pt idx="0">
                  <c:v>одобрение</c:v>
                </c:pt>
                <c:pt idx="1">
                  <c:v>неодобрение</c:v>
                </c:pt>
                <c:pt idx="2">
                  <c:v>спам</c:v>
                </c:pt>
              </c:strCache>
            </c:strRef>
          </c:cat>
          <c:val>
            <c:numRef>
              <c:f>'cводная таблица'!$B$47:$B$49</c:f>
              <c:numCache>
                <c:formatCode>0%</c:formatCode>
                <c:ptCount val="3"/>
                <c:pt idx="0">
                  <c:v>9.0000000000000024E-2</c:v>
                </c:pt>
                <c:pt idx="1">
                  <c:v>0.88</c:v>
                </c:pt>
                <c:pt idx="2">
                  <c:v>3.0000000000000002E-2</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sz="1200"/>
              <a:t>Контингент респондентов (в %)</a:t>
            </a:r>
          </a:p>
        </c:rich>
      </c:tx>
      <c:overlay val="0"/>
    </c:title>
    <c:autoTitleDeleted val="0"/>
    <c:plotArea>
      <c:layout/>
      <c:barChart>
        <c:barDir val="bar"/>
        <c:grouping val="clustered"/>
        <c:varyColors val="0"/>
        <c:ser>
          <c:idx val="0"/>
          <c:order val="0"/>
          <c:tx>
            <c:v>количество обращений</c:v>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Д2!$A$3:$A$13</c:f>
              <c:strCache>
                <c:ptCount val="11"/>
                <c:pt idx="0">
                  <c:v>выпускники</c:v>
                </c:pt>
                <c:pt idx="1">
                  <c:v>родители</c:v>
                </c:pt>
                <c:pt idx="2">
                  <c:v>абитуриенты</c:v>
                </c:pt>
                <c:pt idx="3">
                  <c:v>сотрудники</c:v>
                </c:pt>
                <c:pt idx="4">
                  <c:v>2 курс маг.</c:v>
                </c:pt>
                <c:pt idx="5">
                  <c:v>1 курс маг.</c:v>
                </c:pt>
                <c:pt idx="6">
                  <c:v>5 курс спец.</c:v>
                </c:pt>
                <c:pt idx="7">
                  <c:v>4 курс бак/спец</c:v>
                </c:pt>
                <c:pt idx="8">
                  <c:v>3 курс бак/спец</c:v>
                </c:pt>
                <c:pt idx="9">
                  <c:v>2 курс бак/спец</c:v>
                </c:pt>
                <c:pt idx="10">
                  <c:v>1 курс бак/спец</c:v>
                </c:pt>
              </c:strCache>
            </c:strRef>
          </c:cat>
          <c:val>
            <c:numRef>
              <c:f>Д2!$B$3:$B$13</c:f>
              <c:numCache>
                <c:formatCode>0.0%</c:formatCode>
                <c:ptCount val="11"/>
                <c:pt idx="0">
                  <c:v>3.0000000000000066E-3</c:v>
                </c:pt>
                <c:pt idx="1">
                  <c:v>2.0000000000000052E-3</c:v>
                </c:pt>
                <c:pt idx="2">
                  <c:v>1.0000000000000033E-3</c:v>
                </c:pt>
                <c:pt idx="3" formatCode="0%">
                  <c:v>6.0000000000000032E-2</c:v>
                </c:pt>
                <c:pt idx="4" formatCode="0%">
                  <c:v>6.0000000000000032E-2</c:v>
                </c:pt>
                <c:pt idx="5" formatCode="0%">
                  <c:v>0.1</c:v>
                </c:pt>
                <c:pt idx="6" formatCode="0%">
                  <c:v>4.0000000000000022E-2</c:v>
                </c:pt>
                <c:pt idx="7" formatCode="0%">
                  <c:v>0.14000000000000001</c:v>
                </c:pt>
                <c:pt idx="8" formatCode="0%">
                  <c:v>0.15000000000000024</c:v>
                </c:pt>
                <c:pt idx="9" formatCode="0%">
                  <c:v>0.22</c:v>
                </c:pt>
                <c:pt idx="10" formatCode="0%">
                  <c:v>0.23</c:v>
                </c:pt>
              </c:numCache>
            </c:numRef>
          </c:val>
        </c:ser>
        <c:dLbls>
          <c:showLegendKey val="0"/>
          <c:showVal val="1"/>
          <c:showCatName val="0"/>
          <c:showSerName val="0"/>
          <c:showPercent val="0"/>
          <c:showBubbleSize val="0"/>
        </c:dLbls>
        <c:gapWidth val="150"/>
        <c:axId val="428560768"/>
        <c:axId val="428563456"/>
      </c:barChart>
      <c:catAx>
        <c:axId val="428560768"/>
        <c:scaling>
          <c:orientation val="minMax"/>
        </c:scaling>
        <c:delete val="0"/>
        <c:axPos val="l"/>
        <c:numFmt formatCode="General" sourceLinked="1"/>
        <c:majorTickMark val="out"/>
        <c:minorTickMark val="none"/>
        <c:tickLblPos val="nextTo"/>
        <c:txPr>
          <a:bodyPr/>
          <a:lstStyle/>
          <a:p>
            <a:pPr>
              <a:defRPr sz="1200"/>
            </a:pPr>
            <a:endParaRPr lang="ru-RU"/>
          </a:p>
        </c:txPr>
        <c:crossAx val="428563456"/>
        <c:crosses val="autoZero"/>
        <c:auto val="1"/>
        <c:lblAlgn val="ctr"/>
        <c:lblOffset val="100"/>
        <c:noMultiLvlLbl val="0"/>
      </c:catAx>
      <c:valAx>
        <c:axId val="428563456"/>
        <c:scaling>
          <c:orientation val="minMax"/>
        </c:scaling>
        <c:delete val="1"/>
        <c:axPos val="b"/>
        <c:numFmt formatCode="0.0%" sourceLinked="1"/>
        <c:majorTickMark val="out"/>
        <c:minorTickMark val="none"/>
        <c:tickLblPos val="none"/>
        <c:crossAx val="428560768"/>
        <c:crosses val="autoZero"/>
        <c:crossBetween val="between"/>
      </c:valAx>
    </c:plotArea>
    <c:plotVisOnly val="1"/>
    <c:dispBlanksAs val="gap"/>
    <c:showDLblsOverMax val="0"/>
  </c:chart>
  <c:externalData r:id="rId1">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sz="1200"/>
            </a:pPr>
            <a:r>
              <a:rPr lang="ru-RU" sz="1200"/>
              <a:t>Регулярность обращений студентов и сотрудников учебных подразделений НИУ ВШЭ к "Выразительной кнопке" (в %)</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9158582347936768"/>
          <c:y val="8.9760344842390885E-2"/>
          <c:w val="0.6853812874676023"/>
          <c:h val="0.89407545430866942"/>
        </c:manualLayout>
      </c:layout>
      <c:bar3DChart>
        <c:barDir val="bar"/>
        <c:grouping val="clustered"/>
        <c:varyColors val="0"/>
        <c:ser>
          <c:idx val="0"/>
          <c:order val="0"/>
          <c:tx>
            <c:v>количество респондентов</c:v>
          </c:tx>
          <c:invertIfNegative val="0"/>
          <c:dLbls>
            <c:dLbl>
              <c:idx val="10"/>
              <c:layout>
                <c:manualLayout>
                  <c:x val="6.0698017644165124E-3"/>
                  <c:y val="0"/>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4.0465345096109846E-3"/>
                  <c:y val="-6.8410188859538909E-3"/>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6.0698017644165124E-3"/>
                  <c:y val="-7.3260062695038814E-3"/>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1.1126563048479823E-2"/>
                  <c:y val="-4.2239752306385096E-3"/>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4.0463751972287104E-3"/>
                  <c:y val="-4.942169977478300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Д3!$A$2:$A$33</c:f>
              <c:strCache>
                <c:ptCount val="32"/>
                <c:pt idx="0">
                  <c:v>Другое </c:v>
                </c:pt>
                <c:pt idx="1">
                  <c:v>Нижегородский филиал</c:v>
                </c:pt>
                <c:pt idx="2">
                  <c:v>С-Петербургский филиал</c:v>
                </c:pt>
                <c:pt idx="3">
                  <c:v>ФПМиК</c:v>
                </c:pt>
                <c:pt idx="4">
                  <c:v>ФЭ и Т (МИЭМ)</c:v>
                </c:pt>
                <c:pt idx="5">
                  <c:v>ФИТи ВТ(МИЭМ)</c:v>
                </c:pt>
                <c:pt idx="6">
                  <c:v>МИЭФ</c:v>
                </c:pt>
                <c:pt idx="7">
                  <c:v>ОПИ</c:v>
                </c:pt>
                <c:pt idx="8">
                  <c:v>ОПМиИ</c:v>
                </c:pt>
                <c:pt idx="9">
                  <c:v>ОИК</c:v>
                </c:pt>
                <c:pt idx="10">
                  <c:v>Дизайн</c:v>
                </c:pt>
                <c:pt idx="11">
                  <c:v>Соц</c:v>
                </c:pt>
                <c:pt idx="12">
                  <c:v>ОДиз (МИЭМ)</c:v>
                </c:pt>
                <c:pt idx="13">
                  <c:v>ИРО</c:v>
                </c:pt>
                <c:pt idx="14">
                  <c:v>Филолог.</c:v>
                </c:pt>
                <c:pt idx="15">
                  <c:v>Овост</c:v>
                </c:pt>
                <c:pt idx="16">
                  <c:v>Психол.</c:v>
                </c:pt>
                <c:pt idx="17">
                  <c:v>Культ.</c:v>
                </c:pt>
                <c:pt idx="18">
                  <c:v>Матем.</c:v>
                </c:pt>
                <c:pt idx="19">
                  <c:v>История</c:v>
                </c:pt>
                <c:pt idx="20">
                  <c:v>Медиа</c:v>
                </c:pt>
                <c:pt idx="21">
                  <c:v>МЭиМП</c:v>
                </c:pt>
                <c:pt idx="22">
                  <c:v>Прикладная политология</c:v>
                </c:pt>
                <c:pt idx="23">
                  <c:v>Каф.публичной политики</c:v>
                </c:pt>
                <c:pt idx="24">
                  <c:v>Право</c:v>
                </c:pt>
                <c:pt idx="25">
                  <c:v>Флог.</c:v>
                </c:pt>
                <c:pt idx="26">
                  <c:v>Философ</c:v>
                </c:pt>
                <c:pt idx="27">
                  <c:v>Мен-т</c:v>
                </c:pt>
                <c:pt idx="28">
                  <c:v>ГиМУ</c:v>
                </c:pt>
                <c:pt idx="29">
                  <c:v>БИ</c:v>
                </c:pt>
                <c:pt idx="30">
                  <c:v>ОСАДД</c:v>
                </c:pt>
                <c:pt idx="31">
                  <c:v>Экон</c:v>
                </c:pt>
              </c:strCache>
            </c:strRef>
          </c:cat>
          <c:val>
            <c:numRef>
              <c:f>Д3!$B$2:$B$33</c:f>
              <c:numCache>
                <c:formatCode>0.0%</c:formatCode>
                <c:ptCount val="32"/>
                <c:pt idx="0" formatCode="0%">
                  <c:v>0.05</c:v>
                </c:pt>
                <c:pt idx="1">
                  <c:v>4.0000000000000114E-3</c:v>
                </c:pt>
                <c:pt idx="2" formatCode="0%">
                  <c:v>2.0000000000000011E-2</c:v>
                </c:pt>
                <c:pt idx="3" formatCode="0%">
                  <c:v>2.0000000000000011E-2</c:v>
                </c:pt>
                <c:pt idx="4" formatCode="0%">
                  <c:v>1.0000000000000005E-2</c:v>
                </c:pt>
                <c:pt idx="5" formatCode="0%">
                  <c:v>0.05</c:v>
                </c:pt>
                <c:pt idx="6" formatCode="0%">
                  <c:v>1.0000000000000005E-2</c:v>
                </c:pt>
                <c:pt idx="7" formatCode="0%">
                  <c:v>2.0000000000000011E-2</c:v>
                </c:pt>
                <c:pt idx="8" formatCode="0%">
                  <c:v>3.0000000000000002E-2</c:v>
                </c:pt>
                <c:pt idx="9" formatCode="0%">
                  <c:v>1.0000000000000005E-2</c:v>
                </c:pt>
                <c:pt idx="10" formatCode="0%">
                  <c:v>6.0000000000000032E-2</c:v>
                </c:pt>
                <c:pt idx="11" formatCode="0%">
                  <c:v>6.0000000000000032E-2</c:v>
                </c:pt>
                <c:pt idx="12" formatCode="0%">
                  <c:v>2.0000000000000011E-2</c:v>
                </c:pt>
                <c:pt idx="13">
                  <c:v>1.0000000000000033E-3</c:v>
                </c:pt>
                <c:pt idx="14" formatCode="0%">
                  <c:v>2.0000000000000011E-2</c:v>
                </c:pt>
                <c:pt idx="15" formatCode="0%">
                  <c:v>2.0000000000000011E-2</c:v>
                </c:pt>
                <c:pt idx="16" formatCode="0%">
                  <c:v>2.0000000000000011E-2</c:v>
                </c:pt>
                <c:pt idx="17" formatCode="0%">
                  <c:v>1.0000000000000005E-2</c:v>
                </c:pt>
                <c:pt idx="18" formatCode="0%">
                  <c:v>1.0000000000000005E-2</c:v>
                </c:pt>
                <c:pt idx="19" formatCode="0%">
                  <c:v>1.0000000000000005E-2</c:v>
                </c:pt>
                <c:pt idx="20" formatCode="0%">
                  <c:v>2.0000000000000011E-2</c:v>
                </c:pt>
                <c:pt idx="21" formatCode="0%">
                  <c:v>6.0000000000000032E-2</c:v>
                </c:pt>
                <c:pt idx="22" formatCode="0%">
                  <c:v>2.0000000000000011E-2</c:v>
                </c:pt>
                <c:pt idx="23">
                  <c:v>1.0000000000000033E-3</c:v>
                </c:pt>
                <c:pt idx="24" formatCode="0%">
                  <c:v>8.0000000000000043E-2</c:v>
                </c:pt>
                <c:pt idx="25" formatCode="0%">
                  <c:v>1.0000000000000005E-2</c:v>
                </c:pt>
                <c:pt idx="26" formatCode="0%">
                  <c:v>1.0000000000000005E-2</c:v>
                </c:pt>
                <c:pt idx="27" formatCode="0%">
                  <c:v>9.0000000000000024E-2</c:v>
                </c:pt>
                <c:pt idx="28" formatCode="0%">
                  <c:v>3.0000000000000002E-2</c:v>
                </c:pt>
                <c:pt idx="29" formatCode="0%">
                  <c:v>6.0000000000000032E-2</c:v>
                </c:pt>
                <c:pt idx="30" formatCode="0%">
                  <c:v>2.0000000000000011E-2</c:v>
                </c:pt>
                <c:pt idx="31" formatCode="0%">
                  <c:v>0.15000000000000024</c:v>
                </c:pt>
              </c:numCache>
            </c:numRef>
          </c:val>
        </c:ser>
        <c:dLbls>
          <c:showLegendKey val="0"/>
          <c:showVal val="1"/>
          <c:showCatName val="0"/>
          <c:showSerName val="0"/>
          <c:showPercent val="0"/>
          <c:showBubbleSize val="0"/>
        </c:dLbls>
        <c:gapWidth val="150"/>
        <c:shape val="box"/>
        <c:axId val="428571264"/>
        <c:axId val="428594688"/>
        <c:axId val="0"/>
      </c:bar3DChart>
      <c:catAx>
        <c:axId val="428571264"/>
        <c:scaling>
          <c:orientation val="minMax"/>
        </c:scaling>
        <c:delete val="0"/>
        <c:axPos val="l"/>
        <c:numFmt formatCode="General" sourceLinked="0"/>
        <c:majorTickMark val="out"/>
        <c:minorTickMark val="none"/>
        <c:tickLblPos val="nextTo"/>
        <c:txPr>
          <a:bodyPr/>
          <a:lstStyle/>
          <a:p>
            <a:pPr>
              <a:defRPr sz="1050"/>
            </a:pPr>
            <a:endParaRPr lang="ru-RU"/>
          </a:p>
        </c:txPr>
        <c:crossAx val="428594688"/>
        <c:crosses val="autoZero"/>
        <c:auto val="1"/>
        <c:lblAlgn val="ctr"/>
        <c:lblOffset val="100"/>
        <c:noMultiLvlLbl val="0"/>
      </c:catAx>
      <c:valAx>
        <c:axId val="428594688"/>
        <c:scaling>
          <c:orientation val="minMax"/>
        </c:scaling>
        <c:delete val="1"/>
        <c:axPos val="b"/>
        <c:numFmt formatCode="0%" sourceLinked="1"/>
        <c:majorTickMark val="out"/>
        <c:minorTickMark val="none"/>
        <c:tickLblPos val="none"/>
        <c:crossAx val="428571264"/>
        <c:crosses val="autoZero"/>
        <c:crossBetween val="between"/>
      </c:valAx>
    </c:plotArea>
    <c:legend>
      <c:legendPos val="t"/>
      <c:overlay val="0"/>
    </c:legend>
    <c:plotVisOnly val="1"/>
    <c:dispBlanksAs val="gap"/>
    <c:showDLblsOverMax val="0"/>
  </c:chart>
  <c:externalData r:id="rId1">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1" i="0" baseline="0"/>
              <a:t>Распределение обращений, выражающих удовлетворение процессами, происходящими в НИУ ВШЭ (в %)</a:t>
            </a:r>
          </a:p>
        </c:rich>
      </c:tx>
      <c:layout>
        <c:manualLayout>
          <c:xMode val="edge"/>
          <c:yMode val="edge"/>
          <c:x val="0.18380375529981788"/>
          <c:y val="1.7623733294169552E-2"/>
        </c:manualLayout>
      </c:layout>
      <c:overlay val="0"/>
    </c:title>
    <c:autoTitleDeleted val="0"/>
    <c:plotArea>
      <c:layout/>
      <c:pieChart>
        <c:varyColors val="1"/>
        <c:ser>
          <c:idx val="0"/>
          <c:order val="0"/>
          <c:explosion val="25"/>
          <c:dLbls>
            <c:dLbl>
              <c:idx val="0"/>
              <c:layout>
                <c:manualLayout>
                  <c:x val="-4.5050374419475001E-2"/>
                  <c:y val="-0.23142974815400039"/>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1.5766382951308999E-2"/>
                  <c:y val="-0.24233081094980988"/>
                </c:manualLayout>
              </c:layout>
              <c:tx>
                <c:rich>
                  <a:bodyPr/>
                  <a:lstStyle/>
                  <a:p>
                    <a:pPr>
                      <a:defRPr sz="900"/>
                    </a:pPr>
                    <a:r>
                      <a:rPr lang="ru-RU" sz="900"/>
                      <a:t>Внесение  измен. в расписание
1%</a:t>
                    </a:r>
                  </a:p>
                </c:rich>
              </c:tx>
              <c:spPr/>
              <c:showLegendKey val="0"/>
              <c:showVal val="0"/>
              <c:showCatName val="1"/>
              <c:showSerName val="0"/>
              <c:showPercent val="1"/>
              <c:showBubbleSize val="0"/>
              <c:extLst>
                <c:ext xmlns:c15="http://schemas.microsoft.com/office/drawing/2012/chart" uri="{CE6537A1-D6FC-4f65-9D91-7224C49458BB}"/>
              </c:extLst>
            </c:dLbl>
            <c:dLbl>
              <c:idx val="5"/>
              <c:layout>
                <c:manualLayout>
                  <c:x val="-2.2257490029471996E-2"/>
                  <c:y val="5.9057392040969782E-3"/>
                </c:manualLayout>
              </c:layout>
              <c:showLegendKey val="0"/>
              <c:showVal val="0"/>
              <c:showCatName val="1"/>
              <c:showSerName val="0"/>
              <c:showPercent val="1"/>
              <c:showBubbleSize val="0"/>
              <c:extLst>
                <c:ext xmlns:c15="http://schemas.microsoft.com/office/drawing/2012/chart" uri="{CE6537A1-D6FC-4f65-9D91-7224C49458BB}"/>
              </c:extLst>
            </c:dLbl>
            <c:dLbl>
              <c:idx val="8"/>
              <c:layout>
                <c:manualLayout>
                  <c:x val="-6.7331081744565924E-2"/>
                  <c:y val="-0.14503431614793469"/>
                </c:manualLayout>
              </c:layout>
              <c:showLegendKey val="0"/>
              <c:showVal val="0"/>
              <c:showCatName val="1"/>
              <c:showSerName val="0"/>
              <c:showPercent val="1"/>
              <c:showBubbleSize val="0"/>
              <c:extLst>
                <c:ext xmlns:c15="http://schemas.microsoft.com/office/drawing/2012/chart" uri="{CE6537A1-D6FC-4f65-9D91-7224C49458BB}"/>
              </c:extLst>
            </c:dLbl>
            <c:dLbl>
              <c:idx val="9"/>
              <c:layout>
                <c:manualLayout>
                  <c:x val="4.3813658606600501E-3"/>
                  <c:y val="-0.19251498896134442"/>
                </c:manualLayout>
              </c:layout>
              <c:showLegendKey val="0"/>
              <c:showVal val="0"/>
              <c:showCatName val="1"/>
              <c:showSerName val="0"/>
              <c:showPercent val="1"/>
              <c:showBubbleSize val="0"/>
              <c:extLst>
                <c:ext xmlns:c15="http://schemas.microsoft.com/office/drawing/2012/chart" uri="{CE6537A1-D6FC-4f65-9D91-7224C49458BB}"/>
              </c:extLst>
            </c:dLbl>
            <c:dLbl>
              <c:idx val="17"/>
              <c:layout>
                <c:manualLayout>
                  <c:x val="0.43124272574614808"/>
                  <c:y val="-4.0891648697560699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100"/>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'cводная таблица'!$A$42:$R$42</c:f>
              <c:strCache>
                <c:ptCount val="18"/>
                <c:pt idx="0">
                  <c:v>ППС</c:v>
                </c:pt>
                <c:pt idx="1">
                  <c:v>Работа ВУС</c:v>
                </c:pt>
                <c:pt idx="2">
                  <c:v>ДИТ</c:v>
                </c:pt>
                <c:pt idx="3">
                  <c:v>Работа УЧ</c:v>
                </c:pt>
                <c:pt idx="4">
                  <c:v>Внесение  измен. в рас-е</c:v>
                </c:pt>
                <c:pt idx="5">
                  <c:v>Обеспечение УП</c:v>
                </c:pt>
                <c:pt idx="6">
                  <c:v>ЛМС</c:v>
                </c:pt>
                <c:pt idx="7">
                  <c:v>Содержание учебного курса</c:v>
                </c:pt>
                <c:pt idx="8">
                  <c:v>Организация питания</c:v>
                </c:pt>
                <c:pt idx="9">
                  <c:v>АУЗ №10 (Волгоградский проспект, д.46б) </c:v>
                </c:pt>
                <c:pt idx="10">
                  <c:v>Общежитие</c:v>
                </c:pt>
                <c:pt idx="11">
                  <c:v>Библиотека</c:v>
                </c:pt>
                <c:pt idx="12">
                  <c:v>Работа УБУ</c:v>
                </c:pt>
                <c:pt idx="13">
                  <c:v>Стипендия</c:v>
                </c:pt>
                <c:pt idx="14">
                  <c:v>Зимние школы</c:v>
                </c:pt>
                <c:pt idx="15">
                  <c:v>Выпускной</c:v>
                </c:pt>
                <c:pt idx="16">
                  <c:v>День Вышки</c:v>
                </c:pt>
                <c:pt idx="17">
                  <c:v>Прочее</c:v>
                </c:pt>
              </c:strCache>
            </c:strRef>
          </c:cat>
          <c:val>
            <c:numRef>
              <c:f>'cводная таблица'!$A$43:$R$43</c:f>
              <c:numCache>
                <c:formatCode>General</c:formatCode>
                <c:ptCount val="18"/>
                <c:pt idx="0">
                  <c:v>88</c:v>
                </c:pt>
                <c:pt idx="1">
                  <c:v>1</c:v>
                </c:pt>
                <c:pt idx="2">
                  <c:v>6</c:v>
                </c:pt>
                <c:pt idx="3">
                  <c:v>5</c:v>
                </c:pt>
                <c:pt idx="4">
                  <c:v>1</c:v>
                </c:pt>
                <c:pt idx="5">
                  <c:v>1</c:v>
                </c:pt>
                <c:pt idx="6">
                  <c:v>3</c:v>
                </c:pt>
                <c:pt idx="7">
                  <c:v>2</c:v>
                </c:pt>
                <c:pt idx="8">
                  <c:v>10</c:v>
                </c:pt>
                <c:pt idx="9">
                  <c:v>2</c:v>
                </c:pt>
                <c:pt idx="10">
                  <c:v>23</c:v>
                </c:pt>
                <c:pt idx="11">
                  <c:v>2</c:v>
                </c:pt>
                <c:pt idx="12">
                  <c:v>1</c:v>
                </c:pt>
                <c:pt idx="13">
                  <c:v>2</c:v>
                </c:pt>
                <c:pt idx="14">
                  <c:v>1</c:v>
                </c:pt>
                <c:pt idx="15">
                  <c:v>3</c:v>
                </c:pt>
                <c:pt idx="16">
                  <c:v>5</c:v>
                </c:pt>
                <c:pt idx="17">
                  <c:v>7</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Фактический выбор</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1 курс БАК</c:v>
                </c:pt>
                <c:pt idx="1">
                  <c:v>2 курс БАК</c:v>
                </c:pt>
                <c:pt idx="2">
                  <c:v>3 курс БАК</c:v>
                </c:pt>
                <c:pt idx="3">
                  <c:v>4 курс БАК</c:v>
                </c:pt>
                <c:pt idx="5">
                  <c:v>2 курс СПЕЦ</c:v>
                </c:pt>
                <c:pt idx="6">
                  <c:v>3 курс СПЕЦ</c:v>
                </c:pt>
                <c:pt idx="7">
                  <c:v>4 курс СПЕЦ</c:v>
                </c:pt>
                <c:pt idx="8">
                  <c:v>5 курс СПЕЦ</c:v>
                </c:pt>
                <c:pt idx="10">
                  <c:v>1 курс МАГ</c:v>
                </c:pt>
                <c:pt idx="11">
                  <c:v>2 курс МАГ</c:v>
                </c:pt>
              </c:strCache>
            </c:strRef>
          </c:cat>
          <c:val>
            <c:numRef>
              <c:f>Лист1!$B$2:$B$13</c:f>
              <c:numCache>
                <c:formatCode>General</c:formatCode>
                <c:ptCount val="12"/>
                <c:pt idx="0">
                  <c:v>1.7</c:v>
                </c:pt>
                <c:pt idx="1">
                  <c:v>1.62</c:v>
                </c:pt>
                <c:pt idx="2">
                  <c:v>3.2</c:v>
                </c:pt>
                <c:pt idx="3">
                  <c:v>2.8</c:v>
                </c:pt>
                <c:pt idx="5">
                  <c:v>1</c:v>
                </c:pt>
                <c:pt idx="6">
                  <c:v>0.5</c:v>
                </c:pt>
                <c:pt idx="7">
                  <c:v>4</c:v>
                </c:pt>
                <c:pt idx="8">
                  <c:v>3</c:v>
                </c:pt>
                <c:pt idx="10">
                  <c:v>3.8499999999999988</c:v>
                </c:pt>
                <c:pt idx="11">
                  <c:v>3.65</c:v>
                </c:pt>
              </c:numCache>
            </c:numRef>
          </c:val>
          <c:smooth val="0"/>
        </c:ser>
        <c:ser>
          <c:idx val="1"/>
          <c:order val="1"/>
          <c:tx>
            <c:strRef>
              <c:f>Лист1!$C$1</c:f>
              <c:strCache>
                <c:ptCount val="1"/>
                <c:pt idx="0">
                  <c:v>Предлагаемые дисциплины для выбора</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1 курс БАК</c:v>
                </c:pt>
                <c:pt idx="1">
                  <c:v>2 курс БАК</c:v>
                </c:pt>
                <c:pt idx="2">
                  <c:v>3 курс БАК</c:v>
                </c:pt>
                <c:pt idx="3">
                  <c:v>4 курс БАК</c:v>
                </c:pt>
                <c:pt idx="5">
                  <c:v>2 курс СПЕЦ</c:v>
                </c:pt>
                <c:pt idx="6">
                  <c:v>3 курс СПЕЦ</c:v>
                </c:pt>
                <c:pt idx="7">
                  <c:v>4 курс СПЕЦ</c:v>
                </c:pt>
                <c:pt idx="8">
                  <c:v>5 курс СПЕЦ</c:v>
                </c:pt>
                <c:pt idx="10">
                  <c:v>1 курс МАГ</c:v>
                </c:pt>
                <c:pt idx="11">
                  <c:v>2 курс МАГ</c:v>
                </c:pt>
              </c:strCache>
            </c:strRef>
          </c:cat>
          <c:val>
            <c:numRef>
              <c:f>Лист1!$C$2:$C$13</c:f>
              <c:numCache>
                <c:formatCode>General</c:formatCode>
                <c:ptCount val="12"/>
                <c:pt idx="0">
                  <c:v>7.4</c:v>
                </c:pt>
                <c:pt idx="1">
                  <c:v>4.5</c:v>
                </c:pt>
                <c:pt idx="2">
                  <c:v>11</c:v>
                </c:pt>
                <c:pt idx="3">
                  <c:v>9</c:v>
                </c:pt>
                <c:pt idx="5">
                  <c:v>3</c:v>
                </c:pt>
                <c:pt idx="6">
                  <c:v>1.5</c:v>
                </c:pt>
                <c:pt idx="7">
                  <c:v>15.75</c:v>
                </c:pt>
                <c:pt idx="8">
                  <c:v>7.7700000000000014</c:v>
                </c:pt>
                <c:pt idx="10">
                  <c:v>9.2000000000000011</c:v>
                </c:pt>
                <c:pt idx="11">
                  <c:v>7.2</c:v>
                </c:pt>
              </c:numCache>
            </c:numRef>
          </c:val>
          <c:smooth val="0"/>
        </c:ser>
        <c:dLbls>
          <c:showLegendKey val="0"/>
          <c:showVal val="0"/>
          <c:showCatName val="0"/>
          <c:showSerName val="0"/>
          <c:showPercent val="0"/>
          <c:showBubbleSize val="0"/>
        </c:dLbls>
        <c:marker val="1"/>
        <c:smooth val="0"/>
        <c:axId val="439990528"/>
        <c:axId val="439996416"/>
      </c:lineChart>
      <c:catAx>
        <c:axId val="439990528"/>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439996416"/>
        <c:crosses val="autoZero"/>
        <c:auto val="1"/>
        <c:lblAlgn val="ctr"/>
        <c:lblOffset val="100"/>
        <c:noMultiLvlLbl val="0"/>
      </c:catAx>
      <c:valAx>
        <c:axId val="439996416"/>
        <c:scaling>
          <c:orientation val="minMax"/>
        </c:scaling>
        <c:delete val="0"/>
        <c:axPos val="l"/>
        <c:majorGridlines/>
        <c:numFmt formatCode="General" sourceLinked="1"/>
        <c:majorTickMark val="out"/>
        <c:minorTickMark val="none"/>
        <c:tickLblPos val="nextTo"/>
        <c:crossAx val="439990528"/>
        <c:crosses val="autoZero"/>
        <c:crossBetween val="between"/>
      </c:valAx>
    </c:plotArea>
    <c:legend>
      <c:legendPos val="r"/>
      <c:overlay val="0"/>
    </c:legend>
    <c:plotVisOnly val="1"/>
    <c:dispBlanksAs val="gap"/>
    <c:showDLblsOverMax val="0"/>
  </c:chart>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sz="1200"/>
            </a:pPr>
            <a:r>
              <a:rPr lang="ru-RU" sz="1200"/>
              <a:t>Распределение сообщений студентов факультетов/отделений, выражающих одобрение/неодобрение </a:t>
            </a:r>
          </a:p>
        </c:rich>
      </c:tx>
      <c:overlay val="0"/>
    </c:title>
    <c:autoTitleDeleted val="0"/>
    <c:plotArea>
      <c:layout/>
      <c:barChart>
        <c:barDir val="bar"/>
        <c:grouping val="clustered"/>
        <c:varyColors val="0"/>
        <c:ser>
          <c:idx val="0"/>
          <c:order val="0"/>
          <c:tx>
            <c:strRef>
              <c:f>Д5!$C$5</c:f>
              <c:strCache>
                <c:ptCount val="1"/>
                <c:pt idx="0">
                  <c:v>Кол</c:v>
                </c:pt>
              </c:strCache>
            </c:strRef>
          </c:tx>
          <c:invertIfNegative val="0"/>
          <c:cat>
            <c:multiLvlStrRef>
              <c:f>Д5!$A$6:$B$58</c:f>
              <c:multiLvlStrCache>
                <c:ptCount val="53"/>
                <c:lvl>
                  <c:pt idx="0">
                    <c:v>н</c:v>
                  </c:pt>
                  <c:pt idx="2">
                    <c:v>н</c:v>
                  </c:pt>
                  <c:pt idx="3">
                    <c:v>н</c:v>
                  </c:pt>
                  <c:pt idx="4">
                    <c:v>н</c:v>
                  </c:pt>
                  <c:pt idx="5">
                    <c:v>н</c:v>
                  </c:pt>
                  <c:pt idx="6">
                    <c:v>о</c:v>
                  </c:pt>
                  <c:pt idx="7">
                    <c:v>н</c:v>
                  </c:pt>
                  <c:pt idx="8">
                    <c:v>о</c:v>
                  </c:pt>
                  <c:pt idx="9">
                    <c:v>н</c:v>
                  </c:pt>
                  <c:pt idx="10">
                    <c:v>о</c:v>
                  </c:pt>
                  <c:pt idx="11">
                    <c:v>н</c:v>
                  </c:pt>
                  <c:pt idx="12">
                    <c:v>о</c:v>
                  </c:pt>
                  <c:pt idx="13">
                    <c:v>н</c:v>
                  </c:pt>
                  <c:pt idx="14">
                    <c:v>н</c:v>
                  </c:pt>
                  <c:pt idx="15">
                    <c:v>о</c:v>
                  </c:pt>
                  <c:pt idx="16">
                    <c:v>н</c:v>
                  </c:pt>
                  <c:pt idx="17">
                    <c:v>о</c:v>
                  </c:pt>
                  <c:pt idx="18">
                    <c:v>о</c:v>
                  </c:pt>
                  <c:pt idx="19">
                    <c:v>н</c:v>
                  </c:pt>
                  <c:pt idx="20">
                    <c:v>н</c:v>
                  </c:pt>
                  <c:pt idx="21">
                    <c:v>о</c:v>
                  </c:pt>
                  <c:pt idx="22">
                    <c:v>н</c:v>
                  </c:pt>
                  <c:pt idx="23">
                    <c:v>н</c:v>
                  </c:pt>
                  <c:pt idx="24">
                    <c:v>о</c:v>
                  </c:pt>
                  <c:pt idx="25">
                    <c:v>н</c:v>
                  </c:pt>
                  <c:pt idx="26">
                    <c:v>о</c:v>
                  </c:pt>
                  <c:pt idx="27">
                    <c:v>н</c:v>
                  </c:pt>
                  <c:pt idx="28">
                    <c:v>о</c:v>
                  </c:pt>
                  <c:pt idx="29">
                    <c:v>н</c:v>
                  </c:pt>
                  <c:pt idx="30">
                    <c:v>о</c:v>
                  </c:pt>
                  <c:pt idx="31">
                    <c:v>н</c:v>
                  </c:pt>
                  <c:pt idx="32">
                    <c:v>о</c:v>
                  </c:pt>
                  <c:pt idx="33">
                    <c:v>н</c:v>
                  </c:pt>
                  <c:pt idx="34">
                    <c:v>о</c:v>
                  </c:pt>
                  <c:pt idx="35">
                    <c:v>н</c:v>
                  </c:pt>
                  <c:pt idx="36">
                    <c:v>н</c:v>
                  </c:pt>
                  <c:pt idx="37">
                    <c:v>о</c:v>
                  </c:pt>
                  <c:pt idx="38">
                    <c:v>н</c:v>
                  </c:pt>
                  <c:pt idx="39">
                    <c:v>н</c:v>
                  </c:pt>
                  <c:pt idx="40">
                    <c:v>о</c:v>
                  </c:pt>
                  <c:pt idx="41">
                    <c:v>о</c:v>
                  </c:pt>
                  <c:pt idx="42">
                    <c:v>н</c:v>
                  </c:pt>
                  <c:pt idx="43">
                    <c:v>н</c:v>
                  </c:pt>
                  <c:pt idx="44">
                    <c:v>о</c:v>
                  </c:pt>
                  <c:pt idx="45">
                    <c:v>н</c:v>
                  </c:pt>
                  <c:pt idx="46">
                    <c:v>о</c:v>
                  </c:pt>
                  <c:pt idx="47">
                    <c:v>о</c:v>
                  </c:pt>
                  <c:pt idx="48">
                    <c:v>н</c:v>
                  </c:pt>
                  <c:pt idx="49">
                    <c:v>н</c:v>
                  </c:pt>
                  <c:pt idx="50">
                    <c:v>о</c:v>
                  </c:pt>
                  <c:pt idx="51">
                    <c:v>н</c:v>
                  </c:pt>
                  <c:pt idx="52">
                    <c:v>о</c:v>
                  </c:pt>
                </c:lvl>
                <c:lvl>
                  <c:pt idx="0">
                    <c:v>Другое</c:v>
                  </c:pt>
                  <c:pt idx="1">
                    <c:v>НФ</c:v>
                  </c:pt>
                  <c:pt idx="2">
                    <c:v>СПФ</c:v>
                  </c:pt>
                  <c:pt idx="3">
                    <c:v>ИРО</c:v>
                  </c:pt>
                  <c:pt idx="4">
                    <c:v>ФПМиК</c:v>
                  </c:pt>
                  <c:pt idx="5">
                    <c:v>ФИТи ВТ</c:v>
                  </c:pt>
                  <c:pt idx="6">
                    <c:v>Филолог.</c:v>
                  </c:pt>
                  <c:pt idx="8">
                    <c:v>Философ.</c:v>
                  </c:pt>
                  <c:pt idx="10">
                    <c:v>Флог</c:v>
                  </c:pt>
                  <c:pt idx="12">
                    <c:v>ОИК</c:v>
                  </c:pt>
                  <c:pt idx="14">
                    <c:v>ОПИ</c:v>
                  </c:pt>
                  <c:pt idx="16">
                    <c:v>ОПМиИ</c:v>
                  </c:pt>
                  <c:pt idx="18">
                    <c:v>Дизайн</c:v>
                  </c:pt>
                  <c:pt idx="20">
                    <c:v>ФЭиТ </c:v>
                  </c:pt>
                  <c:pt idx="21">
                    <c:v>Матем</c:v>
                  </c:pt>
                  <c:pt idx="23">
                    <c:v>МИЭФ</c:v>
                  </c:pt>
                  <c:pt idx="24">
                    <c:v>Овост</c:v>
                  </c:pt>
                  <c:pt idx="26">
                    <c:v>Культ.</c:v>
                  </c:pt>
                  <c:pt idx="28">
                    <c:v>История</c:v>
                  </c:pt>
                  <c:pt idx="30">
                    <c:v>Психол.</c:v>
                  </c:pt>
                  <c:pt idx="32">
                    <c:v>Соц</c:v>
                  </c:pt>
                  <c:pt idx="34">
                    <c:v>МЭиМП</c:v>
                  </c:pt>
                  <c:pt idx="36">
                    <c:v>Каф.ПП</c:v>
                  </c:pt>
                  <c:pt idx="37">
                    <c:v>Медиа</c:v>
                  </c:pt>
                  <c:pt idx="39">
                    <c:v>Пр.Пол</c:v>
                  </c:pt>
                  <c:pt idx="41">
                    <c:v>Право</c:v>
                  </c:pt>
                  <c:pt idx="43">
                    <c:v>Мен-т</c:v>
                  </c:pt>
                  <c:pt idx="45">
                    <c:v>ГиМУ</c:v>
                  </c:pt>
                  <c:pt idx="47">
                    <c:v>БИ</c:v>
                  </c:pt>
                  <c:pt idx="49">
                    <c:v>ОСАДиД</c:v>
                  </c:pt>
                  <c:pt idx="51">
                    <c:v>Экон</c:v>
                  </c:pt>
                </c:lvl>
              </c:multiLvlStrCache>
            </c:multiLvlStrRef>
          </c:cat>
          <c:val>
            <c:numRef>
              <c:f>Д5!$C$6:$C$58</c:f>
              <c:numCache>
                <c:formatCode>General</c:formatCode>
                <c:ptCount val="53"/>
                <c:pt idx="0">
                  <c:v>82</c:v>
                </c:pt>
                <c:pt idx="1">
                  <c:v>7</c:v>
                </c:pt>
                <c:pt idx="2">
                  <c:v>29</c:v>
                </c:pt>
                <c:pt idx="3">
                  <c:v>1</c:v>
                </c:pt>
                <c:pt idx="4">
                  <c:v>37</c:v>
                </c:pt>
                <c:pt idx="5">
                  <c:v>85</c:v>
                </c:pt>
                <c:pt idx="6">
                  <c:v>1</c:v>
                </c:pt>
                <c:pt idx="7">
                  <c:v>43</c:v>
                </c:pt>
                <c:pt idx="8">
                  <c:v>3</c:v>
                </c:pt>
                <c:pt idx="9">
                  <c:v>18</c:v>
                </c:pt>
                <c:pt idx="10">
                  <c:v>1</c:v>
                </c:pt>
                <c:pt idx="11">
                  <c:v>26</c:v>
                </c:pt>
                <c:pt idx="12">
                  <c:v>2</c:v>
                </c:pt>
                <c:pt idx="13">
                  <c:v>25</c:v>
                </c:pt>
                <c:pt idx="14">
                  <c:v>29</c:v>
                </c:pt>
                <c:pt idx="15">
                  <c:v>7</c:v>
                </c:pt>
                <c:pt idx="16">
                  <c:v>55</c:v>
                </c:pt>
                <c:pt idx="17">
                  <c:v>7</c:v>
                </c:pt>
                <c:pt idx="18">
                  <c:v>20</c:v>
                </c:pt>
                <c:pt idx="19">
                  <c:v>80</c:v>
                </c:pt>
                <c:pt idx="20">
                  <c:v>26</c:v>
                </c:pt>
                <c:pt idx="21">
                  <c:v>2</c:v>
                </c:pt>
                <c:pt idx="22">
                  <c:v>17</c:v>
                </c:pt>
                <c:pt idx="23">
                  <c:v>14</c:v>
                </c:pt>
                <c:pt idx="24">
                  <c:v>1</c:v>
                </c:pt>
                <c:pt idx="25">
                  <c:v>40</c:v>
                </c:pt>
                <c:pt idx="26">
                  <c:v>1</c:v>
                </c:pt>
                <c:pt idx="27">
                  <c:v>16</c:v>
                </c:pt>
                <c:pt idx="28">
                  <c:v>1</c:v>
                </c:pt>
                <c:pt idx="29">
                  <c:v>21</c:v>
                </c:pt>
                <c:pt idx="30">
                  <c:v>3</c:v>
                </c:pt>
                <c:pt idx="31">
                  <c:v>28</c:v>
                </c:pt>
                <c:pt idx="32">
                  <c:v>3</c:v>
                </c:pt>
                <c:pt idx="33">
                  <c:v>104</c:v>
                </c:pt>
                <c:pt idx="34">
                  <c:v>6</c:v>
                </c:pt>
                <c:pt idx="35">
                  <c:v>94</c:v>
                </c:pt>
                <c:pt idx="36">
                  <c:v>1</c:v>
                </c:pt>
                <c:pt idx="37">
                  <c:v>3</c:v>
                </c:pt>
                <c:pt idx="38">
                  <c:v>30</c:v>
                </c:pt>
                <c:pt idx="39">
                  <c:v>43</c:v>
                </c:pt>
                <c:pt idx="40">
                  <c:v>1</c:v>
                </c:pt>
                <c:pt idx="41">
                  <c:v>18</c:v>
                </c:pt>
                <c:pt idx="42">
                  <c:v>133</c:v>
                </c:pt>
                <c:pt idx="43">
                  <c:v>152</c:v>
                </c:pt>
                <c:pt idx="44">
                  <c:v>18</c:v>
                </c:pt>
                <c:pt idx="45">
                  <c:v>45</c:v>
                </c:pt>
                <c:pt idx="46">
                  <c:v>8</c:v>
                </c:pt>
                <c:pt idx="47">
                  <c:v>16</c:v>
                </c:pt>
                <c:pt idx="48">
                  <c:v>90</c:v>
                </c:pt>
                <c:pt idx="49">
                  <c:v>22</c:v>
                </c:pt>
                <c:pt idx="50">
                  <c:v>8</c:v>
                </c:pt>
                <c:pt idx="51">
                  <c:v>259</c:v>
                </c:pt>
                <c:pt idx="52">
                  <c:v>20</c:v>
                </c:pt>
              </c:numCache>
            </c:numRef>
          </c:val>
        </c:ser>
        <c:ser>
          <c:idx val="1"/>
          <c:order val="1"/>
          <c:tx>
            <c:strRef>
              <c:f>Д5!$D$5</c:f>
              <c:strCache>
                <c:ptCount val="1"/>
                <c:pt idx="0">
                  <c:v>%</c:v>
                </c:pt>
              </c:strCache>
            </c:strRef>
          </c:tx>
          <c:invertIfNegative val="0"/>
          <c:cat>
            <c:multiLvlStrRef>
              <c:f>Д5!$A$6:$B$58</c:f>
              <c:multiLvlStrCache>
                <c:ptCount val="53"/>
                <c:lvl>
                  <c:pt idx="0">
                    <c:v>н</c:v>
                  </c:pt>
                  <c:pt idx="2">
                    <c:v>н</c:v>
                  </c:pt>
                  <c:pt idx="3">
                    <c:v>н</c:v>
                  </c:pt>
                  <c:pt idx="4">
                    <c:v>н</c:v>
                  </c:pt>
                  <c:pt idx="5">
                    <c:v>н</c:v>
                  </c:pt>
                  <c:pt idx="6">
                    <c:v>о</c:v>
                  </c:pt>
                  <c:pt idx="7">
                    <c:v>н</c:v>
                  </c:pt>
                  <c:pt idx="8">
                    <c:v>о</c:v>
                  </c:pt>
                  <c:pt idx="9">
                    <c:v>н</c:v>
                  </c:pt>
                  <c:pt idx="10">
                    <c:v>о</c:v>
                  </c:pt>
                  <c:pt idx="11">
                    <c:v>н</c:v>
                  </c:pt>
                  <c:pt idx="12">
                    <c:v>о</c:v>
                  </c:pt>
                  <c:pt idx="13">
                    <c:v>н</c:v>
                  </c:pt>
                  <c:pt idx="14">
                    <c:v>н</c:v>
                  </c:pt>
                  <c:pt idx="15">
                    <c:v>о</c:v>
                  </c:pt>
                  <c:pt idx="16">
                    <c:v>н</c:v>
                  </c:pt>
                  <c:pt idx="17">
                    <c:v>о</c:v>
                  </c:pt>
                  <c:pt idx="18">
                    <c:v>о</c:v>
                  </c:pt>
                  <c:pt idx="19">
                    <c:v>н</c:v>
                  </c:pt>
                  <c:pt idx="20">
                    <c:v>н</c:v>
                  </c:pt>
                  <c:pt idx="21">
                    <c:v>о</c:v>
                  </c:pt>
                  <c:pt idx="22">
                    <c:v>н</c:v>
                  </c:pt>
                  <c:pt idx="23">
                    <c:v>н</c:v>
                  </c:pt>
                  <c:pt idx="24">
                    <c:v>о</c:v>
                  </c:pt>
                  <c:pt idx="25">
                    <c:v>н</c:v>
                  </c:pt>
                  <c:pt idx="26">
                    <c:v>о</c:v>
                  </c:pt>
                  <c:pt idx="27">
                    <c:v>н</c:v>
                  </c:pt>
                  <c:pt idx="28">
                    <c:v>о</c:v>
                  </c:pt>
                  <c:pt idx="29">
                    <c:v>н</c:v>
                  </c:pt>
                  <c:pt idx="30">
                    <c:v>о</c:v>
                  </c:pt>
                  <c:pt idx="31">
                    <c:v>н</c:v>
                  </c:pt>
                  <c:pt idx="32">
                    <c:v>о</c:v>
                  </c:pt>
                  <c:pt idx="33">
                    <c:v>н</c:v>
                  </c:pt>
                  <c:pt idx="34">
                    <c:v>о</c:v>
                  </c:pt>
                  <c:pt idx="35">
                    <c:v>н</c:v>
                  </c:pt>
                  <c:pt idx="36">
                    <c:v>н</c:v>
                  </c:pt>
                  <c:pt idx="37">
                    <c:v>о</c:v>
                  </c:pt>
                  <c:pt idx="38">
                    <c:v>н</c:v>
                  </c:pt>
                  <c:pt idx="39">
                    <c:v>н</c:v>
                  </c:pt>
                  <c:pt idx="40">
                    <c:v>о</c:v>
                  </c:pt>
                  <c:pt idx="41">
                    <c:v>о</c:v>
                  </c:pt>
                  <c:pt idx="42">
                    <c:v>н</c:v>
                  </c:pt>
                  <c:pt idx="43">
                    <c:v>н</c:v>
                  </c:pt>
                  <c:pt idx="44">
                    <c:v>о</c:v>
                  </c:pt>
                  <c:pt idx="45">
                    <c:v>н</c:v>
                  </c:pt>
                  <c:pt idx="46">
                    <c:v>о</c:v>
                  </c:pt>
                  <c:pt idx="47">
                    <c:v>о</c:v>
                  </c:pt>
                  <c:pt idx="48">
                    <c:v>н</c:v>
                  </c:pt>
                  <c:pt idx="49">
                    <c:v>н</c:v>
                  </c:pt>
                  <c:pt idx="50">
                    <c:v>о</c:v>
                  </c:pt>
                  <c:pt idx="51">
                    <c:v>н</c:v>
                  </c:pt>
                  <c:pt idx="52">
                    <c:v>о</c:v>
                  </c:pt>
                </c:lvl>
                <c:lvl>
                  <c:pt idx="0">
                    <c:v>Другое</c:v>
                  </c:pt>
                  <c:pt idx="1">
                    <c:v>НФ</c:v>
                  </c:pt>
                  <c:pt idx="2">
                    <c:v>СПФ</c:v>
                  </c:pt>
                  <c:pt idx="3">
                    <c:v>ИРО</c:v>
                  </c:pt>
                  <c:pt idx="4">
                    <c:v>ФПМиК</c:v>
                  </c:pt>
                  <c:pt idx="5">
                    <c:v>ФИТи ВТ</c:v>
                  </c:pt>
                  <c:pt idx="6">
                    <c:v>Филолог.</c:v>
                  </c:pt>
                  <c:pt idx="8">
                    <c:v>Философ.</c:v>
                  </c:pt>
                  <c:pt idx="10">
                    <c:v>Флог</c:v>
                  </c:pt>
                  <c:pt idx="12">
                    <c:v>ОИК</c:v>
                  </c:pt>
                  <c:pt idx="14">
                    <c:v>ОПИ</c:v>
                  </c:pt>
                  <c:pt idx="16">
                    <c:v>ОПМиИ</c:v>
                  </c:pt>
                  <c:pt idx="18">
                    <c:v>Дизайн</c:v>
                  </c:pt>
                  <c:pt idx="20">
                    <c:v>ФЭиТ </c:v>
                  </c:pt>
                  <c:pt idx="21">
                    <c:v>Матем</c:v>
                  </c:pt>
                  <c:pt idx="23">
                    <c:v>МИЭФ</c:v>
                  </c:pt>
                  <c:pt idx="24">
                    <c:v>Овост</c:v>
                  </c:pt>
                  <c:pt idx="26">
                    <c:v>Культ.</c:v>
                  </c:pt>
                  <c:pt idx="28">
                    <c:v>История</c:v>
                  </c:pt>
                  <c:pt idx="30">
                    <c:v>Психол.</c:v>
                  </c:pt>
                  <c:pt idx="32">
                    <c:v>Соц</c:v>
                  </c:pt>
                  <c:pt idx="34">
                    <c:v>МЭиМП</c:v>
                  </c:pt>
                  <c:pt idx="36">
                    <c:v>Каф.ПП</c:v>
                  </c:pt>
                  <c:pt idx="37">
                    <c:v>Медиа</c:v>
                  </c:pt>
                  <c:pt idx="39">
                    <c:v>Пр.Пол</c:v>
                  </c:pt>
                  <c:pt idx="41">
                    <c:v>Право</c:v>
                  </c:pt>
                  <c:pt idx="43">
                    <c:v>Мен-т</c:v>
                  </c:pt>
                  <c:pt idx="45">
                    <c:v>ГиМУ</c:v>
                  </c:pt>
                  <c:pt idx="47">
                    <c:v>БИ</c:v>
                  </c:pt>
                  <c:pt idx="49">
                    <c:v>ОСАДиД</c:v>
                  </c:pt>
                  <c:pt idx="51">
                    <c:v>Экон</c:v>
                  </c:pt>
                </c:lvl>
              </c:multiLvlStrCache>
            </c:multiLvlStrRef>
          </c:cat>
          <c:val>
            <c:numRef>
              <c:f>Д5!$D$6:$D$58</c:f>
              <c:numCache>
                <c:formatCode>0.0%</c:formatCode>
                <c:ptCount val="53"/>
                <c:pt idx="0" formatCode="0%">
                  <c:v>0.05</c:v>
                </c:pt>
                <c:pt idx="1">
                  <c:v>4.0000000000000114E-3</c:v>
                </c:pt>
                <c:pt idx="2" formatCode="0%">
                  <c:v>2.0000000000000011E-2</c:v>
                </c:pt>
                <c:pt idx="3">
                  <c:v>1.0000000000000033E-3</c:v>
                </c:pt>
                <c:pt idx="4" formatCode="0%">
                  <c:v>2.0000000000000011E-2</c:v>
                </c:pt>
                <c:pt idx="5" formatCode="0%">
                  <c:v>0.05</c:v>
                </c:pt>
                <c:pt idx="6">
                  <c:v>1.0000000000000033E-3</c:v>
                </c:pt>
                <c:pt idx="7" formatCode="0%">
                  <c:v>2.0000000000000011E-2</c:v>
                </c:pt>
                <c:pt idx="8" formatCode="0%">
                  <c:v>2.0000000000000011E-2</c:v>
                </c:pt>
                <c:pt idx="9" formatCode="0%">
                  <c:v>1.0000000000000005E-2</c:v>
                </c:pt>
                <c:pt idx="10">
                  <c:v>1.0000000000000033E-3</c:v>
                </c:pt>
                <c:pt idx="11" formatCode="0%">
                  <c:v>1.0000000000000005E-2</c:v>
                </c:pt>
                <c:pt idx="12">
                  <c:v>1.0000000000000033E-3</c:v>
                </c:pt>
                <c:pt idx="13" formatCode="0%">
                  <c:v>1.0000000000000005E-2</c:v>
                </c:pt>
                <c:pt idx="14" formatCode="0%">
                  <c:v>2.0000000000000011E-2</c:v>
                </c:pt>
                <c:pt idx="15">
                  <c:v>4.0000000000000114E-3</c:v>
                </c:pt>
                <c:pt idx="16" formatCode="0%">
                  <c:v>3.0000000000000002E-2</c:v>
                </c:pt>
                <c:pt idx="17">
                  <c:v>4.0000000000000114E-3</c:v>
                </c:pt>
                <c:pt idx="18" formatCode="0%">
                  <c:v>1.0000000000000005E-2</c:v>
                </c:pt>
                <c:pt idx="19" formatCode="0%">
                  <c:v>4.0000000000000022E-2</c:v>
                </c:pt>
                <c:pt idx="20" formatCode="0%">
                  <c:v>1.0000000000000005E-2</c:v>
                </c:pt>
                <c:pt idx="21">
                  <c:v>1.0000000000000033E-3</c:v>
                </c:pt>
                <c:pt idx="22" formatCode="0%">
                  <c:v>1.0000000000000005E-2</c:v>
                </c:pt>
                <c:pt idx="23" formatCode="0%">
                  <c:v>1.0000000000000005E-2</c:v>
                </c:pt>
                <c:pt idx="24">
                  <c:v>1.0000000000000033E-3</c:v>
                </c:pt>
                <c:pt idx="25" formatCode="0%">
                  <c:v>2.0000000000000011E-2</c:v>
                </c:pt>
                <c:pt idx="26">
                  <c:v>1.0000000000000033E-3</c:v>
                </c:pt>
                <c:pt idx="27" formatCode="0%">
                  <c:v>1.0000000000000005E-2</c:v>
                </c:pt>
                <c:pt idx="28">
                  <c:v>1.0000000000000033E-3</c:v>
                </c:pt>
                <c:pt idx="29" formatCode="0%">
                  <c:v>1.0000000000000005E-2</c:v>
                </c:pt>
                <c:pt idx="30">
                  <c:v>2.0000000000000052E-3</c:v>
                </c:pt>
                <c:pt idx="31" formatCode="0%">
                  <c:v>2.0000000000000011E-2</c:v>
                </c:pt>
                <c:pt idx="32">
                  <c:v>2.0000000000000052E-3</c:v>
                </c:pt>
                <c:pt idx="33" formatCode="0%">
                  <c:v>6.0000000000000032E-2</c:v>
                </c:pt>
                <c:pt idx="34">
                  <c:v>6.0000000000000114E-3</c:v>
                </c:pt>
                <c:pt idx="35" formatCode="0%">
                  <c:v>0.05</c:v>
                </c:pt>
                <c:pt idx="36">
                  <c:v>1.0000000000000033E-3</c:v>
                </c:pt>
                <c:pt idx="37">
                  <c:v>2.0000000000000052E-3</c:v>
                </c:pt>
                <c:pt idx="38" formatCode="0%">
                  <c:v>2.0000000000000011E-2</c:v>
                </c:pt>
                <c:pt idx="39" formatCode="0%">
                  <c:v>2.0000000000000011E-2</c:v>
                </c:pt>
                <c:pt idx="40">
                  <c:v>1.0000000000000033E-3</c:v>
                </c:pt>
                <c:pt idx="41" formatCode="0%">
                  <c:v>1.0000000000000005E-2</c:v>
                </c:pt>
                <c:pt idx="42" formatCode="0%">
                  <c:v>7.0000000000000021E-2</c:v>
                </c:pt>
                <c:pt idx="43" formatCode="0%">
                  <c:v>8.0000000000000043E-2</c:v>
                </c:pt>
                <c:pt idx="44" formatCode="0%">
                  <c:v>1.0000000000000005E-2</c:v>
                </c:pt>
                <c:pt idx="45" formatCode="0%">
                  <c:v>2.0000000000000011E-2</c:v>
                </c:pt>
                <c:pt idx="46">
                  <c:v>4.0000000000000114E-3</c:v>
                </c:pt>
                <c:pt idx="47" formatCode="0%">
                  <c:v>1.0000000000000005E-2</c:v>
                </c:pt>
                <c:pt idx="48" formatCode="0%">
                  <c:v>0.05</c:v>
                </c:pt>
                <c:pt idx="49" formatCode="0%">
                  <c:v>1.0000000000000005E-2</c:v>
                </c:pt>
                <c:pt idx="50">
                  <c:v>4.0000000000000114E-3</c:v>
                </c:pt>
                <c:pt idx="51" formatCode="0%">
                  <c:v>0.14000000000000001</c:v>
                </c:pt>
                <c:pt idx="52" formatCode="0%">
                  <c:v>1.0000000000000005E-2</c:v>
                </c:pt>
              </c:numCache>
            </c:numRef>
          </c:val>
        </c:ser>
        <c:dLbls>
          <c:showLegendKey val="0"/>
          <c:showVal val="0"/>
          <c:showCatName val="0"/>
          <c:showSerName val="0"/>
          <c:showPercent val="0"/>
          <c:showBubbleSize val="0"/>
        </c:dLbls>
        <c:gapWidth val="75"/>
        <c:overlap val="-25"/>
        <c:axId val="439694080"/>
        <c:axId val="439695616"/>
      </c:barChart>
      <c:catAx>
        <c:axId val="439694080"/>
        <c:scaling>
          <c:orientation val="minMax"/>
        </c:scaling>
        <c:delete val="0"/>
        <c:axPos val="l"/>
        <c:numFmt formatCode="General" sourceLinked="0"/>
        <c:majorTickMark val="none"/>
        <c:minorTickMark val="none"/>
        <c:tickLblPos val="nextTo"/>
        <c:crossAx val="439695616"/>
        <c:crosses val="autoZero"/>
        <c:auto val="1"/>
        <c:lblAlgn val="ctr"/>
        <c:lblOffset val="100"/>
        <c:noMultiLvlLbl val="0"/>
      </c:catAx>
      <c:valAx>
        <c:axId val="439695616"/>
        <c:scaling>
          <c:orientation val="minMax"/>
        </c:scaling>
        <c:delete val="0"/>
        <c:axPos val="b"/>
        <c:majorGridlines/>
        <c:numFmt formatCode="General" sourceLinked="1"/>
        <c:majorTickMark val="none"/>
        <c:minorTickMark val="none"/>
        <c:tickLblPos val="none"/>
        <c:spPr>
          <a:ln w="9525">
            <a:noFill/>
          </a:ln>
        </c:spPr>
        <c:crossAx val="439694080"/>
        <c:crosses val="autoZero"/>
        <c:crossBetween val="between"/>
      </c:valAx>
    </c:plotArea>
    <c:legend>
      <c:legendPos val="b"/>
      <c:overlay val="0"/>
    </c:legend>
    <c:plotVisOnly val="1"/>
    <c:dispBlanksAs val="gap"/>
    <c:showDLblsOverMax val="0"/>
  </c:chart>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latin typeface="Times New Roman" pitchFamily="18" charset="0"/>
                <a:cs typeface="Times New Roman" pitchFamily="18" charset="0"/>
              </a:rPr>
              <a:t>Распределение неодобрительных обращений по ключевым проблемам (в %)</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v>количество обращений</c:v>
          </c:tx>
          <c:invertIfNegative val="0"/>
          <c:dLbls>
            <c:dLbl>
              <c:idx val="19"/>
              <c:layout>
                <c:manualLayout>
                  <c:x val="6.9444431786885533E-3"/>
                  <c:y val="-1.03180802901869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Д6!$A$7:$A$27</c:f>
              <c:strCache>
                <c:ptCount val="21"/>
                <c:pt idx="0">
                  <c:v>Прочее</c:v>
                </c:pt>
                <c:pt idx="1">
                  <c:v>Техника</c:v>
                </c:pt>
                <c:pt idx="2">
                  <c:v>Транспорт</c:v>
                </c:pt>
                <c:pt idx="3">
                  <c:v>Организация питания</c:v>
                </c:pt>
                <c:pt idx="4">
                  <c:v>Карты ВТБ-24</c:v>
                </c:pt>
                <c:pt idx="5">
                  <c:v>Спорт в НИУ ВШЭ</c:v>
                </c:pt>
                <c:pt idx="6">
                  <c:v>Мед. обслуживание</c:v>
                </c:pt>
                <c:pt idx="7">
                  <c:v>Сайт</c:v>
                </c:pt>
                <c:pt idx="8">
                  <c:v>Злоупотребления</c:v>
                </c:pt>
                <c:pt idx="9">
                  <c:v>Выпускной</c:v>
                </c:pt>
                <c:pt idx="10">
                  <c:v>Работа УВРС</c:v>
                </c:pt>
                <c:pt idx="11">
                  <c:v>Приемная комиссия</c:v>
                </c:pt>
                <c:pt idx="12">
                  <c:v>Безопасность</c:v>
                </c:pt>
                <c:pt idx="13">
                  <c:v>Работа УБУ</c:v>
                </c:pt>
                <c:pt idx="14">
                  <c:v>Стипендии</c:v>
                </c:pt>
                <c:pt idx="15">
                  <c:v>Информ. в сети Интернет </c:v>
                </c:pt>
                <c:pt idx="16">
                  <c:v>Библиотека</c:v>
                </c:pt>
                <c:pt idx="17">
                  <c:v>Здания</c:v>
                </c:pt>
                <c:pt idx="18">
                  <c:v>Справки</c:v>
                </c:pt>
                <c:pt idx="19">
                  <c:v>Общежитие</c:v>
                </c:pt>
                <c:pt idx="20">
                  <c:v>Учебный процесс</c:v>
                </c:pt>
              </c:strCache>
            </c:strRef>
          </c:cat>
          <c:val>
            <c:numRef>
              <c:f>Д6!$B$7:$B$27</c:f>
              <c:numCache>
                <c:formatCode>0%</c:formatCode>
                <c:ptCount val="21"/>
                <c:pt idx="0">
                  <c:v>3.0000000000000002E-2</c:v>
                </c:pt>
                <c:pt idx="1">
                  <c:v>6.0000000000000032E-2</c:v>
                </c:pt>
                <c:pt idx="2">
                  <c:v>1.0000000000000005E-2</c:v>
                </c:pt>
                <c:pt idx="3">
                  <c:v>4.0000000000000022E-2</c:v>
                </c:pt>
                <c:pt idx="4">
                  <c:v>1.0000000000000005E-2</c:v>
                </c:pt>
                <c:pt idx="5">
                  <c:v>1.0000000000000005E-2</c:v>
                </c:pt>
                <c:pt idx="6">
                  <c:v>1.0000000000000005E-2</c:v>
                </c:pt>
                <c:pt idx="7">
                  <c:v>3.0000000000000002E-2</c:v>
                </c:pt>
                <c:pt idx="8">
                  <c:v>5.0000000000000114E-3</c:v>
                </c:pt>
                <c:pt idx="9">
                  <c:v>1.0000000000000005E-2</c:v>
                </c:pt>
                <c:pt idx="10">
                  <c:v>1.0000000000000005E-2</c:v>
                </c:pt>
                <c:pt idx="11" formatCode="0.0%">
                  <c:v>1.0000000000000033E-3</c:v>
                </c:pt>
                <c:pt idx="12">
                  <c:v>3.0000000000000002E-2</c:v>
                </c:pt>
                <c:pt idx="13">
                  <c:v>1.0000000000000005E-2</c:v>
                </c:pt>
                <c:pt idx="14">
                  <c:v>3.0000000000000002E-2</c:v>
                </c:pt>
                <c:pt idx="15">
                  <c:v>1.0000000000000005E-2</c:v>
                </c:pt>
                <c:pt idx="16">
                  <c:v>1.0000000000000005E-2</c:v>
                </c:pt>
                <c:pt idx="17">
                  <c:v>0.05</c:v>
                </c:pt>
                <c:pt idx="18">
                  <c:v>1.0000000000000005E-2</c:v>
                </c:pt>
                <c:pt idx="19">
                  <c:v>0.1</c:v>
                </c:pt>
                <c:pt idx="20">
                  <c:v>0.52</c:v>
                </c:pt>
              </c:numCache>
            </c:numRef>
          </c:val>
        </c:ser>
        <c:dLbls>
          <c:showLegendKey val="0"/>
          <c:showVal val="1"/>
          <c:showCatName val="0"/>
          <c:showSerName val="0"/>
          <c:showPercent val="0"/>
          <c:showBubbleSize val="0"/>
        </c:dLbls>
        <c:gapWidth val="150"/>
        <c:shape val="box"/>
        <c:axId val="439732480"/>
        <c:axId val="439735424"/>
        <c:axId val="0"/>
      </c:bar3DChart>
      <c:catAx>
        <c:axId val="439732480"/>
        <c:scaling>
          <c:orientation val="minMax"/>
        </c:scaling>
        <c:delete val="0"/>
        <c:axPos val="l"/>
        <c:numFmt formatCode="General" sourceLinked="0"/>
        <c:majorTickMark val="none"/>
        <c:minorTickMark val="none"/>
        <c:tickLblPos val="nextTo"/>
        <c:crossAx val="439735424"/>
        <c:crosses val="autoZero"/>
        <c:auto val="1"/>
        <c:lblAlgn val="ctr"/>
        <c:lblOffset val="100"/>
        <c:noMultiLvlLbl val="0"/>
      </c:catAx>
      <c:valAx>
        <c:axId val="439735424"/>
        <c:scaling>
          <c:orientation val="minMax"/>
        </c:scaling>
        <c:delete val="1"/>
        <c:axPos val="b"/>
        <c:numFmt formatCode="0%" sourceLinked="1"/>
        <c:majorTickMark val="out"/>
        <c:minorTickMark val="none"/>
        <c:tickLblPos val="none"/>
        <c:crossAx val="439732480"/>
        <c:crosses val="autoZero"/>
        <c:crossBetween val="between"/>
      </c:valAx>
    </c:plotArea>
    <c:legend>
      <c:legendPos val="t"/>
      <c:overlay val="0"/>
    </c:legend>
    <c:plotVisOnly val="1"/>
    <c:dispBlanksAs val="gap"/>
    <c:showDLblsOverMax val="0"/>
  </c:chart>
  <c:externalData r:id="rId1">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latin typeface="Times New Roman" pitchFamily="18" charset="0"/>
                <a:cs typeface="Times New Roman" pitchFamily="18" charset="0"/>
              </a:rPr>
              <a:t>Распределение</a:t>
            </a:r>
            <a:r>
              <a:rPr lang="ru-RU" sz="1200" baseline="0">
                <a:latin typeface="Times New Roman" pitchFamily="18" charset="0"/>
                <a:cs typeface="Times New Roman" pitchFamily="18" charset="0"/>
              </a:rPr>
              <a:t> неодобрительных обращений , связанных с учебным процессом (УП) и иными проблемами (ИП) (от количества неодобрительных обращений подразделений)</a:t>
            </a:r>
            <a:r>
              <a:rPr lang="ru-RU" sz="1200">
                <a:latin typeface="Times New Roman" pitchFamily="18" charset="0"/>
                <a:cs typeface="Times New Roman" pitchFamily="18" charset="0"/>
              </a:rPr>
              <a:t> </a:t>
            </a:r>
          </a:p>
        </c:rich>
      </c:tx>
      <c:overlay val="0"/>
    </c:title>
    <c:autoTitleDeleted val="0"/>
    <c:plotArea>
      <c:layout>
        <c:manualLayout>
          <c:layoutTarget val="inner"/>
          <c:xMode val="edge"/>
          <c:yMode val="edge"/>
          <c:x val="0.20586239834774842"/>
          <c:y val="9.2311931724369481E-2"/>
          <c:w val="0.65973736069876565"/>
          <c:h val="0.87640277611719464"/>
        </c:manualLayout>
      </c:layout>
      <c:barChart>
        <c:barDir val="bar"/>
        <c:grouping val="clustered"/>
        <c:varyColors val="0"/>
        <c:ser>
          <c:idx val="0"/>
          <c:order val="0"/>
          <c:tx>
            <c:strRef>
              <c:f>Д7!$C$1</c:f>
              <c:strCache>
                <c:ptCount val="1"/>
                <c:pt idx="0">
                  <c:v>кол</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Д7!$A$2:$B$61</c:f>
              <c:multiLvlStrCache>
                <c:ptCount val="60"/>
                <c:lvl>
                  <c:pt idx="0">
                    <c:v>ИП</c:v>
                  </c:pt>
                  <c:pt idx="1">
                    <c:v>УП</c:v>
                  </c:pt>
                  <c:pt idx="2">
                    <c:v>УП</c:v>
                  </c:pt>
                  <c:pt idx="3">
                    <c:v>ИП</c:v>
                  </c:pt>
                  <c:pt idx="4">
                    <c:v>УП</c:v>
                  </c:pt>
                  <c:pt idx="5">
                    <c:v>ИП</c:v>
                  </c:pt>
                  <c:pt idx="6">
                    <c:v>УП</c:v>
                  </c:pt>
                  <c:pt idx="7">
                    <c:v>ИП</c:v>
                  </c:pt>
                  <c:pt idx="8">
                    <c:v>ИП</c:v>
                  </c:pt>
                  <c:pt idx="9">
                    <c:v>УП</c:v>
                  </c:pt>
                  <c:pt idx="10">
                    <c:v>ИП</c:v>
                  </c:pt>
                  <c:pt idx="11">
                    <c:v>УП</c:v>
                  </c:pt>
                  <c:pt idx="12">
                    <c:v>ИП</c:v>
                  </c:pt>
                  <c:pt idx="13">
                    <c:v>УП</c:v>
                  </c:pt>
                  <c:pt idx="14">
                    <c:v>ИП</c:v>
                  </c:pt>
                  <c:pt idx="15">
                    <c:v>УП</c:v>
                  </c:pt>
                  <c:pt idx="16">
                    <c:v>УП</c:v>
                  </c:pt>
                  <c:pt idx="17">
                    <c:v>ИП</c:v>
                  </c:pt>
                  <c:pt idx="18">
                    <c:v>ИП</c:v>
                  </c:pt>
                  <c:pt idx="19">
                    <c:v>УП</c:v>
                  </c:pt>
                  <c:pt idx="20">
                    <c:v>ИП</c:v>
                  </c:pt>
                  <c:pt idx="21">
                    <c:v>УП</c:v>
                  </c:pt>
                  <c:pt idx="22">
                    <c:v>ИП</c:v>
                  </c:pt>
                  <c:pt idx="23">
                    <c:v>УП</c:v>
                  </c:pt>
                  <c:pt idx="24">
                    <c:v>УП</c:v>
                  </c:pt>
                  <c:pt idx="25">
                    <c:v>ИП</c:v>
                  </c:pt>
                  <c:pt idx="26">
                    <c:v>ИП</c:v>
                  </c:pt>
                  <c:pt idx="27">
                    <c:v>УП</c:v>
                  </c:pt>
                  <c:pt idx="28">
                    <c:v>ИП</c:v>
                  </c:pt>
                  <c:pt idx="29">
                    <c:v>УП</c:v>
                  </c:pt>
                  <c:pt idx="30">
                    <c:v>ИП</c:v>
                  </c:pt>
                  <c:pt idx="31">
                    <c:v>УП</c:v>
                  </c:pt>
                  <c:pt idx="32">
                    <c:v>ИП</c:v>
                  </c:pt>
                  <c:pt idx="33">
                    <c:v>УП</c:v>
                  </c:pt>
                  <c:pt idx="34">
                    <c:v>ИП</c:v>
                  </c:pt>
                  <c:pt idx="35">
                    <c:v>УП</c:v>
                  </c:pt>
                  <c:pt idx="36">
                    <c:v>ИП</c:v>
                  </c:pt>
                  <c:pt idx="37">
                    <c:v>УП</c:v>
                  </c:pt>
                  <c:pt idx="38">
                    <c:v>УП</c:v>
                  </c:pt>
                  <c:pt idx="39">
                    <c:v>ИП</c:v>
                  </c:pt>
                  <c:pt idx="40">
                    <c:v>ИП</c:v>
                  </c:pt>
                  <c:pt idx="41">
                    <c:v>УП</c:v>
                  </c:pt>
                  <c:pt idx="42">
                    <c:v>УП</c:v>
                  </c:pt>
                  <c:pt idx="43">
                    <c:v>ИП</c:v>
                  </c:pt>
                  <c:pt idx="44">
                    <c:v>ИП</c:v>
                  </c:pt>
                  <c:pt idx="45">
                    <c:v>ИП</c:v>
                  </c:pt>
                  <c:pt idx="46">
                    <c:v>УП</c:v>
                  </c:pt>
                  <c:pt idx="47">
                    <c:v>ИП</c:v>
                  </c:pt>
                  <c:pt idx="48">
                    <c:v>ИП</c:v>
                  </c:pt>
                  <c:pt idx="49">
                    <c:v>УП</c:v>
                  </c:pt>
                  <c:pt idx="50">
                    <c:v>ИП</c:v>
                  </c:pt>
                  <c:pt idx="51">
                    <c:v>УП</c:v>
                  </c:pt>
                  <c:pt idx="52">
                    <c:v>ИП</c:v>
                  </c:pt>
                  <c:pt idx="53">
                    <c:v>УП</c:v>
                  </c:pt>
                  <c:pt idx="54">
                    <c:v>ИП</c:v>
                  </c:pt>
                  <c:pt idx="55">
                    <c:v>УП</c:v>
                  </c:pt>
                  <c:pt idx="56">
                    <c:v>ИП</c:v>
                  </c:pt>
                  <c:pt idx="57">
                    <c:v>УП</c:v>
                  </c:pt>
                  <c:pt idx="58">
                    <c:v>ИП</c:v>
                  </c:pt>
                  <c:pt idx="59">
                    <c:v>УП</c:v>
                  </c:pt>
                </c:lvl>
                <c:lvl>
                  <c:pt idx="0">
                    <c:v>Другое </c:v>
                  </c:pt>
                  <c:pt idx="2">
                    <c:v>СПФ</c:v>
                  </c:pt>
                  <c:pt idx="4">
                    <c:v>ННФ</c:v>
                  </c:pt>
                  <c:pt idx="6">
                    <c:v>ФИТи ВТ(МИЭМ)</c:v>
                  </c:pt>
                  <c:pt idx="8">
                    <c:v>ФПМиК(МИЭМ)</c:v>
                  </c:pt>
                  <c:pt idx="10">
                    <c:v>ОПМиИ</c:v>
                  </c:pt>
                  <c:pt idx="12">
                    <c:v>ОИК</c:v>
                  </c:pt>
                  <c:pt idx="14">
                    <c:v>Дизайн</c:v>
                  </c:pt>
                  <c:pt idx="16">
                    <c:v>ФЭ и Т (МИЭМ)</c:v>
                  </c:pt>
                  <c:pt idx="18">
                    <c:v>Матем.</c:v>
                  </c:pt>
                  <c:pt idx="20">
                    <c:v>Филолог.</c:v>
                  </c:pt>
                  <c:pt idx="22">
                    <c:v>МИЭФ</c:v>
                  </c:pt>
                  <c:pt idx="24">
                    <c:v>Культ.</c:v>
                  </c:pt>
                  <c:pt idx="26">
                    <c:v>Овост</c:v>
                  </c:pt>
                  <c:pt idx="28">
                    <c:v>ОПИ</c:v>
                  </c:pt>
                  <c:pt idx="30">
                    <c:v>Соц</c:v>
                  </c:pt>
                  <c:pt idx="32">
                    <c:v>МЭиМП</c:v>
                  </c:pt>
                  <c:pt idx="34">
                    <c:v>Психол.</c:v>
                  </c:pt>
                  <c:pt idx="36">
                    <c:v>Медиа</c:v>
                  </c:pt>
                  <c:pt idx="38">
                    <c:v>Филос.</c:v>
                  </c:pt>
                  <c:pt idx="40">
                    <c:v>История</c:v>
                  </c:pt>
                  <c:pt idx="42">
                    <c:v>Флог</c:v>
                  </c:pt>
                  <c:pt idx="44">
                    <c:v>ИРО</c:v>
                  </c:pt>
                  <c:pt idx="45">
                    <c:v>Каф.ПП</c:v>
                  </c:pt>
                  <c:pt idx="46">
                    <c:v>Пр.Пол</c:v>
                  </c:pt>
                  <c:pt idx="48">
                    <c:v>Право</c:v>
                  </c:pt>
                  <c:pt idx="50">
                    <c:v>Мен-т</c:v>
                  </c:pt>
                  <c:pt idx="52">
                    <c:v>ГиМУ</c:v>
                  </c:pt>
                  <c:pt idx="54">
                    <c:v>БИ</c:v>
                  </c:pt>
                  <c:pt idx="56">
                    <c:v>ОСАДД</c:v>
                  </c:pt>
                  <c:pt idx="58">
                    <c:v>Экон</c:v>
                  </c:pt>
                </c:lvl>
              </c:multiLvlStrCache>
            </c:multiLvlStrRef>
          </c:cat>
          <c:val>
            <c:numRef>
              <c:f>Д7!$C$2:$C$61</c:f>
              <c:numCache>
                <c:formatCode>General</c:formatCode>
                <c:ptCount val="60"/>
                <c:pt idx="0">
                  <c:v>51</c:v>
                </c:pt>
                <c:pt idx="1">
                  <c:v>17</c:v>
                </c:pt>
                <c:pt idx="2">
                  <c:v>20</c:v>
                </c:pt>
                <c:pt idx="3">
                  <c:v>9</c:v>
                </c:pt>
                <c:pt idx="4">
                  <c:v>3</c:v>
                </c:pt>
                <c:pt idx="5">
                  <c:v>4</c:v>
                </c:pt>
                <c:pt idx="6">
                  <c:v>56</c:v>
                </c:pt>
                <c:pt idx="7">
                  <c:v>28</c:v>
                </c:pt>
                <c:pt idx="8">
                  <c:v>18</c:v>
                </c:pt>
                <c:pt idx="9">
                  <c:v>15</c:v>
                </c:pt>
                <c:pt idx="10">
                  <c:v>21</c:v>
                </c:pt>
                <c:pt idx="11">
                  <c:v>33</c:v>
                </c:pt>
                <c:pt idx="12">
                  <c:v>13</c:v>
                </c:pt>
                <c:pt idx="13">
                  <c:v>13</c:v>
                </c:pt>
                <c:pt idx="14">
                  <c:v>18</c:v>
                </c:pt>
                <c:pt idx="15">
                  <c:v>53</c:v>
                </c:pt>
                <c:pt idx="16">
                  <c:v>14</c:v>
                </c:pt>
                <c:pt idx="17">
                  <c:v>11</c:v>
                </c:pt>
                <c:pt idx="18">
                  <c:v>13</c:v>
                </c:pt>
                <c:pt idx="19">
                  <c:v>3</c:v>
                </c:pt>
                <c:pt idx="20">
                  <c:v>14</c:v>
                </c:pt>
                <c:pt idx="21">
                  <c:v>19</c:v>
                </c:pt>
                <c:pt idx="22">
                  <c:v>10</c:v>
                </c:pt>
                <c:pt idx="23">
                  <c:v>3</c:v>
                </c:pt>
                <c:pt idx="24">
                  <c:v>7</c:v>
                </c:pt>
                <c:pt idx="25">
                  <c:v>9</c:v>
                </c:pt>
                <c:pt idx="26">
                  <c:v>8</c:v>
                </c:pt>
                <c:pt idx="27">
                  <c:v>29</c:v>
                </c:pt>
                <c:pt idx="28">
                  <c:v>17</c:v>
                </c:pt>
                <c:pt idx="29">
                  <c:v>10</c:v>
                </c:pt>
                <c:pt idx="30">
                  <c:v>51</c:v>
                </c:pt>
                <c:pt idx="31">
                  <c:v>44</c:v>
                </c:pt>
                <c:pt idx="32">
                  <c:v>45</c:v>
                </c:pt>
                <c:pt idx="33">
                  <c:v>46</c:v>
                </c:pt>
                <c:pt idx="34">
                  <c:v>15</c:v>
                </c:pt>
                <c:pt idx="35">
                  <c:v>12</c:v>
                </c:pt>
                <c:pt idx="36">
                  <c:v>15</c:v>
                </c:pt>
                <c:pt idx="37">
                  <c:v>15</c:v>
                </c:pt>
                <c:pt idx="38">
                  <c:v>4</c:v>
                </c:pt>
                <c:pt idx="39">
                  <c:v>16</c:v>
                </c:pt>
                <c:pt idx="40">
                  <c:v>14</c:v>
                </c:pt>
                <c:pt idx="41">
                  <c:v>6</c:v>
                </c:pt>
                <c:pt idx="42">
                  <c:v>13</c:v>
                </c:pt>
                <c:pt idx="43">
                  <c:v>13</c:v>
                </c:pt>
                <c:pt idx="44">
                  <c:v>1</c:v>
                </c:pt>
                <c:pt idx="45">
                  <c:v>1</c:v>
                </c:pt>
                <c:pt idx="46">
                  <c:v>8</c:v>
                </c:pt>
                <c:pt idx="47">
                  <c:v>34</c:v>
                </c:pt>
                <c:pt idx="48">
                  <c:v>64</c:v>
                </c:pt>
                <c:pt idx="49">
                  <c:v>64</c:v>
                </c:pt>
                <c:pt idx="50">
                  <c:v>60</c:v>
                </c:pt>
                <c:pt idx="51">
                  <c:v>87</c:v>
                </c:pt>
                <c:pt idx="52">
                  <c:v>16</c:v>
                </c:pt>
                <c:pt idx="53">
                  <c:v>27</c:v>
                </c:pt>
                <c:pt idx="54">
                  <c:v>39</c:v>
                </c:pt>
                <c:pt idx="55">
                  <c:v>42</c:v>
                </c:pt>
                <c:pt idx="56">
                  <c:v>4</c:v>
                </c:pt>
                <c:pt idx="57">
                  <c:v>15</c:v>
                </c:pt>
                <c:pt idx="58">
                  <c:v>105</c:v>
                </c:pt>
                <c:pt idx="59">
                  <c:v>139</c:v>
                </c:pt>
              </c:numCache>
            </c:numRef>
          </c:val>
        </c:ser>
        <c:ser>
          <c:idx val="1"/>
          <c:order val="1"/>
          <c:tx>
            <c:strRef>
              <c:f>Д7!$D$1</c:f>
              <c:strCache>
                <c:ptCount val="1"/>
                <c:pt idx="0">
                  <c:v>%</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Д7!$A$2:$B$61</c:f>
              <c:multiLvlStrCache>
                <c:ptCount val="60"/>
                <c:lvl>
                  <c:pt idx="0">
                    <c:v>ИП</c:v>
                  </c:pt>
                  <c:pt idx="1">
                    <c:v>УП</c:v>
                  </c:pt>
                  <c:pt idx="2">
                    <c:v>УП</c:v>
                  </c:pt>
                  <c:pt idx="3">
                    <c:v>ИП</c:v>
                  </c:pt>
                  <c:pt idx="4">
                    <c:v>УП</c:v>
                  </c:pt>
                  <c:pt idx="5">
                    <c:v>ИП</c:v>
                  </c:pt>
                  <c:pt idx="6">
                    <c:v>УП</c:v>
                  </c:pt>
                  <c:pt idx="7">
                    <c:v>ИП</c:v>
                  </c:pt>
                  <c:pt idx="8">
                    <c:v>ИП</c:v>
                  </c:pt>
                  <c:pt idx="9">
                    <c:v>УП</c:v>
                  </c:pt>
                  <c:pt idx="10">
                    <c:v>ИП</c:v>
                  </c:pt>
                  <c:pt idx="11">
                    <c:v>УП</c:v>
                  </c:pt>
                  <c:pt idx="12">
                    <c:v>ИП</c:v>
                  </c:pt>
                  <c:pt idx="13">
                    <c:v>УП</c:v>
                  </c:pt>
                  <c:pt idx="14">
                    <c:v>ИП</c:v>
                  </c:pt>
                  <c:pt idx="15">
                    <c:v>УП</c:v>
                  </c:pt>
                  <c:pt idx="16">
                    <c:v>УП</c:v>
                  </c:pt>
                  <c:pt idx="17">
                    <c:v>ИП</c:v>
                  </c:pt>
                  <c:pt idx="18">
                    <c:v>ИП</c:v>
                  </c:pt>
                  <c:pt idx="19">
                    <c:v>УП</c:v>
                  </c:pt>
                  <c:pt idx="20">
                    <c:v>ИП</c:v>
                  </c:pt>
                  <c:pt idx="21">
                    <c:v>УП</c:v>
                  </c:pt>
                  <c:pt idx="22">
                    <c:v>ИП</c:v>
                  </c:pt>
                  <c:pt idx="23">
                    <c:v>УП</c:v>
                  </c:pt>
                  <c:pt idx="24">
                    <c:v>УП</c:v>
                  </c:pt>
                  <c:pt idx="25">
                    <c:v>ИП</c:v>
                  </c:pt>
                  <c:pt idx="26">
                    <c:v>ИП</c:v>
                  </c:pt>
                  <c:pt idx="27">
                    <c:v>УП</c:v>
                  </c:pt>
                  <c:pt idx="28">
                    <c:v>ИП</c:v>
                  </c:pt>
                  <c:pt idx="29">
                    <c:v>УП</c:v>
                  </c:pt>
                  <c:pt idx="30">
                    <c:v>ИП</c:v>
                  </c:pt>
                  <c:pt idx="31">
                    <c:v>УП</c:v>
                  </c:pt>
                  <c:pt idx="32">
                    <c:v>ИП</c:v>
                  </c:pt>
                  <c:pt idx="33">
                    <c:v>УП</c:v>
                  </c:pt>
                  <c:pt idx="34">
                    <c:v>ИП</c:v>
                  </c:pt>
                  <c:pt idx="35">
                    <c:v>УП</c:v>
                  </c:pt>
                  <c:pt idx="36">
                    <c:v>ИП</c:v>
                  </c:pt>
                  <c:pt idx="37">
                    <c:v>УП</c:v>
                  </c:pt>
                  <c:pt idx="38">
                    <c:v>УП</c:v>
                  </c:pt>
                  <c:pt idx="39">
                    <c:v>ИП</c:v>
                  </c:pt>
                  <c:pt idx="40">
                    <c:v>ИП</c:v>
                  </c:pt>
                  <c:pt idx="41">
                    <c:v>УП</c:v>
                  </c:pt>
                  <c:pt idx="42">
                    <c:v>УП</c:v>
                  </c:pt>
                  <c:pt idx="43">
                    <c:v>ИП</c:v>
                  </c:pt>
                  <c:pt idx="44">
                    <c:v>ИП</c:v>
                  </c:pt>
                  <c:pt idx="45">
                    <c:v>ИП</c:v>
                  </c:pt>
                  <c:pt idx="46">
                    <c:v>УП</c:v>
                  </c:pt>
                  <c:pt idx="47">
                    <c:v>ИП</c:v>
                  </c:pt>
                  <c:pt idx="48">
                    <c:v>ИП</c:v>
                  </c:pt>
                  <c:pt idx="49">
                    <c:v>УП</c:v>
                  </c:pt>
                  <c:pt idx="50">
                    <c:v>ИП</c:v>
                  </c:pt>
                  <c:pt idx="51">
                    <c:v>УП</c:v>
                  </c:pt>
                  <c:pt idx="52">
                    <c:v>ИП</c:v>
                  </c:pt>
                  <c:pt idx="53">
                    <c:v>УП</c:v>
                  </c:pt>
                  <c:pt idx="54">
                    <c:v>ИП</c:v>
                  </c:pt>
                  <c:pt idx="55">
                    <c:v>УП</c:v>
                  </c:pt>
                  <c:pt idx="56">
                    <c:v>ИП</c:v>
                  </c:pt>
                  <c:pt idx="57">
                    <c:v>УП</c:v>
                  </c:pt>
                  <c:pt idx="58">
                    <c:v>ИП</c:v>
                  </c:pt>
                  <c:pt idx="59">
                    <c:v>УП</c:v>
                  </c:pt>
                </c:lvl>
                <c:lvl>
                  <c:pt idx="0">
                    <c:v>Другое </c:v>
                  </c:pt>
                  <c:pt idx="2">
                    <c:v>СПФ</c:v>
                  </c:pt>
                  <c:pt idx="4">
                    <c:v>ННФ</c:v>
                  </c:pt>
                  <c:pt idx="6">
                    <c:v>ФИТи ВТ(МИЭМ)</c:v>
                  </c:pt>
                  <c:pt idx="8">
                    <c:v>ФПМиК(МИЭМ)</c:v>
                  </c:pt>
                  <c:pt idx="10">
                    <c:v>ОПМиИ</c:v>
                  </c:pt>
                  <c:pt idx="12">
                    <c:v>ОИК</c:v>
                  </c:pt>
                  <c:pt idx="14">
                    <c:v>Дизайн</c:v>
                  </c:pt>
                  <c:pt idx="16">
                    <c:v>ФЭ и Т (МИЭМ)</c:v>
                  </c:pt>
                  <c:pt idx="18">
                    <c:v>Матем.</c:v>
                  </c:pt>
                  <c:pt idx="20">
                    <c:v>Филолог.</c:v>
                  </c:pt>
                  <c:pt idx="22">
                    <c:v>МИЭФ</c:v>
                  </c:pt>
                  <c:pt idx="24">
                    <c:v>Культ.</c:v>
                  </c:pt>
                  <c:pt idx="26">
                    <c:v>Овост</c:v>
                  </c:pt>
                  <c:pt idx="28">
                    <c:v>ОПИ</c:v>
                  </c:pt>
                  <c:pt idx="30">
                    <c:v>Соц</c:v>
                  </c:pt>
                  <c:pt idx="32">
                    <c:v>МЭиМП</c:v>
                  </c:pt>
                  <c:pt idx="34">
                    <c:v>Психол.</c:v>
                  </c:pt>
                  <c:pt idx="36">
                    <c:v>Медиа</c:v>
                  </c:pt>
                  <c:pt idx="38">
                    <c:v>Филос.</c:v>
                  </c:pt>
                  <c:pt idx="40">
                    <c:v>История</c:v>
                  </c:pt>
                  <c:pt idx="42">
                    <c:v>Флог</c:v>
                  </c:pt>
                  <c:pt idx="44">
                    <c:v>ИРО</c:v>
                  </c:pt>
                  <c:pt idx="45">
                    <c:v>Каф.ПП</c:v>
                  </c:pt>
                  <c:pt idx="46">
                    <c:v>Пр.Пол</c:v>
                  </c:pt>
                  <c:pt idx="48">
                    <c:v>Право</c:v>
                  </c:pt>
                  <c:pt idx="50">
                    <c:v>Мен-т</c:v>
                  </c:pt>
                  <c:pt idx="52">
                    <c:v>ГиМУ</c:v>
                  </c:pt>
                  <c:pt idx="54">
                    <c:v>БИ</c:v>
                  </c:pt>
                  <c:pt idx="56">
                    <c:v>ОСАДД</c:v>
                  </c:pt>
                  <c:pt idx="58">
                    <c:v>Экон</c:v>
                  </c:pt>
                </c:lvl>
              </c:multiLvlStrCache>
            </c:multiLvlStrRef>
          </c:cat>
          <c:val>
            <c:numRef>
              <c:f>Д7!$D$2:$D$61</c:f>
              <c:numCache>
                <c:formatCode>0%</c:formatCode>
                <c:ptCount val="60"/>
                <c:pt idx="0">
                  <c:v>0.75000000000000255</c:v>
                </c:pt>
                <c:pt idx="1">
                  <c:v>0.25</c:v>
                </c:pt>
                <c:pt idx="2">
                  <c:v>0.69000000000000095</c:v>
                </c:pt>
                <c:pt idx="3">
                  <c:v>0.31000000000000077</c:v>
                </c:pt>
                <c:pt idx="4">
                  <c:v>0.43000000000000038</c:v>
                </c:pt>
                <c:pt idx="5">
                  <c:v>0.56999999999999995</c:v>
                </c:pt>
                <c:pt idx="6">
                  <c:v>0.67000000000000304</c:v>
                </c:pt>
                <c:pt idx="7">
                  <c:v>0.33000000000000101</c:v>
                </c:pt>
                <c:pt idx="8">
                  <c:v>0.55000000000000004</c:v>
                </c:pt>
                <c:pt idx="9">
                  <c:v>0.45</c:v>
                </c:pt>
                <c:pt idx="10">
                  <c:v>0.3900000000000009</c:v>
                </c:pt>
                <c:pt idx="11">
                  <c:v>0.61000000000000165</c:v>
                </c:pt>
                <c:pt idx="12">
                  <c:v>0.5</c:v>
                </c:pt>
                <c:pt idx="13">
                  <c:v>0.5</c:v>
                </c:pt>
                <c:pt idx="14">
                  <c:v>0.25</c:v>
                </c:pt>
                <c:pt idx="15">
                  <c:v>0.75000000000000255</c:v>
                </c:pt>
                <c:pt idx="16">
                  <c:v>0.56000000000000005</c:v>
                </c:pt>
                <c:pt idx="17">
                  <c:v>0.44</c:v>
                </c:pt>
                <c:pt idx="18">
                  <c:v>0.81</c:v>
                </c:pt>
                <c:pt idx="19">
                  <c:v>0.19</c:v>
                </c:pt>
                <c:pt idx="20">
                  <c:v>0.42000000000000032</c:v>
                </c:pt>
                <c:pt idx="21">
                  <c:v>0.58000000000000007</c:v>
                </c:pt>
                <c:pt idx="22">
                  <c:v>0.77000000000000279</c:v>
                </c:pt>
                <c:pt idx="23">
                  <c:v>0.23</c:v>
                </c:pt>
                <c:pt idx="24">
                  <c:v>0.44</c:v>
                </c:pt>
                <c:pt idx="25">
                  <c:v>0.56000000000000005</c:v>
                </c:pt>
                <c:pt idx="26">
                  <c:v>0.22</c:v>
                </c:pt>
                <c:pt idx="27">
                  <c:v>0.78</c:v>
                </c:pt>
                <c:pt idx="28">
                  <c:v>0.63000000000000278</c:v>
                </c:pt>
                <c:pt idx="29">
                  <c:v>0.37000000000000038</c:v>
                </c:pt>
                <c:pt idx="30">
                  <c:v>0.54</c:v>
                </c:pt>
                <c:pt idx="31">
                  <c:v>0.46</c:v>
                </c:pt>
                <c:pt idx="32">
                  <c:v>0.49000000000000032</c:v>
                </c:pt>
                <c:pt idx="33">
                  <c:v>0.51</c:v>
                </c:pt>
                <c:pt idx="34">
                  <c:v>0.55000000000000004</c:v>
                </c:pt>
                <c:pt idx="35">
                  <c:v>0.45</c:v>
                </c:pt>
                <c:pt idx="36">
                  <c:v>0.5</c:v>
                </c:pt>
                <c:pt idx="37">
                  <c:v>0.5</c:v>
                </c:pt>
                <c:pt idx="38">
                  <c:v>0.2</c:v>
                </c:pt>
                <c:pt idx="39">
                  <c:v>0.8</c:v>
                </c:pt>
                <c:pt idx="40">
                  <c:v>0.70000000000000095</c:v>
                </c:pt>
                <c:pt idx="41">
                  <c:v>0.30000000000000032</c:v>
                </c:pt>
                <c:pt idx="42">
                  <c:v>0.5</c:v>
                </c:pt>
                <c:pt idx="43">
                  <c:v>0.5</c:v>
                </c:pt>
                <c:pt idx="44">
                  <c:v>1</c:v>
                </c:pt>
                <c:pt idx="45">
                  <c:v>1</c:v>
                </c:pt>
                <c:pt idx="46">
                  <c:v>0.19</c:v>
                </c:pt>
                <c:pt idx="47">
                  <c:v>0.81</c:v>
                </c:pt>
                <c:pt idx="48">
                  <c:v>0.5</c:v>
                </c:pt>
                <c:pt idx="49">
                  <c:v>0.5</c:v>
                </c:pt>
                <c:pt idx="50">
                  <c:v>0.41000000000000031</c:v>
                </c:pt>
                <c:pt idx="51">
                  <c:v>0.59</c:v>
                </c:pt>
                <c:pt idx="52">
                  <c:v>0.37000000000000038</c:v>
                </c:pt>
                <c:pt idx="53">
                  <c:v>0.63000000000000278</c:v>
                </c:pt>
                <c:pt idx="54">
                  <c:v>0.48000000000000032</c:v>
                </c:pt>
                <c:pt idx="55">
                  <c:v>0.52</c:v>
                </c:pt>
                <c:pt idx="56">
                  <c:v>0.21000000000000021</c:v>
                </c:pt>
                <c:pt idx="57">
                  <c:v>0.79</c:v>
                </c:pt>
                <c:pt idx="58">
                  <c:v>0.43000000000000038</c:v>
                </c:pt>
                <c:pt idx="59">
                  <c:v>0.56999999999999995</c:v>
                </c:pt>
              </c:numCache>
            </c:numRef>
          </c:val>
        </c:ser>
        <c:dLbls>
          <c:showLegendKey val="0"/>
          <c:showVal val="1"/>
          <c:showCatName val="0"/>
          <c:showSerName val="0"/>
          <c:showPercent val="0"/>
          <c:showBubbleSize val="0"/>
        </c:dLbls>
        <c:gapWidth val="150"/>
        <c:axId val="447437056"/>
        <c:axId val="447451136"/>
      </c:barChart>
      <c:catAx>
        <c:axId val="447437056"/>
        <c:scaling>
          <c:orientation val="minMax"/>
        </c:scaling>
        <c:delete val="0"/>
        <c:axPos val="l"/>
        <c:numFmt formatCode="General" sourceLinked="0"/>
        <c:majorTickMark val="out"/>
        <c:minorTickMark val="none"/>
        <c:tickLblPos val="nextTo"/>
        <c:crossAx val="447451136"/>
        <c:crosses val="autoZero"/>
        <c:auto val="1"/>
        <c:lblAlgn val="ctr"/>
        <c:lblOffset val="100"/>
        <c:noMultiLvlLbl val="0"/>
      </c:catAx>
      <c:valAx>
        <c:axId val="447451136"/>
        <c:scaling>
          <c:orientation val="minMax"/>
        </c:scaling>
        <c:delete val="1"/>
        <c:axPos val="b"/>
        <c:numFmt formatCode="General" sourceLinked="1"/>
        <c:majorTickMark val="out"/>
        <c:minorTickMark val="none"/>
        <c:tickLblPos val="none"/>
        <c:crossAx val="447437056"/>
        <c:crosses val="autoZero"/>
        <c:crossBetween val="between"/>
      </c:valAx>
    </c:plotArea>
    <c:legend>
      <c:legendPos val="r"/>
      <c:layout>
        <c:manualLayout>
          <c:xMode val="edge"/>
          <c:yMode val="edge"/>
          <c:x val="0.78653878920872444"/>
          <c:y val="0.49591553225044438"/>
          <c:w val="8.8871046856847796E-2"/>
          <c:h val="6.3410934804516386E-2"/>
        </c:manualLayout>
      </c:layout>
      <c:overlay val="0"/>
      <c:txPr>
        <a:bodyPr/>
        <a:lstStyle/>
        <a:p>
          <a:pPr>
            <a:defRPr sz="1200"/>
          </a:pPr>
          <a:endParaRPr lang="ru-RU"/>
        </a:p>
      </c:txPr>
    </c:legend>
    <c:plotVisOnly val="1"/>
    <c:dispBlanksAs val="gap"/>
    <c:showDLblsOverMax val="0"/>
  </c:chart>
  <c:externalData r:id="rId1">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Основные</a:t>
            </a:r>
            <a:r>
              <a:rPr lang="ru-RU" sz="1200" baseline="0"/>
              <a:t> проблемы учебного процесса (в %)</a:t>
            </a:r>
            <a:endParaRPr lang="ru-RU" sz="1200"/>
          </a:p>
        </c:rich>
      </c:tx>
      <c:layout>
        <c:manualLayout>
          <c:xMode val="edge"/>
          <c:yMode val="edge"/>
          <c:x val="0.28030506432597702"/>
          <c:y val="3.2258057688160029E-2"/>
        </c:manualLayout>
      </c:layout>
      <c:overlay val="0"/>
      <c:spPr>
        <a:ln w="3175">
          <a:solidFill>
            <a:sysClr val="windowText" lastClr="000000">
              <a:alpha val="99000"/>
            </a:sysClr>
          </a:solidFill>
          <a:prstDash val="solid"/>
        </a:ln>
      </c:spPr>
    </c:title>
    <c:autoTitleDeleted val="0"/>
    <c:plotArea>
      <c:layout/>
      <c:pieChart>
        <c:varyColors val="1"/>
        <c:ser>
          <c:idx val="0"/>
          <c:order val="0"/>
          <c:explosion val="28"/>
          <c:dLbls>
            <c:dLbl>
              <c:idx val="0"/>
              <c:layout>
                <c:manualLayout>
                  <c:x val="-0.11853706811238685"/>
                  <c:y val="0.13786996489078701"/>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050" b="1"/>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Д8!$A$4:$A$23</c:f>
              <c:strCache>
                <c:ptCount val="20"/>
                <c:pt idx="0">
                  <c:v>Качество ППС</c:v>
                </c:pt>
                <c:pt idx="1">
                  <c:v>Содержание УД</c:v>
                </c:pt>
                <c:pt idx="2">
                  <c:v>Неудобное расписание </c:v>
                </c:pt>
                <c:pt idx="3">
                  <c:v>Неудобное расписание зэн </c:v>
                </c:pt>
                <c:pt idx="4">
                  <c:v>Обеспечение УП</c:v>
                </c:pt>
                <c:pt idx="5">
                  <c:v>Организация контроля знаний</c:v>
                </c:pt>
                <c:pt idx="6">
                  <c:v>Организация УП</c:v>
                </c:pt>
                <c:pt idx="7">
                  <c:v>Защита ВКР</c:v>
                </c:pt>
                <c:pt idx="8">
                  <c:v>ЕПД</c:v>
                </c:pt>
                <c:pt idx="9">
                  <c:v>LMS</c:v>
                </c:pt>
                <c:pt idx="10">
                  <c:v>Система оценивания</c:v>
                </c:pt>
                <c:pt idx="11">
                  <c:v>Рейтинг студентов</c:v>
                </c:pt>
                <c:pt idx="12">
                  <c:v>Работа УЧ</c:v>
                </c:pt>
                <c:pt idx="13">
                  <c:v>Англ.яз (ППС)</c:v>
                </c:pt>
                <c:pt idx="14">
                  <c:v>IELTS</c:v>
                </c:pt>
                <c:pt idx="15">
                  <c:v>Антиплагиат</c:v>
                </c:pt>
                <c:pt idx="16">
                  <c:v>Дисциплина по выбору</c:v>
                </c:pt>
                <c:pt idx="17">
                  <c:v>Академ. справка</c:v>
                </c:pt>
                <c:pt idx="18">
                  <c:v>Пересдачи</c:v>
                </c:pt>
                <c:pt idx="19">
                  <c:v>График УП</c:v>
                </c:pt>
              </c:strCache>
            </c:strRef>
          </c:cat>
          <c:val>
            <c:numRef>
              <c:f>Д8!$B$4:$B$23</c:f>
              <c:numCache>
                <c:formatCode>0%</c:formatCode>
                <c:ptCount val="20"/>
                <c:pt idx="0">
                  <c:v>0.15000000000000024</c:v>
                </c:pt>
                <c:pt idx="1">
                  <c:v>1.0000000000000005E-2</c:v>
                </c:pt>
                <c:pt idx="2">
                  <c:v>4.0000000000000022E-2</c:v>
                </c:pt>
                <c:pt idx="3">
                  <c:v>2.0000000000000011E-2</c:v>
                </c:pt>
                <c:pt idx="4">
                  <c:v>2.0000000000000011E-2</c:v>
                </c:pt>
                <c:pt idx="5">
                  <c:v>6.0000000000000032E-2</c:v>
                </c:pt>
                <c:pt idx="6">
                  <c:v>1.0000000000000005E-2</c:v>
                </c:pt>
                <c:pt idx="7">
                  <c:v>4.0000000000000022E-2</c:v>
                </c:pt>
                <c:pt idx="8">
                  <c:v>1.0000000000000005E-2</c:v>
                </c:pt>
                <c:pt idx="9">
                  <c:v>3.0000000000000002E-2</c:v>
                </c:pt>
                <c:pt idx="10">
                  <c:v>2.0000000000000011E-2</c:v>
                </c:pt>
                <c:pt idx="11">
                  <c:v>2.0000000000000011E-2</c:v>
                </c:pt>
                <c:pt idx="12">
                  <c:v>3.0000000000000002E-2</c:v>
                </c:pt>
                <c:pt idx="13">
                  <c:v>1.0000000000000005E-2</c:v>
                </c:pt>
                <c:pt idx="14">
                  <c:v>2.0000000000000011E-2</c:v>
                </c:pt>
                <c:pt idx="15">
                  <c:v>2.0000000000000011E-2</c:v>
                </c:pt>
                <c:pt idx="16">
                  <c:v>1.0000000000000005E-2</c:v>
                </c:pt>
                <c:pt idx="17">
                  <c:v>3.0000000000000002E-2</c:v>
                </c:pt>
                <c:pt idx="18">
                  <c:v>2.0000000000000011E-2</c:v>
                </c:pt>
                <c:pt idx="19">
                  <c:v>1.0000000000000005E-2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297E-2"/>
          <c:y val="2.4216347956505593E-2"/>
          <c:w val="0.56038003062117503"/>
          <c:h val="0.72617422822147504"/>
        </c:manualLayout>
      </c:layout>
      <c:lineChart>
        <c:grouping val="standard"/>
        <c:varyColors val="0"/>
        <c:ser>
          <c:idx val="0"/>
          <c:order val="0"/>
          <c:tx>
            <c:strRef>
              <c:f>Лист1!$B$1</c:f>
              <c:strCache>
                <c:ptCount val="1"/>
                <c:pt idx="0">
                  <c:v>Фактический выбор</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1 курс БАК</c:v>
                </c:pt>
                <c:pt idx="1">
                  <c:v>2 курс БАК</c:v>
                </c:pt>
                <c:pt idx="2">
                  <c:v>3 курс БАК</c:v>
                </c:pt>
                <c:pt idx="3">
                  <c:v>4 курс БАК</c:v>
                </c:pt>
                <c:pt idx="5">
                  <c:v>2 курс СПЕЦ</c:v>
                </c:pt>
                <c:pt idx="6">
                  <c:v>3 курс СПЕЦ</c:v>
                </c:pt>
                <c:pt idx="7">
                  <c:v>4 курс СПЕЦ</c:v>
                </c:pt>
                <c:pt idx="8">
                  <c:v>5 курс СПЕЦ</c:v>
                </c:pt>
                <c:pt idx="10">
                  <c:v>1 курс МАГ</c:v>
                </c:pt>
                <c:pt idx="11">
                  <c:v>2 курс МАГ</c:v>
                </c:pt>
              </c:strCache>
            </c:strRef>
          </c:cat>
          <c:val>
            <c:numRef>
              <c:f>Лист1!$B$2:$B$13</c:f>
              <c:numCache>
                <c:formatCode>General</c:formatCode>
                <c:ptCount val="12"/>
                <c:pt idx="0">
                  <c:v>1.7</c:v>
                </c:pt>
                <c:pt idx="1">
                  <c:v>1.62</c:v>
                </c:pt>
                <c:pt idx="2">
                  <c:v>3.2</c:v>
                </c:pt>
                <c:pt idx="3">
                  <c:v>2.8</c:v>
                </c:pt>
                <c:pt idx="5">
                  <c:v>1</c:v>
                </c:pt>
                <c:pt idx="6">
                  <c:v>0.5</c:v>
                </c:pt>
                <c:pt idx="7">
                  <c:v>4</c:v>
                </c:pt>
                <c:pt idx="8">
                  <c:v>3</c:v>
                </c:pt>
                <c:pt idx="10">
                  <c:v>3.8499999999999988</c:v>
                </c:pt>
                <c:pt idx="11">
                  <c:v>3.65</c:v>
                </c:pt>
              </c:numCache>
            </c:numRef>
          </c:val>
          <c:smooth val="0"/>
        </c:ser>
        <c:ser>
          <c:idx val="1"/>
          <c:order val="1"/>
          <c:tx>
            <c:strRef>
              <c:f>Лист1!$C$1</c:f>
              <c:strCache>
                <c:ptCount val="1"/>
                <c:pt idx="0">
                  <c:v>Предлагаемые дисциплины для выбора</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1 курс БАК</c:v>
                </c:pt>
                <c:pt idx="1">
                  <c:v>2 курс БАК</c:v>
                </c:pt>
                <c:pt idx="2">
                  <c:v>3 курс БАК</c:v>
                </c:pt>
                <c:pt idx="3">
                  <c:v>4 курс БАК</c:v>
                </c:pt>
                <c:pt idx="5">
                  <c:v>2 курс СПЕЦ</c:v>
                </c:pt>
                <c:pt idx="6">
                  <c:v>3 курс СПЕЦ</c:v>
                </c:pt>
                <c:pt idx="7">
                  <c:v>4 курс СПЕЦ</c:v>
                </c:pt>
                <c:pt idx="8">
                  <c:v>5 курс СПЕЦ</c:v>
                </c:pt>
                <c:pt idx="10">
                  <c:v>1 курс МАГ</c:v>
                </c:pt>
                <c:pt idx="11">
                  <c:v>2 курс МАГ</c:v>
                </c:pt>
              </c:strCache>
            </c:strRef>
          </c:cat>
          <c:val>
            <c:numRef>
              <c:f>Лист1!$C$2:$C$13</c:f>
              <c:numCache>
                <c:formatCode>General</c:formatCode>
                <c:ptCount val="12"/>
                <c:pt idx="0">
                  <c:v>7.4</c:v>
                </c:pt>
                <c:pt idx="1">
                  <c:v>4.5</c:v>
                </c:pt>
                <c:pt idx="2">
                  <c:v>11</c:v>
                </c:pt>
                <c:pt idx="3">
                  <c:v>9</c:v>
                </c:pt>
                <c:pt idx="5">
                  <c:v>3</c:v>
                </c:pt>
                <c:pt idx="6">
                  <c:v>1.5</c:v>
                </c:pt>
                <c:pt idx="7">
                  <c:v>15.75</c:v>
                </c:pt>
                <c:pt idx="8">
                  <c:v>7.7700000000000014</c:v>
                </c:pt>
                <c:pt idx="10">
                  <c:v>9.2000000000000011</c:v>
                </c:pt>
                <c:pt idx="11">
                  <c:v>7.2</c:v>
                </c:pt>
              </c:numCache>
            </c:numRef>
          </c:val>
          <c:smooth val="0"/>
        </c:ser>
        <c:ser>
          <c:idx val="2"/>
          <c:order val="2"/>
          <c:tx>
            <c:strRef>
              <c:f>Лист1!$D$1</c:f>
              <c:strCache>
                <c:ptCount val="1"/>
                <c:pt idx="0">
                  <c:v>Обязательные дисциплины</c:v>
                </c:pt>
              </c:strCache>
            </c:strRef>
          </c:tx>
          <c:cat>
            <c:strRef>
              <c:f>Лист1!$A$2:$A$13</c:f>
              <c:strCache>
                <c:ptCount val="12"/>
                <c:pt idx="0">
                  <c:v>1 курс БАК</c:v>
                </c:pt>
                <c:pt idx="1">
                  <c:v>2 курс БАК</c:v>
                </c:pt>
                <c:pt idx="2">
                  <c:v>3 курс БАК</c:v>
                </c:pt>
                <c:pt idx="3">
                  <c:v>4 курс БАК</c:v>
                </c:pt>
                <c:pt idx="5">
                  <c:v>2 курс СПЕЦ</c:v>
                </c:pt>
                <c:pt idx="6">
                  <c:v>3 курс СПЕЦ</c:v>
                </c:pt>
                <c:pt idx="7">
                  <c:v>4 курс СПЕЦ</c:v>
                </c:pt>
                <c:pt idx="8">
                  <c:v>5 курс СПЕЦ</c:v>
                </c:pt>
                <c:pt idx="10">
                  <c:v>1 курс МАГ</c:v>
                </c:pt>
                <c:pt idx="11">
                  <c:v>2 курс МАГ</c:v>
                </c:pt>
              </c:strCache>
            </c:strRef>
          </c:cat>
          <c:val>
            <c:numRef>
              <c:f>Лист1!$D$2:$D$13</c:f>
              <c:numCache>
                <c:formatCode>General</c:formatCode>
                <c:ptCount val="12"/>
                <c:pt idx="0">
                  <c:v>8.4</c:v>
                </c:pt>
                <c:pt idx="1">
                  <c:v>7.8</c:v>
                </c:pt>
                <c:pt idx="2">
                  <c:v>9.6</c:v>
                </c:pt>
                <c:pt idx="3">
                  <c:v>6.6</c:v>
                </c:pt>
                <c:pt idx="5">
                  <c:v>7</c:v>
                </c:pt>
                <c:pt idx="6">
                  <c:v>13</c:v>
                </c:pt>
                <c:pt idx="7">
                  <c:v>10.8</c:v>
                </c:pt>
                <c:pt idx="8">
                  <c:v>6.4</c:v>
                </c:pt>
                <c:pt idx="10">
                  <c:v>4.5</c:v>
                </c:pt>
                <c:pt idx="11">
                  <c:v>1.5</c:v>
                </c:pt>
              </c:numCache>
            </c:numRef>
          </c:val>
          <c:smooth val="0"/>
        </c:ser>
        <c:ser>
          <c:idx val="3"/>
          <c:order val="3"/>
          <c:tx>
            <c:strRef>
              <c:f>Лист1!$E$1</c:f>
              <c:strCache>
                <c:ptCount val="1"/>
                <c:pt idx="0">
                  <c:v>Факультативы</c:v>
                </c:pt>
              </c:strCache>
            </c:strRef>
          </c:tx>
          <c:cat>
            <c:strRef>
              <c:f>Лист1!$A$2:$A$13</c:f>
              <c:strCache>
                <c:ptCount val="12"/>
                <c:pt idx="0">
                  <c:v>1 курс БАК</c:v>
                </c:pt>
                <c:pt idx="1">
                  <c:v>2 курс БАК</c:v>
                </c:pt>
                <c:pt idx="2">
                  <c:v>3 курс БАК</c:v>
                </c:pt>
                <c:pt idx="3">
                  <c:v>4 курс БАК</c:v>
                </c:pt>
                <c:pt idx="5">
                  <c:v>2 курс СПЕЦ</c:v>
                </c:pt>
                <c:pt idx="6">
                  <c:v>3 курс СПЕЦ</c:v>
                </c:pt>
                <c:pt idx="7">
                  <c:v>4 курс СПЕЦ</c:v>
                </c:pt>
                <c:pt idx="8">
                  <c:v>5 курс СПЕЦ</c:v>
                </c:pt>
                <c:pt idx="10">
                  <c:v>1 курс МАГ</c:v>
                </c:pt>
                <c:pt idx="11">
                  <c:v>2 курс МАГ</c:v>
                </c:pt>
              </c:strCache>
            </c:strRef>
          </c:cat>
          <c:val>
            <c:numRef>
              <c:f>Лист1!$E$2:$E$13</c:f>
              <c:numCache>
                <c:formatCode>General</c:formatCode>
                <c:ptCount val="12"/>
                <c:pt idx="0">
                  <c:v>4.8</c:v>
                </c:pt>
                <c:pt idx="1">
                  <c:v>6.8</c:v>
                </c:pt>
                <c:pt idx="2">
                  <c:v>8.3000000000000007</c:v>
                </c:pt>
                <c:pt idx="3">
                  <c:v>5.6</c:v>
                </c:pt>
                <c:pt idx="5">
                  <c:v>2</c:v>
                </c:pt>
                <c:pt idx="6">
                  <c:v>3.2</c:v>
                </c:pt>
                <c:pt idx="7">
                  <c:v>4.5</c:v>
                </c:pt>
                <c:pt idx="8">
                  <c:v>3.8</c:v>
                </c:pt>
                <c:pt idx="10">
                  <c:v>0.9</c:v>
                </c:pt>
                <c:pt idx="11">
                  <c:v>0.9</c:v>
                </c:pt>
              </c:numCache>
            </c:numRef>
          </c:val>
          <c:smooth val="0"/>
        </c:ser>
        <c:ser>
          <c:idx val="4"/>
          <c:order val="4"/>
          <c:tx>
            <c:strRef>
              <c:f>Лист1!$F$1</c:f>
              <c:strCache>
                <c:ptCount val="1"/>
                <c:pt idx="0">
                  <c:v>Общее число дисциплин</c:v>
                </c:pt>
              </c:strCache>
            </c:strRef>
          </c:tx>
          <c:cat>
            <c:strRef>
              <c:f>Лист1!$A$2:$A$13</c:f>
              <c:strCache>
                <c:ptCount val="12"/>
                <c:pt idx="0">
                  <c:v>1 курс БАК</c:v>
                </c:pt>
                <c:pt idx="1">
                  <c:v>2 курс БАК</c:v>
                </c:pt>
                <c:pt idx="2">
                  <c:v>3 курс БАК</c:v>
                </c:pt>
                <c:pt idx="3">
                  <c:v>4 курс БАК</c:v>
                </c:pt>
                <c:pt idx="5">
                  <c:v>2 курс СПЕЦ</c:v>
                </c:pt>
                <c:pt idx="6">
                  <c:v>3 курс СПЕЦ</c:v>
                </c:pt>
                <c:pt idx="7">
                  <c:v>4 курс СПЕЦ</c:v>
                </c:pt>
                <c:pt idx="8">
                  <c:v>5 курс СПЕЦ</c:v>
                </c:pt>
                <c:pt idx="10">
                  <c:v>1 курс МАГ</c:v>
                </c:pt>
                <c:pt idx="11">
                  <c:v>2 курс МАГ</c:v>
                </c:pt>
              </c:strCache>
            </c:strRef>
          </c:cat>
          <c:val>
            <c:numRef>
              <c:f>Лист1!$F$2:$F$13</c:f>
              <c:numCache>
                <c:formatCode>General</c:formatCode>
                <c:ptCount val="12"/>
                <c:pt idx="0">
                  <c:v>10.1</c:v>
                </c:pt>
                <c:pt idx="1">
                  <c:v>9.42</c:v>
                </c:pt>
                <c:pt idx="2">
                  <c:v>12.8</c:v>
                </c:pt>
                <c:pt idx="3">
                  <c:v>9.4000000000000021</c:v>
                </c:pt>
                <c:pt idx="5">
                  <c:v>8</c:v>
                </c:pt>
                <c:pt idx="6">
                  <c:v>13.5</c:v>
                </c:pt>
                <c:pt idx="7">
                  <c:v>14.8</c:v>
                </c:pt>
                <c:pt idx="8">
                  <c:v>9.4</c:v>
                </c:pt>
                <c:pt idx="10">
                  <c:v>8.3500000000000068</c:v>
                </c:pt>
                <c:pt idx="11">
                  <c:v>5.1499999999999986</c:v>
                </c:pt>
              </c:numCache>
            </c:numRef>
          </c:val>
          <c:smooth val="0"/>
        </c:ser>
        <c:dLbls>
          <c:showLegendKey val="0"/>
          <c:showVal val="0"/>
          <c:showCatName val="0"/>
          <c:showSerName val="0"/>
          <c:showPercent val="0"/>
          <c:showBubbleSize val="0"/>
        </c:dLbls>
        <c:marker val="1"/>
        <c:smooth val="0"/>
        <c:axId val="440147328"/>
        <c:axId val="440161408"/>
      </c:lineChart>
      <c:catAx>
        <c:axId val="440147328"/>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440161408"/>
        <c:crosses val="autoZero"/>
        <c:auto val="1"/>
        <c:lblAlgn val="ctr"/>
        <c:lblOffset val="100"/>
        <c:noMultiLvlLbl val="0"/>
      </c:catAx>
      <c:valAx>
        <c:axId val="440161408"/>
        <c:scaling>
          <c:orientation val="minMax"/>
        </c:scaling>
        <c:delete val="0"/>
        <c:axPos val="l"/>
        <c:majorGridlines/>
        <c:numFmt formatCode="General" sourceLinked="1"/>
        <c:majorTickMark val="out"/>
        <c:minorTickMark val="none"/>
        <c:tickLblPos val="nextTo"/>
        <c:crossAx val="440147328"/>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i="0" baseline="0"/>
              <a:t>Контингент студентов в динамике за пять лет (Москва и филиалы)</a:t>
            </a:r>
          </a:p>
        </c:rich>
      </c:tx>
      <c:overlay val="0"/>
    </c:title>
    <c:autoTitleDeleted val="0"/>
    <c:plotArea>
      <c:layout>
        <c:manualLayout>
          <c:layoutTarget val="inner"/>
          <c:xMode val="edge"/>
          <c:yMode val="edge"/>
          <c:x val="0.32213779527559178"/>
          <c:y val="0.105483336914018"/>
          <c:w val="0.66497326115485855"/>
          <c:h val="0.58294935355302979"/>
        </c:manualLayout>
      </c:layout>
      <c:areaChart>
        <c:grouping val="stacked"/>
        <c:varyColors val="0"/>
        <c:ser>
          <c:idx val="0"/>
          <c:order val="0"/>
          <c:tx>
            <c:strRef>
              <c:f>Динамика!$A$21</c:f>
              <c:strCache>
                <c:ptCount val="1"/>
                <c:pt idx="0">
                  <c:v>специалисты (очн. форма)</c:v>
                </c:pt>
              </c:strCache>
            </c:strRef>
          </c:tx>
          <c:cat>
            <c:numRef>
              <c:f>Динамика!$B$20:$F$20</c:f>
              <c:numCache>
                <c:formatCode>General</c:formatCode>
                <c:ptCount val="5"/>
                <c:pt idx="0">
                  <c:v>2009</c:v>
                </c:pt>
                <c:pt idx="1">
                  <c:v>2010</c:v>
                </c:pt>
                <c:pt idx="2">
                  <c:v>2011</c:v>
                </c:pt>
                <c:pt idx="3">
                  <c:v>2012</c:v>
                </c:pt>
                <c:pt idx="4">
                  <c:v>2013</c:v>
                </c:pt>
              </c:numCache>
            </c:numRef>
          </c:cat>
          <c:val>
            <c:numRef>
              <c:f>Динамика!$B$21:$F$21</c:f>
              <c:numCache>
                <c:formatCode>General</c:formatCode>
                <c:ptCount val="5"/>
                <c:pt idx="0">
                  <c:v>4043</c:v>
                </c:pt>
                <c:pt idx="1">
                  <c:v>3303</c:v>
                </c:pt>
                <c:pt idx="2">
                  <c:v>2143</c:v>
                </c:pt>
                <c:pt idx="3">
                  <c:v>2549</c:v>
                </c:pt>
                <c:pt idx="4">
                  <c:v>1461</c:v>
                </c:pt>
              </c:numCache>
            </c:numRef>
          </c:val>
        </c:ser>
        <c:ser>
          <c:idx val="1"/>
          <c:order val="1"/>
          <c:tx>
            <c:strRef>
              <c:f>Динамика!$A$22</c:f>
              <c:strCache>
                <c:ptCount val="1"/>
                <c:pt idx="0">
                  <c:v>бакалавры (очн. форма)</c:v>
                </c:pt>
              </c:strCache>
            </c:strRef>
          </c:tx>
          <c:cat>
            <c:numRef>
              <c:f>Динамика!$B$20:$F$20</c:f>
              <c:numCache>
                <c:formatCode>General</c:formatCode>
                <c:ptCount val="5"/>
                <c:pt idx="0">
                  <c:v>2009</c:v>
                </c:pt>
                <c:pt idx="1">
                  <c:v>2010</c:v>
                </c:pt>
                <c:pt idx="2">
                  <c:v>2011</c:v>
                </c:pt>
                <c:pt idx="3">
                  <c:v>2012</c:v>
                </c:pt>
                <c:pt idx="4">
                  <c:v>2013</c:v>
                </c:pt>
              </c:numCache>
            </c:numRef>
          </c:cat>
          <c:val>
            <c:numRef>
              <c:f>Динамика!$B$22:$F$22</c:f>
              <c:numCache>
                <c:formatCode>General</c:formatCode>
                <c:ptCount val="5"/>
                <c:pt idx="0">
                  <c:v>7990</c:v>
                </c:pt>
                <c:pt idx="1">
                  <c:v>9523</c:v>
                </c:pt>
                <c:pt idx="2">
                  <c:v>11416</c:v>
                </c:pt>
                <c:pt idx="3">
                  <c:v>13614</c:v>
                </c:pt>
                <c:pt idx="4">
                  <c:v>16187</c:v>
                </c:pt>
              </c:numCache>
            </c:numRef>
          </c:val>
        </c:ser>
        <c:ser>
          <c:idx val="2"/>
          <c:order val="2"/>
          <c:tx>
            <c:strRef>
              <c:f>Динамика!$A$23</c:f>
              <c:strCache>
                <c:ptCount val="1"/>
                <c:pt idx="0">
                  <c:v>магистры (очн. форма)</c:v>
                </c:pt>
              </c:strCache>
            </c:strRef>
          </c:tx>
          <c:cat>
            <c:numRef>
              <c:f>Динамика!$B$20:$F$20</c:f>
              <c:numCache>
                <c:formatCode>General</c:formatCode>
                <c:ptCount val="5"/>
                <c:pt idx="0">
                  <c:v>2009</c:v>
                </c:pt>
                <c:pt idx="1">
                  <c:v>2010</c:v>
                </c:pt>
                <c:pt idx="2">
                  <c:v>2011</c:v>
                </c:pt>
                <c:pt idx="3">
                  <c:v>2012</c:v>
                </c:pt>
                <c:pt idx="4">
                  <c:v>2013</c:v>
                </c:pt>
              </c:numCache>
            </c:numRef>
          </c:cat>
          <c:val>
            <c:numRef>
              <c:f>Динамика!$B$23:$F$23</c:f>
              <c:numCache>
                <c:formatCode>General</c:formatCode>
                <c:ptCount val="5"/>
                <c:pt idx="0">
                  <c:v>2272</c:v>
                </c:pt>
                <c:pt idx="1">
                  <c:v>3251</c:v>
                </c:pt>
                <c:pt idx="2">
                  <c:v>3745</c:v>
                </c:pt>
                <c:pt idx="3">
                  <c:v>4054</c:v>
                </c:pt>
                <c:pt idx="4">
                  <c:v>4450</c:v>
                </c:pt>
              </c:numCache>
            </c:numRef>
          </c:val>
        </c:ser>
        <c:ser>
          <c:idx val="3"/>
          <c:order val="3"/>
          <c:tx>
            <c:strRef>
              <c:f>Динамика!$A$24</c:f>
              <c:strCache>
                <c:ptCount val="1"/>
                <c:pt idx="0">
                  <c:v>магистры (очно-заоч. форма)</c:v>
                </c:pt>
              </c:strCache>
            </c:strRef>
          </c:tx>
          <c:cat>
            <c:numRef>
              <c:f>Динамика!$B$20:$F$20</c:f>
              <c:numCache>
                <c:formatCode>General</c:formatCode>
                <c:ptCount val="5"/>
                <c:pt idx="0">
                  <c:v>2009</c:v>
                </c:pt>
                <c:pt idx="1">
                  <c:v>2010</c:v>
                </c:pt>
                <c:pt idx="2">
                  <c:v>2011</c:v>
                </c:pt>
                <c:pt idx="3">
                  <c:v>2012</c:v>
                </c:pt>
                <c:pt idx="4">
                  <c:v>2013</c:v>
                </c:pt>
              </c:numCache>
            </c:numRef>
          </c:cat>
          <c:val>
            <c:numRef>
              <c:f>Динамика!$B$24:$F$24</c:f>
              <c:numCache>
                <c:formatCode>General</c:formatCode>
                <c:ptCount val="5"/>
                <c:pt idx="1">
                  <c:v>51</c:v>
                </c:pt>
                <c:pt idx="2">
                  <c:v>299</c:v>
                </c:pt>
                <c:pt idx="3">
                  <c:v>467</c:v>
                </c:pt>
                <c:pt idx="4">
                  <c:v>607</c:v>
                </c:pt>
              </c:numCache>
            </c:numRef>
          </c:val>
        </c:ser>
        <c:dLbls>
          <c:showLegendKey val="0"/>
          <c:showVal val="0"/>
          <c:showCatName val="0"/>
          <c:showSerName val="0"/>
          <c:showPercent val="0"/>
          <c:showBubbleSize val="0"/>
        </c:dLbls>
        <c:axId val="440192384"/>
        <c:axId val="440194176"/>
      </c:areaChart>
      <c:catAx>
        <c:axId val="440192384"/>
        <c:scaling>
          <c:orientation val="minMax"/>
        </c:scaling>
        <c:delete val="0"/>
        <c:axPos val="b"/>
        <c:numFmt formatCode="General" sourceLinked="1"/>
        <c:majorTickMark val="out"/>
        <c:minorTickMark val="none"/>
        <c:tickLblPos val="nextTo"/>
        <c:crossAx val="440194176"/>
        <c:crosses val="autoZero"/>
        <c:auto val="1"/>
        <c:lblAlgn val="ctr"/>
        <c:lblOffset val="100"/>
        <c:noMultiLvlLbl val="0"/>
      </c:catAx>
      <c:valAx>
        <c:axId val="440194176"/>
        <c:scaling>
          <c:orientation val="minMax"/>
        </c:scaling>
        <c:delete val="0"/>
        <c:axPos val="l"/>
        <c:majorGridlines/>
        <c:numFmt formatCode="General" sourceLinked="1"/>
        <c:majorTickMark val="out"/>
        <c:minorTickMark val="none"/>
        <c:tickLblPos val="nextTo"/>
        <c:crossAx val="440192384"/>
        <c:crosses val="autoZero"/>
        <c:crossBetween val="midCat"/>
        <c:majorUnit val="2000"/>
      </c:valAx>
      <c:dTable>
        <c:showHorzBorder val="1"/>
        <c:showVertBorder val="1"/>
        <c:showOutline val="1"/>
        <c:showKeys val="1"/>
      </c:dTable>
    </c:plotArea>
    <c:legend>
      <c:legendPos val="b"/>
      <c:layout>
        <c:manualLayout>
          <c:xMode val="edge"/>
          <c:yMode val="edge"/>
          <c:x val="2.4065135402581511E-2"/>
          <c:y val="0.86115125362303546"/>
          <c:w val="0.92666620361308305"/>
          <c:h val="0.11390330813406564"/>
        </c:manualLayout>
      </c:layout>
      <c:overlay val="0"/>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Динамика численности студентов очной формы обучения за два года (Москва</a:t>
            </a:r>
            <a:r>
              <a:rPr lang="ru-RU" sz="1200" baseline="0"/>
              <a:t>  и филиалы)</a:t>
            </a:r>
            <a:endParaRPr lang="ru-RU" sz="1200"/>
          </a:p>
        </c:rich>
      </c:tx>
      <c:layout>
        <c:manualLayout>
          <c:xMode val="edge"/>
          <c:yMode val="edge"/>
          <c:x val="0.13191856003688901"/>
          <c:y val="2.1152031475364975E-2"/>
        </c:manualLayout>
      </c:layout>
      <c:overlay val="0"/>
    </c:title>
    <c:autoTitleDeleted val="0"/>
    <c:plotArea>
      <c:layout>
        <c:manualLayout>
          <c:layoutTarget val="inner"/>
          <c:xMode val="edge"/>
          <c:yMode val="edge"/>
          <c:x val="0.15190428294271963"/>
          <c:y val="0.28235438506058602"/>
          <c:w val="0.79231805805140199"/>
          <c:h val="0.60482785343215129"/>
        </c:manualLayout>
      </c:layout>
      <c:barChart>
        <c:barDir val="bar"/>
        <c:grouping val="stacked"/>
        <c:varyColors val="0"/>
        <c:ser>
          <c:idx val="0"/>
          <c:order val="0"/>
          <c:tx>
            <c:strRef>
              <c:f>Динамика!$G$72</c:f>
              <c:strCache>
                <c:ptCount val="1"/>
                <c:pt idx="0">
                  <c:v>специалисты</c:v>
                </c:pt>
              </c:strCache>
            </c:strRef>
          </c:tx>
          <c:invertIfNegative val="0"/>
          <c:cat>
            <c:multiLvlStrRef>
              <c:f>Динамика!$H$70:$O$71</c:f>
              <c:multiLvlStrCache>
                <c:ptCount val="8"/>
                <c:lvl>
                  <c:pt idx="0">
                    <c:v>ПФ</c:v>
                  </c:pt>
                  <c:pt idx="1">
                    <c:v>НФ</c:v>
                  </c:pt>
                  <c:pt idx="2">
                    <c:v>СПбФ</c:v>
                  </c:pt>
                  <c:pt idx="3">
                    <c:v>Москва</c:v>
                  </c:pt>
                  <c:pt idx="4">
                    <c:v>ПФ</c:v>
                  </c:pt>
                  <c:pt idx="5">
                    <c:v>НФ</c:v>
                  </c:pt>
                  <c:pt idx="6">
                    <c:v>СПбФ</c:v>
                  </c:pt>
                  <c:pt idx="7">
                    <c:v>Москва</c:v>
                  </c:pt>
                </c:lvl>
                <c:lvl>
                  <c:pt idx="0">
                    <c:v>2012/2013</c:v>
                  </c:pt>
                  <c:pt idx="4">
                    <c:v>2013/2014</c:v>
                  </c:pt>
                </c:lvl>
              </c:multiLvlStrCache>
            </c:multiLvlStrRef>
          </c:cat>
          <c:val>
            <c:numRef>
              <c:f>Динамика!$H$72:$O$72</c:f>
              <c:numCache>
                <c:formatCode>General</c:formatCode>
                <c:ptCount val="8"/>
                <c:pt idx="0">
                  <c:v>0</c:v>
                </c:pt>
                <c:pt idx="1">
                  <c:v>214</c:v>
                </c:pt>
                <c:pt idx="2">
                  <c:v>227</c:v>
                </c:pt>
                <c:pt idx="3">
                  <c:v>2108</c:v>
                </c:pt>
                <c:pt idx="4">
                  <c:v>0</c:v>
                </c:pt>
                <c:pt idx="5">
                  <c:v>113</c:v>
                </c:pt>
                <c:pt idx="6">
                  <c:v>166</c:v>
                </c:pt>
                <c:pt idx="7">
                  <c:v>1182</c:v>
                </c:pt>
              </c:numCache>
            </c:numRef>
          </c:val>
        </c:ser>
        <c:ser>
          <c:idx val="1"/>
          <c:order val="1"/>
          <c:tx>
            <c:strRef>
              <c:f>Динамика!$G$73</c:f>
              <c:strCache>
                <c:ptCount val="1"/>
                <c:pt idx="0">
                  <c:v>бакалавры</c:v>
                </c:pt>
              </c:strCache>
            </c:strRef>
          </c:tx>
          <c:invertIfNegative val="0"/>
          <c:cat>
            <c:multiLvlStrRef>
              <c:f>Динамика!$H$70:$O$71</c:f>
              <c:multiLvlStrCache>
                <c:ptCount val="8"/>
                <c:lvl>
                  <c:pt idx="0">
                    <c:v>ПФ</c:v>
                  </c:pt>
                  <c:pt idx="1">
                    <c:v>НФ</c:v>
                  </c:pt>
                  <c:pt idx="2">
                    <c:v>СПбФ</c:v>
                  </c:pt>
                  <c:pt idx="3">
                    <c:v>Москва</c:v>
                  </c:pt>
                  <c:pt idx="4">
                    <c:v>ПФ</c:v>
                  </c:pt>
                  <c:pt idx="5">
                    <c:v>НФ</c:v>
                  </c:pt>
                  <c:pt idx="6">
                    <c:v>СПбФ</c:v>
                  </c:pt>
                  <c:pt idx="7">
                    <c:v>Москва</c:v>
                  </c:pt>
                </c:lvl>
                <c:lvl>
                  <c:pt idx="0">
                    <c:v>2012/2013</c:v>
                  </c:pt>
                  <c:pt idx="4">
                    <c:v>2013/2014</c:v>
                  </c:pt>
                </c:lvl>
              </c:multiLvlStrCache>
            </c:multiLvlStrRef>
          </c:cat>
          <c:val>
            <c:numRef>
              <c:f>Динамика!$H$73:$O$73</c:f>
              <c:numCache>
                <c:formatCode>General</c:formatCode>
                <c:ptCount val="8"/>
                <c:pt idx="0">
                  <c:v>952</c:v>
                </c:pt>
                <c:pt idx="1">
                  <c:v>1609</c:v>
                </c:pt>
                <c:pt idx="2">
                  <c:v>1490</c:v>
                </c:pt>
                <c:pt idx="3">
                  <c:v>9563</c:v>
                </c:pt>
                <c:pt idx="4">
                  <c:v>1081</c:v>
                </c:pt>
                <c:pt idx="5">
                  <c:v>1676</c:v>
                </c:pt>
                <c:pt idx="6">
                  <c:v>1963</c:v>
                </c:pt>
                <c:pt idx="7">
                  <c:v>11467</c:v>
                </c:pt>
              </c:numCache>
            </c:numRef>
          </c:val>
        </c:ser>
        <c:ser>
          <c:idx val="2"/>
          <c:order val="2"/>
          <c:tx>
            <c:strRef>
              <c:f>Динамика!$G$74</c:f>
              <c:strCache>
                <c:ptCount val="1"/>
                <c:pt idx="0">
                  <c:v>магистры</c:v>
                </c:pt>
              </c:strCache>
            </c:strRef>
          </c:tx>
          <c:invertIfNegative val="0"/>
          <c:cat>
            <c:multiLvlStrRef>
              <c:f>Динамика!$H$70:$O$71</c:f>
              <c:multiLvlStrCache>
                <c:ptCount val="8"/>
                <c:lvl>
                  <c:pt idx="0">
                    <c:v>ПФ</c:v>
                  </c:pt>
                  <c:pt idx="1">
                    <c:v>НФ</c:v>
                  </c:pt>
                  <c:pt idx="2">
                    <c:v>СПбФ</c:v>
                  </c:pt>
                  <c:pt idx="3">
                    <c:v>Москва</c:v>
                  </c:pt>
                  <c:pt idx="4">
                    <c:v>ПФ</c:v>
                  </c:pt>
                  <c:pt idx="5">
                    <c:v>НФ</c:v>
                  </c:pt>
                  <c:pt idx="6">
                    <c:v>СПбФ</c:v>
                  </c:pt>
                  <c:pt idx="7">
                    <c:v>Москва</c:v>
                  </c:pt>
                </c:lvl>
                <c:lvl>
                  <c:pt idx="0">
                    <c:v>2012/2013</c:v>
                  </c:pt>
                  <c:pt idx="4">
                    <c:v>2013/2014</c:v>
                  </c:pt>
                </c:lvl>
              </c:multiLvlStrCache>
            </c:multiLvlStrRef>
          </c:cat>
          <c:val>
            <c:numRef>
              <c:f>Динамика!$H$74:$O$74</c:f>
              <c:numCache>
                <c:formatCode>General</c:formatCode>
                <c:ptCount val="8"/>
                <c:pt idx="0">
                  <c:v>195</c:v>
                </c:pt>
                <c:pt idx="1">
                  <c:v>360</c:v>
                </c:pt>
                <c:pt idx="2">
                  <c:v>251</c:v>
                </c:pt>
                <c:pt idx="3">
                  <c:v>3248</c:v>
                </c:pt>
                <c:pt idx="4">
                  <c:v>177</c:v>
                </c:pt>
                <c:pt idx="5">
                  <c:v>434</c:v>
                </c:pt>
                <c:pt idx="6">
                  <c:v>306</c:v>
                </c:pt>
                <c:pt idx="7">
                  <c:v>3533</c:v>
                </c:pt>
              </c:numCache>
            </c:numRef>
          </c:val>
        </c:ser>
        <c:dLbls>
          <c:showLegendKey val="0"/>
          <c:showVal val="0"/>
          <c:showCatName val="0"/>
          <c:showSerName val="0"/>
          <c:showPercent val="0"/>
          <c:showBubbleSize val="0"/>
        </c:dLbls>
        <c:gapWidth val="150"/>
        <c:overlap val="100"/>
        <c:axId val="443289984"/>
        <c:axId val="443291520"/>
      </c:barChart>
      <c:catAx>
        <c:axId val="443289984"/>
        <c:scaling>
          <c:orientation val="minMax"/>
        </c:scaling>
        <c:delete val="0"/>
        <c:axPos val="l"/>
        <c:numFmt formatCode="General" sourceLinked="0"/>
        <c:majorTickMark val="out"/>
        <c:minorTickMark val="none"/>
        <c:tickLblPos val="nextTo"/>
        <c:crossAx val="443291520"/>
        <c:crosses val="autoZero"/>
        <c:auto val="1"/>
        <c:lblAlgn val="ctr"/>
        <c:lblOffset val="100"/>
        <c:noMultiLvlLbl val="0"/>
      </c:catAx>
      <c:valAx>
        <c:axId val="443291520"/>
        <c:scaling>
          <c:orientation val="minMax"/>
        </c:scaling>
        <c:delete val="0"/>
        <c:axPos val="b"/>
        <c:majorGridlines/>
        <c:numFmt formatCode="General" sourceLinked="1"/>
        <c:majorTickMark val="out"/>
        <c:minorTickMark val="none"/>
        <c:tickLblPos val="nextTo"/>
        <c:crossAx val="443289984"/>
        <c:crosses val="autoZero"/>
        <c:crossBetween val="between"/>
      </c:valAx>
    </c:plotArea>
    <c:legend>
      <c:legendPos val="t"/>
      <c:layout>
        <c:manualLayout>
          <c:xMode val="edge"/>
          <c:yMode val="edge"/>
          <c:x val="0.26699874167252302"/>
          <c:y val="0.16388332219995497"/>
          <c:w val="0.47882971336226127"/>
          <c:h val="8.7297604833463882E-2"/>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i="0" baseline="0"/>
              <a:t>Динамика структуры контингента студентов очной формы обучения (по уровням образования) за пять лет в % (Москва и Москва с филиалами)</a:t>
            </a:r>
            <a:endParaRPr lang="ru-RU" sz="1200"/>
          </a:p>
        </c:rich>
      </c:tx>
      <c:layout>
        <c:manualLayout>
          <c:xMode val="edge"/>
          <c:yMode val="edge"/>
          <c:x val="2.1976872231318601E-2"/>
          <c:y val="2.2127973446431911E-2"/>
        </c:manualLayout>
      </c:layout>
      <c:overlay val="0"/>
    </c:title>
    <c:autoTitleDeleted val="0"/>
    <c:plotArea>
      <c:layout>
        <c:manualLayout>
          <c:layoutTarget val="inner"/>
          <c:xMode val="edge"/>
          <c:yMode val="edge"/>
          <c:x val="9.0799587551555996E-2"/>
          <c:y val="0.18417840763231599"/>
          <c:w val="0.88300993625796798"/>
          <c:h val="0.42827089416492214"/>
        </c:manualLayout>
      </c:layout>
      <c:barChart>
        <c:barDir val="col"/>
        <c:grouping val="percentStacked"/>
        <c:varyColors val="0"/>
        <c:ser>
          <c:idx val="2"/>
          <c:order val="0"/>
          <c:tx>
            <c:strRef>
              <c:f>Динамика!$A$143</c:f>
              <c:strCache>
                <c:ptCount val="1"/>
                <c:pt idx="0">
                  <c:v>специалисты</c:v>
                </c:pt>
              </c:strCache>
            </c:strRef>
          </c:tx>
          <c:invertIfNegative val="0"/>
          <c:dLbls>
            <c:dLbl>
              <c:idx val="0"/>
              <c:tx>
                <c:rich>
                  <a:bodyPr/>
                  <a:lstStyle/>
                  <a:p>
                    <a:r>
                      <a:rPr lang="en-US"/>
                      <a:t>35</a:t>
                    </a:r>
                  </a:p>
                </c:rich>
              </c:tx>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50</a:t>
                    </a:r>
                  </a:p>
                </c:rich>
              </c:tx>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33</a:t>
                    </a:r>
                  </a:p>
                </c:rich>
              </c:tx>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40</a:t>
                    </a:r>
                  </a:p>
                </c:rich>
              </c:tx>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25</a:t>
                    </a:r>
                  </a:p>
                </c:rich>
              </c:tx>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28</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19</a:t>
                    </a:r>
                  </a:p>
                </c:rich>
              </c:tx>
              <c:dLblPos val="ctr"/>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21</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Динамика!$F$141:$O$142</c:f>
              <c:multiLvlStrCache>
                <c:ptCount val="10"/>
                <c:lvl>
                  <c:pt idx="0">
                    <c:v>Москва</c:v>
                  </c:pt>
                  <c:pt idx="1">
                    <c:v>Москва
+ филиалы </c:v>
                  </c:pt>
                  <c:pt idx="2">
                    <c:v>Москва</c:v>
                  </c:pt>
                  <c:pt idx="3">
                    <c:v>Москва
+ филиалы </c:v>
                  </c:pt>
                  <c:pt idx="4">
                    <c:v>Москва</c:v>
                  </c:pt>
                  <c:pt idx="5">
                    <c:v>Москва
+ филиалы </c:v>
                  </c:pt>
                  <c:pt idx="6">
                    <c:v>Москва</c:v>
                  </c:pt>
                  <c:pt idx="7">
                    <c:v>Москва
+ филиалы </c:v>
                  </c:pt>
                  <c:pt idx="8">
                    <c:v>Москва</c:v>
                  </c:pt>
                  <c:pt idx="9">
                    <c:v>Москва
+ филиалы </c:v>
                  </c:pt>
                </c:lvl>
                <c:lvl>
                  <c:pt idx="0">
                    <c:v>2009/2010</c:v>
                  </c:pt>
                  <c:pt idx="2">
                    <c:v>2010/2011</c:v>
                  </c:pt>
                  <c:pt idx="4">
                    <c:v>2011/2012</c:v>
                  </c:pt>
                  <c:pt idx="6">
                    <c:v>2012/2013</c:v>
                  </c:pt>
                  <c:pt idx="8">
                    <c:v>2013/2014</c:v>
                  </c:pt>
                </c:lvl>
              </c:multiLvlStrCache>
            </c:multiLvlStrRef>
          </c:cat>
          <c:val>
            <c:numRef>
              <c:f>Динамика!$F$143:$O$143</c:f>
              <c:numCache>
                <c:formatCode>0%</c:formatCode>
                <c:ptCount val="10"/>
                <c:pt idx="0">
                  <c:v>0.33000000000000101</c:v>
                </c:pt>
                <c:pt idx="1">
                  <c:v>0.4</c:v>
                </c:pt>
                <c:pt idx="2">
                  <c:v>0.24735750271658588</c:v>
                </c:pt>
                <c:pt idx="3">
                  <c:v>0.28000000000000008</c:v>
                </c:pt>
                <c:pt idx="4">
                  <c:v>0.19173626373626454</c:v>
                </c:pt>
                <c:pt idx="5">
                  <c:v>0.21000000000000021</c:v>
                </c:pt>
                <c:pt idx="6" formatCode="0">
                  <c:v>14.129633353441946</c:v>
                </c:pt>
                <c:pt idx="7" formatCode="0">
                  <c:v>12.608201018944451</c:v>
                </c:pt>
                <c:pt idx="8" formatCode="0">
                  <c:v>7.3044123099740457</c:v>
                </c:pt>
                <c:pt idx="9" formatCode="0">
                  <c:v>6.6114580505023088</c:v>
                </c:pt>
              </c:numCache>
            </c:numRef>
          </c:val>
        </c:ser>
        <c:ser>
          <c:idx val="3"/>
          <c:order val="1"/>
          <c:tx>
            <c:strRef>
              <c:f>Динамика!$A$144</c:f>
              <c:strCache>
                <c:ptCount val="1"/>
                <c:pt idx="0">
                  <c:v>бакалавры</c:v>
                </c:pt>
              </c:strCache>
            </c:strRef>
          </c:tx>
          <c:invertIfNegative val="0"/>
          <c:dLbls>
            <c:dLbl>
              <c:idx val="0"/>
              <c:tx>
                <c:rich>
                  <a:bodyPr/>
                  <a:lstStyle/>
                  <a:p>
                    <a:r>
                      <a:rPr lang="en-US"/>
                      <a:t>51</a:t>
                    </a:r>
                  </a:p>
                </c:rich>
              </c:tx>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40</a:t>
                    </a:r>
                  </a:p>
                </c:rich>
              </c:tx>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52</a:t>
                    </a:r>
                  </a:p>
                </c:rich>
              </c:tx>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48</a:t>
                    </a:r>
                  </a:p>
                </c:rich>
              </c:tx>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56</a:t>
                    </a:r>
                  </a:p>
                </c:rich>
              </c:tx>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56</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57</a:t>
                    </a:r>
                  </a:p>
                </c:rich>
              </c:tx>
              <c:dLblPos val="ctr"/>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59</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Динамика!$F$141:$O$142</c:f>
              <c:multiLvlStrCache>
                <c:ptCount val="10"/>
                <c:lvl>
                  <c:pt idx="0">
                    <c:v>Москва</c:v>
                  </c:pt>
                  <c:pt idx="1">
                    <c:v>Москва
+ филиалы </c:v>
                  </c:pt>
                  <c:pt idx="2">
                    <c:v>Москва</c:v>
                  </c:pt>
                  <c:pt idx="3">
                    <c:v>Москва
+ филиалы </c:v>
                  </c:pt>
                  <c:pt idx="4">
                    <c:v>Москва</c:v>
                  </c:pt>
                  <c:pt idx="5">
                    <c:v>Москва
+ филиалы </c:v>
                  </c:pt>
                  <c:pt idx="6">
                    <c:v>Москва</c:v>
                  </c:pt>
                  <c:pt idx="7">
                    <c:v>Москва
+ филиалы </c:v>
                  </c:pt>
                  <c:pt idx="8">
                    <c:v>Москва</c:v>
                  </c:pt>
                  <c:pt idx="9">
                    <c:v>Москва
+ филиалы </c:v>
                  </c:pt>
                </c:lvl>
                <c:lvl>
                  <c:pt idx="0">
                    <c:v>2009/2010</c:v>
                  </c:pt>
                  <c:pt idx="2">
                    <c:v>2010/2011</c:v>
                  </c:pt>
                  <c:pt idx="4">
                    <c:v>2011/2012</c:v>
                  </c:pt>
                  <c:pt idx="6">
                    <c:v>2012/2013</c:v>
                  </c:pt>
                  <c:pt idx="8">
                    <c:v>2013/2014</c:v>
                  </c:pt>
                </c:lvl>
              </c:multiLvlStrCache>
            </c:multiLvlStrRef>
          </c:cat>
          <c:val>
            <c:numRef>
              <c:f>Динамика!$F$144:$O$144</c:f>
              <c:numCache>
                <c:formatCode>0%</c:formatCode>
                <c:ptCount val="10"/>
                <c:pt idx="0">
                  <c:v>0.52</c:v>
                </c:pt>
                <c:pt idx="1">
                  <c:v>0.48000000000000032</c:v>
                </c:pt>
                <c:pt idx="2">
                  <c:v>0.56277783265830861</c:v>
                </c:pt>
                <c:pt idx="3">
                  <c:v>0.56000000000000005</c:v>
                </c:pt>
                <c:pt idx="4">
                  <c:v>0.57450549450549704</c:v>
                </c:pt>
                <c:pt idx="5">
                  <c:v>0.59</c:v>
                </c:pt>
                <c:pt idx="6" formatCode="0">
                  <c:v>64.099470473892353</c:v>
                </c:pt>
                <c:pt idx="7" formatCode="0">
                  <c:v>67.339367858732558</c:v>
                </c:pt>
                <c:pt idx="8" formatCode="0">
                  <c:v>70.862686936101355</c:v>
                </c:pt>
                <c:pt idx="9" formatCode="0">
                  <c:v>73.250972938727358</c:v>
                </c:pt>
              </c:numCache>
            </c:numRef>
          </c:val>
        </c:ser>
        <c:ser>
          <c:idx val="4"/>
          <c:order val="2"/>
          <c:tx>
            <c:strRef>
              <c:f>Динамика!$A$145</c:f>
              <c:strCache>
                <c:ptCount val="1"/>
                <c:pt idx="0">
                  <c:v>магистры</c:v>
                </c:pt>
              </c:strCache>
            </c:strRef>
          </c:tx>
          <c:invertIfNegative val="0"/>
          <c:dLbls>
            <c:dLbl>
              <c:idx val="0"/>
              <c:tx>
                <c:rich>
                  <a:bodyPr/>
                  <a:lstStyle/>
                  <a:p>
                    <a:r>
                      <a:rPr lang="en-US"/>
                      <a:t>14</a:t>
                    </a:r>
                  </a:p>
                </c:rich>
              </c:tx>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15</a:t>
                    </a:r>
                  </a:p>
                </c:rich>
              </c:tx>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19</a:t>
                    </a:r>
                  </a:p>
                </c:rich>
              </c:tx>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16</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23</a:t>
                    </a:r>
                  </a:p>
                </c:rich>
              </c:tx>
              <c:dLblPos val="ctr"/>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20</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Динамика!$F$141:$O$142</c:f>
              <c:multiLvlStrCache>
                <c:ptCount val="10"/>
                <c:lvl>
                  <c:pt idx="0">
                    <c:v>Москва</c:v>
                  </c:pt>
                  <c:pt idx="1">
                    <c:v>Москва
+ филиалы </c:v>
                  </c:pt>
                  <c:pt idx="2">
                    <c:v>Москва</c:v>
                  </c:pt>
                  <c:pt idx="3">
                    <c:v>Москва
+ филиалы </c:v>
                  </c:pt>
                  <c:pt idx="4">
                    <c:v>Москва</c:v>
                  </c:pt>
                  <c:pt idx="5">
                    <c:v>Москва
+ филиалы </c:v>
                  </c:pt>
                  <c:pt idx="6">
                    <c:v>Москва</c:v>
                  </c:pt>
                  <c:pt idx="7">
                    <c:v>Москва
+ филиалы </c:v>
                  </c:pt>
                  <c:pt idx="8">
                    <c:v>Москва</c:v>
                  </c:pt>
                  <c:pt idx="9">
                    <c:v>Москва
+ филиалы </c:v>
                  </c:pt>
                </c:lvl>
                <c:lvl>
                  <c:pt idx="0">
                    <c:v>2009/2010</c:v>
                  </c:pt>
                  <c:pt idx="2">
                    <c:v>2010/2011</c:v>
                  </c:pt>
                  <c:pt idx="4">
                    <c:v>2011/2012</c:v>
                  </c:pt>
                  <c:pt idx="6">
                    <c:v>2012/2013</c:v>
                  </c:pt>
                  <c:pt idx="8">
                    <c:v>2013/2014</c:v>
                  </c:pt>
                </c:lvl>
              </c:multiLvlStrCache>
            </c:multiLvlStrRef>
          </c:cat>
          <c:val>
            <c:numRef>
              <c:f>Динамика!$F$145:$O$145</c:f>
              <c:numCache>
                <c:formatCode>0%</c:formatCode>
                <c:ptCount val="10"/>
                <c:pt idx="0">
                  <c:v>0.15000000000000024</c:v>
                </c:pt>
                <c:pt idx="1">
                  <c:v>0.12000000000000002</c:v>
                </c:pt>
                <c:pt idx="2">
                  <c:v>0.18986466462511101</c:v>
                </c:pt>
                <c:pt idx="3">
                  <c:v>0.16</c:v>
                </c:pt>
                <c:pt idx="4">
                  <c:v>0.23375824175824242</c:v>
                </c:pt>
                <c:pt idx="5">
                  <c:v>0.2</c:v>
                </c:pt>
                <c:pt idx="6" formatCode="0">
                  <c:v>21.770896172665729</c:v>
                </c:pt>
                <c:pt idx="7" formatCode="0">
                  <c:v>20.052431122322787</c:v>
                </c:pt>
                <c:pt idx="8" formatCode="0">
                  <c:v>21.832900753924111</c:v>
                </c:pt>
                <c:pt idx="9" formatCode="0">
                  <c:v>20.137569010770211</c:v>
                </c:pt>
              </c:numCache>
            </c:numRef>
          </c:val>
        </c:ser>
        <c:dLbls>
          <c:showLegendKey val="0"/>
          <c:showVal val="1"/>
          <c:showCatName val="0"/>
          <c:showSerName val="0"/>
          <c:showPercent val="0"/>
          <c:showBubbleSize val="0"/>
        </c:dLbls>
        <c:gapWidth val="150"/>
        <c:overlap val="100"/>
        <c:axId val="444715392"/>
        <c:axId val="444716928"/>
      </c:barChart>
      <c:catAx>
        <c:axId val="444715392"/>
        <c:scaling>
          <c:orientation val="minMax"/>
        </c:scaling>
        <c:delete val="0"/>
        <c:axPos val="b"/>
        <c:numFmt formatCode="General" sourceLinked="1"/>
        <c:majorTickMark val="out"/>
        <c:minorTickMark val="none"/>
        <c:tickLblPos val="nextTo"/>
        <c:crossAx val="444716928"/>
        <c:crosses val="autoZero"/>
        <c:auto val="1"/>
        <c:lblAlgn val="ctr"/>
        <c:lblOffset val="100"/>
        <c:tickLblSkip val="1"/>
        <c:noMultiLvlLbl val="0"/>
      </c:catAx>
      <c:valAx>
        <c:axId val="444716928"/>
        <c:scaling>
          <c:orientation val="minMax"/>
        </c:scaling>
        <c:delete val="0"/>
        <c:axPos val="l"/>
        <c:majorGridlines/>
        <c:numFmt formatCode="0%" sourceLinked="1"/>
        <c:majorTickMark val="out"/>
        <c:minorTickMark val="none"/>
        <c:tickLblPos val="nextTo"/>
        <c:crossAx val="444715392"/>
        <c:crosses val="autoZero"/>
        <c:crossBetween val="between"/>
        <c:majorUnit val="0.2"/>
      </c:valAx>
    </c:plotArea>
    <c:legend>
      <c:legendPos val="b"/>
      <c:layout>
        <c:manualLayout>
          <c:xMode val="edge"/>
          <c:yMode val="edge"/>
          <c:x val="0.242836101216788"/>
          <c:y val="0.89747390966024221"/>
          <c:w val="0.49948143982002402"/>
          <c:h val="6.3658251820050596E-2"/>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ru-RU" sz="1200" b="1" i="0" u="none" strike="noStrike" kern="1200" baseline="0">
                <a:solidFill>
                  <a:sysClr val="windowText" lastClr="000000"/>
                </a:solidFill>
                <a:latin typeface="+mn-lt"/>
                <a:ea typeface="+mn-ea"/>
                <a:cs typeface="+mn-cs"/>
              </a:defRPr>
            </a:pPr>
            <a:r>
              <a:rPr lang="ru-RU" sz="1200" b="1" i="0" u="none" strike="noStrike" kern="1200" baseline="0">
                <a:solidFill>
                  <a:sysClr val="windowText" lastClr="000000"/>
                </a:solidFill>
                <a:latin typeface="+mn-lt"/>
                <a:ea typeface="+mn-ea"/>
                <a:cs typeface="+mn-cs"/>
              </a:rPr>
              <a:t>Соотношение контингента  НИУ ВШЭ  в динамике </a:t>
            </a:r>
          </a:p>
          <a:p>
            <a:pPr algn="ctr" rtl="0">
              <a:defRPr lang="ru-RU" sz="1200" b="1" i="0" u="none" strike="noStrike" kern="1200" baseline="0">
                <a:solidFill>
                  <a:sysClr val="windowText" lastClr="000000"/>
                </a:solidFill>
                <a:latin typeface="+mn-lt"/>
                <a:ea typeface="+mn-ea"/>
                <a:cs typeface="+mn-cs"/>
              </a:defRPr>
            </a:pPr>
            <a:r>
              <a:rPr lang="ru-RU" sz="1200" b="1" i="0" u="none" strike="noStrike" kern="1200" baseline="0">
                <a:solidFill>
                  <a:sysClr val="windowText" lastClr="000000"/>
                </a:solidFill>
                <a:latin typeface="+mn-lt"/>
                <a:ea typeface="+mn-ea"/>
                <a:cs typeface="+mn-cs"/>
              </a:rPr>
              <a:t>по уровням образования за 5 лет </a:t>
            </a:r>
            <a:endParaRPr lang="en-US" sz="1200" b="1" i="0" u="none" strike="noStrike" kern="1200" baseline="0">
              <a:solidFill>
                <a:sysClr val="windowText" lastClr="000000"/>
              </a:solidFill>
              <a:latin typeface="+mn-lt"/>
              <a:ea typeface="+mn-ea"/>
              <a:cs typeface="+mn-cs"/>
            </a:endParaRPr>
          </a:p>
          <a:p>
            <a:pPr algn="ctr" rtl="0">
              <a:defRPr lang="ru-RU" sz="1200" b="1" i="0" u="none" strike="noStrike" kern="1200" baseline="0">
                <a:solidFill>
                  <a:sysClr val="windowText" lastClr="000000"/>
                </a:solidFill>
                <a:latin typeface="+mn-lt"/>
                <a:ea typeface="+mn-ea"/>
                <a:cs typeface="+mn-cs"/>
              </a:defRPr>
            </a:pPr>
            <a:r>
              <a:rPr lang="ru-RU" sz="1200" b="1" i="0" u="none" strike="noStrike" kern="1200" baseline="0">
                <a:solidFill>
                  <a:sysClr val="windowText" lastClr="000000"/>
                </a:solidFill>
                <a:latin typeface="+mn-lt"/>
                <a:ea typeface="+mn-ea"/>
                <a:cs typeface="+mn-cs"/>
              </a:rPr>
              <a:t>(Москва и филиалы)</a:t>
            </a:r>
          </a:p>
        </c:rich>
      </c:tx>
      <c:overlay val="0"/>
    </c:title>
    <c:autoTitleDeleted val="0"/>
    <c:plotArea>
      <c:layout/>
      <c:barChart>
        <c:barDir val="bar"/>
        <c:grouping val="percentStacked"/>
        <c:varyColors val="0"/>
        <c:ser>
          <c:idx val="0"/>
          <c:order val="0"/>
          <c:tx>
            <c:strRef>
              <c:f>Динамика!$A$187</c:f>
              <c:strCache>
                <c:ptCount val="1"/>
                <c:pt idx="0">
                  <c:v>Специалисты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(Динамика!$C$185:$G$186,Динамика!$I$185:$M$186,Динамика!$O$185:$S$186,Динамика!$U$185:$Y$186)</c:f>
              <c:multiLvlStrCache>
                <c:ptCount val="20"/>
                <c:lvl>
                  <c:pt idx="0">
                    <c:v>2009-2010</c:v>
                  </c:pt>
                  <c:pt idx="1">
                    <c:v>2010-2011</c:v>
                  </c:pt>
                  <c:pt idx="2">
                    <c:v>2011-2012</c:v>
                  </c:pt>
                  <c:pt idx="3">
                    <c:v>2012-2013</c:v>
                  </c:pt>
                  <c:pt idx="4">
                    <c:v>2013-2014</c:v>
                  </c:pt>
                  <c:pt idx="5">
                    <c:v>2009-2010</c:v>
                  </c:pt>
                  <c:pt idx="6">
                    <c:v>2010-2011</c:v>
                  </c:pt>
                  <c:pt idx="7">
                    <c:v>2011-2012</c:v>
                  </c:pt>
                  <c:pt idx="8">
                    <c:v>2012-2013</c:v>
                  </c:pt>
                  <c:pt idx="9">
                    <c:v>2013-2014</c:v>
                  </c:pt>
                  <c:pt idx="10">
                    <c:v>2009-2010</c:v>
                  </c:pt>
                  <c:pt idx="11">
                    <c:v>2010-2011</c:v>
                  </c:pt>
                  <c:pt idx="12">
                    <c:v>2011-2012</c:v>
                  </c:pt>
                  <c:pt idx="13">
                    <c:v>2012-2013</c:v>
                  </c:pt>
                  <c:pt idx="14">
                    <c:v>2013-2014</c:v>
                  </c:pt>
                  <c:pt idx="15">
                    <c:v>2009-2010</c:v>
                  </c:pt>
                  <c:pt idx="16">
                    <c:v>2010-2011</c:v>
                  </c:pt>
                  <c:pt idx="17">
                    <c:v>2011-2012</c:v>
                  </c:pt>
                  <c:pt idx="18">
                    <c:v>2012-2013</c:v>
                  </c:pt>
                  <c:pt idx="19">
                    <c:v>2013-2014</c:v>
                  </c:pt>
                </c:lvl>
                <c:lvl>
                  <c:pt idx="0">
                    <c:v>Москва</c:v>
                  </c:pt>
                  <c:pt idx="5">
                    <c:v>Санкт-Петербург</c:v>
                  </c:pt>
                  <c:pt idx="10">
                    <c:v>Пермь</c:v>
                  </c:pt>
                  <c:pt idx="15">
                    <c:v>Нижний-Новгород</c:v>
                  </c:pt>
                </c:lvl>
              </c:multiLvlStrCache>
            </c:multiLvlStrRef>
          </c:cat>
          <c:val>
            <c:numRef>
              <c:f>(Динамика!$C$187:$G$187,Динамика!$I$187:$M$187,Динамика!$O$187:$S$187,Динамика!$U$187:$Y$187)</c:f>
              <c:numCache>
                <c:formatCode>General</c:formatCode>
                <c:ptCount val="20"/>
                <c:pt idx="0">
                  <c:v>25</c:v>
                </c:pt>
                <c:pt idx="1">
                  <c:v>20</c:v>
                </c:pt>
                <c:pt idx="2">
                  <c:v>12</c:v>
                </c:pt>
                <c:pt idx="3" formatCode="0">
                  <c:v>14.129633353441946</c:v>
                </c:pt>
                <c:pt idx="4" formatCode="0">
                  <c:v>7.3044123099740457</c:v>
                </c:pt>
                <c:pt idx="5">
                  <c:v>42</c:v>
                </c:pt>
                <c:pt idx="6">
                  <c:v>30</c:v>
                </c:pt>
                <c:pt idx="7">
                  <c:v>19</c:v>
                </c:pt>
                <c:pt idx="8" formatCode="0">
                  <c:v>11.534552845528452</c:v>
                </c:pt>
                <c:pt idx="9" formatCode="0">
                  <c:v>6.8172484599589316</c:v>
                </c:pt>
                <c:pt idx="10">
                  <c:v>6</c:v>
                </c:pt>
                <c:pt idx="11">
                  <c:v>0</c:v>
                </c:pt>
                <c:pt idx="12">
                  <c:v>0</c:v>
                </c:pt>
                <c:pt idx="13" formatCode="0">
                  <c:v>0</c:v>
                </c:pt>
                <c:pt idx="14">
                  <c:v>0</c:v>
                </c:pt>
                <c:pt idx="15">
                  <c:v>50</c:v>
                </c:pt>
                <c:pt idx="16">
                  <c:v>31</c:v>
                </c:pt>
                <c:pt idx="17">
                  <c:v>18</c:v>
                </c:pt>
                <c:pt idx="18" formatCode="0">
                  <c:v>9.8030233623453942</c:v>
                </c:pt>
                <c:pt idx="19" formatCode="0">
                  <c:v>5.0832208726945574</c:v>
                </c:pt>
              </c:numCache>
            </c:numRef>
          </c:val>
        </c:ser>
        <c:ser>
          <c:idx val="1"/>
          <c:order val="1"/>
          <c:tx>
            <c:strRef>
              <c:f>Динамика!$A$188</c:f>
              <c:strCache>
                <c:ptCount val="1"/>
                <c:pt idx="0">
                  <c:v>Бакалавры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(Динамика!$C$185:$G$186,Динамика!$I$185:$M$186,Динамика!$O$185:$S$186,Динамика!$U$185:$Y$186)</c:f>
              <c:multiLvlStrCache>
                <c:ptCount val="20"/>
                <c:lvl>
                  <c:pt idx="0">
                    <c:v>2009-2010</c:v>
                  </c:pt>
                  <c:pt idx="1">
                    <c:v>2010-2011</c:v>
                  </c:pt>
                  <c:pt idx="2">
                    <c:v>2011-2012</c:v>
                  </c:pt>
                  <c:pt idx="3">
                    <c:v>2012-2013</c:v>
                  </c:pt>
                  <c:pt idx="4">
                    <c:v>2013-2014</c:v>
                  </c:pt>
                  <c:pt idx="5">
                    <c:v>2009-2010</c:v>
                  </c:pt>
                  <c:pt idx="6">
                    <c:v>2010-2011</c:v>
                  </c:pt>
                  <c:pt idx="7">
                    <c:v>2011-2012</c:v>
                  </c:pt>
                  <c:pt idx="8">
                    <c:v>2012-2013</c:v>
                  </c:pt>
                  <c:pt idx="9">
                    <c:v>2013-2014</c:v>
                  </c:pt>
                  <c:pt idx="10">
                    <c:v>2009-2010</c:v>
                  </c:pt>
                  <c:pt idx="11">
                    <c:v>2010-2011</c:v>
                  </c:pt>
                  <c:pt idx="12">
                    <c:v>2011-2012</c:v>
                  </c:pt>
                  <c:pt idx="13">
                    <c:v>2012-2013</c:v>
                  </c:pt>
                  <c:pt idx="14">
                    <c:v>2013-2014</c:v>
                  </c:pt>
                  <c:pt idx="15">
                    <c:v>2009-2010</c:v>
                  </c:pt>
                  <c:pt idx="16">
                    <c:v>2010-2011</c:v>
                  </c:pt>
                  <c:pt idx="17">
                    <c:v>2011-2012</c:v>
                  </c:pt>
                  <c:pt idx="18">
                    <c:v>2012-2013</c:v>
                  </c:pt>
                  <c:pt idx="19">
                    <c:v>2013-2014</c:v>
                  </c:pt>
                </c:lvl>
                <c:lvl>
                  <c:pt idx="0">
                    <c:v>Москва</c:v>
                  </c:pt>
                  <c:pt idx="5">
                    <c:v>Санкт-Петербург</c:v>
                  </c:pt>
                  <c:pt idx="10">
                    <c:v>Пермь</c:v>
                  </c:pt>
                  <c:pt idx="15">
                    <c:v>Нижний-Новгород</c:v>
                  </c:pt>
                </c:lvl>
              </c:multiLvlStrCache>
            </c:multiLvlStrRef>
          </c:cat>
          <c:val>
            <c:numRef>
              <c:f>(Динамика!$C$188:$G$188,Динамика!$I$188:$M$188,Динамика!$O$188:$S$188,Динамика!$U$188:$Y$188)</c:f>
              <c:numCache>
                <c:formatCode>General</c:formatCode>
                <c:ptCount val="20"/>
                <c:pt idx="0">
                  <c:v>56</c:v>
                </c:pt>
                <c:pt idx="1">
                  <c:v>57</c:v>
                </c:pt>
                <c:pt idx="2">
                  <c:v>64</c:v>
                </c:pt>
                <c:pt idx="3" formatCode="0">
                  <c:v>64.099470473892353</c:v>
                </c:pt>
                <c:pt idx="4" formatCode="0">
                  <c:v>70.862686936101369</c:v>
                </c:pt>
                <c:pt idx="5">
                  <c:v>52</c:v>
                </c:pt>
                <c:pt idx="6">
                  <c:v>60</c:v>
                </c:pt>
                <c:pt idx="7">
                  <c:v>69</c:v>
                </c:pt>
                <c:pt idx="8" formatCode="0">
                  <c:v>75.711382113820576</c:v>
                </c:pt>
                <c:pt idx="9" formatCode="0">
                  <c:v>80.616016427104711</c:v>
                </c:pt>
                <c:pt idx="10">
                  <c:v>80</c:v>
                </c:pt>
                <c:pt idx="11">
                  <c:v>80</c:v>
                </c:pt>
                <c:pt idx="12">
                  <c:v>82</c:v>
                </c:pt>
                <c:pt idx="13" formatCode="0">
                  <c:v>82.999128160418522</c:v>
                </c:pt>
                <c:pt idx="14" formatCode="0">
                  <c:v>85.930047694753569</c:v>
                </c:pt>
                <c:pt idx="15">
                  <c:v>43</c:v>
                </c:pt>
                <c:pt idx="16">
                  <c:v>58</c:v>
                </c:pt>
                <c:pt idx="17">
                  <c:v>67</c:v>
                </c:pt>
                <c:pt idx="18" formatCode="0">
                  <c:v>73.70590929912963</c:v>
                </c:pt>
                <c:pt idx="19" formatCode="0">
                  <c:v>75.393612235717526</c:v>
                </c:pt>
              </c:numCache>
            </c:numRef>
          </c:val>
        </c:ser>
        <c:ser>
          <c:idx val="2"/>
          <c:order val="2"/>
          <c:tx>
            <c:strRef>
              <c:f>Динамика!$A$189</c:f>
              <c:strCache>
                <c:ptCount val="1"/>
                <c:pt idx="0">
                  <c:v>Магистры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(Динамика!$C$185:$G$186,Динамика!$I$185:$M$186,Динамика!$O$185:$S$186,Динамика!$U$185:$Y$186)</c:f>
              <c:multiLvlStrCache>
                <c:ptCount val="20"/>
                <c:lvl>
                  <c:pt idx="0">
                    <c:v>2009-2010</c:v>
                  </c:pt>
                  <c:pt idx="1">
                    <c:v>2010-2011</c:v>
                  </c:pt>
                  <c:pt idx="2">
                    <c:v>2011-2012</c:v>
                  </c:pt>
                  <c:pt idx="3">
                    <c:v>2012-2013</c:v>
                  </c:pt>
                  <c:pt idx="4">
                    <c:v>2013-2014</c:v>
                  </c:pt>
                  <c:pt idx="5">
                    <c:v>2009-2010</c:v>
                  </c:pt>
                  <c:pt idx="6">
                    <c:v>2010-2011</c:v>
                  </c:pt>
                  <c:pt idx="7">
                    <c:v>2011-2012</c:v>
                  </c:pt>
                  <c:pt idx="8">
                    <c:v>2012-2013</c:v>
                  </c:pt>
                  <c:pt idx="9">
                    <c:v>2013-2014</c:v>
                  </c:pt>
                  <c:pt idx="10">
                    <c:v>2009-2010</c:v>
                  </c:pt>
                  <c:pt idx="11">
                    <c:v>2010-2011</c:v>
                  </c:pt>
                  <c:pt idx="12">
                    <c:v>2011-2012</c:v>
                  </c:pt>
                  <c:pt idx="13">
                    <c:v>2012-2013</c:v>
                  </c:pt>
                  <c:pt idx="14">
                    <c:v>2013-2014</c:v>
                  </c:pt>
                  <c:pt idx="15">
                    <c:v>2009-2010</c:v>
                  </c:pt>
                  <c:pt idx="16">
                    <c:v>2010-2011</c:v>
                  </c:pt>
                  <c:pt idx="17">
                    <c:v>2011-2012</c:v>
                  </c:pt>
                  <c:pt idx="18">
                    <c:v>2012-2013</c:v>
                  </c:pt>
                  <c:pt idx="19">
                    <c:v>2013-2014</c:v>
                  </c:pt>
                </c:lvl>
                <c:lvl>
                  <c:pt idx="0">
                    <c:v>Москва</c:v>
                  </c:pt>
                  <c:pt idx="5">
                    <c:v>Санкт-Петербург</c:v>
                  </c:pt>
                  <c:pt idx="10">
                    <c:v>Пермь</c:v>
                  </c:pt>
                  <c:pt idx="15">
                    <c:v>Нижний-Новгород</c:v>
                  </c:pt>
                </c:lvl>
              </c:multiLvlStrCache>
            </c:multiLvlStrRef>
          </c:cat>
          <c:val>
            <c:numRef>
              <c:f>(Динамика!$C$189:$G$189,Динамика!$I$189:$M$189,Динамика!$O$189:$S$189,Динамика!$U$189:$Y$189)</c:f>
              <c:numCache>
                <c:formatCode>General</c:formatCode>
                <c:ptCount val="20"/>
                <c:pt idx="0">
                  <c:v>19</c:v>
                </c:pt>
                <c:pt idx="1">
                  <c:v>23</c:v>
                </c:pt>
                <c:pt idx="2">
                  <c:v>24</c:v>
                </c:pt>
                <c:pt idx="3" formatCode="0">
                  <c:v>21.770896172665729</c:v>
                </c:pt>
                <c:pt idx="4" formatCode="0">
                  <c:v>21.832900753924111</c:v>
                </c:pt>
                <c:pt idx="5">
                  <c:v>6</c:v>
                </c:pt>
                <c:pt idx="6">
                  <c:v>10</c:v>
                </c:pt>
                <c:pt idx="7">
                  <c:v>12</c:v>
                </c:pt>
                <c:pt idx="8" formatCode="0">
                  <c:v>12.754065040650364</c:v>
                </c:pt>
                <c:pt idx="9" formatCode="0">
                  <c:v>12.566735112936374</c:v>
                </c:pt>
                <c:pt idx="10">
                  <c:v>14</c:v>
                </c:pt>
                <c:pt idx="11">
                  <c:v>20</c:v>
                </c:pt>
                <c:pt idx="12">
                  <c:v>18</c:v>
                </c:pt>
                <c:pt idx="13" formatCode="0">
                  <c:v>17.000871839581521</c:v>
                </c:pt>
                <c:pt idx="14" formatCode="0">
                  <c:v>14.069952305246424</c:v>
                </c:pt>
                <c:pt idx="15">
                  <c:v>7</c:v>
                </c:pt>
                <c:pt idx="16">
                  <c:v>11</c:v>
                </c:pt>
                <c:pt idx="17">
                  <c:v>15</c:v>
                </c:pt>
                <c:pt idx="18" formatCode="0">
                  <c:v>16.491067338524889</c:v>
                </c:pt>
                <c:pt idx="19" formatCode="0">
                  <c:v>19.523166891587852</c:v>
                </c:pt>
              </c:numCache>
            </c:numRef>
          </c:val>
        </c:ser>
        <c:dLbls>
          <c:showLegendKey val="0"/>
          <c:showVal val="1"/>
          <c:showCatName val="0"/>
          <c:showSerName val="0"/>
          <c:showPercent val="0"/>
          <c:showBubbleSize val="0"/>
        </c:dLbls>
        <c:gapWidth val="150"/>
        <c:overlap val="100"/>
        <c:axId val="445403904"/>
        <c:axId val="445405440"/>
      </c:barChart>
      <c:catAx>
        <c:axId val="445403904"/>
        <c:scaling>
          <c:orientation val="minMax"/>
        </c:scaling>
        <c:delete val="0"/>
        <c:axPos val="l"/>
        <c:numFmt formatCode="General" sourceLinked="1"/>
        <c:majorTickMark val="out"/>
        <c:minorTickMark val="none"/>
        <c:tickLblPos val="nextTo"/>
        <c:crossAx val="445405440"/>
        <c:crosses val="autoZero"/>
        <c:auto val="1"/>
        <c:lblAlgn val="ctr"/>
        <c:lblOffset val="100"/>
        <c:noMultiLvlLbl val="0"/>
      </c:catAx>
      <c:valAx>
        <c:axId val="445405440"/>
        <c:scaling>
          <c:orientation val="minMax"/>
          <c:max val="1"/>
        </c:scaling>
        <c:delete val="0"/>
        <c:axPos val="b"/>
        <c:majorGridlines/>
        <c:numFmt formatCode="0%" sourceLinked="1"/>
        <c:majorTickMark val="out"/>
        <c:minorTickMark val="none"/>
        <c:tickLblPos val="nextTo"/>
        <c:crossAx val="445403904"/>
        <c:crosses val="autoZero"/>
        <c:crossBetween val="between"/>
        <c:majorUnit val="0.1"/>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ru-RU" sz="1050"/>
              <a:t>Динамика среднего количества дисциплин по циклам в БУПах магистров (для наборов 201</a:t>
            </a:r>
            <a:r>
              <a:rPr lang="en-US" sz="1050"/>
              <a:t>2</a:t>
            </a:r>
            <a:r>
              <a:rPr lang="ru-RU" sz="1050"/>
              <a:t> и 201</a:t>
            </a:r>
            <a:r>
              <a:rPr lang="en-US" sz="1050"/>
              <a:t>3</a:t>
            </a:r>
            <a:r>
              <a:rPr lang="ru-RU" sz="1050"/>
              <a:t> годов)</a:t>
            </a:r>
          </a:p>
        </c:rich>
      </c:tx>
      <c:overlay val="0"/>
      <c:spPr>
        <a:noFill/>
        <a:ln w="25400">
          <a:noFill/>
        </a:ln>
      </c:spPr>
    </c:title>
    <c:autoTitleDeleted val="0"/>
    <c:plotArea>
      <c:layout/>
      <c:barChart>
        <c:barDir val="col"/>
        <c:grouping val="clustered"/>
        <c:varyColors val="0"/>
        <c:ser>
          <c:idx val="0"/>
          <c:order val="0"/>
          <c:tx>
            <c:strRef>
              <c:f>Лист1!$B$1</c:f>
              <c:strCache>
                <c:ptCount val="1"/>
                <c:pt idx="0">
                  <c:v>Цикл дисциплин  направления</c:v>
                </c:pt>
              </c:strCache>
            </c:strRef>
          </c:tx>
          <c:spPr>
            <a:solidFill>
              <a:schemeClr val="accent2">
                <a:lumMod val="75000"/>
              </a:schemeClr>
            </a:solidFill>
            <a:ln>
              <a:solidFill>
                <a:prstClr val="black"/>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набор 2012</c:v>
                </c:pt>
                <c:pt idx="1">
                  <c:v>набор 2013</c:v>
                </c:pt>
              </c:strCache>
            </c:strRef>
          </c:cat>
          <c:val>
            <c:numRef>
              <c:f>Лист1!$B$2:$B$3</c:f>
              <c:numCache>
                <c:formatCode>General</c:formatCode>
                <c:ptCount val="2"/>
                <c:pt idx="0">
                  <c:v>2.4699999999999998</c:v>
                </c:pt>
                <c:pt idx="1">
                  <c:v>2.4</c:v>
                </c:pt>
              </c:numCache>
            </c:numRef>
          </c:val>
        </c:ser>
        <c:ser>
          <c:idx val="1"/>
          <c:order val="1"/>
          <c:tx>
            <c:strRef>
              <c:f>Лист1!$C$1</c:f>
              <c:strCache>
                <c:ptCount val="1"/>
                <c:pt idx="0">
                  <c:v>цикл дисциплин программы</c:v>
                </c:pt>
              </c:strCache>
            </c:strRef>
          </c:tx>
          <c:spPr>
            <a:solidFill>
              <a:schemeClr val="tx2">
                <a:lumMod val="40000"/>
                <a:lumOff val="60000"/>
              </a:schemeClr>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набор 2012</c:v>
                </c:pt>
                <c:pt idx="1">
                  <c:v>набор 2013</c:v>
                </c:pt>
              </c:strCache>
            </c:strRef>
          </c:cat>
          <c:val>
            <c:numRef>
              <c:f>Лист1!$C$2:$C$3</c:f>
              <c:numCache>
                <c:formatCode>General</c:formatCode>
                <c:ptCount val="2"/>
                <c:pt idx="0">
                  <c:v>10.4</c:v>
                </c:pt>
                <c:pt idx="1">
                  <c:v>10.3</c:v>
                </c:pt>
              </c:numCache>
            </c:numRef>
          </c:val>
        </c:ser>
        <c:dLbls>
          <c:showLegendKey val="0"/>
          <c:showVal val="0"/>
          <c:showCatName val="0"/>
          <c:showSerName val="0"/>
          <c:showPercent val="0"/>
          <c:showBubbleSize val="0"/>
        </c:dLbls>
        <c:gapWidth val="150"/>
        <c:axId val="329860224"/>
        <c:axId val="329861760"/>
      </c:barChart>
      <c:catAx>
        <c:axId val="329860224"/>
        <c:scaling>
          <c:orientation val="minMax"/>
        </c:scaling>
        <c:delete val="0"/>
        <c:axPos val="b"/>
        <c:numFmt formatCode="General" sourceLinked="1"/>
        <c:majorTickMark val="none"/>
        <c:minorTickMark val="none"/>
        <c:tickLblPos val="nextTo"/>
        <c:crossAx val="329861760"/>
        <c:crosses val="autoZero"/>
        <c:auto val="1"/>
        <c:lblAlgn val="ctr"/>
        <c:lblOffset val="100"/>
        <c:noMultiLvlLbl val="0"/>
      </c:catAx>
      <c:valAx>
        <c:axId val="329861760"/>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Количество дисциплин</a:t>
                </a:r>
              </a:p>
            </c:rich>
          </c:tx>
          <c:overlay val="0"/>
          <c:spPr>
            <a:noFill/>
            <a:ln w="25400">
              <a:noFill/>
            </a:ln>
          </c:spPr>
        </c:title>
        <c:numFmt formatCode="General" sourceLinked="1"/>
        <c:majorTickMark val="out"/>
        <c:minorTickMark val="none"/>
        <c:tickLblPos val="nextTo"/>
        <c:crossAx val="329860224"/>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b="1" i="0" baseline="0"/>
              <a:t>Соотношение студентов по  признаку "бюджет - коммерция" за последние пять лет (Москва, Москва+филиалы</a:t>
            </a:r>
            <a:r>
              <a:rPr lang="en-US" sz="1100" b="1" i="0" baseline="0"/>
              <a:t>)</a:t>
            </a:r>
            <a:endParaRPr lang="ru-RU" sz="1100" b="1" i="0" baseline="0"/>
          </a:p>
        </c:rich>
      </c:tx>
      <c:overlay val="0"/>
    </c:title>
    <c:autoTitleDeleted val="0"/>
    <c:plotArea>
      <c:layout>
        <c:manualLayout>
          <c:layoutTarget val="inner"/>
          <c:xMode val="edge"/>
          <c:yMode val="edge"/>
          <c:x val="9.1617601853822284E-2"/>
          <c:y val="0.14690130521138842"/>
          <c:w val="0.88195597171975049"/>
          <c:h val="0.2978801550531478"/>
        </c:manualLayout>
      </c:layout>
      <c:barChart>
        <c:barDir val="col"/>
        <c:grouping val="percentStacked"/>
        <c:varyColors val="0"/>
        <c:ser>
          <c:idx val="0"/>
          <c:order val="0"/>
          <c:tx>
            <c:strRef>
              <c:f>Динамика!$A$112</c:f>
              <c:strCache>
                <c:ptCount val="1"/>
                <c:pt idx="0">
                  <c:v>бюджет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Динамика!$B$110:$K$111</c:f>
              <c:multiLvlStrCache>
                <c:ptCount val="10"/>
                <c:lvl>
                  <c:pt idx="0">
                    <c:v>Москва</c:v>
                  </c:pt>
                  <c:pt idx="1">
                    <c:v>Москва+филиалы</c:v>
                  </c:pt>
                  <c:pt idx="2">
                    <c:v>Москва</c:v>
                  </c:pt>
                  <c:pt idx="3">
                    <c:v>Москва+филиалы</c:v>
                  </c:pt>
                  <c:pt idx="4">
                    <c:v>Москва</c:v>
                  </c:pt>
                  <c:pt idx="5">
                    <c:v>Москва+филиалы</c:v>
                  </c:pt>
                  <c:pt idx="6">
                    <c:v>Москва</c:v>
                  </c:pt>
                  <c:pt idx="7">
                    <c:v>Москва+филиалы</c:v>
                  </c:pt>
                  <c:pt idx="8">
                    <c:v>Москва</c:v>
                  </c:pt>
                  <c:pt idx="9">
                    <c:v>Москва+филиалы</c:v>
                  </c:pt>
                </c:lvl>
                <c:lvl>
                  <c:pt idx="0">
                    <c:v>2009</c:v>
                  </c:pt>
                  <c:pt idx="2">
                    <c:v>2010</c:v>
                  </c:pt>
                  <c:pt idx="4">
                    <c:v>2011</c:v>
                  </c:pt>
                  <c:pt idx="6">
                    <c:v>2012</c:v>
                  </c:pt>
                  <c:pt idx="8">
                    <c:v>2013</c:v>
                  </c:pt>
                </c:lvl>
              </c:multiLvlStrCache>
            </c:multiLvlStrRef>
          </c:cat>
          <c:val>
            <c:numRef>
              <c:f>Динамика!$B$112:$K$112</c:f>
              <c:numCache>
                <c:formatCode>0</c:formatCode>
                <c:ptCount val="10"/>
                <c:pt idx="0">
                  <c:v>57.650894003753542</c:v>
                </c:pt>
                <c:pt idx="1">
                  <c:v>61.160433414890008</c:v>
                </c:pt>
                <c:pt idx="2">
                  <c:v>60.256635612585896</c:v>
                </c:pt>
                <c:pt idx="3">
                  <c:v>64.508706467661284</c:v>
                </c:pt>
                <c:pt idx="4">
                  <c:v>63.995411340544237</c:v>
                </c:pt>
                <c:pt idx="5">
                  <c:v>68.515950069348506</c:v>
                </c:pt>
                <c:pt idx="6">
                  <c:v>66.082930756843268</c:v>
                </c:pt>
                <c:pt idx="7">
                  <c:v>70.176220176219829</c:v>
                </c:pt>
                <c:pt idx="8">
                  <c:v>66.61104931405265</c:v>
                </c:pt>
                <c:pt idx="9">
                  <c:v>70.653452801157954</c:v>
                </c:pt>
              </c:numCache>
            </c:numRef>
          </c:val>
        </c:ser>
        <c:ser>
          <c:idx val="1"/>
          <c:order val="1"/>
          <c:tx>
            <c:strRef>
              <c:f>Динамика!$A$113</c:f>
              <c:strCache>
                <c:ptCount val="1"/>
                <c:pt idx="0">
                  <c:v>коммерция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Динамика!$B$110:$K$111</c:f>
              <c:multiLvlStrCache>
                <c:ptCount val="10"/>
                <c:lvl>
                  <c:pt idx="0">
                    <c:v>Москва</c:v>
                  </c:pt>
                  <c:pt idx="1">
                    <c:v>Москва+филиалы</c:v>
                  </c:pt>
                  <c:pt idx="2">
                    <c:v>Москва</c:v>
                  </c:pt>
                  <c:pt idx="3">
                    <c:v>Москва+филиалы</c:v>
                  </c:pt>
                  <c:pt idx="4">
                    <c:v>Москва</c:v>
                  </c:pt>
                  <c:pt idx="5">
                    <c:v>Москва+филиалы</c:v>
                  </c:pt>
                  <c:pt idx="6">
                    <c:v>Москва</c:v>
                  </c:pt>
                  <c:pt idx="7">
                    <c:v>Москва+филиалы</c:v>
                  </c:pt>
                  <c:pt idx="8">
                    <c:v>Москва</c:v>
                  </c:pt>
                  <c:pt idx="9">
                    <c:v>Москва+филиалы</c:v>
                  </c:pt>
                </c:lvl>
                <c:lvl>
                  <c:pt idx="0">
                    <c:v>2009</c:v>
                  </c:pt>
                  <c:pt idx="2">
                    <c:v>2010</c:v>
                  </c:pt>
                  <c:pt idx="4">
                    <c:v>2011</c:v>
                  </c:pt>
                  <c:pt idx="6">
                    <c:v>2012</c:v>
                  </c:pt>
                  <c:pt idx="8">
                    <c:v>2013</c:v>
                  </c:pt>
                </c:lvl>
              </c:multiLvlStrCache>
            </c:multiLvlStrRef>
          </c:cat>
          <c:val>
            <c:numRef>
              <c:f>Динамика!$B$113:$K$113</c:f>
              <c:numCache>
                <c:formatCode>0</c:formatCode>
                <c:ptCount val="10"/>
                <c:pt idx="0">
                  <c:v>42.349105996246095</c:v>
                </c:pt>
                <c:pt idx="1">
                  <c:v>38.839566585109999</c:v>
                </c:pt>
                <c:pt idx="2">
                  <c:v>39.743364387414296</c:v>
                </c:pt>
                <c:pt idx="3">
                  <c:v>35.491293532338297</c:v>
                </c:pt>
                <c:pt idx="4">
                  <c:v>36.004588659455905</c:v>
                </c:pt>
                <c:pt idx="5">
                  <c:v>31.484049930651704</c:v>
                </c:pt>
                <c:pt idx="6">
                  <c:v>33.917069243156021</c:v>
                </c:pt>
                <c:pt idx="7">
                  <c:v>29.823779823779727</c:v>
                </c:pt>
                <c:pt idx="8">
                  <c:v>33.388950685947194</c:v>
                </c:pt>
                <c:pt idx="9">
                  <c:v>29.34654719884152</c:v>
                </c:pt>
              </c:numCache>
            </c:numRef>
          </c:val>
        </c:ser>
        <c:dLbls>
          <c:showLegendKey val="0"/>
          <c:showVal val="1"/>
          <c:showCatName val="0"/>
          <c:showSerName val="0"/>
          <c:showPercent val="0"/>
          <c:showBubbleSize val="0"/>
        </c:dLbls>
        <c:gapWidth val="150"/>
        <c:overlap val="100"/>
        <c:axId val="445448192"/>
        <c:axId val="445449728"/>
      </c:barChart>
      <c:catAx>
        <c:axId val="445448192"/>
        <c:scaling>
          <c:orientation val="minMax"/>
        </c:scaling>
        <c:delete val="0"/>
        <c:axPos val="b"/>
        <c:numFmt formatCode="General" sourceLinked="0"/>
        <c:majorTickMark val="out"/>
        <c:minorTickMark val="none"/>
        <c:tickLblPos val="nextTo"/>
        <c:crossAx val="445449728"/>
        <c:crosses val="autoZero"/>
        <c:auto val="1"/>
        <c:lblAlgn val="ctr"/>
        <c:lblOffset val="100"/>
        <c:noMultiLvlLbl val="0"/>
      </c:catAx>
      <c:valAx>
        <c:axId val="445449728"/>
        <c:scaling>
          <c:orientation val="minMax"/>
        </c:scaling>
        <c:delete val="0"/>
        <c:axPos val="l"/>
        <c:majorGridlines/>
        <c:numFmt formatCode="0%" sourceLinked="1"/>
        <c:majorTickMark val="out"/>
        <c:minorTickMark val="none"/>
        <c:tickLblPos val="nextTo"/>
        <c:crossAx val="445448192"/>
        <c:crosses val="autoZero"/>
        <c:crossBetween val="between"/>
        <c:majorUnit val="0.2"/>
      </c:valAx>
    </c:plotArea>
    <c:legend>
      <c:legendPos val="b"/>
      <c:layout>
        <c:manualLayout>
          <c:xMode val="edge"/>
          <c:yMode val="edge"/>
          <c:x val="0.31942872005864298"/>
          <c:y val="0.92248842228054795"/>
          <c:w val="0.31309432266912601"/>
          <c:h val="7.7511574398395899E-2"/>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1" i="0" u="none" strike="noStrike" kern="1200" baseline="0">
                <a:solidFill>
                  <a:sysClr val="windowText" lastClr="000000"/>
                </a:solidFill>
                <a:latin typeface="+mn-lt"/>
                <a:ea typeface="+mn-ea"/>
                <a:cs typeface="+mn-cs"/>
              </a:rPr>
              <a:t>Соотношение контингента  НИУ ВШЭ по признаку "бюджет-коммерция" в динамике за последние пять лет (Москва и филиалы)</a:t>
            </a:r>
          </a:p>
        </c:rich>
      </c:tx>
      <c:overlay val="0"/>
    </c:title>
    <c:autoTitleDeleted val="0"/>
    <c:plotArea>
      <c:layout/>
      <c:barChart>
        <c:barDir val="col"/>
        <c:grouping val="percentStacked"/>
        <c:varyColors val="0"/>
        <c:ser>
          <c:idx val="0"/>
          <c:order val="0"/>
          <c:tx>
            <c:strRef>
              <c:f>Динамика!$A$233</c:f>
              <c:strCache>
                <c:ptCount val="1"/>
                <c:pt idx="0">
                  <c:v>бюджет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(Динамика!$C$231:$G$232,Динамика!$I$231:$M$232,Динамика!$O$231:$S$232,Динамика!$U$231:$Y$232)</c:f>
              <c:multiLvlStrCache>
                <c:ptCount val="20"/>
                <c:lvl>
                  <c:pt idx="0">
                    <c:v>2009-2010</c:v>
                  </c:pt>
                  <c:pt idx="1">
                    <c:v>2010-2011</c:v>
                  </c:pt>
                  <c:pt idx="2">
                    <c:v>2011-2012</c:v>
                  </c:pt>
                  <c:pt idx="3">
                    <c:v>2012-2013</c:v>
                  </c:pt>
                  <c:pt idx="4">
                    <c:v>2013-2014</c:v>
                  </c:pt>
                  <c:pt idx="5">
                    <c:v>2009-2010</c:v>
                  </c:pt>
                  <c:pt idx="6">
                    <c:v>2010-2011</c:v>
                  </c:pt>
                  <c:pt idx="7">
                    <c:v>2011-2012</c:v>
                  </c:pt>
                  <c:pt idx="8">
                    <c:v>2012-2013</c:v>
                  </c:pt>
                  <c:pt idx="9">
                    <c:v>2013-2014</c:v>
                  </c:pt>
                  <c:pt idx="10">
                    <c:v>2009-2010</c:v>
                  </c:pt>
                  <c:pt idx="11">
                    <c:v>2010-2011</c:v>
                  </c:pt>
                  <c:pt idx="12">
                    <c:v>2011-2012</c:v>
                  </c:pt>
                  <c:pt idx="13">
                    <c:v>2012-2013</c:v>
                  </c:pt>
                  <c:pt idx="14">
                    <c:v>2013-2014</c:v>
                  </c:pt>
                  <c:pt idx="15">
                    <c:v>2009-2010</c:v>
                  </c:pt>
                  <c:pt idx="16">
                    <c:v>2010-2011</c:v>
                  </c:pt>
                  <c:pt idx="17">
                    <c:v>2011-2012</c:v>
                  </c:pt>
                  <c:pt idx="18">
                    <c:v>2012-2013</c:v>
                  </c:pt>
                  <c:pt idx="19">
                    <c:v>2013-2014</c:v>
                  </c:pt>
                </c:lvl>
                <c:lvl>
                  <c:pt idx="0">
                    <c:v>Москва</c:v>
                  </c:pt>
                  <c:pt idx="5">
                    <c:v>Санкт-Петербург</c:v>
                  </c:pt>
                  <c:pt idx="10">
                    <c:v>Пермь</c:v>
                  </c:pt>
                  <c:pt idx="15">
                    <c:v>Нижний-Новгород</c:v>
                  </c:pt>
                </c:lvl>
              </c:multiLvlStrCache>
            </c:multiLvlStrRef>
          </c:cat>
          <c:val>
            <c:numRef>
              <c:f>(Динамика!$C$233:$G$233,Динамика!$I$233:$M$233,Динамика!$O$233:$S$233,Динамика!$U$233:$Y$233)</c:f>
              <c:numCache>
                <c:formatCode>General</c:formatCode>
                <c:ptCount val="20"/>
                <c:pt idx="0">
                  <c:v>65</c:v>
                </c:pt>
                <c:pt idx="1">
                  <c:v>60</c:v>
                </c:pt>
                <c:pt idx="2">
                  <c:v>64</c:v>
                </c:pt>
                <c:pt idx="3" formatCode="0">
                  <c:v>66.082930756843297</c:v>
                </c:pt>
                <c:pt idx="4" formatCode="0">
                  <c:v>66.61104931405265</c:v>
                </c:pt>
                <c:pt idx="5">
                  <c:v>80</c:v>
                </c:pt>
                <c:pt idx="6">
                  <c:v>86</c:v>
                </c:pt>
                <c:pt idx="7">
                  <c:v>89</c:v>
                </c:pt>
                <c:pt idx="8" formatCode="0">
                  <c:v>86.991869918699223</c:v>
                </c:pt>
                <c:pt idx="9" formatCode="0">
                  <c:v>85.872689938398352</c:v>
                </c:pt>
                <c:pt idx="10">
                  <c:v>67</c:v>
                </c:pt>
                <c:pt idx="11">
                  <c:v>72</c:v>
                </c:pt>
                <c:pt idx="12">
                  <c:v>80</c:v>
                </c:pt>
                <c:pt idx="13" formatCode="0">
                  <c:v>84.82999128160418</c:v>
                </c:pt>
                <c:pt idx="14" formatCode="0">
                  <c:v>82.273449920508739</c:v>
                </c:pt>
                <c:pt idx="15">
                  <c:v>62</c:v>
                </c:pt>
                <c:pt idx="16">
                  <c:v>67</c:v>
                </c:pt>
                <c:pt idx="17">
                  <c:v>71</c:v>
                </c:pt>
                <c:pt idx="18" formatCode="0">
                  <c:v>75.263398992212544</c:v>
                </c:pt>
                <c:pt idx="19" formatCode="0">
                  <c:v>76.833108412055267</c:v>
                </c:pt>
              </c:numCache>
            </c:numRef>
          </c:val>
        </c:ser>
        <c:ser>
          <c:idx val="1"/>
          <c:order val="1"/>
          <c:tx>
            <c:strRef>
              <c:f>Динамика!$A$234</c:f>
              <c:strCache>
                <c:ptCount val="1"/>
                <c:pt idx="0">
                  <c:v>коммерция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(Динамика!$C$231:$G$232,Динамика!$I$231:$M$232,Динамика!$O$231:$S$232,Динамика!$U$231:$Y$232)</c:f>
              <c:multiLvlStrCache>
                <c:ptCount val="20"/>
                <c:lvl>
                  <c:pt idx="0">
                    <c:v>2009-2010</c:v>
                  </c:pt>
                  <c:pt idx="1">
                    <c:v>2010-2011</c:v>
                  </c:pt>
                  <c:pt idx="2">
                    <c:v>2011-2012</c:v>
                  </c:pt>
                  <c:pt idx="3">
                    <c:v>2012-2013</c:v>
                  </c:pt>
                  <c:pt idx="4">
                    <c:v>2013-2014</c:v>
                  </c:pt>
                  <c:pt idx="5">
                    <c:v>2009-2010</c:v>
                  </c:pt>
                  <c:pt idx="6">
                    <c:v>2010-2011</c:v>
                  </c:pt>
                  <c:pt idx="7">
                    <c:v>2011-2012</c:v>
                  </c:pt>
                  <c:pt idx="8">
                    <c:v>2012-2013</c:v>
                  </c:pt>
                  <c:pt idx="9">
                    <c:v>2013-2014</c:v>
                  </c:pt>
                  <c:pt idx="10">
                    <c:v>2009-2010</c:v>
                  </c:pt>
                  <c:pt idx="11">
                    <c:v>2010-2011</c:v>
                  </c:pt>
                  <c:pt idx="12">
                    <c:v>2011-2012</c:v>
                  </c:pt>
                  <c:pt idx="13">
                    <c:v>2012-2013</c:v>
                  </c:pt>
                  <c:pt idx="14">
                    <c:v>2013-2014</c:v>
                  </c:pt>
                  <c:pt idx="15">
                    <c:v>2009-2010</c:v>
                  </c:pt>
                  <c:pt idx="16">
                    <c:v>2010-2011</c:v>
                  </c:pt>
                  <c:pt idx="17">
                    <c:v>2011-2012</c:v>
                  </c:pt>
                  <c:pt idx="18">
                    <c:v>2012-2013</c:v>
                  </c:pt>
                  <c:pt idx="19">
                    <c:v>2013-2014</c:v>
                  </c:pt>
                </c:lvl>
                <c:lvl>
                  <c:pt idx="0">
                    <c:v>Москва</c:v>
                  </c:pt>
                  <c:pt idx="5">
                    <c:v>Санкт-Петербург</c:v>
                  </c:pt>
                  <c:pt idx="10">
                    <c:v>Пермь</c:v>
                  </c:pt>
                  <c:pt idx="15">
                    <c:v>Нижний-Новгород</c:v>
                  </c:pt>
                </c:lvl>
              </c:multiLvlStrCache>
            </c:multiLvlStrRef>
          </c:cat>
          <c:val>
            <c:numRef>
              <c:f>(Динамика!$C$234:$G$234,Динамика!$I$234:$M$234,Динамика!$O$234:$S$234,Динамика!$U$234:$Y$234)</c:f>
              <c:numCache>
                <c:formatCode>General</c:formatCode>
                <c:ptCount val="20"/>
                <c:pt idx="0">
                  <c:v>35</c:v>
                </c:pt>
                <c:pt idx="1">
                  <c:v>40</c:v>
                </c:pt>
                <c:pt idx="2">
                  <c:v>36</c:v>
                </c:pt>
                <c:pt idx="3" formatCode="0">
                  <c:v>33.917069243156028</c:v>
                </c:pt>
                <c:pt idx="4" formatCode="0">
                  <c:v>33.388950685947194</c:v>
                </c:pt>
                <c:pt idx="5">
                  <c:v>20</c:v>
                </c:pt>
                <c:pt idx="6">
                  <c:v>14</c:v>
                </c:pt>
                <c:pt idx="7">
                  <c:v>11</c:v>
                </c:pt>
                <c:pt idx="8" formatCode="0">
                  <c:v>13.008130081300799</c:v>
                </c:pt>
                <c:pt idx="9" formatCode="0">
                  <c:v>14.127310061601641</c:v>
                </c:pt>
                <c:pt idx="10">
                  <c:v>33</c:v>
                </c:pt>
                <c:pt idx="11">
                  <c:v>28</c:v>
                </c:pt>
                <c:pt idx="12">
                  <c:v>20</c:v>
                </c:pt>
                <c:pt idx="13" formatCode="0">
                  <c:v>15.170008718395819</c:v>
                </c:pt>
                <c:pt idx="14" formatCode="0">
                  <c:v>17.726550079491229</c:v>
                </c:pt>
                <c:pt idx="15">
                  <c:v>38</c:v>
                </c:pt>
                <c:pt idx="16">
                  <c:v>33</c:v>
                </c:pt>
                <c:pt idx="17">
                  <c:v>29</c:v>
                </c:pt>
                <c:pt idx="18" formatCode="0">
                  <c:v>24.736601007787449</c:v>
                </c:pt>
                <c:pt idx="19" formatCode="0">
                  <c:v>23.166891587944221</c:v>
                </c:pt>
              </c:numCache>
            </c:numRef>
          </c:val>
        </c:ser>
        <c:dLbls>
          <c:showLegendKey val="0"/>
          <c:showVal val="1"/>
          <c:showCatName val="0"/>
          <c:showSerName val="0"/>
          <c:showPercent val="0"/>
          <c:showBubbleSize val="0"/>
        </c:dLbls>
        <c:gapWidth val="150"/>
        <c:overlap val="100"/>
        <c:axId val="445479936"/>
        <c:axId val="445485824"/>
      </c:barChart>
      <c:catAx>
        <c:axId val="445479936"/>
        <c:scaling>
          <c:orientation val="minMax"/>
        </c:scaling>
        <c:delete val="0"/>
        <c:axPos val="b"/>
        <c:numFmt formatCode="General" sourceLinked="1"/>
        <c:majorTickMark val="out"/>
        <c:minorTickMark val="none"/>
        <c:tickLblPos val="nextTo"/>
        <c:crossAx val="445485824"/>
        <c:crosses val="autoZero"/>
        <c:auto val="1"/>
        <c:lblAlgn val="ctr"/>
        <c:lblOffset val="100"/>
        <c:noMultiLvlLbl val="0"/>
      </c:catAx>
      <c:valAx>
        <c:axId val="445485824"/>
        <c:scaling>
          <c:orientation val="minMax"/>
        </c:scaling>
        <c:delete val="0"/>
        <c:axPos val="l"/>
        <c:majorGridlines/>
        <c:numFmt formatCode="0%" sourceLinked="1"/>
        <c:majorTickMark val="out"/>
        <c:minorTickMark val="none"/>
        <c:tickLblPos val="nextTo"/>
        <c:crossAx val="445479936"/>
        <c:crosses val="autoZero"/>
        <c:crossBetween val="between"/>
        <c:majorUnit val="0.2"/>
      </c:valAx>
    </c:plotArea>
    <c:legend>
      <c:legendPos val="b"/>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1" i="0" u="none" strike="noStrike" kern="1200" baseline="0">
                <a:solidFill>
                  <a:sysClr val="windowText" lastClr="000000"/>
                </a:solidFill>
                <a:latin typeface="+mn-lt"/>
                <a:ea typeface="+mn-ea"/>
                <a:cs typeface="+mn-cs"/>
              </a:rPr>
              <a:t>Структура контингента студентов 2012/2013учебного года по признаку бюджет/коммерция(Москва и филиалы)</a:t>
            </a:r>
          </a:p>
        </c:rich>
      </c:tx>
      <c:overlay val="0"/>
    </c:title>
    <c:autoTitleDeleted val="0"/>
    <c:plotArea>
      <c:layout>
        <c:manualLayout>
          <c:layoutTarget val="inner"/>
          <c:xMode val="edge"/>
          <c:yMode val="edge"/>
          <c:x val="9.7535150454149525E-2"/>
          <c:y val="0.18303166914065888"/>
          <c:w val="0.87754308681886595"/>
          <c:h val="0.35111004955632136"/>
        </c:manualLayout>
      </c:layout>
      <c:barChart>
        <c:barDir val="col"/>
        <c:grouping val="percentStacked"/>
        <c:varyColors val="0"/>
        <c:ser>
          <c:idx val="0"/>
          <c:order val="0"/>
          <c:tx>
            <c:strRef>
              <c:f>Динамика!$A$299</c:f>
              <c:strCache>
                <c:ptCount val="1"/>
                <c:pt idx="0">
                  <c:v>бюджет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Динамика!$B$297:$M$298</c:f>
              <c:multiLvlStrCache>
                <c:ptCount val="12"/>
                <c:lvl>
                  <c:pt idx="0">
                    <c:v>специалисты</c:v>
                  </c:pt>
                  <c:pt idx="1">
                    <c:v>бакалавры</c:v>
                  </c:pt>
                  <c:pt idx="2">
                    <c:v>магистры</c:v>
                  </c:pt>
                  <c:pt idx="3">
                    <c:v>специалисты</c:v>
                  </c:pt>
                  <c:pt idx="4">
                    <c:v>бакалавры</c:v>
                  </c:pt>
                  <c:pt idx="5">
                    <c:v>магистры</c:v>
                  </c:pt>
                  <c:pt idx="6">
                    <c:v>специалисты</c:v>
                  </c:pt>
                  <c:pt idx="7">
                    <c:v>бакалавры</c:v>
                  </c:pt>
                  <c:pt idx="8">
                    <c:v>магистры</c:v>
                  </c:pt>
                  <c:pt idx="9">
                    <c:v>специалисты</c:v>
                  </c:pt>
                  <c:pt idx="10">
                    <c:v>бакалавры</c:v>
                  </c:pt>
                  <c:pt idx="11">
                    <c:v>магистры</c:v>
                  </c:pt>
                </c:lvl>
                <c:lvl>
                  <c:pt idx="0">
                    <c:v>Москва</c:v>
                  </c:pt>
                  <c:pt idx="3">
                    <c:v>НН</c:v>
                  </c:pt>
                  <c:pt idx="6">
                    <c:v>Пермь</c:v>
                  </c:pt>
                  <c:pt idx="9">
                    <c:v>СПб</c:v>
                  </c:pt>
                </c:lvl>
              </c:multiLvlStrCache>
            </c:multiLvlStrRef>
          </c:cat>
          <c:val>
            <c:numRef>
              <c:f>Динамика!$B$299:$M$299</c:f>
              <c:numCache>
                <c:formatCode>0</c:formatCode>
                <c:ptCount val="12"/>
                <c:pt idx="0">
                  <c:v>66.920473773265655</c:v>
                </c:pt>
                <c:pt idx="1">
                  <c:v>61.864480683700833</c:v>
                </c:pt>
                <c:pt idx="2">
                  <c:v>81.913388055476759</c:v>
                </c:pt>
                <c:pt idx="3">
                  <c:v>56.637168141592923</c:v>
                </c:pt>
                <c:pt idx="4">
                  <c:v>74.045346062052388</c:v>
                </c:pt>
                <c:pt idx="5">
                  <c:v>92.857142857142748</c:v>
                </c:pt>
                <c:pt idx="6" formatCode="General">
                  <c:v>0</c:v>
                </c:pt>
                <c:pt idx="7">
                  <c:v>82.053654024051809</c:v>
                </c:pt>
                <c:pt idx="8">
                  <c:v>83.615819209039543</c:v>
                </c:pt>
                <c:pt idx="9">
                  <c:v>69.277108433734469</c:v>
                </c:pt>
                <c:pt idx="10">
                  <c:v>85.583290881304137</c:v>
                </c:pt>
                <c:pt idx="11">
                  <c:v>96.732026143790748</c:v>
                </c:pt>
              </c:numCache>
            </c:numRef>
          </c:val>
        </c:ser>
        <c:ser>
          <c:idx val="1"/>
          <c:order val="1"/>
          <c:tx>
            <c:strRef>
              <c:f>Динамика!$A$300</c:f>
              <c:strCache>
                <c:ptCount val="1"/>
                <c:pt idx="0">
                  <c:v>коммерция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Динамика!$B$297:$M$298</c:f>
              <c:multiLvlStrCache>
                <c:ptCount val="12"/>
                <c:lvl>
                  <c:pt idx="0">
                    <c:v>специалисты</c:v>
                  </c:pt>
                  <c:pt idx="1">
                    <c:v>бакалавры</c:v>
                  </c:pt>
                  <c:pt idx="2">
                    <c:v>магистры</c:v>
                  </c:pt>
                  <c:pt idx="3">
                    <c:v>специалисты</c:v>
                  </c:pt>
                  <c:pt idx="4">
                    <c:v>бакалавры</c:v>
                  </c:pt>
                  <c:pt idx="5">
                    <c:v>магистры</c:v>
                  </c:pt>
                  <c:pt idx="6">
                    <c:v>специалисты</c:v>
                  </c:pt>
                  <c:pt idx="7">
                    <c:v>бакалавры</c:v>
                  </c:pt>
                  <c:pt idx="8">
                    <c:v>магистры</c:v>
                  </c:pt>
                  <c:pt idx="9">
                    <c:v>специалисты</c:v>
                  </c:pt>
                  <c:pt idx="10">
                    <c:v>бакалавры</c:v>
                  </c:pt>
                  <c:pt idx="11">
                    <c:v>магистры</c:v>
                  </c:pt>
                </c:lvl>
                <c:lvl>
                  <c:pt idx="0">
                    <c:v>Москва</c:v>
                  </c:pt>
                  <c:pt idx="3">
                    <c:v>НН</c:v>
                  </c:pt>
                  <c:pt idx="6">
                    <c:v>Пермь</c:v>
                  </c:pt>
                  <c:pt idx="9">
                    <c:v>СПб</c:v>
                  </c:pt>
                </c:lvl>
              </c:multiLvlStrCache>
            </c:multiLvlStrRef>
          </c:cat>
          <c:val>
            <c:numRef>
              <c:f>Динамика!$B$300:$M$300</c:f>
              <c:numCache>
                <c:formatCode>0</c:formatCode>
                <c:ptCount val="12"/>
                <c:pt idx="0">
                  <c:v>33.079526226734352</c:v>
                </c:pt>
                <c:pt idx="1">
                  <c:v>38.135519316299138</c:v>
                </c:pt>
                <c:pt idx="2">
                  <c:v>18.086611944522925</c:v>
                </c:pt>
                <c:pt idx="3">
                  <c:v>43.362831858407077</c:v>
                </c:pt>
                <c:pt idx="4">
                  <c:v>25.954653937947487</c:v>
                </c:pt>
                <c:pt idx="5">
                  <c:v>7.1428571428571406</c:v>
                </c:pt>
                <c:pt idx="6" formatCode="General">
                  <c:v>0</c:v>
                </c:pt>
                <c:pt idx="7">
                  <c:v>17.946345975948105</c:v>
                </c:pt>
                <c:pt idx="8">
                  <c:v>16.38418079096045</c:v>
                </c:pt>
                <c:pt idx="9">
                  <c:v>30.722891566265059</c:v>
                </c:pt>
                <c:pt idx="10">
                  <c:v>14.41670911869587</c:v>
                </c:pt>
                <c:pt idx="11">
                  <c:v>3.2679738562091631</c:v>
                </c:pt>
              </c:numCache>
            </c:numRef>
          </c:val>
        </c:ser>
        <c:dLbls>
          <c:showLegendKey val="0"/>
          <c:showVal val="1"/>
          <c:showCatName val="0"/>
          <c:showSerName val="0"/>
          <c:showPercent val="0"/>
          <c:showBubbleSize val="0"/>
        </c:dLbls>
        <c:gapWidth val="150"/>
        <c:overlap val="100"/>
        <c:axId val="445507840"/>
        <c:axId val="445538304"/>
      </c:barChart>
      <c:catAx>
        <c:axId val="445507840"/>
        <c:scaling>
          <c:orientation val="minMax"/>
        </c:scaling>
        <c:delete val="0"/>
        <c:axPos val="b"/>
        <c:numFmt formatCode="General" sourceLinked="0"/>
        <c:majorTickMark val="out"/>
        <c:minorTickMark val="none"/>
        <c:tickLblPos val="nextTo"/>
        <c:txPr>
          <a:bodyPr/>
          <a:lstStyle/>
          <a:p>
            <a:pPr>
              <a:defRPr sz="900"/>
            </a:pPr>
            <a:endParaRPr lang="ru-RU"/>
          </a:p>
        </c:txPr>
        <c:crossAx val="445538304"/>
        <c:crosses val="autoZero"/>
        <c:auto val="1"/>
        <c:lblAlgn val="ctr"/>
        <c:lblOffset val="100"/>
        <c:noMultiLvlLbl val="0"/>
      </c:catAx>
      <c:valAx>
        <c:axId val="445538304"/>
        <c:scaling>
          <c:orientation val="minMax"/>
        </c:scaling>
        <c:delete val="0"/>
        <c:axPos val="l"/>
        <c:majorGridlines/>
        <c:numFmt formatCode="0%" sourceLinked="1"/>
        <c:majorTickMark val="out"/>
        <c:minorTickMark val="none"/>
        <c:tickLblPos val="nextTo"/>
        <c:crossAx val="445507840"/>
        <c:crosses val="autoZero"/>
        <c:crossBetween val="between"/>
        <c:majorUnit val="0.2"/>
      </c:valAx>
    </c:plotArea>
    <c:legend>
      <c:legendPos val="b"/>
      <c:layout>
        <c:manualLayout>
          <c:xMode val="edge"/>
          <c:yMode val="edge"/>
          <c:x val="0.28904902588050602"/>
          <c:y val="0.93892200844776397"/>
          <c:w val="0.42190194823898902"/>
          <c:h val="3.3319490511291898E-2"/>
        </c:manualLayou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i="0" u="none" strike="noStrike" baseline="0"/>
              <a:t>Сравнение доли победителей олимпиад, поступивших в 2012г.</a:t>
            </a:r>
            <a:br>
              <a:rPr lang="ru-RU" sz="1200" b="1" i="0" u="none" strike="noStrike" baseline="0"/>
            </a:br>
            <a:r>
              <a:rPr lang="ru-RU" sz="1200" b="1" i="0" u="none" strike="noStrike" baseline="0"/>
              <a:t> с долей победителей олимпиад, поступивших в 2010 и 2011</a:t>
            </a:r>
            <a:r>
              <a:rPr lang="en-US" sz="1200" b="1" i="0" u="none" strike="noStrike" baseline="0"/>
              <a:t> </a:t>
            </a:r>
            <a:r>
              <a:rPr lang="ru-RU" sz="1200" b="1" i="0" u="none" strike="noStrike" baseline="0"/>
              <a:t>гг. (Москва)</a:t>
            </a:r>
            <a:r>
              <a:rPr lang="ru-RU" sz="1800" b="1" i="0" u="none" strike="noStrike" baseline="0"/>
              <a:t/>
            </a:r>
            <a:br>
              <a:rPr lang="ru-RU" sz="1800" b="1" i="0" u="none" strike="noStrike" baseline="0"/>
            </a:br>
            <a:endParaRPr lang="ru-RU"/>
          </a:p>
        </c:rich>
      </c:tx>
      <c:overlay val="0"/>
    </c:title>
    <c:autoTitleDeleted val="0"/>
    <c:plotArea>
      <c:layout>
        <c:manualLayout>
          <c:layoutTarget val="inner"/>
          <c:xMode val="edge"/>
          <c:yMode val="edge"/>
          <c:x val="0.23793026787458599"/>
          <c:y val="7.9996590594588607E-2"/>
          <c:w val="0.70989510860720495"/>
          <c:h val="0.82583068135578364"/>
        </c:manualLayout>
      </c:layout>
      <c:barChart>
        <c:barDir val="bar"/>
        <c:grouping val="clustered"/>
        <c:varyColors val="0"/>
        <c:ser>
          <c:idx val="6"/>
          <c:order val="0"/>
          <c:tx>
            <c:strRef>
              <c:f>'для Осиповой'!$K$2</c:f>
              <c:strCache>
                <c:ptCount val="1"/>
                <c:pt idx="0">
                  <c:v>Доля победителей от общего кол-ва студентов 1 курса (%)10_11</c:v>
                </c:pt>
              </c:strCache>
            </c:strRef>
          </c:tx>
          <c:spPr>
            <a:solidFill>
              <a:schemeClr val="accent3"/>
            </a:solidFill>
            <a:ln w="25400" cap="flat" cmpd="sng" algn="ctr">
              <a:solidFill>
                <a:schemeClr val="accent3">
                  <a:shade val="50000"/>
                </a:schemeClr>
              </a:solidFill>
              <a:prstDash val="solid"/>
            </a:ln>
            <a:effectLst/>
          </c:spPr>
          <c:invertIfNegative val="0"/>
          <c:dLbls>
            <c:dLbl>
              <c:idx val="13"/>
              <c:layout>
                <c:manualLayout>
                  <c:x val="-4.8721071863581482E-3"/>
                  <c:y val="-9.592326139088834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Осиповой'!$A$3:$A$55</c:f>
              <c:strCache>
                <c:ptCount val="53"/>
                <c:pt idx="0">
                  <c:v>экономики</c:v>
                </c:pt>
                <c:pt idx="2">
                  <c:v>отд. статистики</c:v>
                </c:pt>
                <c:pt idx="4">
                  <c:v>менеджмента</c:v>
                </c:pt>
                <c:pt idx="6">
                  <c:v>отд. логистики</c:v>
                </c:pt>
                <c:pt idx="8">
                  <c:v>права</c:v>
                </c:pt>
                <c:pt idx="10">
                  <c:v>БИ</c:v>
                </c:pt>
                <c:pt idx="12">
                  <c:v>отд. ПМ</c:v>
                </c:pt>
                <c:pt idx="14">
                  <c:v>отд. ПИ</c:v>
                </c:pt>
                <c:pt idx="16">
                  <c:v>пр. политологии</c:v>
                </c:pt>
                <c:pt idx="18">
                  <c:v>медиакомм.</c:v>
                </c:pt>
                <c:pt idx="20">
                  <c:v>психологии</c:v>
                </c:pt>
                <c:pt idx="22">
                  <c:v>социологии </c:v>
                </c:pt>
                <c:pt idx="24">
                  <c:v>МЭиМП</c:v>
                </c:pt>
                <c:pt idx="26">
                  <c:v>ГиМУ</c:v>
                </c:pt>
                <c:pt idx="28">
                  <c:v>философии</c:v>
                </c:pt>
                <c:pt idx="30">
                  <c:v>математики</c:v>
                </c:pt>
                <c:pt idx="32">
                  <c:v>истории</c:v>
                </c:pt>
                <c:pt idx="34">
                  <c:v>отд. востоковедения</c:v>
                </c:pt>
                <c:pt idx="36">
                  <c:v>МИЭФ</c:v>
                </c:pt>
                <c:pt idx="38">
                  <c:v>культурологии</c:v>
                </c:pt>
                <c:pt idx="40">
                  <c:v>ОИК</c:v>
                </c:pt>
                <c:pt idx="42">
                  <c:v>ВШЭ-РЭШ</c:v>
                </c:pt>
                <c:pt idx="44">
                  <c:v>филологии</c:v>
                </c:pt>
                <c:pt idx="46">
                  <c:v>Факультет дизайна</c:v>
                </c:pt>
                <c:pt idx="48">
                  <c:v>ФИТиВТ</c:v>
                </c:pt>
                <c:pt idx="50">
                  <c:v>ФПМиК</c:v>
                </c:pt>
                <c:pt idx="52">
                  <c:v>ФЭТ</c:v>
                </c:pt>
              </c:strCache>
            </c:strRef>
          </c:cat>
          <c:val>
            <c:numRef>
              <c:f>'для Осиповой'!$K$3:$K$55</c:f>
              <c:numCache>
                <c:formatCode>General</c:formatCode>
                <c:ptCount val="53"/>
                <c:pt idx="0" formatCode="0%">
                  <c:v>0.44186046511628002</c:v>
                </c:pt>
                <c:pt idx="2" formatCode="0%">
                  <c:v>0.2777777777777789</c:v>
                </c:pt>
                <c:pt idx="4" formatCode="0%">
                  <c:v>0.21354166666666699</c:v>
                </c:pt>
                <c:pt idx="6" formatCode="0%">
                  <c:v>0.42307692307692402</c:v>
                </c:pt>
                <c:pt idx="8" formatCode="0%">
                  <c:v>0.48416289592760398</c:v>
                </c:pt>
                <c:pt idx="10" formatCode="0%">
                  <c:v>0.38271604938271714</c:v>
                </c:pt>
                <c:pt idx="12" formatCode="0%">
                  <c:v>0.41758241758241937</c:v>
                </c:pt>
                <c:pt idx="14" formatCode="0%">
                  <c:v>0.51546391752577303</c:v>
                </c:pt>
                <c:pt idx="16" formatCode="0%">
                  <c:v>0.24000000000000021</c:v>
                </c:pt>
                <c:pt idx="18" formatCode="0%">
                  <c:v>0.40384615384615402</c:v>
                </c:pt>
                <c:pt idx="20" formatCode="0%">
                  <c:v>0.28735632183908255</c:v>
                </c:pt>
                <c:pt idx="22" formatCode="0%">
                  <c:v>0.14516129032258099</c:v>
                </c:pt>
                <c:pt idx="24" formatCode="0%">
                  <c:v>0.31660231660231702</c:v>
                </c:pt>
                <c:pt idx="26" formatCode="0%">
                  <c:v>0.107142857142857</c:v>
                </c:pt>
                <c:pt idx="28" formatCode="0%">
                  <c:v>0.23529411764705899</c:v>
                </c:pt>
                <c:pt idx="30" formatCode="0%">
                  <c:v>0.36363636363636398</c:v>
                </c:pt>
                <c:pt idx="32" formatCode="0%">
                  <c:v>0.29545454545454614</c:v>
                </c:pt>
                <c:pt idx="34" formatCode="0%">
                  <c:v>0.10857142857142936</c:v>
                </c:pt>
                <c:pt idx="36" formatCode="0%">
                  <c:v>0.20108695652173939</c:v>
                </c:pt>
              </c:numCache>
            </c:numRef>
          </c:val>
        </c:ser>
        <c:ser>
          <c:idx val="0"/>
          <c:order val="1"/>
          <c:tx>
            <c:strRef>
              <c:f>'для Осиповой'!$L$2</c:f>
              <c:strCache>
                <c:ptCount val="1"/>
                <c:pt idx="0">
                  <c:v>Доля победителей от общего кол-ва студентов 1 курса (%)11_12</c:v>
                </c:pt>
              </c:strCache>
            </c:strRef>
          </c:tx>
          <c:spPr>
            <a:solidFill>
              <a:schemeClr val="accent1"/>
            </a:solidFill>
            <a:ln w="25400" cap="flat" cmpd="sng" algn="ctr">
              <a:solidFill>
                <a:schemeClr val="accent1">
                  <a:shade val="50000"/>
                </a:schemeClr>
              </a:solidFill>
              <a:prstDash val="solid"/>
            </a:ln>
            <a:effectLst/>
          </c:spPr>
          <c:invertIfNegative val="0"/>
          <c:dLbls>
            <c:dLbl>
              <c:idx val="13"/>
              <c:layout>
                <c:manualLayout>
                  <c:x val="1.4538122697176701E-2"/>
                  <c:y val="8.808660971401104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Осиповой'!$A$3:$A$55</c:f>
              <c:strCache>
                <c:ptCount val="53"/>
                <c:pt idx="0">
                  <c:v>экономики</c:v>
                </c:pt>
                <c:pt idx="2">
                  <c:v>отд. статистики</c:v>
                </c:pt>
                <c:pt idx="4">
                  <c:v>менеджмента</c:v>
                </c:pt>
                <c:pt idx="6">
                  <c:v>отд. логистики</c:v>
                </c:pt>
                <c:pt idx="8">
                  <c:v>права</c:v>
                </c:pt>
                <c:pt idx="10">
                  <c:v>БИ</c:v>
                </c:pt>
                <c:pt idx="12">
                  <c:v>отд. ПМ</c:v>
                </c:pt>
                <c:pt idx="14">
                  <c:v>отд. ПИ</c:v>
                </c:pt>
                <c:pt idx="16">
                  <c:v>пр. политологии</c:v>
                </c:pt>
                <c:pt idx="18">
                  <c:v>медиакомм.</c:v>
                </c:pt>
                <c:pt idx="20">
                  <c:v>психологии</c:v>
                </c:pt>
                <c:pt idx="22">
                  <c:v>социологии </c:v>
                </c:pt>
                <c:pt idx="24">
                  <c:v>МЭиМП</c:v>
                </c:pt>
                <c:pt idx="26">
                  <c:v>ГиМУ</c:v>
                </c:pt>
                <c:pt idx="28">
                  <c:v>философии</c:v>
                </c:pt>
                <c:pt idx="30">
                  <c:v>математики</c:v>
                </c:pt>
                <c:pt idx="32">
                  <c:v>истории</c:v>
                </c:pt>
                <c:pt idx="34">
                  <c:v>отд. востоковедения</c:v>
                </c:pt>
                <c:pt idx="36">
                  <c:v>МИЭФ</c:v>
                </c:pt>
                <c:pt idx="38">
                  <c:v>культурологии</c:v>
                </c:pt>
                <c:pt idx="40">
                  <c:v>ОИК</c:v>
                </c:pt>
                <c:pt idx="42">
                  <c:v>ВШЭ-РЭШ</c:v>
                </c:pt>
                <c:pt idx="44">
                  <c:v>филологии</c:v>
                </c:pt>
                <c:pt idx="46">
                  <c:v>Факультет дизайна</c:v>
                </c:pt>
                <c:pt idx="48">
                  <c:v>ФИТиВТ</c:v>
                </c:pt>
                <c:pt idx="50">
                  <c:v>ФПМиК</c:v>
                </c:pt>
                <c:pt idx="52">
                  <c:v>ФЭТ</c:v>
                </c:pt>
              </c:strCache>
            </c:strRef>
          </c:cat>
          <c:val>
            <c:numRef>
              <c:f>'для Осиповой'!$L$3:$L$55</c:f>
              <c:numCache>
                <c:formatCode>General</c:formatCode>
                <c:ptCount val="53"/>
                <c:pt idx="0" formatCode="0%">
                  <c:v>0.38636363636363702</c:v>
                </c:pt>
                <c:pt idx="2" formatCode="0%">
                  <c:v>1.1904761904761921E-2</c:v>
                </c:pt>
                <c:pt idx="4" formatCode="0%">
                  <c:v>0.11046511627907002</c:v>
                </c:pt>
                <c:pt idx="6" formatCode="0%">
                  <c:v>9.6153846153846784E-3</c:v>
                </c:pt>
                <c:pt idx="8" formatCode="0%">
                  <c:v>0.63551401869159141</c:v>
                </c:pt>
                <c:pt idx="10" formatCode="0%">
                  <c:v>0.24324324324324348</c:v>
                </c:pt>
                <c:pt idx="12" formatCode="0%">
                  <c:v>0.17757009345794442</c:v>
                </c:pt>
                <c:pt idx="14" formatCode="0%">
                  <c:v>0.36764705882352811</c:v>
                </c:pt>
                <c:pt idx="16" formatCode="0%">
                  <c:v>0.16923076923076888</c:v>
                </c:pt>
                <c:pt idx="18" formatCode="0%">
                  <c:v>7.5268817204301119E-2</c:v>
                </c:pt>
                <c:pt idx="20" formatCode="0%">
                  <c:v>5.617977528089875E-2</c:v>
                </c:pt>
                <c:pt idx="22" formatCode="0%">
                  <c:v>0.16216216216216248</c:v>
                </c:pt>
                <c:pt idx="24" formatCode="0%">
                  <c:v>0.28571428571428714</c:v>
                </c:pt>
                <c:pt idx="26" formatCode="0%">
                  <c:v>8.2474226804123682E-2</c:v>
                </c:pt>
                <c:pt idx="28" formatCode="0%">
                  <c:v>0.14285714285714363</c:v>
                </c:pt>
                <c:pt idx="30" formatCode="0%">
                  <c:v>0.6875</c:v>
                </c:pt>
                <c:pt idx="32" formatCode="0%">
                  <c:v>0.33333333333333298</c:v>
                </c:pt>
                <c:pt idx="34" formatCode="0%">
                  <c:v>0.41111111111111093</c:v>
                </c:pt>
                <c:pt idx="36" formatCode="0%">
                  <c:v>0.13733905579399142</c:v>
                </c:pt>
                <c:pt idx="38" formatCode="0%">
                  <c:v>0.14285714285714363</c:v>
                </c:pt>
                <c:pt idx="40" formatCode="0%">
                  <c:v>0.126984126984127</c:v>
                </c:pt>
                <c:pt idx="42" formatCode="0%">
                  <c:v>0.91935483870967705</c:v>
                </c:pt>
                <c:pt idx="44" formatCode="0%">
                  <c:v>9.7014925373134567E-2</c:v>
                </c:pt>
              </c:numCache>
            </c:numRef>
          </c:val>
        </c:ser>
        <c:ser>
          <c:idx val="1"/>
          <c:order val="2"/>
          <c:tx>
            <c:strRef>
              <c:f>'для Осиповой'!$M$2</c:f>
              <c:strCache>
                <c:ptCount val="1"/>
                <c:pt idx="0">
                  <c:v>Доля победителей от общего кол-ва студентов 1 курса (%)12_13</c:v>
                </c:pt>
              </c:strCache>
            </c:strRef>
          </c:tx>
          <c:spPr>
            <a:solidFill>
              <a:schemeClr val="accent2"/>
            </a:solidFill>
            <a:ln w="25400" cap="flat" cmpd="sng" algn="ctr">
              <a:solidFill>
                <a:schemeClr val="accent2">
                  <a:shade val="50000"/>
                </a:schemeClr>
              </a:solidFill>
              <a:prstDash val="solid"/>
            </a:ln>
            <a:effectLst/>
          </c:spPr>
          <c:invertIfNegative val="0"/>
          <c:dLbls>
            <c:dLbl>
              <c:idx val="1"/>
              <c:delete val="1"/>
              <c:extLst>
                <c:ext xmlns:c15="http://schemas.microsoft.com/office/drawing/2012/chart" uri="{CE6537A1-D6FC-4f65-9D91-7224C49458BB}"/>
              </c:extLst>
            </c:dLbl>
            <c:dLbl>
              <c:idx val="24"/>
              <c:layout>
                <c:manualLayout>
                  <c:x val="0"/>
                  <c:y val="1.468110161900195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Осиповой'!$A$3:$A$55</c:f>
              <c:strCache>
                <c:ptCount val="53"/>
                <c:pt idx="0">
                  <c:v>экономики</c:v>
                </c:pt>
                <c:pt idx="2">
                  <c:v>отд. статистики</c:v>
                </c:pt>
                <c:pt idx="4">
                  <c:v>менеджмента</c:v>
                </c:pt>
                <c:pt idx="6">
                  <c:v>отд. логистики</c:v>
                </c:pt>
                <c:pt idx="8">
                  <c:v>права</c:v>
                </c:pt>
                <c:pt idx="10">
                  <c:v>БИ</c:v>
                </c:pt>
                <c:pt idx="12">
                  <c:v>отд. ПМ</c:v>
                </c:pt>
                <c:pt idx="14">
                  <c:v>отд. ПИ</c:v>
                </c:pt>
                <c:pt idx="16">
                  <c:v>пр. политологии</c:v>
                </c:pt>
                <c:pt idx="18">
                  <c:v>медиакомм.</c:v>
                </c:pt>
                <c:pt idx="20">
                  <c:v>психологии</c:v>
                </c:pt>
                <c:pt idx="22">
                  <c:v>социологии </c:v>
                </c:pt>
                <c:pt idx="24">
                  <c:v>МЭиМП</c:v>
                </c:pt>
                <c:pt idx="26">
                  <c:v>ГиМУ</c:v>
                </c:pt>
                <c:pt idx="28">
                  <c:v>философии</c:v>
                </c:pt>
                <c:pt idx="30">
                  <c:v>математики</c:v>
                </c:pt>
                <c:pt idx="32">
                  <c:v>истории</c:v>
                </c:pt>
                <c:pt idx="34">
                  <c:v>отд. востоковедения</c:v>
                </c:pt>
                <c:pt idx="36">
                  <c:v>МИЭФ</c:v>
                </c:pt>
                <c:pt idx="38">
                  <c:v>культурологии</c:v>
                </c:pt>
                <c:pt idx="40">
                  <c:v>ОИК</c:v>
                </c:pt>
                <c:pt idx="42">
                  <c:v>ВШЭ-РЭШ</c:v>
                </c:pt>
                <c:pt idx="44">
                  <c:v>филологии</c:v>
                </c:pt>
                <c:pt idx="46">
                  <c:v>Факультет дизайна</c:v>
                </c:pt>
                <c:pt idx="48">
                  <c:v>ФИТиВТ</c:v>
                </c:pt>
                <c:pt idx="50">
                  <c:v>ФПМиК</c:v>
                </c:pt>
                <c:pt idx="52">
                  <c:v>ФЭТ</c:v>
                </c:pt>
              </c:strCache>
            </c:strRef>
          </c:cat>
          <c:val>
            <c:numRef>
              <c:f>'для Осиповой'!$M$3:$M$55</c:f>
              <c:numCache>
                <c:formatCode>General</c:formatCode>
                <c:ptCount val="53"/>
                <c:pt idx="0" formatCode="0%">
                  <c:v>0.50592885375494101</c:v>
                </c:pt>
                <c:pt idx="2" formatCode="0%">
                  <c:v>0</c:v>
                </c:pt>
                <c:pt idx="4" formatCode="0%">
                  <c:v>0.19148936170212863</c:v>
                </c:pt>
                <c:pt idx="6" formatCode="0%">
                  <c:v>9.4117647058823528E-2</c:v>
                </c:pt>
                <c:pt idx="8" formatCode="0%">
                  <c:v>0.5975103734439825</c:v>
                </c:pt>
                <c:pt idx="10" formatCode="0%">
                  <c:v>0.37288135593220473</c:v>
                </c:pt>
                <c:pt idx="12" formatCode="0%">
                  <c:v>0.36486486486486763</c:v>
                </c:pt>
                <c:pt idx="14" formatCode="0%">
                  <c:v>0.64383561643835996</c:v>
                </c:pt>
                <c:pt idx="16" formatCode="0%">
                  <c:v>0.12195121951219498</c:v>
                </c:pt>
                <c:pt idx="18" formatCode="0%">
                  <c:v>7.0707070707070704E-2</c:v>
                </c:pt>
                <c:pt idx="20" formatCode="0%">
                  <c:v>0.12000000000000002</c:v>
                </c:pt>
                <c:pt idx="22" formatCode="0%">
                  <c:v>0.21621621621621648</c:v>
                </c:pt>
                <c:pt idx="24" formatCode="0%">
                  <c:v>0.41379310344827575</c:v>
                </c:pt>
                <c:pt idx="26" formatCode="0%">
                  <c:v>0.10869565217391353</c:v>
                </c:pt>
                <c:pt idx="28" formatCode="0%">
                  <c:v>7.6923076923076913E-2</c:v>
                </c:pt>
                <c:pt idx="30" formatCode="0%">
                  <c:v>0.87500000000000167</c:v>
                </c:pt>
                <c:pt idx="32" formatCode="0%">
                  <c:v>0.32000000000000089</c:v>
                </c:pt>
                <c:pt idx="34" formatCode="0%">
                  <c:v>0.202380952380952</c:v>
                </c:pt>
                <c:pt idx="36" formatCode="0%">
                  <c:v>0.24096385542168738</c:v>
                </c:pt>
                <c:pt idx="38" formatCode="0%">
                  <c:v>0.43243243243243201</c:v>
                </c:pt>
                <c:pt idx="40" formatCode="0%">
                  <c:v>0.10126582278481039</c:v>
                </c:pt>
                <c:pt idx="42" formatCode="0%">
                  <c:v>0.81818181818181979</c:v>
                </c:pt>
                <c:pt idx="44" formatCode="0%">
                  <c:v>0.26136363636363602</c:v>
                </c:pt>
                <c:pt idx="46" formatCode="0%">
                  <c:v>0</c:v>
                </c:pt>
                <c:pt idx="48" formatCode="0%">
                  <c:v>4.0000000000000022E-2</c:v>
                </c:pt>
                <c:pt idx="50" formatCode="0%">
                  <c:v>9.6153846153846673E-2</c:v>
                </c:pt>
                <c:pt idx="52" formatCode="0%">
                  <c:v>5.4054054054054113E-2</c:v>
                </c:pt>
              </c:numCache>
            </c:numRef>
          </c:val>
        </c:ser>
        <c:dLbls>
          <c:showLegendKey val="0"/>
          <c:showVal val="0"/>
          <c:showCatName val="0"/>
          <c:showSerName val="0"/>
          <c:showPercent val="0"/>
          <c:showBubbleSize val="0"/>
        </c:dLbls>
        <c:gapWidth val="7"/>
        <c:overlap val="-17"/>
        <c:axId val="445556992"/>
        <c:axId val="445648896"/>
      </c:barChart>
      <c:catAx>
        <c:axId val="445556992"/>
        <c:scaling>
          <c:orientation val="minMax"/>
        </c:scaling>
        <c:delete val="0"/>
        <c:axPos val="l"/>
        <c:numFmt formatCode="General" sourceLinked="0"/>
        <c:majorTickMark val="out"/>
        <c:minorTickMark val="none"/>
        <c:tickLblPos val="nextTo"/>
        <c:crossAx val="445648896"/>
        <c:crosses val="autoZero"/>
        <c:auto val="1"/>
        <c:lblAlgn val="ctr"/>
        <c:lblOffset val="100"/>
        <c:noMultiLvlLbl val="0"/>
      </c:catAx>
      <c:valAx>
        <c:axId val="445648896"/>
        <c:scaling>
          <c:orientation val="minMax"/>
          <c:max val="1"/>
        </c:scaling>
        <c:delete val="0"/>
        <c:axPos val="b"/>
        <c:majorGridlines/>
        <c:numFmt formatCode="0%" sourceLinked="1"/>
        <c:majorTickMark val="out"/>
        <c:minorTickMark val="none"/>
        <c:tickLblPos val="nextTo"/>
        <c:crossAx val="445556992"/>
        <c:crosses val="autoZero"/>
        <c:crossBetween val="between"/>
        <c:majorUnit val="0.1"/>
      </c:valAx>
    </c:plotArea>
    <c:legend>
      <c:legendPos val="b"/>
      <c:layout>
        <c:manualLayout>
          <c:xMode val="edge"/>
          <c:yMode val="edge"/>
          <c:x val="9.5472899867442267E-3"/>
          <c:y val="0.93490454952894997"/>
          <c:w val="0.98114803774186499"/>
          <c:h val="5.7651063767898865E-2"/>
        </c:manualLayout>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i="0" u="none" strike="noStrike" baseline="0"/>
              <a:t>Сравнение доли победителей олимпиад, поступивших в 2012 г. с долей победителей олимпиад, поступивших в 2010 и 2011 гг. (филиалы)</a:t>
            </a:r>
            <a:endParaRPr lang="ru-RU"/>
          </a:p>
        </c:rich>
      </c:tx>
      <c:layout>
        <c:manualLayout>
          <c:xMode val="edge"/>
          <c:yMode val="edge"/>
          <c:x val="0.14125255470783801"/>
          <c:y val="1.8099547511312201E-2"/>
        </c:manualLayout>
      </c:layout>
      <c:overlay val="1"/>
    </c:title>
    <c:autoTitleDeleted val="0"/>
    <c:plotArea>
      <c:layout>
        <c:manualLayout>
          <c:layoutTarget val="inner"/>
          <c:xMode val="edge"/>
          <c:yMode val="edge"/>
          <c:x val="0.34895433223059702"/>
          <c:y val="0.11402287383760309"/>
          <c:w val="0.59953961734153904"/>
          <c:h val="0.71765814341081291"/>
        </c:manualLayout>
      </c:layout>
      <c:barChart>
        <c:barDir val="bar"/>
        <c:grouping val="clustered"/>
        <c:varyColors val="0"/>
        <c:ser>
          <c:idx val="6"/>
          <c:order val="0"/>
          <c:tx>
            <c:strRef>
              <c:f>'для Осиповой'!$K$32</c:f>
              <c:strCache>
                <c:ptCount val="1"/>
                <c:pt idx="0">
                  <c:v>Доля победителей от общего кол-ва студентов 1 курса (%)10_11</c:v>
                </c:pt>
              </c:strCache>
            </c:strRef>
          </c:tx>
          <c:spPr>
            <a:solidFill>
              <a:schemeClr val="accent3"/>
            </a:solidFill>
            <a:ln w="25400" cap="flat" cmpd="sng" algn="ctr">
              <a:solidFill>
                <a:schemeClr val="accent3">
                  <a:shade val="50000"/>
                </a:schemeClr>
              </a:solidFill>
              <a:prstDash val="solid"/>
            </a:ln>
            <a:effectLst/>
          </c:spPr>
          <c:invertIfNegative val="0"/>
          <c:dLbls>
            <c:dLbl>
              <c:idx val="1"/>
              <c:delete val="1"/>
              <c:extLst>
                <c:ext xmlns:c15="http://schemas.microsoft.com/office/drawing/2012/chart" uri="{CE6537A1-D6FC-4f65-9D91-7224C49458BB}"/>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Осиповой'!$A$33:$A$47,'для Осиповой'!$A$50)</c:f>
              <c:strCache>
                <c:ptCount val="16"/>
                <c:pt idx="0">
                  <c:v>экономики НФ</c:v>
                </c:pt>
                <c:pt idx="1">
                  <c:v>менеджмента НФ</c:v>
                </c:pt>
                <c:pt idx="2">
                  <c:v>права НФ</c:v>
                </c:pt>
                <c:pt idx="3">
                  <c:v>БИ и ПМ НФ</c:v>
                </c:pt>
                <c:pt idx="4">
                  <c:v>прикл.мат и инф. НФ</c:v>
                </c:pt>
                <c:pt idx="5">
                  <c:v>Факультет гуманитарных наук НФ</c:v>
                </c:pt>
                <c:pt idx="6">
                  <c:v>Экономики СПб</c:v>
                </c:pt>
                <c:pt idx="7">
                  <c:v>Социологии СПб</c:v>
                </c:pt>
                <c:pt idx="8">
                  <c:v>Менеджмента СПб</c:v>
                </c:pt>
                <c:pt idx="9">
                  <c:v>Политологии СПб</c:v>
                </c:pt>
                <c:pt idx="10">
                  <c:v>Юридический СПб</c:v>
                </c:pt>
                <c:pt idx="11">
                  <c:v>Факультет истории СПб</c:v>
                </c:pt>
                <c:pt idx="12">
                  <c:v>экономики ПФ</c:v>
                </c:pt>
                <c:pt idx="13">
                  <c:v>менеджмента ПФ</c:v>
                </c:pt>
                <c:pt idx="14">
                  <c:v>БИ ПФ</c:v>
                </c:pt>
                <c:pt idx="15">
                  <c:v>Социально-гуманитарный факультет ПФ</c:v>
                </c:pt>
              </c:strCache>
            </c:strRef>
          </c:cat>
          <c:val>
            <c:numRef>
              <c:f>('для Осиповой'!$K$33:$K$47,'для Осиповой'!$K$50)</c:f>
              <c:numCache>
                <c:formatCode>0%</c:formatCode>
                <c:ptCount val="16"/>
                <c:pt idx="0">
                  <c:v>4.6357615894039833E-2</c:v>
                </c:pt>
                <c:pt idx="1">
                  <c:v>0</c:v>
                </c:pt>
                <c:pt idx="2">
                  <c:v>0.13043478260869601</c:v>
                </c:pt>
                <c:pt idx="3">
                  <c:v>0.26666666666666738</c:v>
                </c:pt>
                <c:pt idx="6">
                  <c:v>4.5454545454545497E-2</c:v>
                </c:pt>
                <c:pt idx="7">
                  <c:v>0.05</c:v>
                </c:pt>
                <c:pt idx="8">
                  <c:v>3.5714285714285698E-2</c:v>
                </c:pt>
                <c:pt idx="9">
                  <c:v>2.1739130434782601E-2</c:v>
                </c:pt>
                <c:pt idx="10">
                  <c:v>7.0175438596491196E-2</c:v>
                </c:pt>
                <c:pt idx="12">
                  <c:v>3.8461538461538498E-2</c:v>
                </c:pt>
                <c:pt idx="13">
                  <c:v>2.5210084033613397E-2</c:v>
                </c:pt>
                <c:pt idx="14">
                  <c:v>7.6923076923076913E-2</c:v>
                </c:pt>
              </c:numCache>
            </c:numRef>
          </c:val>
        </c:ser>
        <c:ser>
          <c:idx val="0"/>
          <c:order val="1"/>
          <c:tx>
            <c:strRef>
              <c:f>'для Осиповой'!$L$32</c:f>
              <c:strCache>
                <c:ptCount val="1"/>
                <c:pt idx="0">
                  <c:v>Доля победителей от общего кол-ва студентов 1 курса (%)11_12</c:v>
                </c:pt>
              </c:strCache>
            </c:strRef>
          </c:tx>
          <c:invertIfNegative val="0"/>
          <c:dLbls>
            <c:dLbl>
              <c:idx val="9"/>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Осиповой'!$A$33:$A$47,'для Осиповой'!$A$50)</c:f>
              <c:strCache>
                <c:ptCount val="16"/>
                <c:pt idx="0">
                  <c:v>экономики НФ</c:v>
                </c:pt>
                <c:pt idx="1">
                  <c:v>менеджмента НФ</c:v>
                </c:pt>
                <c:pt idx="2">
                  <c:v>права НФ</c:v>
                </c:pt>
                <c:pt idx="3">
                  <c:v>БИ и ПМ НФ</c:v>
                </c:pt>
                <c:pt idx="4">
                  <c:v>прикл.мат и инф. НФ</c:v>
                </c:pt>
                <c:pt idx="5">
                  <c:v>Факультет гуманитарных наук НФ</c:v>
                </c:pt>
                <c:pt idx="6">
                  <c:v>Экономики СПб</c:v>
                </c:pt>
                <c:pt idx="7">
                  <c:v>Социологии СПб</c:v>
                </c:pt>
                <c:pt idx="8">
                  <c:v>Менеджмента СПб</c:v>
                </c:pt>
                <c:pt idx="9">
                  <c:v>Политологии СПб</c:v>
                </c:pt>
                <c:pt idx="10">
                  <c:v>Юридический СПб</c:v>
                </c:pt>
                <c:pt idx="11">
                  <c:v>Факультет истории СПб</c:v>
                </c:pt>
                <c:pt idx="12">
                  <c:v>экономики ПФ</c:v>
                </c:pt>
                <c:pt idx="13">
                  <c:v>менеджмента ПФ</c:v>
                </c:pt>
                <c:pt idx="14">
                  <c:v>БИ ПФ</c:v>
                </c:pt>
                <c:pt idx="15">
                  <c:v>Социально-гуманитарный факультет ПФ</c:v>
                </c:pt>
              </c:strCache>
            </c:strRef>
          </c:cat>
          <c:val>
            <c:numRef>
              <c:f>('для Осиповой'!$L$33:$L$47,'для Осиповой'!$L$50)</c:f>
              <c:numCache>
                <c:formatCode>0%</c:formatCode>
                <c:ptCount val="16"/>
                <c:pt idx="0">
                  <c:v>0.10077519379845012</c:v>
                </c:pt>
                <c:pt idx="1">
                  <c:v>2.8368794326240995E-2</c:v>
                </c:pt>
                <c:pt idx="2">
                  <c:v>0.33783783783783944</c:v>
                </c:pt>
                <c:pt idx="3">
                  <c:v>3.2258064516129226E-2</c:v>
                </c:pt>
                <c:pt idx="4">
                  <c:v>0.10256410256410321</c:v>
                </c:pt>
                <c:pt idx="6">
                  <c:v>4.605263157894756E-2</c:v>
                </c:pt>
                <c:pt idx="7">
                  <c:v>1.1764705882353043E-2</c:v>
                </c:pt>
                <c:pt idx="8">
                  <c:v>4.3795620437956519E-2</c:v>
                </c:pt>
                <c:pt idx="9">
                  <c:v>5.5555555555555455E-2</c:v>
                </c:pt>
                <c:pt idx="10">
                  <c:v>0.12903225806451588</c:v>
                </c:pt>
                <c:pt idx="12">
                  <c:v>7.9545454545454503E-2</c:v>
                </c:pt>
                <c:pt idx="13">
                  <c:v>0</c:v>
                </c:pt>
                <c:pt idx="14">
                  <c:v>0</c:v>
                </c:pt>
              </c:numCache>
            </c:numRef>
          </c:val>
        </c:ser>
        <c:ser>
          <c:idx val="1"/>
          <c:order val="2"/>
          <c:tx>
            <c:strRef>
              <c:f>'для Осиповой'!$M$32</c:f>
              <c:strCache>
                <c:ptCount val="1"/>
                <c:pt idx="0">
                  <c:v>Доля победителей от общего кол-ва студентов 1 курса (%)12_13</c:v>
                </c:pt>
              </c:strCache>
            </c:strRef>
          </c:tx>
          <c:invertIfNegative val="0"/>
          <c:dLbls>
            <c:dLbl>
              <c:idx val="7"/>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Осиповой'!$A$33:$A$47,'для Осиповой'!$A$50)</c:f>
              <c:strCache>
                <c:ptCount val="16"/>
                <c:pt idx="0">
                  <c:v>экономики НФ</c:v>
                </c:pt>
                <c:pt idx="1">
                  <c:v>менеджмента НФ</c:v>
                </c:pt>
                <c:pt idx="2">
                  <c:v>права НФ</c:v>
                </c:pt>
                <c:pt idx="3">
                  <c:v>БИ и ПМ НФ</c:v>
                </c:pt>
                <c:pt idx="4">
                  <c:v>прикл.мат и инф. НФ</c:v>
                </c:pt>
                <c:pt idx="5">
                  <c:v>Факультет гуманитарных наук НФ</c:v>
                </c:pt>
                <c:pt idx="6">
                  <c:v>Экономики СПб</c:v>
                </c:pt>
                <c:pt idx="7">
                  <c:v>Социологии СПб</c:v>
                </c:pt>
                <c:pt idx="8">
                  <c:v>Менеджмента СПб</c:v>
                </c:pt>
                <c:pt idx="9">
                  <c:v>Политологии СПб</c:v>
                </c:pt>
                <c:pt idx="10">
                  <c:v>Юридический СПб</c:v>
                </c:pt>
                <c:pt idx="11">
                  <c:v>Факультет истории СПб</c:v>
                </c:pt>
                <c:pt idx="12">
                  <c:v>экономики ПФ</c:v>
                </c:pt>
                <c:pt idx="13">
                  <c:v>менеджмента ПФ</c:v>
                </c:pt>
                <c:pt idx="14">
                  <c:v>БИ ПФ</c:v>
                </c:pt>
                <c:pt idx="15">
                  <c:v>Социально-гуманитарный факультет ПФ</c:v>
                </c:pt>
              </c:strCache>
            </c:strRef>
          </c:cat>
          <c:val>
            <c:numRef>
              <c:f>('для Осиповой'!$M$33:$M$47,'для Осиповой'!$M$50)</c:f>
              <c:numCache>
                <c:formatCode>0%</c:formatCode>
                <c:ptCount val="16"/>
                <c:pt idx="0">
                  <c:v>0.13207547169811287</c:v>
                </c:pt>
                <c:pt idx="1">
                  <c:v>1.0638297872340349E-2</c:v>
                </c:pt>
                <c:pt idx="2">
                  <c:v>0.14754098360655701</c:v>
                </c:pt>
                <c:pt idx="3">
                  <c:v>6.7415730337078997E-2</c:v>
                </c:pt>
                <c:pt idx="5">
                  <c:v>6.0606060606060601E-2</c:v>
                </c:pt>
                <c:pt idx="6">
                  <c:v>7.3770491803279034E-2</c:v>
                </c:pt>
                <c:pt idx="7">
                  <c:v>0</c:v>
                </c:pt>
                <c:pt idx="8">
                  <c:v>0.10101010101010099</c:v>
                </c:pt>
                <c:pt idx="9">
                  <c:v>0.14285714285714363</c:v>
                </c:pt>
                <c:pt idx="10">
                  <c:v>0.16964285714285701</c:v>
                </c:pt>
                <c:pt idx="11">
                  <c:v>0.15789473684210681</c:v>
                </c:pt>
                <c:pt idx="12">
                  <c:v>2.5316455696202424E-2</c:v>
                </c:pt>
                <c:pt idx="13">
                  <c:v>1.0204081632653142E-2</c:v>
                </c:pt>
                <c:pt idx="14">
                  <c:v>0</c:v>
                </c:pt>
                <c:pt idx="15">
                  <c:v>2.7777777777777964E-2</c:v>
                </c:pt>
              </c:numCache>
            </c:numRef>
          </c:val>
        </c:ser>
        <c:dLbls>
          <c:showLegendKey val="0"/>
          <c:showVal val="0"/>
          <c:showCatName val="0"/>
          <c:showSerName val="0"/>
          <c:showPercent val="0"/>
          <c:showBubbleSize val="0"/>
        </c:dLbls>
        <c:gapWidth val="84"/>
        <c:axId val="445680256"/>
        <c:axId val="445694336"/>
      </c:barChart>
      <c:catAx>
        <c:axId val="445680256"/>
        <c:scaling>
          <c:orientation val="minMax"/>
        </c:scaling>
        <c:delete val="0"/>
        <c:axPos val="l"/>
        <c:numFmt formatCode="General" sourceLinked="0"/>
        <c:majorTickMark val="out"/>
        <c:minorTickMark val="none"/>
        <c:tickLblPos val="nextTo"/>
        <c:crossAx val="445694336"/>
        <c:crosses val="autoZero"/>
        <c:auto val="1"/>
        <c:lblAlgn val="ctr"/>
        <c:lblOffset val="100"/>
        <c:noMultiLvlLbl val="0"/>
      </c:catAx>
      <c:valAx>
        <c:axId val="445694336"/>
        <c:scaling>
          <c:orientation val="minMax"/>
        </c:scaling>
        <c:delete val="0"/>
        <c:axPos val="b"/>
        <c:majorGridlines/>
        <c:numFmt formatCode="0%" sourceLinked="1"/>
        <c:majorTickMark val="out"/>
        <c:minorTickMark val="none"/>
        <c:tickLblPos val="nextTo"/>
        <c:crossAx val="445680256"/>
        <c:crosses val="autoZero"/>
        <c:crossBetween val="between"/>
      </c:valAx>
    </c:plotArea>
    <c:legend>
      <c:legendPos val="b"/>
      <c:layout>
        <c:manualLayout>
          <c:xMode val="edge"/>
          <c:yMode val="edge"/>
          <c:x val="8.9007436336625723E-2"/>
          <c:y val="0.88390603964067505"/>
          <c:w val="0.91047755614526049"/>
          <c:h val="0.109363773895762"/>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i="0" u="none" strike="noStrike" baseline="0"/>
              <a:t>Сравнение средних баллов победителей олимпиад со  средним баллом </a:t>
            </a:r>
            <a:br>
              <a:rPr lang="ru-RU" sz="1200" b="1" i="0" u="none" strike="noStrike" baseline="0"/>
            </a:br>
            <a:r>
              <a:rPr lang="ru-RU" sz="1200" b="1" i="0" u="none" strike="noStrike" baseline="0"/>
              <a:t>поступивших по ЕГЭ за 2010,2011,2012гг.</a:t>
            </a:r>
            <a:r>
              <a:rPr lang="en-US" sz="1200" b="1" i="0" u="none" strike="noStrike" baseline="0"/>
              <a:t> </a:t>
            </a:r>
            <a:r>
              <a:rPr lang="ru-RU" sz="1200" b="1" i="0" u="none" strike="noStrike" baseline="0"/>
              <a:t>(Москва)</a:t>
            </a:r>
            <a:endParaRPr lang="ru-RU"/>
          </a:p>
        </c:rich>
      </c:tx>
      <c:layout>
        <c:manualLayout>
          <c:xMode val="edge"/>
          <c:yMode val="edge"/>
          <c:x val="0.17523176729169601"/>
          <c:y val="7.8776676119524417E-4"/>
        </c:manualLayout>
      </c:layout>
      <c:overlay val="0"/>
    </c:title>
    <c:autoTitleDeleted val="0"/>
    <c:plotArea>
      <c:layout>
        <c:manualLayout>
          <c:layoutTarget val="inner"/>
          <c:xMode val="edge"/>
          <c:yMode val="edge"/>
          <c:x val="4.9270103660485835E-2"/>
          <c:y val="0.12634396259578201"/>
          <c:w val="0.93667126934911005"/>
          <c:h val="0.55120011046962902"/>
        </c:manualLayout>
      </c:layout>
      <c:barChart>
        <c:barDir val="col"/>
        <c:grouping val="clustered"/>
        <c:varyColors val="0"/>
        <c:ser>
          <c:idx val="3"/>
          <c:order val="3"/>
          <c:tx>
            <c:strRef>
              <c:f>'для Осиповой'!$I$54</c:f>
              <c:strCache>
                <c:ptCount val="1"/>
                <c:pt idx="0">
                  <c:v>Средний балл по 1 курсу (ЕГЭ) 10_11</c:v>
                </c:pt>
              </c:strCache>
            </c:strRef>
          </c:tx>
          <c:invertIfNegative val="0"/>
          <c:cat>
            <c:strRef>
              <c:f>'для Осиповой'!$A$55:$A$81</c:f>
              <c:strCache>
                <c:ptCount val="27"/>
                <c:pt idx="0">
                  <c:v>экономики</c:v>
                </c:pt>
                <c:pt idx="1">
                  <c:v>отд. статистики</c:v>
                </c:pt>
                <c:pt idx="2">
                  <c:v>менеджмента</c:v>
                </c:pt>
                <c:pt idx="3">
                  <c:v>отд. Логистики</c:v>
                </c:pt>
                <c:pt idx="4">
                  <c:v>права</c:v>
                </c:pt>
                <c:pt idx="5">
                  <c:v>бизнес-информ.</c:v>
                </c:pt>
                <c:pt idx="6">
                  <c:v>отд. ПМ</c:v>
                </c:pt>
                <c:pt idx="7">
                  <c:v>отд. ПИ</c:v>
                </c:pt>
                <c:pt idx="8">
                  <c:v>пр. политологии</c:v>
                </c:pt>
                <c:pt idx="9">
                  <c:v>ОДиПЖ (медиакомм)</c:v>
                </c:pt>
                <c:pt idx="10">
                  <c:v>психологии</c:v>
                </c:pt>
                <c:pt idx="11">
                  <c:v>социологии </c:v>
                </c:pt>
                <c:pt idx="12">
                  <c:v>МЭиМП</c:v>
                </c:pt>
                <c:pt idx="13">
                  <c:v>ГиМУ</c:v>
                </c:pt>
                <c:pt idx="14">
                  <c:v>философия</c:v>
                </c:pt>
                <c:pt idx="15">
                  <c:v>математики</c:v>
                </c:pt>
                <c:pt idx="16">
                  <c:v>истории</c:v>
                </c:pt>
                <c:pt idx="17">
                  <c:v>отд. востоковедения</c:v>
                </c:pt>
                <c:pt idx="18">
                  <c:v>МИЭФ</c:v>
                </c:pt>
                <c:pt idx="19">
                  <c:v>Культурология</c:v>
                </c:pt>
                <c:pt idx="20">
                  <c:v>ОИК (рекл.)</c:v>
                </c:pt>
                <c:pt idx="21">
                  <c:v>ВШЭ-РЭШ</c:v>
                </c:pt>
                <c:pt idx="22">
                  <c:v>Филология</c:v>
                </c:pt>
                <c:pt idx="23">
                  <c:v>ФИТиВТ</c:v>
                </c:pt>
                <c:pt idx="24">
                  <c:v>ФПМиК</c:v>
                </c:pt>
                <c:pt idx="25">
                  <c:v>ФЭТ</c:v>
                </c:pt>
                <c:pt idx="26">
                  <c:v>Дизайн</c:v>
                </c:pt>
              </c:strCache>
            </c:strRef>
          </c:cat>
          <c:val>
            <c:numRef>
              <c:f>'для Осиповой'!$I$55:$I$81</c:f>
              <c:numCache>
                <c:formatCode>0.0</c:formatCode>
                <c:ptCount val="27"/>
                <c:pt idx="0">
                  <c:v>5.78</c:v>
                </c:pt>
                <c:pt idx="1">
                  <c:v>5.89</c:v>
                </c:pt>
                <c:pt idx="2">
                  <c:v>6.35</c:v>
                </c:pt>
                <c:pt idx="3">
                  <c:v>5.72</c:v>
                </c:pt>
                <c:pt idx="4">
                  <c:v>6.31</c:v>
                </c:pt>
                <c:pt idx="5">
                  <c:v>6.38</c:v>
                </c:pt>
                <c:pt idx="6">
                  <c:v>6</c:v>
                </c:pt>
                <c:pt idx="7">
                  <c:v>6.23</c:v>
                </c:pt>
                <c:pt idx="8">
                  <c:v>6.8</c:v>
                </c:pt>
                <c:pt idx="9">
                  <c:v>6.92</c:v>
                </c:pt>
                <c:pt idx="10">
                  <c:v>6.9</c:v>
                </c:pt>
                <c:pt idx="11">
                  <c:v>5.83</c:v>
                </c:pt>
                <c:pt idx="12">
                  <c:v>6.9</c:v>
                </c:pt>
                <c:pt idx="13">
                  <c:v>6.2</c:v>
                </c:pt>
                <c:pt idx="14">
                  <c:v>6.72</c:v>
                </c:pt>
                <c:pt idx="15">
                  <c:v>6.52</c:v>
                </c:pt>
                <c:pt idx="16">
                  <c:v>6.56</c:v>
                </c:pt>
                <c:pt idx="17">
                  <c:v>6.88</c:v>
                </c:pt>
                <c:pt idx="18">
                  <c:v>5.83</c:v>
                </c:pt>
              </c:numCache>
            </c:numRef>
          </c:val>
        </c:ser>
        <c:ser>
          <c:idx val="4"/>
          <c:order val="4"/>
          <c:tx>
            <c:strRef>
              <c:f>'для Осиповой'!$J$54</c:f>
              <c:strCache>
                <c:ptCount val="1"/>
                <c:pt idx="0">
                  <c:v>Средний балл по 1 курсу (ЕГЭ) 11_12</c:v>
                </c:pt>
              </c:strCache>
            </c:strRef>
          </c:tx>
          <c:invertIfNegative val="0"/>
          <c:cat>
            <c:strRef>
              <c:f>'для Осиповой'!$A$55:$A$81</c:f>
              <c:strCache>
                <c:ptCount val="27"/>
                <c:pt idx="0">
                  <c:v>экономики</c:v>
                </c:pt>
                <c:pt idx="1">
                  <c:v>отд. статистики</c:v>
                </c:pt>
                <c:pt idx="2">
                  <c:v>менеджмента</c:v>
                </c:pt>
                <c:pt idx="3">
                  <c:v>отд. Логистики</c:v>
                </c:pt>
                <c:pt idx="4">
                  <c:v>права</c:v>
                </c:pt>
                <c:pt idx="5">
                  <c:v>бизнес-информ.</c:v>
                </c:pt>
                <c:pt idx="6">
                  <c:v>отд. ПМ</c:v>
                </c:pt>
                <c:pt idx="7">
                  <c:v>отд. ПИ</c:v>
                </c:pt>
                <c:pt idx="8">
                  <c:v>пр. политологии</c:v>
                </c:pt>
                <c:pt idx="9">
                  <c:v>ОДиПЖ (медиакомм)</c:v>
                </c:pt>
                <c:pt idx="10">
                  <c:v>психологии</c:v>
                </c:pt>
                <c:pt idx="11">
                  <c:v>социологии </c:v>
                </c:pt>
                <c:pt idx="12">
                  <c:v>МЭиМП</c:v>
                </c:pt>
                <c:pt idx="13">
                  <c:v>ГиМУ</c:v>
                </c:pt>
                <c:pt idx="14">
                  <c:v>философия</c:v>
                </c:pt>
                <c:pt idx="15">
                  <c:v>математики</c:v>
                </c:pt>
                <c:pt idx="16">
                  <c:v>истории</c:v>
                </c:pt>
                <c:pt idx="17">
                  <c:v>отд. востоковедения</c:v>
                </c:pt>
                <c:pt idx="18">
                  <c:v>МИЭФ</c:v>
                </c:pt>
                <c:pt idx="19">
                  <c:v>Культурология</c:v>
                </c:pt>
                <c:pt idx="20">
                  <c:v>ОИК (рекл.)</c:v>
                </c:pt>
                <c:pt idx="21">
                  <c:v>ВШЭ-РЭШ</c:v>
                </c:pt>
                <c:pt idx="22">
                  <c:v>Филология</c:v>
                </c:pt>
                <c:pt idx="23">
                  <c:v>ФИТиВТ</c:v>
                </c:pt>
                <c:pt idx="24">
                  <c:v>ФПМиК</c:v>
                </c:pt>
                <c:pt idx="25">
                  <c:v>ФЭТ</c:v>
                </c:pt>
                <c:pt idx="26">
                  <c:v>Дизайн</c:v>
                </c:pt>
              </c:strCache>
            </c:strRef>
          </c:cat>
          <c:val>
            <c:numRef>
              <c:f>'для Осиповой'!$J$55:$J$81</c:f>
              <c:numCache>
                <c:formatCode>0.0</c:formatCode>
                <c:ptCount val="27"/>
                <c:pt idx="0">
                  <c:v>6.9</c:v>
                </c:pt>
                <c:pt idx="1">
                  <c:v>6.2</c:v>
                </c:pt>
                <c:pt idx="2">
                  <c:v>6.4</c:v>
                </c:pt>
                <c:pt idx="3">
                  <c:v>7.1</c:v>
                </c:pt>
                <c:pt idx="4">
                  <c:v>6.9</c:v>
                </c:pt>
                <c:pt idx="5">
                  <c:v>6.5</c:v>
                </c:pt>
                <c:pt idx="6">
                  <c:v>6.1</c:v>
                </c:pt>
                <c:pt idx="7">
                  <c:v>7.3</c:v>
                </c:pt>
                <c:pt idx="8">
                  <c:v>7.4</c:v>
                </c:pt>
                <c:pt idx="9">
                  <c:v>6.9</c:v>
                </c:pt>
                <c:pt idx="10">
                  <c:v>6.9</c:v>
                </c:pt>
                <c:pt idx="11">
                  <c:v>6</c:v>
                </c:pt>
                <c:pt idx="12">
                  <c:v>7.5</c:v>
                </c:pt>
                <c:pt idx="13">
                  <c:v>5.6</c:v>
                </c:pt>
                <c:pt idx="14">
                  <c:v>5.8</c:v>
                </c:pt>
                <c:pt idx="15">
                  <c:v>6</c:v>
                </c:pt>
                <c:pt idx="16">
                  <c:v>7.3</c:v>
                </c:pt>
                <c:pt idx="17">
                  <c:v>6.9</c:v>
                </c:pt>
                <c:pt idx="18">
                  <c:v>5.0999999999999996</c:v>
                </c:pt>
                <c:pt idx="19">
                  <c:v>6.4</c:v>
                </c:pt>
                <c:pt idx="20">
                  <c:v>6.9</c:v>
                </c:pt>
                <c:pt idx="21">
                  <c:v>8.8000000000000007</c:v>
                </c:pt>
                <c:pt idx="22">
                  <c:v>7.9</c:v>
                </c:pt>
              </c:numCache>
            </c:numRef>
          </c:val>
        </c:ser>
        <c:ser>
          <c:idx val="5"/>
          <c:order val="5"/>
          <c:tx>
            <c:strRef>
              <c:f>'для Осиповой'!$K$54</c:f>
              <c:strCache>
                <c:ptCount val="1"/>
                <c:pt idx="0">
                  <c:v>Средний балл по 1 курсу (ЕГЭ) 12_13</c:v>
                </c:pt>
              </c:strCache>
            </c:strRef>
          </c:tx>
          <c:invertIfNegative val="0"/>
          <c:cat>
            <c:strRef>
              <c:f>'для Осиповой'!$A$55:$A$81</c:f>
              <c:strCache>
                <c:ptCount val="27"/>
                <c:pt idx="0">
                  <c:v>экономики</c:v>
                </c:pt>
                <c:pt idx="1">
                  <c:v>отд. статистики</c:v>
                </c:pt>
                <c:pt idx="2">
                  <c:v>менеджмента</c:v>
                </c:pt>
                <c:pt idx="3">
                  <c:v>отд. Логистики</c:v>
                </c:pt>
                <c:pt idx="4">
                  <c:v>права</c:v>
                </c:pt>
                <c:pt idx="5">
                  <c:v>бизнес-информ.</c:v>
                </c:pt>
                <c:pt idx="6">
                  <c:v>отд. ПМ</c:v>
                </c:pt>
                <c:pt idx="7">
                  <c:v>отд. ПИ</c:v>
                </c:pt>
                <c:pt idx="8">
                  <c:v>пр. политологии</c:v>
                </c:pt>
                <c:pt idx="9">
                  <c:v>ОДиПЖ (медиакомм)</c:v>
                </c:pt>
                <c:pt idx="10">
                  <c:v>психологии</c:v>
                </c:pt>
                <c:pt idx="11">
                  <c:v>социологии </c:v>
                </c:pt>
                <c:pt idx="12">
                  <c:v>МЭиМП</c:v>
                </c:pt>
                <c:pt idx="13">
                  <c:v>ГиМУ</c:v>
                </c:pt>
                <c:pt idx="14">
                  <c:v>философия</c:v>
                </c:pt>
                <c:pt idx="15">
                  <c:v>математики</c:v>
                </c:pt>
                <c:pt idx="16">
                  <c:v>истории</c:v>
                </c:pt>
                <c:pt idx="17">
                  <c:v>отд. востоковедения</c:v>
                </c:pt>
                <c:pt idx="18">
                  <c:v>МИЭФ</c:v>
                </c:pt>
                <c:pt idx="19">
                  <c:v>Культурология</c:v>
                </c:pt>
                <c:pt idx="20">
                  <c:v>ОИК (рекл.)</c:v>
                </c:pt>
                <c:pt idx="21">
                  <c:v>ВШЭ-РЭШ</c:v>
                </c:pt>
                <c:pt idx="22">
                  <c:v>Филология</c:v>
                </c:pt>
                <c:pt idx="23">
                  <c:v>ФИТиВТ</c:v>
                </c:pt>
                <c:pt idx="24">
                  <c:v>ФПМиК</c:v>
                </c:pt>
                <c:pt idx="25">
                  <c:v>ФЭТ</c:v>
                </c:pt>
                <c:pt idx="26">
                  <c:v>Дизайн</c:v>
                </c:pt>
              </c:strCache>
            </c:strRef>
          </c:cat>
          <c:val>
            <c:numRef>
              <c:f>'для Осиповой'!$K$55:$K$81</c:f>
              <c:numCache>
                <c:formatCode>0.00</c:formatCode>
                <c:ptCount val="27"/>
                <c:pt idx="0">
                  <c:v>6.39</c:v>
                </c:pt>
                <c:pt idx="1">
                  <c:v>6.58</c:v>
                </c:pt>
                <c:pt idx="2">
                  <c:v>6.85</c:v>
                </c:pt>
                <c:pt idx="3">
                  <c:v>6.7</c:v>
                </c:pt>
                <c:pt idx="4">
                  <c:v>7.44</c:v>
                </c:pt>
                <c:pt idx="5">
                  <c:v>6.23</c:v>
                </c:pt>
                <c:pt idx="6">
                  <c:v>6.0549999999999855</c:v>
                </c:pt>
                <c:pt idx="7">
                  <c:v>6.22</c:v>
                </c:pt>
                <c:pt idx="8">
                  <c:v>7.35</c:v>
                </c:pt>
                <c:pt idx="9">
                  <c:v>7.4300000000000024</c:v>
                </c:pt>
                <c:pt idx="10">
                  <c:v>6.6949999999999781</c:v>
                </c:pt>
                <c:pt idx="11">
                  <c:v>6.91</c:v>
                </c:pt>
                <c:pt idx="12">
                  <c:v>7.4550000000000001</c:v>
                </c:pt>
                <c:pt idx="13">
                  <c:v>7.0150000000000006</c:v>
                </c:pt>
                <c:pt idx="14">
                  <c:v>5.824999999999978</c:v>
                </c:pt>
                <c:pt idx="15">
                  <c:v>7.7700000000000014</c:v>
                </c:pt>
                <c:pt idx="16">
                  <c:v>7.3049999999999855</c:v>
                </c:pt>
                <c:pt idx="17">
                  <c:v>7.35</c:v>
                </c:pt>
                <c:pt idx="18">
                  <c:v>6.1099999999999985</c:v>
                </c:pt>
                <c:pt idx="19">
                  <c:v>6.8849999999999865</c:v>
                </c:pt>
                <c:pt idx="20">
                  <c:v>7.24</c:v>
                </c:pt>
                <c:pt idx="21">
                  <c:v>8.0650000000000048</c:v>
                </c:pt>
                <c:pt idx="22">
                  <c:v>7.375</c:v>
                </c:pt>
                <c:pt idx="23">
                  <c:v>7.31</c:v>
                </c:pt>
                <c:pt idx="24">
                  <c:v>6.26</c:v>
                </c:pt>
                <c:pt idx="25">
                  <c:v>7.1449999999999845</c:v>
                </c:pt>
                <c:pt idx="26">
                  <c:v>7.57</c:v>
                </c:pt>
              </c:numCache>
            </c:numRef>
          </c:val>
        </c:ser>
        <c:dLbls>
          <c:showLegendKey val="0"/>
          <c:showVal val="0"/>
          <c:showCatName val="0"/>
          <c:showSerName val="0"/>
          <c:showPercent val="0"/>
          <c:showBubbleSize val="0"/>
        </c:dLbls>
        <c:gapWidth val="150"/>
        <c:axId val="447052800"/>
        <c:axId val="447066880"/>
      </c:barChart>
      <c:lineChart>
        <c:grouping val="standard"/>
        <c:varyColors val="0"/>
        <c:ser>
          <c:idx val="0"/>
          <c:order val="0"/>
          <c:tx>
            <c:strRef>
              <c:f>'для Осиповой'!$C$54</c:f>
              <c:strCache>
                <c:ptCount val="1"/>
                <c:pt idx="0">
                  <c:v>Средний балл победителей олимпиад 10_11</c:v>
                </c:pt>
              </c:strCache>
            </c:strRef>
          </c:tx>
          <c:cat>
            <c:strRef>
              <c:f>'для Осиповой'!$A$55:$A$81</c:f>
              <c:strCache>
                <c:ptCount val="27"/>
                <c:pt idx="0">
                  <c:v>экономики</c:v>
                </c:pt>
                <c:pt idx="1">
                  <c:v>отд. статистики</c:v>
                </c:pt>
                <c:pt idx="2">
                  <c:v>менеджмента</c:v>
                </c:pt>
                <c:pt idx="3">
                  <c:v>отд. Логистики</c:v>
                </c:pt>
                <c:pt idx="4">
                  <c:v>права</c:v>
                </c:pt>
                <c:pt idx="5">
                  <c:v>бизнес-информ.</c:v>
                </c:pt>
                <c:pt idx="6">
                  <c:v>отд. ПМ</c:v>
                </c:pt>
                <c:pt idx="7">
                  <c:v>отд. ПИ</c:v>
                </c:pt>
                <c:pt idx="8">
                  <c:v>пр. политологии</c:v>
                </c:pt>
                <c:pt idx="9">
                  <c:v>ОДиПЖ (медиакомм)</c:v>
                </c:pt>
                <c:pt idx="10">
                  <c:v>психологии</c:v>
                </c:pt>
                <c:pt idx="11">
                  <c:v>социологии </c:v>
                </c:pt>
                <c:pt idx="12">
                  <c:v>МЭиМП</c:v>
                </c:pt>
                <c:pt idx="13">
                  <c:v>ГиМУ</c:v>
                </c:pt>
                <c:pt idx="14">
                  <c:v>философия</c:v>
                </c:pt>
                <c:pt idx="15">
                  <c:v>математики</c:v>
                </c:pt>
                <c:pt idx="16">
                  <c:v>истории</c:v>
                </c:pt>
                <c:pt idx="17">
                  <c:v>отд. востоковедения</c:v>
                </c:pt>
                <c:pt idx="18">
                  <c:v>МИЭФ</c:v>
                </c:pt>
                <c:pt idx="19">
                  <c:v>Культурология</c:v>
                </c:pt>
                <c:pt idx="20">
                  <c:v>ОИК (рекл.)</c:v>
                </c:pt>
                <c:pt idx="21">
                  <c:v>ВШЭ-РЭШ</c:v>
                </c:pt>
                <c:pt idx="22">
                  <c:v>Филология</c:v>
                </c:pt>
                <c:pt idx="23">
                  <c:v>ФИТиВТ</c:v>
                </c:pt>
                <c:pt idx="24">
                  <c:v>ФПМиК</c:v>
                </c:pt>
                <c:pt idx="25">
                  <c:v>ФЭТ</c:v>
                </c:pt>
                <c:pt idx="26">
                  <c:v>Дизайн</c:v>
                </c:pt>
              </c:strCache>
            </c:strRef>
          </c:cat>
          <c:val>
            <c:numRef>
              <c:f>'для Осиповой'!$C$55:$C$81</c:f>
              <c:numCache>
                <c:formatCode>0.0</c:formatCode>
                <c:ptCount val="27"/>
                <c:pt idx="0">
                  <c:v>6.92</c:v>
                </c:pt>
                <c:pt idx="1">
                  <c:v>6.45</c:v>
                </c:pt>
                <c:pt idx="2">
                  <c:v>7.1099999999999985</c:v>
                </c:pt>
                <c:pt idx="3">
                  <c:v>6.74</c:v>
                </c:pt>
                <c:pt idx="4">
                  <c:v>6.8599999999999977</c:v>
                </c:pt>
                <c:pt idx="5">
                  <c:v>6.88</c:v>
                </c:pt>
                <c:pt idx="6">
                  <c:v>6.22</c:v>
                </c:pt>
                <c:pt idx="7">
                  <c:v>6.8</c:v>
                </c:pt>
                <c:pt idx="8">
                  <c:v>7.35</c:v>
                </c:pt>
                <c:pt idx="9">
                  <c:v>7.14</c:v>
                </c:pt>
                <c:pt idx="10">
                  <c:v>7.2</c:v>
                </c:pt>
                <c:pt idx="11">
                  <c:v>6.68</c:v>
                </c:pt>
                <c:pt idx="12">
                  <c:v>7.4700000000000024</c:v>
                </c:pt>
                <c:pt idx="13">
                  <c:v>6.57</c:v>
                </c:pt>
                <c:pt idx="14">
                  <c:v>7</c:v>
                </c:pt>
                <c:pt idx="15">
                  <c:v>7.05</c:v>
                </c:pt>
                <c:pt idx="16">
                  <c:v>7.4300000000000024</c:v>
                </c:pt>
                <c:pt idx="17">
                  <c:v>7.1599999999999966</c:v>
                </c:pt>
                <c:pt idx="18">
                  <c:v>7.6199999999999957</c:v>
                </c:pt>
              </c:numCache>
            </c:numRef>
          </c:val>
          <c:smooth val="0"/>
        </c:ser>
        <c:ser>
          <c:idx val="1"/>
          <c:order val="1"/>
          <c:tx>
            <c:strRef>
              <c:f>'для Осиповой'!$D$54</c:f>
              <c:strCache>
                <c:ptCount val="1"/>
                <c:pt idx="0">
                  <c:v>Средний балл победителей олимпиад 11_12</c:v>
                </c:pt>
              </c:strCache>
            </c:strRef>
          </c:tx>
          <c:cat>
            <c:strRef>
              <c:f>'для Осиповой'!$A$55:$A$81</c:f>
              <c:strCache>
                <c:ptCount val="27"/>
                <c:pt idx="0">
                  <c:v>экономики</c:v>
                </c:pt>
                <c:pt idx="1">
                  <c:v>отд. статистики</c:v>
                </c:pt>
                <c:pt idx="2">
                  <c:v>менеджмента</c:v>
                </c:pt>
                <c:pt idx="3">
                  <c:v>отд. Логистики</c:v>
                </c:pt>
                <c:pt idx="4">
                  <c:v>права</c:v>
                </c:pt>
                <c:pt idx="5">
                  <c:v>бизнес-информ.</c:v>
                </c:pt>
                <c:pt idx="6">
                  <c:v>отд. ПМ</c:v>
                </c:pt>
                <c:pt idx="7">
                  <c:v>отд. ПИ</c:v>
                </c:pt>
                <c:pt idx="8">
                  <c:v>пр. политологии</c:v>
                </c:pt>
                <c:pt idx="9">
                  <c:v>ОДиПЖ (медиакомм)</c:v>
                </c:pt>
                <c:pt idx="10">
                  <c:v>психологии</c:v>
                </c:pt>
                <c:pt idx="11">
                  <c:v>социологии </c:v>
                </c:pt>
                <c:pt idx="12">
                  <c:v>МЭиМП</c:v>
                </c:pt>
                <c:pt idx="13">
                  <c:v>ГиМУ</c:v>
                </c:pt>
                <c:pt idx="14">
                  <c:v>философия</c:v>
                </c:pt>
                <c:pt idx="15">
                  <c:v>математики</c:v>
                </c:pt>
                <c:pt idx="16">
                  <c:v>истории</c:v>
                </c:pt>
                <c:pt idx="17">
                  <c:v>отд. востоковедения</c:v>
                </c:pt>
                <c:pt idx="18">
                  <c:v>МИЭФ</c:v>
                </c:pt>
                <c:pt idx="19">
                  <c:v>Культурология</c:v>
                </c:pt>
                <c:pt idx="20">
                  <c:v>ОИК (рекл.)</c:v>
                </c:pt>
                <c:pt idx="21">
                  <c:v>ВШЭ-РЭШ</c:v>
                </c:pt>
                <c:pt idx="22">
                  <c:v>Филология</c:v>
                </c:pt>
                <c:pt idx="23">
                  <c:v>ФИТиВТ</c:v>
                </c:pt>
                <c:pt idx="24">
                  <c:v>ФПМиК</c:v>
                </c:pt>
                <c:pt idx="25">
                  <c:v>ФЭТ</c:v>
                </c:pt>
                <c:pt idx="26">
                  <c:v>Дизайн</c:v>
                </c:pt>
              </c:strCache>
            </c:strRef>
          </c:cat>
          <c:val>
            <c:numRef>
              <c:f>'для Осиповой'!$D$55:$D$81</c:f>
              <c:numCache>
                <c:formatCode>General</c:formatCode>
                <c:ptCount val="27"/>
                <c:pt idx="0">
                  <c:v>6.4</c:v>
                </c:pt>
                <c:pt idx="1">
                  <c:v>5.4</c:v>
                </c:pt>
                <c:pt idx="2">
                  <c:v>5.5</c:v>
                </c:pt>
                <c:pt idx="3">
                  <c:v>5.8</c:v>
                </c:pt>
                <c:pt idx="4">
                  <c:v>6.6</c:v>
                </c:pt>
                <c:pt idx="5">
                  <c:v>6.7</c:v>
                </c:pt>
                <c:pt idx="6">
                  <c:v>6.3</c:v>
                </c:pt>
                <c:pt idx="7">
                  <c:v>6.4</c:v>
                </c:pt>
                <c:pt idx="8">
                  <c:v>6.5</c:v>
                </c:pt>
                <c:pt idx="9">
                  <c:v>6.8</c:v>
                </c:pt>
                <c:pt idx="10">
                  <c:v>6.2</c:v>
                </c:pt>
                <c:pt idx="11">
                  <c:v>5.7</c:v>
                </c:pt>
                <c:pt idx="12">
                  <c:v>7</c:v>
                </c:pt>
                <c:pt idx="13">
                  <c:v>6.5</c:v>
                </c:pt>
                <c:pt idx="14">
                  <c:v>6.7</c:v>
                </c:pt>
                <c:pt idx="15">
                  <c:v>7.6</c:v>
                </c:pt>
                <c:pt idx="16">
                  <c:v>7.1</c:v>
                </c:pt>
                <c:pt idx="17">
                  <c:v>6.6</c:v>
                </c:pt>
                <c:pt idx="18">
                  <c:v>5.3</c:v>
                </c:pt>
                <c:pt idx="19">
                  <c:v>6.7</c:v>
                </c:pt>
                <c:pt idx="20">
                  <c:v>6.5</c:v>
                </c:pt>
                <c:pt idx="21">
                  <c:v>8.1</c:v>
                </c:pt>
                <c:pt idx="22">
                  <c:v>7.5</c:v>
                </c:pt>
              </c:numCache>
            </c:numRef>
          </c:val>
          <c:smooth val="0"/>
        </c:ser>
        <c:ser>
          <c:idx val="2"/>
          <c:order val="2"/>
          <c:tx>
            <c:strRef>
              <c:f>'для Осиповой'!$E$54</c:f>
              <c:strCache>
                <c:ptCount val="1"/>
                <c:pt idx="0">
                  <c:v>Средний балл победителей олимпиад 12_13</c:v>
                </c:pt>
              </c:strCache>
            </c:strRef>
          </c:tx>
          <c:cat>
            <c:strRef>
              <c:f>'для Осиповой'!$A$55:$A$81</c:f>
              <c:strCache>
                <c:ptCount val="27"/>
                <c:pt idx="0">
                  <c:v>экономики</c:v>
                </c:pt>
                <c:pt idx="1">
                  <c:v>отд. статистики</c:v>
                </c:pt>
                <c:pt idx="2">
                  <c:v>менеджмента</c:v>
                </c:pt>
                <c:pt idx="3">
                  <c:v>отд. Логистики</c:v>
                </c:pt>
                <c:pt idx="4">
                  <c:v>права</c:v>
                </c:pt>
                <c:pt idx="5">
                  <c:v>бизнес-информ.</c:v>
                </c:pt>
                <c:pt idx="6">
                  <c:v>отд. ПМ</c:v>
                </c:pt>
                <c:pt idx="7">
                  <c:v>отд. ПИ</c:v>
                </c:pt>
                <c:pt idx="8">
                  <c:v>пр. политологии</c:v>
                </c:pt>
                <c:pt idx="9">
                  <c:v>ОДиПЖ (медиакомм)</c:v>
                </c:pt>
                <c:pt idx="10">
                  <c:v>психологии</c:v>
                </c:pt>
                <c:pt idx="11">
                  <c:v>социологии </c:v>
                </c:pt>
                <c:pt idx="12">
                  <c:v>МЭиМП</c:v>
                </c:pt>
                <c:pt idx="13">
                  <c:v>ГиМУ</c:v>
                </c:pt>
                <c:pt idx="14">
                  <c:v>философия</c:v>
                </c:pt>
                <c:pt idx="15">
                  <c:v>математики</c:v>
                </c:pt>
                <c:pt idx="16">
                  <c:v>истории</c:v>
                </c:pt>
                <c:pt idx="17">
                  <c:v>отд. востоковедения</c:v>
                </c:pt>
                <c:pt idx="18">
                  <c:v>МИЭФ</c:v>
                </c:pt>
                <c:pt idx="19">
                  <c:v>Культурология</c:v>
                </c:pt>
                <c:pt idx="20">
                  <c:v>ОИК (рекл.)</c:v>
                </c:pt>
                <c:pt idx="21">
                  <c:v>ВШЭ-РЭШ</c:v>
                </c:pt>
                <c:pt idx="22">
                  <c:v>Филология</c:v>
                </c:pt>
                <c:pt idx="23">
                  <c:v>ФИТиВТ</c:v>
                </c:pt>
                <c:pt idx="24">
                  <c:v>ФПМиК</c:v>
                </c:pt>
                <c:pt idx="25">
                  <c:v>ФЭТ</c:v>
                </c:pt>
                <c:pt idx="26">
                  <c:v>Дизайн</c:v>
                </c:pt>
              </c:strCache>
            </c:strRef>
          </c:cat>
          <c:val>
            <c:numRef>
              <c:f>'для Осиповой'!$E$55:$E$81</c:f>
              <c:numCache>
                <c:formatCode>General</c:formatCode>
                <c:ptCount val="27"/>
                <c:pt idx="0" formatCode="0.00">
                  <c:v>6.84</c:v>
                </c:pt>
                <c:pt idx="2" formatCode="0.00">
                  <c:v>7.06499999999998</c:v>
                </c:pt>
                <c:pt idx="3" formatCode="0.00">
                  <c:v>7.55</c:v>
                </c:pt>
                <c:pt idx="4" formatCode="0.00">
                  <c:v>7.5</c:v>
                </c:pt>
                <c:pt idx="5" formatCode="0.00">
                  <c:v>6.6049999999999809</c:v>
                </c:pt>
                <c:pt idx="6" formatCode="0.00">
                  <c:v>6.67</c:v>
                </c:pt>
                <c:pt idx="7" formatCode="0.00">
                  <c:v>6.7649999999999855</c:v>
                </c:pt>
                <c:pt idx="8" formatCode="0.00">
                  <c:v>8.06</c:v>
                </c:pt>
                <c:pt idx="9" formatCode="0.00">
                  <c:v>7.1599999999999966</c:v>
                </c:pt>
                <c:pt idx="10" formatCode="0.00">
                  <c:v>6.9849999999999985</c:v>
                </c:pt>
                <c:pt idx="11" formatCode="0.00">
                  <c:v>6.87</c:v>
                </c:pt>
                <c:pt idx="12" formatCode="0.00">
                  <c:v>7.8000000000000007</c:v>
                </c:pt>
                <c:pt idx="13" formatCode="0.00">
                  <c:v>6.84</c:v>
                </c:pt>
                <c:pt idx="14" formatCode="0.00">
                  <c:v>4.55</c:v>
                </c:pt>
                <c:pt idx="15" formatCode="0.00">
                  <c:v>7.2949999999999946</c:v>
                </c:pt>
                <c:pt idx="16" formatCode="0.00">
                  <c:v>7.35</c:v>
                </c:pt>
                <c:pt idx="17" formatCode="0.00">
                  <c:v>7.2</c:v>
                </c:pt>
                <c:pt idx="18" formatCode="0.00">
                  <c:v>7.95</c:v>
                </c:pt>
                <c:pt idx="19" formatCode="0.00">
                  <c:v>7.4249999999999865</c:v>
                </c:pt>
                <c:pt idx="20" formatCode="0.00">
                  <c:v>7.8</c:v>
                </c:pt>
                <c:pt idx="21" formatCode="0.00">
                  <c:v>8.26</c:v>
                </c:pt>
                <c:pt idx="22" formatCode="0.00">
                  <c:v>7.3450000000000006</c:v>
                </c:pt>
                <c:pt idx="23" formatCode="0.00">
                  <c:v>7.6049999999999809</c:v>
                </c:pt>
                <c:pt idx="24" formatCode="0.00">
                  <c:v>6.38</c:v>
                </c:pt>
                <c:pt idx="25" formatCode="0.00">
                  <c:v>7.9849999999999985</c:v>
                </c:pt>
              </c:numCache>
            </c:numRef>
          </c:val>
          <c:smooth val="0"/>
        </c:ser>
        <c:dLbls>
          <c:showLegendKey val="0"/>
          <c:showVal val="0"/>
          <c:showCatName val="0"/>
          <c:showSerName val="0"/>
          <c:showPercent val="0"/>
          <c:showBubbleSize val="0"/>
        </c:dLbls>
        <c:marker val="1"/>
        <c:smooth val="0"/>
        <c:axId val="447052800"/>
        <c:axId val="447066880"/>
      </c:lineChart>
      <c:catAx>
        <c:axId val="447052800"/>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447066880"/>
        <c:crosses val="autoZero"/>
        <c:auto val="1"/>
        <c:lblAlgn val="ctr"/>
        <c:lblOffset val="100"/>
        <c:noMultiLvlLbl val="0"/>
      </c:catAx>
      <c:valAx>
        <c:axId val="447066880"/>
        <c:scaling>
          <c:orientation val="minMax"/>
          <c:max val="10"/>
          <c:min val="0"/>
        </c:scaling>
        <c:delete val="0"/>
        <c:axPos val="l"/>
        <c:majorGridlines/>
        <c:numFmt formatCode="0" sourceLinked="0"/>
        <c:majorTickMark val="out"/>
        <c:minorTickMark val="none"/>
        <c:tickLblPos val="nextTo"/>
        <c:crossAx val="447052800"/>
        <c:crosses val="autoZero"/>
        <c:crossBetween val="between"/>
        <c:majorUnit val="1"/>
        <c:minorUnit val="0.2"/>
      </c:valAx>
    </c:plotArea>
    <c:legend>
      <c:legendPos val="b"/>
      <c:layout>
        <c:manualLayout>
          <c:xMode val="edge"/>
          <c:yMode val="edge"/>
          <c:x val="1.7148219923466098E-2"/>
          <c:y val="0.90172811711706602"/>
          <c:w val="0.98281287994983058"/>
          <c:h val="8.5168231452443496E-2"/>
        </c:manualLayout>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ru-RU" sz="1200" b="1" i="0" u="none" strike="noStrike" kern="1200" baseline="0">
                <a:solidFill>
                  <a:sysClr val="windowText" lastClr="000000"/>
                </a:solidFill>
                <a:latin typeface="+mn-lt"/>
                <a:ea typeface="+mn-ea"/>
                <a:cs typeface="+mn-cs"/>
              </a:defRPr>
            </a:pPr>
            <a:r>
              <a:rPr lang="ru-RU" sz="1200" b="1" i="0" u="none" strike="noStrike" kern="1200" baseline="0">
                <a:solidFill>
                  <a:sysClr val="windowText" lastClr="000000"/>
                </a:solidFill>
                <a:latin typeface="+mn-lt"/>
                <a:ea typeface="+mn-ea"/>
                <a:cs typeface="+mn-cs"/>
              </a:rPr>
              <a:t>Сравнение средних баллов победителей олимпиад со средним баллом </a:t>
            </a:r>
            <a:br>
              <a:rPr lang="ru-RU" sz="1200" b="1" i="0" u="none" strike="noStrike" kern="1200" baseline="0">
                <a:solidFill>
                  <a:sysClr val="windowText" lastClr="000000"/>
                </a:solidFill>
                <a:latin typeface="+mn-lt"/>
                <a:ea typeface="+mn-ea"/>
                <a:cs typeface="+mn-cs"/>
              </a:rPr>
            </a:br>
            <a:r>
              <a:rPr lang="ru-RU" sz="1200" b="1" i="0" u="none" strike="noStrike" kern="1200" baseline="0">
                <a:solidFill>
                  <a:sysClr val="windowText" lastClr="000000"/>
                </a:solidFill>
                <a:latin typeface="+mn-lt"/>
                <a:ea typeface="+mn-ea"/>
                <a:cs typeface="+mn-cs"/>
              </a:rPr>
              <a:t>поступивших по ЕГЭ в 2010, 2011 и 2012 уч.гг. (филиалы)</a:t>
            </a:r>
            <a:br>
              <a:rPr lang="ru-RU" sz="1200" b="1" i="0" u="none" strike="noStrike" kern="1200" baseline="0">
                <a:solidFill>
                  <a:sysClr val="windowText" lastClr="000000"/>
                </a:solidFill>
                <a:latin typeface="+mn-lt"/>
                <a:ea typeface="+mn-ea"/>
                <a:cs typeface="+mn-cs"/>
              </a:rPr>
            </a:br>
            <a:endParaRPr lang="ru-RU" sz="1200" b="1" i="0" u="none" strike="noStrike" kern="1200" baseline="0">
              <a:solidFill>
                <a:sysClr val="windowText" lastClr="000000"/>
              </a:solidFill>
              <a:latin typeface="+mn-lt"/>
              <a:ea typeface="+mn-ea"/>
              <a:cs typeface="+mn-cs"/>
            </a:endParaRPr>
          </a:p>
        </c:rich>
      </c:tx>
      <c:overlay val="0"/>
    </c:title>
    <c:autoTitleDeleted val="0"/>
    <c:plotArea>
      <c:layout>
        <c:manualLayout>
          <c:layoutTarget val="inner"/>
          <c:xMode val="edge"/>
          <c:yMode val="edge"/>
          <c:x val="9.6847815846497043E-2"/>
          <c:y val="0.12378277140717953"/>
          <c:w val="0.84027982154126302"/>
          <c:h val="0.45312255731482437"/>
        </c:manualLayout>
      </c:layout>
      <c:barChart>
        <c:barDir val="col"/>
        <c:grouping val="clustered"/>
        <c:varyColors val="0"/>
        <c:ser>
          <c:idx val="3"/>
          <c:order val="3"/>
          <c:tx>
            <c:strRef>
              <c:f>'для Осиповой'!$I$93</c:f>
              <c:strCache>
                <c:ptCount val="1"/>
                <c:pt idx="0">
                  <c:v>Средний балл по 1 курсу (ЕГЭ) 10_11</c:v>
                </c:pt>
              </c:strCache>
            </c:strRef>
          </c:tx>
          <c:invertIfNegative val="0"/>
          <c:cat>
            <c:strRef>
              <c:f>'для Осиповой'!$A$94:$A$108</c:f>
              <c:strCache>
                <c:ptCount val="15"/>
                <c:pt idx="0">
                  <c:v>экономики ПФ</c:v>
                </c:pt>
                <c:pt idx="1">
                  <c:v>менеджмента ПФ</c:v>
                </c:pt>
                <c:pt idx="2">
                  <c:v>БИ ПФ</c:v>
                </c:pt>
                <c:pt idx="3">
                  <c:v>Социально-гуманитарный факультет</c:v>
                </c:pt>
                <c:pt idx="4">
                  <c:v>Экономики СПб</c:v>
                </c:pt>
                <c:pt idx="5">
                  <c:v>Социологии СПб</c:v>
                </c:pt>
                <c:pt idx="6">
                  <c:v>Менеджмента СПб</c:v>
                </c:pt>
                <c:pt idx="7">
                  <c:v>Политологии СПб</c:v>
                </c:pt>
                <c:pt idx="8">
                  <c:v>Юридический СПб</c:v>
                </c:pt>
                <c:pt idx="9">
                  <c:v>История СПб</c:v>
                </c:pt>
                <c:pt idx="10">
                  <c:v>экономики НФ</c:v>
                </c:pt>
                <c:pt idx="11">
                  <c:v>менеджмента НФ</c:v>
                </c:pt>
                <c:pt idx="12">
                  <c:v>права НФ</c:v>
                </c:pt>
                <c:pt idx="13">
                  <c:v>БИи ПМ НФ</c:v>
                </c:pt>
                <c:pt idx="14">
                  <c:v>Факультет гуманитарных наук НФ</c:v>
                </c:pt>
              </c:strCache>
            </c:strRef>
          </c:cat>
          <c:val>
            <c:numRef>
              <c:f>'для Осиповой'!$I$94:$I$108</c:f>
              <c:numCache>
                <c:formatCode>0.0</c:formatCode>
                <c:ptCount val="15"/>
                <c:pt idx="0">
                  <c:v>6.35</c:v>
                </c:pt>
                <c:pt idx="1">
                  <c:v>6.1899999999999986</c:v>
                </c:pt>
                <c:pt idx="2">
                  <c:v>5.59</c:v>
                </c:pt>
                <c:pt idx="4" formatCode="General">
                  <c:v>7.01</c:v>
                </c:pt>
                <c:pt idx="5" formatCode="General">
                  <c:v>7.35</c:v>
                </c:pt>
                <c:pt idx="6" formatCode="General">
                  <c:v>7.1899999999999986</c:v>
                </c:pt>
                <c:pt idx="7" formatCode="General">
                  <c:v>7.1899999999999986</c:v>
                </c:pt>
                <c:pt idx="8" formatCode="General">
                  <c:v>6.57</c:v>
                </c:pt>
                <c:pt idx="10" formatCode="General">
                  <c:v>6.83</c:v>
                </c:pt>
                <c:pt idx="11" formatCode="General">
                  <c:v>6.75</c:v>
                </c:pt>
                <c:pt idx="12" formatCode="General">
                  <c:v>6.1</c:v>
                </c:pt>
                <c:pt idx="13" formatCode="General">
                  <c:v>6.53</c:v>
                </c:pt>
              </c:numCache>
            </c:numRef>
          </c:val>
        </c:ser>
        <c:ser>
          <c:idx val="4"/>
          <c:order val="4"/>
          <c:tx>
            <c:strRef>
              <c:f>'для Осиповой'!$J$93</c:f>
              <c:strCache>
                <c:ptCount val="1"/>
                <c:pt idx="0">
                  <c:v>Средний балл по 1 курсу (ЕГЭ) 11_12</c:v>
                </c:pt>
              </c:strCache>
            </c:strRef>
          </c:tx>
          <c:invertIfNegative val="0"/>
          <c:cat>
            <c:strRef>
              <c:f>'для Осиповой'!$A$94:$A$108</c:f>
              <c:strCache>
                <c:ptCount val="15"/>
                <c:pt idx="0">
                  <c:v>экономики ПФ</c:v>
                </c:pt>
                <c:pt idx="1">
                  <c:v>менеджмента ПФ</c:v>
                </c:pt>
                <c:pt idx="2">
                  <c:v>БИ ПФ</c:v>
                </c:pt>
                <c:pt idx="3">
                  <c:v>Социально-гуманитарный факультет</c:v>
                </c:pt>
                <c:pt idx="4">
                  <c:v>Экономики СПб</c:v>
                </c:pt>
                <c:pt idx="5">
                  <c:v>Социологии СПб</c:v>
                </c:pt>
                <c:pt idx="6">
                  <c:v>Менеджмента СПб</c:v>
                </c:pt>
                <c:pt idx="7">
                  <c:v>Политологии СПб</c:v>
                </c:pt>
                <c:pt idx="8">
                  <c:v>Юридический СПб</c:v>
                </c:pt>
                <c:pt idx="9">
                  <c:v>История СПб</c:v>
                </c:pt>
                <c:pt idx="10">
                  <c:v>экономики НФ</c:v>
                </c:pt>
                <c:pt idx="11">
                  <c:v>менеджмента НФ</c:v>
                </c:pt>
                <c:pt idx="12">
                  <c:v>права НФ</c:v>
                </c:pt>
                <c:pt idx="13">
                  <c:v>БИи ПМ НФ</c:v>
                </c:pt>
                <c:pt idx="14">
                  <c:v>Факультет гуманитарных наук НФ</c:v>
                </c:pt>
              </c:strCache>
            </c:strRef>
          </c:cat>
          <c:val>
            <c:numRef>
              <c:f>'для Осиповой'!$J$94:$J$108</c:f>
              <c:numCache>
                <c:formatCode>0.0</c:formatCode>
                <c:ptCount val="15"/>
                <c:pt idx="0">
                  <c:v>6.8</c:v>
                </c:pt>
                <c:pt idx="1">
                  <c:v>6.9</c:v>
                </c:pt>
                <c:pt idx="2">
                  <c:v>6.5</c:v>
                </c:pt>
                <c:pt idx="4" formatCode="General">
                  <c:v>6.4</c:v>
                </c:pt>
                <c:pt idx="5" formatCode="General">
                  <c:v>6.8</c:v>
                </c:pt>
                <c:pt idx="6" formatCode="General">
                  <c:v>7.3</c:v>
                </c:pt>
                <c:pt idx="7" formatCode="General">
                  <c:v>7.2</c:v>
                </c:pt>
                <c:pt idx="8" formatCode="General">
                  <c:v>7.1</c:v>
                </c:pt>
                <c:pt idx="10" formatCode="General">
                  <c:v>6.8</c:v>
                </c:pt>
                <c:pt idx="11" formatCode="General">
                  <c:v>7.1</c:v>
                </c:pt>
                <c:pt idx="12" formatCode="General">
                  <c:v>6.7</c:v>
                </c:pt>
                <c:pt idx="13" formatCode="General">
                  <c:v>6.2</c:v>
                </c:pt>
              </c:numCache>
            </c:numRef>
          </c:val>
        </c:ser>
        <c:ser>
          <c:idx val="5"/>
          <c:order val="5"/>
          <c:tx>
            <c:strRef>
              <c:f>'для Осиповой'!$K$93</c:f>
              <c:strCache>
                <c:ptCount val="1"/>
                <c:pt idx="0">
                  <c:v>Средний балл по 1 курсу (ЕГЭ) 12_13</c:v>
                </c:pt>
              </c:strCache>
            </c:strRef>
          </c:tx>
          <c:invertIfNegative val="0"/>
          <c:cat>
            <c:strRef>
              <c:f>'для Осиповой'!$A$94:$A$108</c:f>
              <c:strCache>
                <c:ptCount val="15"/>
                <c:pt idx="0">
                  <c:v>экономики ПФ</c:v>
                </c:pt>
                <c:pt idx="1">
                  <c:v>менеджмента ПФ</c:v>
                </c:pt>
                <c:pt idx="2">
                  <c:v>БИ ПФ</c:v>
                </c:pt>
                <c:pt idx="3">
                  <c:v>Социально-гуманитарный факультет</c:v>
                </c:pt>
                <c:pt idx="4">
                  <c:v>Экономики СПб</c:v>
                </c:pt>
                <c:pt idx="5">
                  <c:v>Социологии СПб</c:v>
                </c:pt>
                <c:pt idx="6">
                  <c:v>Менеджмента СПб</c:v>
                </c:pt>
                <c:pt idx="7">
                  <c:v>Политологии СПб</c:v>
                </c:pt>
                <c:pt idx="8">
                  <c:v>Юридический СПб</c:v>
                </c:pt>
                <c:pt idx="9">
                  <c:v>История СПб</c:v>
                </c:pt>
                <c:pt idx="10">
                  <c:v>экономики НФ</c:v>
                </c:pt>
                <c:pt idx="11">
                  <c:v>менеджмента НФ</c:v>
                </c:pt>
                <c:pt idx="12">
                  <c:v>права НФ</c:v>
                </c:pt>
                <c:pt idx="13">
                  <c:v>БИи ПМ НФ</c:v>
                </c:pt>
                <c:pt idx="14">
                  <c:v>Факультет гуманитарных наук НФ</c:v>
                </c:pt>
              </c:strCache>
            </c:strRef>
          </c:cat>
          <c:val>
            <c:numRef>
              <c:f>'для Осиповой'!$K$94:$K$108</c:f>
              <c:numCache>
                <c:formatCode>0.00</c:formatCode>
                <c:ptCount val="15"/>
                <c:pt idx="0">
                  <c:v>7.3149999999999809</c:v>
                </c:pt>
                <c:pt idx="1">
                  <c:v>7.2700000000000014</c:v>
                </c:pt>
                <c:pt idx="2">
                  <c:v>6.9700000000000024</c:v>
                </c:pt>
                <c:pt idx="3">
                  <c:v>7.21</c:v>
                </c:pt>
                <c:pt idx="4">
                  <c:v>6.58</c:v>
                </c:pt>
                <c:pt idx="5">
                  <c:v>8.0300000000000011</c:v>
                </c:pt>
                <c:pt idx="6">
                  <c:v>7.06499999999998</c:v>
                </c:pt>
                <c:pt idx="7">
                  <c:v>7.0350000000000001</c:v>
                </c:pt>
                <c:pt idx="8">
                  <c:v>6.6649999999999752</c:v>
                </c:pt>
                <c:pt idx="9">
                  <c:v>7.4749999999999996</c:v>
                </c:pt>
                <c:pt idx="10">
                  <c:v>6.8949999999999845</c:v>
                </c:pt>
                <c:pt idx="11">
                  <c:v>6.9450000000000003</c:v>
                </c:pt>
                <c:pt idx="12">
                  <c:v>6.6099999999999977</c:v>
                </c:pt>
                <c:pt idx="13">
                  <c:v>6.71</c:v>
                </c:pt>
                <c:pt idx="14">
                  <c:v>6.0950000000000006</c:v>
                </c:pt>
              </c:numCache>
            </c:numRef>
          </c:val>
        </c:ser>
        <c:dLbls>
          <c:showLegendKey val="0"/>
          <c:showVal val="0"/>
          <c:showCatName val="0"/>
          <c:showSerName val="0"/>
          <c:showPercent val="0"/>
          <c:showBubbleSize val="0"/>
        </c:dLbls>
        <c:gapWidth val="150"/>
        <c:axId val="447101568"/>
        <c:axId val="447119744"/>
      </c:barChart>
      <c:lineChart>
        <c:grouping val="standard"/>
        <c:varyColors val="0"/>
        <c:ser>
          <c:idx val="0"/>
          <c:order val="0"/>
          <c:tx>
            <c:strRef>
              <c:f>'для Осиповой'!$C$93</c:f>
              <c:strCache>
                <c:ptCount val="1"/>
                <c:pt idx="0">
                  <c:v>Средний балл победителей олимпиад 10_11</c:v>
                </c:pt>
              </c:strCache>
            </c:strRef>
          </c:tx>
          <c:cat>
            <c:strRef>
              <c:f>'для Осиповой'!$A$94:$A$108</c:f>
              <c:strCache>
                <c:ptCount val="15"/>
                <c:pt idx="0">
                  <c:v>экономики ПФ</c:v>
                </c:pt>
                <c:pt idx="1">
                  <c:v>менеджмента ПФ</c:v>
                </c:pt>
                <c:pt idx="2">
                  <c:v>БИ ПФ</c:v>
                </c:pt>
                <c:pt idx="3">
                  <c:v>Социально-гуманитарный факультет</c:v>
                </c:pt>
                <c:pt idx="4">
                  <c:v>Экономики СПб</c:v>
                </c:pt>
                <c:pt idx="5">
                  <c:v>Социологии СПб</c:v>
                </c:pt>
                <c:pt idx="6">
                  <c:v>Менеджмента СПб</c:v>
                </c:pt>
                <c:pt idx="7">
                  <c:v>Политологии СПб</c:v>
                </c:pt>
                <c:pt idx="8">
                  <c:v>Юридический СПб</c:v>
                </c:pt>
                <c:pt idx="9">
                  <c:v>История СПб</c:v>
                </c:pt>
                <c:pt idx="10">
                  <c:v>экономики НФ</c:v>
                </c:pt>
                <c:pt idx="11">
                  <c:v>менеджмента НФ</c:v>
                </c:pt>
                <c:pt idx="12">
                  <c:v>права НФ</c:v>
                </c:pt>
                <c:pt idx="13">
                  <c:v>БИи ПМ НФ</c:v>
                </c:pt>
                <c:pt idx="14">
                  <c:v>Факультет гуманитарных наук НФ</c:v>
                </c:pt>
              </c:strCache>
            </c:strRef>
          </c:cat>
          <c:val>
            <c:numRef>
              <c:f>'для Осиповой'!$C$94:$C$108</c:f>
              <c:numCache>
                <c:formatCode>0.0</c:formatCode>
                <c:ptCount val="15"/>
                <c:pt idx="0">
                  <c:v>7.4</c:v>
                </c:pt>
                <c:pt idx="1">
                  <c:v>8.1</c:v>
                </c:pt>
                <c:pt idx="2">
                  <c:v>8.7900000000000009</c:v>
                </c:pt>
                <c:pt idx="4" formatCode="General">
                  <c:v>7.1899999999999986</c:v>
                </c:pt>
                <c:pt idx="5" formatCode="General">
                  <c:v>8.07</c:v>
                </c:pt>
                <c:pt idx="6" formatCode="General">
                  <c:v>7.6199999999999957</c:v>
                </c:pt>
                <c:pt idx="7" formatCode="General">
                  <c:v>8</c:v>
                </c:pt>
                <c:pt idx="8" formatCode="General">
                  <c:v>7.53</c:v>
                </c:pt>
                <c:pt idx="10" formatCode="General">
                  <c:v>8.1</c:v>
                </c:pt>
                <c:pt idx="12" formatCode="General">
                  <c:v>7.2</c:v>
                </c:pt>
                <c:pt idx="13" formatCode="General">
                  <c:v>7</c:v>
                </c:pt>
              </c:numCache>
            </c:numRef>
          </c:val>
          <c:smooth val="0"/>
        </c:ser>
        <c:ser>
          <c:idx val="1"/>
          <c:order val="1"/>
          <c:tx>
            <c:strRef>
              <c:f>'для Осиповой'!$D$93</c:f>
              <c:strCache>
                <c:ptCount val="1"/>
                <c:pt idx="0">
                  <c:v>Средний балл победителей олимпиад 11_12</c:v>
                </c:pt>
              </c:strCache>
            </c:strRef>
          </c:tx>
          <c:cat>
            <c:strRef>
              <c:f>'для Осиповой'!$A$94:$A$108</c:f>
              <c:strCache>
                <c:ptCount val="15"/>
                <c:pt idx="0">
                  <c:v>экономики ПФ</c:v>
                </c:pt>
                <c:pt idx="1">
                  <c:v>менеджмента ПФ</c:v>
                </c:pt>
                <c:pt idx="2">
                  <c:v>БИ ПФ</c:v>
                </c:pt>
                <c:pt idx="3">
                  <c:v>Социально-гуманитарный факультет</c:v>
                </c:pt>
                <c:pt idx="4">
                  <c:v>Экономики СПб</c:v>
                </c:pt>
                <c:pt idx="5">
                  <c:v>Социологии СПб</c:v>
                </c:pt>
                <c:pt idx="6">
                  <c:v>Менеджмента СПб</c:v>
                </c:pt>
                <c:pt idx="7">
                  <c:v>Политологии СПб</c:v>
                </c:pt>
                <c:pt idx="8">
                  <c:v>Юридический СПб</c:v>
                </c:pt>
                <c:pt idx="9">
                  <c:v>История СПб</c:v>
                </c:pt>
                <c:pt idx="10">
                  <c:v>экономики НФ</c:v>
                </c:pt>
                <c:pt idx="11">
                  <c:v>менеджмента НФ</c:v>
                </c:pt>
                <c:pt idx="12">
                  <c:v>права НФ</c:v>
                </c:pt>
                <c:pt idx="13">
                  <c:v>БИи ПМ НФ</c:v>
                </c:pt>
                <c:pt idx="14">
                  <c:v>Факультет гуманитарных наук НФ</c:v>
                </c:pt>
              </c:strCache>
            </c:strRef>
          </c:cat>
          <c:val>
            <c:numRef>
              <c:f>'для Осиповой'!$D$94:$D$108</c:f>
              <c:numCache>
                <c:formatCode>0.0</c:formatCode>
                <c:ptCount val="15"/>
                <c:pt idx="0">
                  <c:v>6.2</c:v>
                </c:pt>
                <c:pt idx="1">
                  <c:v>5.5</c:v>
                </c:pt>
                <c:pt idx="2">
                  <c:v>4.8</c:v>
                </c:pt>
                <c:pt idx="4" formatCode="General">
                  <c:v>7.3</c:v>
                </c:pt>
                <c:pt idx="5" formatCode="General">
                  <c:v>5.5</c:v>
                </c:pt>
                <c:pt idx="6" formatCode="General">
                  <c:v>7.5</c:v>
                </c:pt>
                <c:pt idx="7" formatCode="General">
                  <c:v>9.4</c:v>
                </c:pt>
                <c:pt idx="8" formatCode="General">
                  <c:v>6.2</c:v>
                </c:pt>
                <c:pt idx="10" formatCode="General">
                  <c:v>7.1</c:v>
                </c:pt>
                <c:pt idx="11" formatCode="General">
                  <c:v>6.5</c:v>
                </c:pt>
                <c:pt idx="12" formatCode="General">
                  <c:v>6.8</c:v>
                </c:pt>
                <c:pt idx="13" formatCode="General">
                  <c:v>6.8</c:v>
                </c:pt>
              </c:numCache>
            </c:numRef>
          </c:val>
          <c:smooth val="0"/>
        </c:ser>
        <c:ser>
          <c:idx val="2"/>
          <c:order val="2"/>
          <c:tx>
            <c:strRef>
              <c:f>'для Осиповой'!$E$93</c:f>
              <c:strCache>
                <c:ptCount val="1"/>
                <c:pt idx="0">
                  <c:v>Средний балл победителей олимпиад 12_13</c:v>
                </c:pt>
              </c:strCache>
            </c:strRef>
          </c:tx>
          <c:cat>
            <c:strRef>
              <c:f>'для Осиповой'!$A$94:$A$108</c:f>
              <c:strCache>
                <c:ptCount val="15"/>
                <c:pt idx="0">
                  <c:v>экономики ПФ</c:v>
                </c:pt>
                <c:pt idx="1">
                  <c:v>менеджмента ПФ</c:v>
                </c:pt>
                <c:pt idx="2">
                  <c:v>БИ ПФ</c:v>
                </c:pt>
                <c:pt idx="3">
                  <c:v>Социально-гуманитарный факультет</c:v>
                </c:pt>
                <c:pt idx="4">
                  <c:v>Экономики СПб</c:v>
                </c:pt>
                <c:pt idx="5">
                  <c:v>Социологии СПб</c:v>
                </c:pt>
                <c:pt idx="6">
                  <c:v>Менеджмента СПб</c:v>
                </c:pt>
                <c:pt idx="7">
                  <c:v>Политологии СПб</c:v>
                </c:pt>
                <c:pt idx="8">
                  <c:v>Юридический СПб</c:v>
                </c:pt>
                <c:pt idx="9">
                  <c:v>История СПб</c:v>
                </c:pt>
                <c:pt idx="10">
                  <c:v>экономики НФ</c:v>
                </c:pt>
                <c:pt idx="11">
                  <c:v>менеджмента НФ</c:v>
                </c:pt>
                <c:pt idx="12">
                  <c:v>права НФ</c:v>
                </c:pt>
                <c:pt idx="13">
                  <c:v>БИи ПМ НФ</c:v>
                </c:pt>
                <c:pt idx="14">
                  <c:v>Факультет гуманитарных наук НФ</c:v>
                </c:pt>
              </c:strCache>
            </c:strRef>
          </c:cat>
          <c:val>
            <c:numRef>
              <c:f>'для Осиповой'!$E$94:$E$108</c:f>
              <c:numCache>
                <c:formatCode>General</c:formatCode>
                <c:ptCount val="15"/>
                <c:pt idx="0">
                  <c:v>6.6899999999999986</c:v>
                </c:pt>
                <c:pt idx="1">
                  <c:v>7.33</c:v>
                </c:pt>
                <c:pt idx="3">
                  <c:v>8.33</c:v>
                </c:pt>
                <c:pt idx="4" formatCode="0.00">
                  <c:v>6.8450000000000006</c:v>
                </c:pt>
                <c:pt idx="6">
                  <c:v>6.75</c:v>
                </c:pt>
                <c:pt idx="7" formatCode="0.00">
                  <c:v>7</c:v>
                </c:pt>
                <c:pt idx="8">
                  <c:v>6.72</c:v>
                </c:pt>
                <c:pt idx="9" formatCode="0.00">
                  <c:v>7.4</c:v>
                </c:pt>
                <c:pt idx="10" formatCode="0.00">
                  <c:v>7.0549999999999855</c:v>
                </c:pt>
                <c:pt idx="11">
                  <c:v>4.1499999999999986</c:v>
                </c:pt>
                <c:pt idx="12">
                  <c:v>7.57</c:v>
                </c:pt>
                <c:pt idx="13">
                  <c:v>8.14</c:v>
                </c:pt>
                <c:pt idx="14">
                  <c:v>7.41</c:v>
                </c:pt>
              </c:numCache>
            </c:numRef>
          </c:val>
          <c:smooth val="0"/>
        </c:ser>
        <c:dLbls>
          <c:showLegendKey val="0"/>
          <c:showVal val="0"/>
          <c:showCatName val="0"/>
          <c:showSerName val="0"/>
          <c:showPercent val="0"/>
          <c:showBubbleSize val="0"/>
        </c:dLbls>
        <c:marker val="1"/>
        <c:smooth val="0"/>
        <c:axId val="447101568"/>
        <c:axId val="447119744"/>
      </c:lineChart>
      <c:catAx>
        <c:axId val="447101568"/>
        <c:scaling>
          <c:orientation val="minMax"/>
        </c:scaling>
        <c:delete val="0"/>
        <c:axPos val="b"/>
        <c:numFmt formatCode="General" sourceLinked="0"/>
        <c:majorTickMark val="out"/>
        <c:minorTickMark val="none"/>
        <c:tickLblPos val="nextTo"/>
        <c:crossAx val="447119744"/>
        <c:crosses val="autoZero"/>
        <c:auto val="1"/>
        <c:lblAlgn val="ctr"/>
        <c:lblOffset val="100"/>
        <c:noMultiLvlLbl val="0"/>
      </c:catAx>
      <c:valAx>
        <c:axId val="447119744"/>
        <c:scaling>
          <c:orientation val="minMax"/>
        </c:scaling>
        <c:delete val="0"/>
        <c:axPos val="l"/>
        <c:majorGridlines/>
        <c:numFmt formatCode="0" sourceLinked="0"/>
        <c:majorTickMark val="out"/>
        <c:minorTickMark val="none"/>
        <c:tickLblPos val="nextTo"/>
        <c:crossAx val="447101568"/>
        <c:crosses val="autoZero"/>
        <c:crossBetween val="between"/>
      </c:valAx>
    </c:plotArea>
    <c:legend>
      <c:legendPos val="b"/>
      <c:layout>
        <c:manualLayout>
          <c:xMode val="edge"/>
          <c:yMode val="edge"/>
          <c:x val="0"/>
          <c:y val="0.87845173043217728"/>
          <c:w val="0.97994840436501041"/>
          <c:h val="0.10542009839206676"/>
        </c:manualLayout>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ru-RU" sz="1200" b="1" i="0" u="none" strike="noStrike" kern="1200" baseline="0">
                <a:solidFill>
                  <a:sysClr val="windowText" lastClr="000000"/>
                </a:solidFill>
                <a:latin typeface="+mn-lt"/>
                <a:ea typeface="+mn-ea"/>
                <a:cs typeface="+mn-cs"/>
              </a:defRPr>
            </a:pPr>
            <a:r>
              <a:rPr lang="ru-RU" sz="1200" b="1" i="0" u="none" strike="noStrike" kern="1200" baseline="0">
                <a:solidFill>
                  <a:sysClr val="windowText" lastClr="000000"/>
                </a:solidFill>
                <a:latin typeface="+mn-lt"/>
                <a:ea typeface="+mn-ea"/>
                <a:cs typeface="+mn-cs"/>
              </a:rPr>
              <a:t>Студенты первого курса по признакам поступления и отчисления с 1 курса, Москва, за 3 года </a:t>
            </a:r>
          </a:p>
        </c:rich>
      </c:tx>
      <c:overlay val="0"/>
    </c:title>
    <c:autoTitleDeleted val="0"/>
    <c:plotArea>
      <c:layout>
        <c:manualLayout>
          <c:layoutTarget val="inner"/>
          <c:xMode val="edge"/>
          <c:yMode val="edge"/>
          <c:x val="0.24514025876352599"/>
          <c:y val="5.5621276282149398E-2"/>
          <c:w val="0.73464567501790179"/>
          <c:h val="0.82482100644547995"/>
        </c:manualLayout>
      </c:layout>
      <c:barChart>
        <c:barDir val="bar"/>
        <c:grouping val="stacked"/>
        <c:varyColors val="0"/>
        <c:ser>
          <c:idx val="0"/>
          <c:order val="0"/>
          <c:tx>
            <c:strRef>
              <c:f>'для Осиповой'!$C$133</c:f>
              <c:strCache>
                <c:ptCount val="1"/>
                <c:pt idx="0">
                  <c:v>Кол-во студентов, зачисленных по результатам олимпиад и продолжающие обучение </c:v>
                </c:pt>
              </c:strCache>
            </c:strRef>
          </c:tx>
          <c:invertIfNegative val="0"/>
          <c:cat>
            <c:multiLvlStrRef>
              <c:f>'для Осиповой'!$A$150:$B$218</c:f>
              <c:multiLvlStrCache>
                <c:ptCount val="69"/>
                <c:lvl>
                  <c:pt idx="0">
                    <c:v>экономики</c:v>
                  </c:pt>
                  <c:pt idx="1">
                    <c:v>отд. статистики</c:v>
                  </c:pt>
                  <c:pt idx="2">
                    <c:v>менеджмента</c:v>
                  </c:pt>
                  <c:pt idx="3">
                    <c:v>отд. Логистики</c:v>
                  </c:pt>
                  <c:pt idx="4">
                    <c:v>права</c:v>
                  </c:pt>
                  <c:pt idx="5">
                    <c:v>бизнес-информ.</c:v>
                  </c:pt>
                  <c:pt idx="6">
                    <c:v>отд. ПМ</c:v>
                  </c:pt>
                  <c:pt idx="7">
                    <c:v>отд. ПИ</c:v>
                  </c:pt>
                  <c:pt idx="8">
                    <c:v>пр. политологии</c:v>
                  </c:pt>
                  <c:pt idx="9">
                    <c:v>ОДиПЖ</c:v>
                  </c:pt>
                  <c:pt idx="10">
                    <c:v>психологии</c:v>
                  </c:pt>
                  <c:pt idx="11">
                    <c:v>социологии </c:v>
                  </c:pt>
                  <c:pt idx="12">
                    <c:v>МЭиМП</c:v>
                  </c:pt>
                  <c:pt idx="13">
                    <c:v>ГиМУ</c:v>
                  </c:pt>
                  <c:pt idx="14">
                    <c:v>философия</c:v>
                  </c:pt>
                  <c:pt idx="15">
                    <c:v>математики</c:v>
                  </c:pt>
                  <c:pt idx="16">
                    <c:v>истории</c:v>
                  </c:pt>
                  <c:pt idx="17">
                    <c:v>отд. востоковедения</c:v>
                  </c:pt>
                  <c:pt idx="18">
                    <c:v>МИЭФ</c:v>
                  </c:pt>
                  <c:pt idx="19">
                    <c:v>экономики</c:v>
                  </c:pt>
                  <c:pt idx="20">
                    <c:v>отд. статистики</c:v>
                  </c:pt>
                  <c:pt idx="21">
                    <c:v>менеджмента</c:v>
                  </c:pt>
                  <c:pt idx="22">
                    <c:v>отд. Логистики</c:v>
                  </c:pt>
                  <c:pt idx="23">
                    <c:v>права* </c:v>
                  </c:pt>
                  <c:pt idx="24">
                    <c:v>бизнес-информ.</c:v>
                  </c:pt>
                  <c:pt idx="25">
                    <c:v>отд. ПМ</c:v>
                  </c:pt>
                  <c:pt idx="26">
                    <c:v>отд. ПИ</c:v>
                  </c:pt>
                  <c:pt idx="27">
                    <c:v>пр. политологии</c:v>
                  </c:pt>
                  <c:pt idx="28">
                    <c:v>ОДиПЖ (Медиакомм)</c:v>
                  </c:pt>
                  <c:pt idx="29">
                    <c:v>психологии</c:v>
                  </c:pt>
                  <c:pt idx="30">
                    <c:v>социологии </c:v>
                  </c:pt>
                  <c:pt idx="31">
                    <c:v>МЭиМП</c:v>
                  </c:pt>
                  <c:pt idx="32">
                    <c:v>ГиМУ</c:v>
                  </c:pt>
                  <c:pt idx="33">
                    <c:v>философия</c:v>
                  </c:pt>
                  <c:pt idx="34">
                    <c:v>математики</c:v>
                  </c:pt>
                  <c:pt idx="35">
                    <c:v>истории</c:v>
                  </c:pt>
                  <c:pt idx="36">
                    <c:v>отд. востоковедения</c:v>
                  </c:pt>
                  <c:pt idx="37">
                    <c:v>МИЭФ</c:v>
                  </c:pt>
                  <c:pt idx="38">
                    <c:v>Культурология</c:v>
                  </c:pt>
                  <c:pt idx="39">
                    <c:v>ОИК</c:v>
                  </c:pt>
                  <c:pt idx="40">
                    <c:v>ВШЭ и РЭШ</c:v>
                  </c:pt>
                  <c:pt idx="41">
                    <c:v>Филология</c:v>
                  </c:pt>
                  <c:pt idx="42">
                    <c:v>экономики</c:v>
                  </c:pt>
                  <c:pt idx="43">
                    <c:v>отд. статистики</c:v>
                  </c:pt>
                  <c:pt idx="44">
                    <c:v>менеджмента</c:v>
                  </c:pt>
                  <c:pt idx="45">
                    <c:v>отд. логистики</c:v>
                  </c:pt>
                  <c:pt idx="46">
                    <c:v>права</c:v>
                  </c:pt>
                  <c:pt idx="47">
                    <c:v>БИ</c:v>
                  </c:pt>
                  <c:pt idx="48">
                    <c:v>отд. ПМ</c:v>
                  </c:pt>
                  <c:pt idx="49">
                    <c:v>отд. ПИ</c:v>
                  </c:pt>
                  <c:pt idx="50">
                    <c:v>пр. политологии</c:v>
                  </c:pt>
                  <c:pt idx="51">
                    <c:v>медиакомм.</c:v>
                  </c:pt>
                  <c:pt idx="52">
                    <c:v>психологии</c:v>
                  </c:pt>
                  <c:pt idx="53">
                    <c:v>социологии </c:v>
                  </c:pt>
                  <c:pt idx="54">
                    <c:v>МЭиМП</c:v>
                  </c:pt>
                  <c:pt idx="55">
                    <c:v>ГиМУ</c:v>
                  </c:pt>
                  <c:pt idx="56">
                    <c:v>философии</c:v>
                  </c:pt>
                  <c:pt idx="57">
                    <c:v>математики</c:v>
                  </c:pt>
                  <c:pt idx="58">
                    <c:v>истории</c:v>
                  </c:pt>
                  <c:pt idx="59">
                    <c:v>отд. востоковедения</c:v>
                  </c:pt>
                  <c:pt idx="60">
                    <c:v>МИЭФ</c:v>
                  </c:pt>
                  <c:pt idx="61">
                    <c:v>культурологии</c:v>
                  </c:pt>
                  <c:pt idx="62">
                    <c:v>ОИК</c:v>
                  </c:pt>
                  <c:pt idx="63">
                    <c:v>ВШЭ-РЭШ</c:v>
                  </c:pt>
                  <c:pt idx="64">
                    <c:v>филологии</c:v>
                  </c:pt>
                  <c:pt idx="65">
                    <c:v>Факультет дизайна</c:v>
                  </c:pt>
                  <c:pt idx="66">
                    <c:v>ФИТиВТ</c:v>
                  </c:pt>
                  <c:pt idx="67">
                    <c:v>ФПМиК</c:v>
                  </c:pt>
                  <c:pt idx="68">
                    <c:v>ФЭТ</c:v>
                  </c:pt>
                </c:lvl>
                <c:lvl>
                  <c:pt idx="0">
                    <c:v>10_11</c:v>
                  </c:pt>
                  <c:pt idx="19">
                    <c:v>11_12</c:v>
                  </c:pt>
                  <c:pt idx="42">
                    <c:v>12_13</c:v>
                  </c:pt>
                </c:lvl>
              </c:multiLvlStrCache>
            </c:multiLvlStrRef>
          </c:cat>
          <c:val>
            <c:numRef>
              <c:f>'для Осиповой'!$C$150:$C$218</c:f>
              <c:numCache>
                <c:formatCode>General</c:formatCode>
                <c:ptCount val="69"/>
                <c:pt idx="0">
                  <c:v>109</c:v>
                </c:pt>
                <c:pt idx="1">
                  <c:v>14</c:v>
                </c:pt>
                <c:pt idx="2">
                  <c:v>41</c:v>
                </c:pt>
                <c:pt idx="3">
                  <c:v>42</c:v>
                </c:pt>
                <c:pt idx="4">
                  <c:v>104</c:v>
                </c:pt>
                <c:pt idx="5">
                  <c:v>60</c:v>
                </c:pt>
                <c:pt idx="6">
                  <c:v>26</c:v>
                </c:pt>
                <c:pt idx="7">
                  <c:v>40</c:v>
                </c:pt>
                <c:pt idx="8">
                  <c:v>18</c:v>
                </c:pt>
                <c:pt idx="9">
                  <c:v>20</c:v>
                </c:pt>
                <c:pt idx="10">
                  <c:v>25</c:v>
                </c:pt>
                <c:pt idx="11">
                  <c:v>17</c:v>
                </c:pt>
                <c:pt idx="12">
                  <c:v>79</c:v>
                </c:pt>
                <c:pt idx="13">
                  <c:v>15</c:v>
                </c:pt>
                <c:pt idx="14">
                  <c:v>16</c:v>
                </c:pt>
                <c:pt idx="15">
                  <c:v>12</c:v>
                </c:pt>
                <c:pt idx="16">
                  <c:v>12</c:v>
                </c:pt>
                <c:pt idx="17">
                  <c:v>18</c:v>
                </c:pt>
                <c:pt idx="18">
                  <c:v>36</c:v>
                </c:pt>
                <c:pt idx="19">
                  <c:v>85</c:v>
                </c:pt>
                <c:pt idx="20">
                  <c:v>1</c:v>
                </c:pt>
                <c:pt idx="21">
                  <c:v>19</c:v>
                </c:pt>
                <c:pt idx="22">
                  <c:v>1</c:v>
                </c:pt>
                <c:pt idx="23">
                  <c:v>136</c:v>
                </c:pt>
                <c:pt idx="24">
                  <c:v>27</c:v>
                </c:pt>
                <c:pt idx="25">
                  <c:v>19</c:v>
                </c:pt>
                <c:pt idx="26">
                  <c:v>25</c:v>
                </c:pt>
                <c:pt idx="27">
                  <c:v>22</c:v>
                </c:pt>
                <c:pt idx="28">
                  <c:v>7</c:v>
                </c:pt>
                <c:pt idx="29">
                  <c:v>5</c:v>
                </c:pt>
                <c:pt idx="30">
                  <c:v>30</c:v>
                </c:pt>
                <c:pt idx="31">
                  <c:v>50</c:v>
                </c:pt>
                <c:pt idx="32">
                  <c:v>8</c:v>
                </c:pt>
                <c:pt idx="33">
                  <c:v>6</c:v>
                </c:pt>
                <c:pt idx="34">
                  <c:v>33</c:v>
                </c:pt>
                <c:pt idx="35">
                  <c:v>19</c:v>
                </c:pt>
                <c:pt idx="36">
                  <c:v>37</c:v>
                </c:pt>
                <c:pt idx="37">
                  <c:v>32</c:v>
                </c:pt>
                <c:pt idx="38">
                  <c:v>6</c:v>
                </c:pt>
                <c:pt idx="39">
                  <c:v>16</c:v>
                </c:pt>
                <c:pt idx="40">
                  <c:v>57</c:v>
                </c:pt>
                <c:pt idx="41">
                  <c:v>13</c:v>
                </c:pt>
                <c:pt idx="42">
                  <c:v>128</c:v>
                </c:pt>
                <c:pt idx="43">
                  <c:v>0</c:v>
                </c:pt>
                <c:pt idx="44">
                  <c:v>27</c:v>
                </c:pt>
                <c:pt idx="45">
                  <c:v>8</c:v>
                </c:pt>
                <c:pt idx="46">
                  <c:v>144</c:v>
                </c:pt>
                <c:pt idx="47">
                  <c:v>44</c:v>
                </c:pt>
                <c:pt idx="48">
                  <c:v>27</c:v>
                </c:pt>
                <c:pt idx="49">
                  <c:v>47</c:v>
                </c:pt>
                <c:pt idx="50">
                  <c:v>10</c:v>
                </c:pt>
                <c:pt idx="51">
                  <c:v>7</c:v>
                </c:pt>
                <c:pt idx="52">
                  <c:v>6</c:v>
                </c:pt>
                <c:pt idx="53">
                  <c:v>24</c:v>
                </c:pt>
                <c:pt idx="54">
                  <c:v>96</c:v>
                </c:pt>
                <c:pt idx="55">
                  <c:v>10</c:v>
                </c:pt>
                <c:pt idx="56">
                  <c:v>3</c:v>
                </c:pt>
                <c:pt idx="57">
                  <c:v>42</c:v>
                </c:pt>
                <c:pt idx="58">
                  <c:v>16</c:v>
                </c:pt>
                <c:pt idx="59">
                  <c:v>17</c:v>
                </c:pt>
                <c:pt idx="60">
                  <c:v>0</c:v>
                </c:pt>
                <c:pt idx="61">
                  <c:v>16</c:v>
                </c:pt>
                <c:pt idx="62">
                  <c:v>8</c:v>
                </c:pt>
                <c:pt idx="63">
                  <c:v>45</c:v>
                </c:pt>
                <c:pt idx="64">
                  <c:v>23</c:v>
                </c:pt>
                <c:pt idx="65">
                  <c:v>0</c:v>
                </c:pt>
                <c:pt idx="66">
                  <c:v>4</c:v>
                </c:pt>
                <c:pt idx="67">
                  <c:v>10</c:v>
                </c:pt>
                <c:pt idx="68">
                  <c:v>2</c:v>
                </c:pt>
              </c:numCache>
            </c:numRef>
          </c:val>
        </c:ser>
        <c:ser>
          <c:idx val="1"/>
          <c:order val="1"/>
          <c:tx>
            <c:strRef>
              <c:f>'для Осиповой'!$D$133</c:f>
              <c:strCache>
                <c:ptCount val="1"/>
                <c:pt idx="0">
                  <c:v>Кол-во отчисленных победителей олимпиад </c:v>
                </c:pt>
              </c:strCache>
            </c:strRef>
          </c:tx>
          <c:invertIfNegative val="0"/>
          <c:cat>
            <c:multiLvlStrRef>
              <c:f>'для Осиповой'!$A$150:$B$218</c:f>
              <c:multiLvlStrCache>
                <c:ptCount val="69"/>
                <c:lvl>
                  <c:pt idx="0">
                    <c:v>экономики</c:v>
                  </c:pt>
                  <c:pt idx="1">
                    <c:v>отд. статистики</c:v>
                  </c:pt>
                  <c:pt idx="2">
                    <c:v>менеджмента</c:v>
                  </c:pt>
                  <c:pt idx="3">
                    <c:v>отд. Логистики</c:v>
                  </c:pt>
                  <c:pt idx="4">
                    <c:v>права</c:v>
                  </c:pt>
                  <c:pt idx="5">
                    <c:v>бизнес-информ.</c:v>
                  </c:pt>
                  <c:pt idx="6">
                    <c:v>отд. ПМ</c:v>
                  </c:pt>
                  <c:pt idx="7">
                    <c:v>отд. ПИ</c:v>
                  </c:pt>
                  <c:pt idx="8">
                    <c:v>пр. политологии</c:v>
                  </c:pt>
                  <c:pt idx="9">
                    <c:v>ОДиПЖ</c:v>
                  </c:pt>
                  <c:pt idx="10">
                    <c:v>психологии</c:v>
                  </c:pt>
                  <c:pt idx="11">
                    <c:v>социологии </c:v>
                  </c:pt>
                  <c:pt idx="12">
                    <c:v>МЭиМП</c:v>
                  </c:pt>
                  <c:pt idx="13">
                    <c:v>ГиМУ</c:v>
                  </c:pt>
                  <c:pt idx="14">
                    <c:v>философия</c:v>
                  </c:pt>
                  <c:pt idx="15">
                    <c:v>математики</c:v>
                  </c:pt>
                  <c:pt idx="16">
                    <c:v>истории</c:v>
                  </c:pt>
                  <c:pt idx="17">
                    <c:v>отд. востоковедения</c:v>
                  </c:pt>
                  <c:pt idx="18">
                    <c:v>МИЭФ</c:v>
                  </c:pt>
                  <c:pt idx="19">
                    <c:v>экономики</c:v>
                  </c:pt>
                  <c:pt idx="20">
                    <c:v>отд. статистики</c:v>
                  </c:pt>
                  <c:pt idx="21">
                    <c:v>менеджмента</c:v>
                  </c:pt>
                  <c:pt idx="22">
                    <c:v>отд. Логистики</c:v>
                  </c:pt>
                  <c:pt idx="23">
                    <c:v>права* </c:v>
                  </c:pt>
                  <c:pt idx="24">
                    <c:v>бизнес-информ.</c:v>
                  </c:pt>
                  <c:pt idx="25">
                    <c:v>отд. ПМ</c:v>
                  </c:pt>
                  <c:pt idx="26">
                    <c:v>отд. ПИ</c:v>
                  </c:pt>
                  <c:pt idx="27">
                    <c:v>пр. политологии</c:v>
                  </c:pt>
                  <c:pt idx="28">
                    <c:v>ОДиПЖ (Медиакомм)</c:v>
                  </c:pt>
                  <c:pt idx="29">
                    <c:v>психологии</c:v>
                  </c:pt>
                  <c:pt idx="30">
                    <c:v>социологии </c:v>
                  </c:pt>
                  <c:pt idx="31">
                    <c:v>МЭиМП</c:v>
                  </c:pt>
                  <c:pt idx="32">
                    <c:v>ГиМУ</c:v>
                  </c:pt>
                  <c:pt idx="33">
                    <c:v>философия</c:v>
                  </c:pt>
                  <c:pt idx="34">
                    <c:v>математики</c:v>
                  </c:pt>
                  <c:pt idx="35">
                    <c:v>истории</c:v>
                  </c:pt>
                  <c:pt idx="36">
                    <c:v>отд. востоковедения</c:v>
                  </c:pt>
                  <c:pt idx="37">
                    <c:v>МИЭФ</c:v>
                  </c:pt>
                  <c:pt idx="38">
                    <c:v>Культурология</c:v>
                  </c:pt>
                  <c:pt idx="39">
                    <c:v>ОИК</c:v>
                  </c:pt>
                  <c:pt idx="40">
                    <c:v>ВШЭ и РЭШ</c:v>
                  </c:pt>
                  <c:pt idx="41">
                    <c:v>Филология</c:v>
                  </c:pt>
                  <c:pt idx="42">
                    <c:v>экономики</c:v>
                  </c:pt>
                  <c:pt idx="43">
                    <c:v>отд. статистики</c:v>
                  </c:pt>
                  <c:pt idx="44">
                    <c:v>менеджмента</c:v>
                  </c:pt>
                  <c:pt idx="45">
                    <c:v>отд. логистики</c:v>
                  </c:pt>
                  <c:pt idx="46">
                    <c:v>права</c:v>
                  </c:pt>
                  <c:pt idx="47">
                    <c:v>БИ</c:v>
                  </c:pt>
                  <c:pt idx="48">
                    <c:v>отд. ПМ</c:v>
                  </c:pt>
                  <c:pt idx="49">
                    <c:v>отд. ПИ</c:v>
                  </c:pt>
                  <c:pt idx="50">
                    <c:v>пр. политологии</c:v>
                  </c:pt>
                  <c:pt idx="51">
                    <c:v>медиакомм.</c:v>
                  </c:pt>
                  <c:pt idx="52">
                    <c:v>психологии</c:v>
                  </c:pt>
                  <c:pt idx="53">
                    <c:v>социологии </c:v>
                  </c:pt>
                  <c:pt idx="54">
                    <c:v>МЭиМП</c:v>
                  </c:pt>
                  <c:pt idx="55">
                    <c:v>ГиМУ</c:v>
                  </c:pt>
                  <c:pt idx="56">
                    <c:v>философии</c:v>
                  </c:pt>
                  <c:pt idx="57">
                    <c:v>математики</c:v>
                  </c:pt>
                  <c:pt idx="58">
                    <c:v>истории</c:v>
                  </c:pt>
                  <c:pt idx="59">
                    <c:v>отд. востоковедения</c:v>
                  </c:pt>
                  <c:pt idx="60">
                    <c:v>МИЭФ</c:v>
                  </c:pt>
                  <c:pt idx="61">
                    <c:v>культурологии</c:v>
                  </c:pt>
                  <c:pt idx="62">
                    <c:v>ОИК</c:v>
                  </c:pt>
                  <c:pt idx="63">
                    <c:v>ВШЭ-РЭШ</c:v>
                  </c:pt>
                  <c:pt idx="64">
                    <c:v>филологии</c:v>
                  </c:pt>
                  <c:pt idx="65">
                    <c:v>Факультет дизайна</c:v>
                  </c:pt>
                  <c:pt idx="66">
                    <c:v>ФИТиВТ</c:v>
                  </c:pt>
                  <c:pt idx="67">
                    <c:v>ФПМиК</c:v>
                  </c:pt>
                  <c:pt idx="68">
                    <c:v>ФЭТ</c:v>
                  </c:pt>
                </c:lvl>
                <c:lvl>
                  <c:pt idx="0">
                    <c:v>10_11</c:v>
                  </c:pt>
                  <c:pt idx="19">
                    <c:v>11_12</c:v>
                  </c:pt>
                  <c:pt idx="42">
                    <c:v>12_13</c:v>
                  </c:pt>
                </c:lvl>
              </c:multiLvlStrCache>
            </c:multiLvlStrRef>
          </c:cat>
          <c:val>
            <c:numRef>
              <c:f>'для Осиповой'!$D$150:$D$218</c:f>
              <c:numCache>
                <c:formatCode>General</c:formatCode>
                <c:ptCount val="69"/>
                <c:pt idx="0">
                  <c:v>5</c:v>
                </c:pt>
                <c:pt idx="1">
                  <c:v>1</c:v>
                </c:pt>
                <c:pt idx="2">
                  <c:v>0</c:v>
                </c:pt>
                <c:pt idx="3">
                  <c:v>2</c:v>
                </c:pt>
                <c:pt idx="4">
                  <c:v>3</c:v>
                </c:pt>
                <c:pt idx="5">
                  <c:v>2</c:v>
                </c:pt>
                <c:pt idx="6">
                  <c:v>12</c:v>
                </c:pt>
                <c:pt idx="7">
                  <c:v>10</c:v>
                </c:pt>
                <c:pt idx="8">
                  <c:v>0</c:v>
                </c:pt>
                <c:pt idx="9">
                  <c:v>1</c:v>
                </c:pt>
                <c:pt idx="10">
                  <c:v>0</c:v>
                </c:pt>
                <c:pt idx="11">
                  <c:v>1</c:v>
                </c:pt>
                <c:pt idx="12">
                  <c:v>3</c:v>
                </c:pt>
                <c:pt idx="13">
                  <c:v>3</c:v>
                </c:pt>
                <c:pt idx="14">
                  <c:v>0</c:v>
                </c:pt>
                <c:pt idx="15">
                  <c:v>0</c:v>
                </c:pt>
                <c:pt idx="16">
                  <c:v>1</c:v>
                </c:pt>
                <c:pt idx="17">
                  <c:v>1</c:v>
                </c:pt>
                <c:pt idx="18">
                  <c:v>1</c:v>
                </c:pt>
                <c:pt idx="19">
                  <c:v>1</c:v>
                </c:pt>
                <c:pt idx="20">
                  <c:v>0</c:v>
                </c:pt>
                <c:pt idx="21">
                  <c:v>1</c:v>
                </c:pt>
                <c:pt idx="22">
                  <c:v>0</c:v>
                </c:pt>
                <c:pt idx="23">
                  <c:v>4</c:v>
                </c:pt>
                <c:pt idx="24">
                  <c:v>1</c:v>
                </c:pt>
                <c:pt idx="25">
                  <c:v>4</c:v>
                </c:pt>
                <c:pt idx="26">
                  <c:v>3</c:v>
                </c:pt>
                <c:pt idx="27">
                  <c:v>2</c:v>
                </c:pt>
                <c:pt idx="28">
                  <c:v>1</c:v>
                </c:pt>
                <c:pt idx="29">
                  <c:v>0</c:v>
                </c:pt>
                <c:pt idx="30">
                  <c:v>2</c:v>
                </c:pt>
                <c:pt idx="31">
                  <c:v>1</c:v>
                </c:pt>
                <c:pt idx="32">
                  <c:v>1</c:v>
                </c:pt>
                <c:pt idx="33">
                  <c:v>0</c:v>
                </c:pt>
                <c:pt idx="34">
                  <c:v>1</c:v>
                </c:pt>
                <c:pt idx="35">
                  <c:v>2</c:v>
                </c:pt>
                <c:pt idx="36">
                  <c:v>3</c:v>
                </c:pt>
                <c:pt idx="37">
                  <c:v>1</c:v>
                </c:pt>
                <c:pt idx="38">
                  <c:v>0</c:v>
                </c:pt>
                <c:pt idx="39">
                  <c:v>0</c:v>
                </c:pt>
                <c:pt idx="40">
                  <c:v>0</c:v>
                </c:pt>
                <c:pt idx="41">
                  <c:v>0</c:v>
                </c:pt>
                <c:pt idx="42">
                  <c:v>9</c:v>
                </c:pt>
                <c:pt idx="44">
                  <c:v>1</c:v>
                </c:pt>
                <c:pt idx="46">
                  <c:v>3</c:v>
                </c:pt>
                <c:pt idx="47">
                  <c:v>4</c:v>
                </c:pt>
                <c:pt idx="48">
                  <c:v>12</c:v>
                </c:pt>
                <c:pt idx="49">
                  <c:v>7</c:v>
                </c:pt>
                <c:pt idx="50">
                  <c:v>2</c:v>
                </c:pt>
                <c:pt idx="53">
                  <c:v>1</c:v>
                </c:pt>
                <c:pt idx="54">
                  <c:v>6</c:v>
                </c:pt>
                <c:pt idx="55">
                  <c:v>1</c:v>
                </c:pt>
                <c:pt idx="56">
                  <c:v>1</c:v>
                </c:pt>
                <c:pt idx="57">
                  <c:v>2</c:v>
                </c:pt>
                <c:pt idx="58">
                  <c:v>2</c:v>
                </c:pt>
                <c:pt idx="59">
                  <c:v>2</c:v>
                </c:pt>
                <c:pt idx="61">
                  <c:v>1</c:v>
                </c:pt>
                <c:pt idx="63">
                  <c:v>3</c:v>
                </c:pt>
                <c:pt idx="64">
                  <c:v>1</c:v>
                </c:pt>
                <c:pt idx="67">
                  <c:v>5</c:v>
                </c:pt>
              </c:numCache>
            </c:numRef>
          </c:val>
        </c:ser>
        <c:ser>
          <c:idx val="2"/>
          <c:order val="2"/>
          <c:tx>
            <c:strRef>
              <c:f>'для Осиповой'!$E$133</c:f>
              <c:strCache>
                <c:ptCount val="1"/>
                <c:pt idx="0">
                  <c:v>Кол-во студентов, зачисленных по рез-ам ЕГЭ и продолжающие обучение</c:v>
                </c:pt>
              </c:strCache>
            </c:strRef>
          </c:tx>
          <c:invertIfNegative val="0"/>
          <c:cat>
            <c:multiLvlStrRef>
              <c:f>'для Осиповой'!$A$150:$B$218</c:f>
              <c:multiLvlStrCache>
                <c:ptCount val="69"/>
                <c:lvl>
                  <c:pt idx="0">
                    <c:v>экономики</c:v>
                  </c:pt>
                  <c:pt idx="1">
                    <c:v>отд. статистики</c:v>
                  </c:pt>
                  <c:pt idx="2">
                    <c:v>менеджмента</c:v>
                  </c:pt>
                  <c:pt idx="3">
                    <c:v>отд. Логистики</c:v>
                  </c:pt>
                  <c:pt idx="4">
                    <c:v>права</c:v>
                  </c:pt>
                  <c:pt idx="5">
                    <c:v>бизнес-информ.</c:v>
                  </c:pt>
                  <c:pt idx="6">
                    <c:v>отд. ПМ</c:v>
                  </c:pt>
                  <c:pt idx="7">
                    <c:v>отд. ПИ</c:v>
                  </c:pt>
                  <c:pt idx="8">
                    <c:v>пр. политологии</c:v>
                  </c:pt>
                  <c:pt idx="9">
                    <c:v>ОДиПЖ</c:v>
                  </c:pt>
                  <c:pt idx="10">
                    <c:v>психологии</c:v>
                  </c:pt>
                  <c:pt idx="11">
                    <c:v>социологии </c:v>
                  </c:pt>
                  <c:pt idx="12">
                    <c:v>МЭиМП</c:v>
                  </c:pt>
                  <c:pt idx="13">
                    <c:v>ГиМУ</c:v>
                  </c:pt>
                  <c:pt idx="14">
                    <c:v>философия</c:v>
                  </c:pt>
                  <c:pt idx="15">
                    <c:v>математики</c:v>
                  </c:pt>
                  <c:pt idx="16">
                    <c:v>истории</c:v>
                  </c:pt>
                  <c:pt idx="17">
                    <c:v>отд. востоковедения</c:v>
                  </c:pt>
                  <c:pt idx="18">
                    <c:v>МИЭФ</c:v>
                  </c:pt>
                  <c:pt idx="19">
                    <c:v>экономики</c:v>
                  </c:pt>
                  <c:pt idx="20">
                    <c:v>отд. статистики</c:v>
                  </c:pt>
                  <c:pt idx="21">
                    <c:v>менеджмента</c:v>
                  </c:pt>
                  <c:pt idx="22">
                    <c:v>отд. Логистики</c:v>
                  </c:pt>
                  <c:pt idx="23">
                    <c:v>права* </c:v>
                  </c:pt>
                  <c:pt idx="24">
                    <c:v>бизнес-информ.</c:v>
                  </c:pt>
                  <c:pt idx="25">
                    <c:v>отд. ПМ</c:v>
                  </c:pt>
                  <c:pt idx="26">
                    <c:v>отд. ПИ</c:v>
                  </c:pt>
                  <c:pt idx="27">
                    <c:v>пр. политологии</c:v>
                  </c:pt>
                  <c:pt idx="28">
                    <c:v>ОДиПЖ (Медиакомм)</c:v>
                  </c:pt>
                  <c:pt idx="29">
                    <c:v>психологии</c:v>
                  </c:pt>
                  <c:pt idx="30">
                    <c:v>социологии </c:v>
                  </c:pt>
                  <c:pt idx="31">
                    <c:v>МЭиМП</c:v>
                  </c:pt>
                  <c:pt idx="32">
                    <c:v>ГиМУ</c:v>
                  </c:pt>
                  <c:pt idx="33">
                    <c:v>философия</c:v>
                  </c:pt>
                  <c:pt idx="34">
                    <c:v>математики</c:v>
                  </c:pt>
                  <c:pt idx="35">
                    <c:v>истории</c:v>
                  </c:pt>
                  <c:pt idx="36">
                    <c:v>отд. востоковедения</c:v>
                  </c:pt>
                  <c:pt idx="37">
                    <c:v>МИЭФ</c:v>
                  </c:pt>
                  <c:pt idx="38">
                    <c:v>Культурология</c:v>
                  </c:pt>
                  <c:pt idx="39">
                    <c:v>ОИК</c:v>
                  </c:pt>
                  <c:pt idx="40">
                    <c:v>ВШЭ и РЭШ</c:v>
                  </c:pt>
                  <c:pt idx="41">
                    <c:v>Филология</c:v>
                  </c:pt>
                  <c:pt idx="42">
                    <c:v>экономики</c:v>
                  </c:pt>
                  <c:pt idx="43">
                    <c:v>отд. статистики</c:v>
                  </c:pt>
                  <c:pt idx="44">
                    <c:v>менеджмента</c:v>
                  </c:pt>
                  <c:pt idx="45">
                    <c:v>отд. логистики</c:v>
                  </c:pt>
                  <c:pt idx="46">
                    <c:v>права</c:v>
                  </c:pt>
                  <c:pt idx="47">
                    <c:v>БИ</c:v>
                  </c:pt>
                  <c:pt idx="48">
                    <c:v>отд. ПМ</c:v>
                  </c:pt>
                  <c:pt idx="49">
                    <c:v>отд. ПИ</c:v>
                  </c:pt>
                  <c:pt idx="50">
                    <c:v>пр. политологии</c:v>
                  </c:pt>
                  <c:pt idx="51">
                    <c:v>медиакомм.</c:v>
                  </c:pt>
                  <c:pt idx="52">
                    <c:v>психологии</c:v>
                  </c:pt>
                  <c:pt idx="53">
                    <c:v>социологии </c:v>
                  </c:pt>
                  <c:pt idx="54">
                    <c:v>МЭиМП</c:v>
                  </c:pt>
                  <c:pt idx="55">
                    <c:v>ГиМУ</c:v>
                  </c:pt>
                  <c:pt idx="56">
                    <c:v>философии</c:v>
                  </c:pt>
                  <c:pt idx="57">
                    <c:v>математики</c:v>
                  </c:pt>
                  <c:pt idx="58">
                    <c:v>истории</c:v>
                  </c:pt>
                  <c:pt idx="59">
                    <c:v>отд. востоковедения</c:v>
                  </c:pt>
                  <c:pt idx="60">
                    <c:v>МИЭФ</c:v>
                  </c:pt>
                  <c:pt idx="61">
                    <c:v>культурологии</c:v>
                  </c:pt>
                  <c:pt idx="62">
                    <c:v>ОИК</c:v>
                  </c:pt>
                  <c:pt idx="63">
                    <c:v>ВШЭ-РЭШ</c:v>
                  </c:pt>
                  <c:pt idx="64">
                    <c:v>филологии</c:v>
                  </c:pt>
                  <c:pt idx="65">
                    <c:v>Факультет дизайна</c:v>
                  </c:pt>
                  <c:pt idx="66">
                    <c:v>ФИТиВТ</c:v>
                  </c:pt>
                  <c:pt idx="67">
                    <c:v>ФПМиК</c:v>
                  </c:pt>
                  <c:pt idx="68">
                    <c:v>ФЭТ</c:v>
                  </c:pt>
                </c:lvl>
                <c:lvl>
                  <c:pt idx="0">
                    <c:v>10_11</c:v>
                  </c:pt>
                  <c:pt idx="19">
                    <c:v>11_12</c:v>
                  </c:pt>
                  <c:pt idx="42">
                    <c:v>12_13</c:v>
                  </c:pt>
                </c:lvl>
              </c:multiLvlStrCache>
            </c:multiLvlStrRef>
          </c:cat>
          <c:val>
            <c:numRef>
              <c:f>'для Осиповой'!$E$150:$E$218</c:f>
              <c:numCache>
                <c:formatCode>General</c:formatCode>
                <c:ptCount val="69"/>
                <c:pt idx="0">
                  <c:v>124</c:v>
                </c:pt>
                <c:pt idx="1">
                  <c:v>32</c:v>
                </c:pt>
                <c:pt idx="2">
                  <c:v>137</c:v>
                </c:pt>
                <c:pt idx="3">
                  <c:v>53</c:v>
                </c:pt>
                <c:pt idx="4">
                  <c:v>107</c:v>
                </c:pt>
                <c:pt idx="5">
                  <c:v>83</c:v>
                </c:pt>
                <c:pt idx="6">
                  <c:v>32</c:v>
                </c:pt>
                <c:pt idx="7">
                  <c:v>34</c:v>
                </c:pt>
                <c:pt idx="8">
                  <c:v>46</c:v>
                </c:pt>
                <c:pt idx="9">
                  <c:v>28</c:v>
                </c:pt>
                <c:pt idx="10">
                  <c:v>55</c:v>
                </c:pt>
                <c:pt idx="11">
                  <c:v>91</c:v>
                </c:pt>
                <c:pt idx="12">
                  <c:v>151</c:v>
                </c:pt>
                <c:pt idx="13">
                  <c:v>137</c:v>
                </c:pt>
                <c:pt idx="14">
                  <c:v>42</c:v>
                </c:pt>
                <c:pt idx="15">
                  <c:v>20</c:v>
                </c:pt>
                <c:pt idx="16">
                  <c:v>30</c:v>
                </c:pt>
                <c:pt idx="17">
                  <c:v>138</c:v>
                </c:pt>
                <c:pt idx="18">
                  <c:v>124</c:v>
                </c:pt>
                <c:pt idx="19">
                  <c:v>135</c:v>
                </c:pt>
                <c:pt idx="20">
                  <c:v>83</c:v>
                </c:pt>
                <c:pt idx="21">
                  <c:v>153</c:v>
                </c:pt>
                <c:pt idx="22">
                  <c:v>103</c:v>
                </c:pt>
                <c:pt idx="23">
                  <c:v>78</c:v>
                </c:pt>
                <c:pt idx="24">
                  <c:v>84</c:v>
                </c:pt>
                <c:pt idx="25">
                  <c:v>88</c:v>
                </c:pt>
                <c:pt idx="26">
                  <c:v>43</c:v>
                </c:pt>
                <c:pt idx="27">
                  <c:v>108</c:v>
                </c:pt>
                <c:pt idx="28">
                  <c:v>86</c:v>
                </c:pt>
                <c:pt idx="29">
                  <c:v>84</c:v>
                </c:pt>
                <c:pt idx="30">
                  <c:v>155</c:v>
                </c:pt>
                <c:pt idx="31">
                  <c:v>125</c:v>
                </c:pt>
                <c:pt idx="32">
                  <c:v>89</c:v>
                </c:pt>
                <c:pt idx="33">
                  <c:v>36</c:v>
                </c:pt>
                <c:pt idx="34">
                  <c:v>15</c:v>
                </c:pt>
                <c:pt idx="35">
                  <c:v>38</c:v>
                </c:pt>
                <c:pt idx="36">
                  <c:v>53</c:v>
                </c:pt>
                <c:pt idx="37">
                  <c:v>201</c:v>
                </c:pt>
                <c:pt idx="38">
                  <c:v>36</c:v>
                </c:pt>
                <c:pt idx="39">
                  <c:v>110</c:v>
                </c:pt>
                <c:pt idx="40">
                  <c:v>5</c:v>
                </c:pt>
                <c:pt idx="41">
                  <c:v>121</c:v>
                </c:pt>
                <c:pt idx="42">
                  <c:v>97</c:v>
                </c:pt>
                <c:pt idx="43">
                  <c:v>51</c:v>
                </c:pt>
                <c:pt idx="44">
                  <c:v>100</c:v>
                </c:pt>
                <c:pt idx="45">
                  <c:v>74</c:v>
                </c:pt>
                <c:pt idx="46">
                  <c:v>86</c:v>
                </c:pt>
                <c:pt idx="47">
                  <c:v>65</c:v>
                </c:pt>
                <c:pt idx="48">
                  <c:v>43</c:v>
                </c:pt>
                <c:pt idx="49">
                  <c:v>21</c:v>
                </c:pt>
                <c:pt idx="50">
                  <c:v>72</c:v>
                </c:pt>
                <c:pt idx="51">
                  <c:v>89</c:v>
                </c:pt>
                <c:pt idx="52">
                  <c:v>44</c:v>
                </c:pt>
                <c:pt idx="53">
                  <c:v>84</c:v>
                </c:pt>
                <c:pt idx="54">
                  <c:v>121</c:v>
                </c:pt>
                <c:pt idx="55">
                  <c:v>77</c:v>
                </c:pt>
                <c:pt idx="56">
                  <c:v>36</c:v>
                </c:pt>
                <c:pt idx="57">
                  <c:v>4</c:v>
                </c:pt>
                <c:pt idx="58">
                  <c:v>33</c:v>
                </c:pt>
                <c:pt idx="59">
                  <c:v>61</c:v>
                </c:pt>
                <c:pt idx="60">
                  <c:v>166</c:v>
                </c:pt>
                <c:pt idx="61">
                  <c:v>21</c:v>
                </c:pt>
                <c:pt idx="62">
                  <c:v>71</c:v>
                </c:pt>
                <c:pt idx="63">
                  <c:v>10</c:v>
                </c:pt>
                <c:pt idx="64">
                  <c:v>65</c:v>
                </c:pt>
                <c:pt idx="65">
                  <c:v>63</c:v>
                </c:pt>
                <c:pt idx="66">
                  <c:v>96</c:v>
                </c:pt>
                <c:pt idx="67">
                  <c:v>91</c:v>
                </c:pt>
                <c:pt idx="68">
                  <c:v>35</c:v>
                </c:pt>
              </c:numCache>
            </c:numRef>
          </c:val>
        </c:ser>
        <c:ser>
          <c:idx val="3"/>
          <c:order val="3"/>
          <c:tx>
            <c:strRef>
              <c:f>'для Осиповой'!$F$133</c:f>
              <c:strCache>
                <c:ptCount val="1"/>
                <c:pt idx="0">
                  <c:v>Кол-во отчисленных студентов, поступивших по рез-м ЕГЭ </c:v>
                </c:pt>
              </c:strCache>
            </c:strRef>
          </c:tx>
          <c:invertIfNegative val="0"/>
          <c:cat>
            <c:multiLvlStrRef>
              <c:f>'для Осиповой'!$A$150:$B$218</c:f>
              <c:multiLvlStrCache>
                <c:ptCount val="69"/>
                <c:lvl>
                  <c:pt idx="0">
                    <c:v>экономики</c:v>
                  </c:pt>
                  <c:pt idx="1">
                    <c:v>отд. статистики</c:v>
                  </c:pt>
                  <c:pt idx="2">
                    <c:v>менеджмента</c:v>
                  </c:pt>
                  <c:pt idx="3">
                    <c:v>отд. Логистики</c:v>
                  </c:pt>
                  <c:pt idx="4">
                    <c:v>права</c:v>
                  </c:pt>
                  <c:pt idx="5">
                    <c:v>бизнес-информ.</c:v>
                  </c:pt>
                  <c:pt idx="6">
                    <c:v>отд. ПМ</c:v>
                  </c:pt>
                  <c:pt idx="7">
                    <c:v>отд. ПИ</c:v>
                  </c:pt>
                  <c:pt idx="8">
                    <c:v>пр. политологии</c:v>
                  </c:pt>
                  <c:pt idx="9">
                    <c:v>ОДиПЖ</c:v>
                  </c:pt>
                  <c:pt idx="10">
                    <c:v>психологии</c:v>
                  </c:pt>
                  <c:pt idx="11">
                    <c:v>социологии </c:v>
                  </c:pt>
                  <c:pt idx="12">
                    <c:v>МЭиМП</c:v>
                  </c:pt>
                  <c:pt idx="13">
                    <c:v>ГиМУ</c:v>
                  </c:pt>
                  <c:pt idx="14">
                    <c:v>философия</c:v>
                  </c:pt>
                  <c:pt idx="15">
                    <c:v>математики</c:v>
                  </c:pt>
                  <c:pt idx="16">
                    <c:v>истории</c:v>
                  </c:pt>
                  <c:pt idx="17">
                    <c:v>отд. востоковедения</c:v>
                  </c:pt>
                  <c:pt idx="18">
                    <c:v>МИЭФ</c:v>
                  </c:pt>
                  <c:pt idx="19">
                    <c:v>экономики</c:v>
                  </c:pt>
                  <c:pt idx="20">
                    <c:v>отд. статистики</c:v>
                  </c:pt>
                  <c:pt idx="21">
                    <c:v>менеджмента</c:v>
                  </c:pt>
                  <c:pt idx="22">
                    <c:v>отд. Логистики</c:v>
                  </c:pt>
                  <c:pt idx="23">
                    <c:v>права* </c:v>
                  </c:pt>
                  <c:pt idx="24">
                    <c:v>бизнес-информ.</c:v>
                  </c:pt>
                  <c:pt idx="25">
                    <c:v>отд. ПМ</c:v>
                  </c:pt>
                  <c:pt idx="26">
                    <c:v>отд. ПИ</c:v>
                  </c:pt>
                  <c:pt idx="27">
                    <c:v>пр. политологии</c:v>
                  </c:pt>
                  <c:pt idx="28">
                    <c:v>ОДиПЖ (Медиакомм)</c:v>
                  </c:pt>
                  <c:pt idx="29">
                    <c:v>психологии</c:v>
                  </c:pt>
                  <c:pt idx="30">
                    <c:v>социологии </c:v>
                  </c:pt>
                  <c:pt idx="31">
                    <c:v>МЭиМП</c:v>
                  </c:pt>
                  <c:pt idx="32">
                    <c:v>ГиМУ</c:v>
                  </c:pt>
                  <c:pt idx="33">
                    <c:v>философия</c:v>
                  </c:pt>
                  <c:pt idx="34">
                    <c:v>математики</c:v>
                  </c:pt>
                  <c:pt idx="35">
                    <c:v>истории</c:v>
                  </c:pt>
                  <c:pt idx="36">
                    <c:v>отд. востоковедения</c:v>
                  </c:pt>
                  <c:pt idx="37">
                    <c:v>МИЭФ</c:v>
                  </c:pt>
                  <c:pt idx="38">
                    <c:v>Культурология</c:v>
                  </c:pt>
                  <c:pt idx="39">
                    <c:v>ОИК</c:v>
                  </c:pt>
                  <c:pt idx="40">
                    <c:v>ВШЭ и РЭШ</c:v>
                  </c:pt>
                  <c:pt idx="41">
                    <c:v>Филология</c:v>
                  </c:pt>
                  <c:pt idx="42">
                    <c:v>экономики</c:v>
                  </c:pt>
                  <c:pt idx="43">
                    <c:v>отд. статистики</c:v>
                  </c:pt>
                  <c:pt idx="44">
                    <c:v>менеджмента</c:v>
                  </c:pt>
                  <c:pt idx="45">
                    <c:v>отд. логистики</c:v>
                  </c:pt>
                  <c:pt idx="46">
                    <c:v>права</c:v>
                  </c:pt>
                  <c:pt idx="47">
                    <c:v>БИ</c:v>
                  </c:pt>
                  <c:pt idx="48">
                    <c:v>отд. ПМ</c:v>
                  </c:pt>
                  <c:pt idx="49">
                    <c:v>отд. ПИ</c:v>
                  </c:pt>
                  <c:pt idx="50">
                    <c:v>пр. политологии</c:v>
                  </c:pt>
                  <c:pt idx="51">
                    <c:v>медиакомм.</c:v>
                  </c:pt>
                  <c:pt idx="52">
                    <c:v>психологии</c:v>
                  </c:pt>
                  <c:pt idx="53">
                    <c:v>социологии </c:v>
                  </c:pt>
                  <c:pt idx="54">
                    <c:v>МЭиМП</c:v>
                  </c:pt>
                  <c:pt idx="55">
                    <c:v>ГиМУ</c:v>
                  </c:pt>
                  <c:pt idx="56">
                    <c:v>философии</c:v>
                  </c:pt>
                  <c:pt idx="57">
                    <c:v>математики</c:v>
                  </c:pt>
                  <c:pt idx="58">
                    <c:v>истории</c:v>
                  </c:pt>
                  <c:pt idx="59">
                    <c:v>отд. востоковедения</c:v>
                  </c:pt>
                  <c:pt idx="60">
                    <c:v>МИЭФ</c:v>
                  </c:pt>
                  <c:pt idx="61">
                    <c:v>культурологии</c:v>
                  </c:pt>
                  <c:pt idx="62">
                    <c:v>ОИК</c:v>
                  </c:pt>
                  <c:pt idx="63">
                    <c:v>ВШЭ-РЭШ</c:v>
                  </c:pt>
                  <c:pt idx="64">
                    <c:v>филологии</c:v>
                  </c:pt>
                  <c:pt idx="65">
                    <c:v>Факультет дизайна</c:v>
                  </c:pt>
                  <c:pt idx="66">
                    <c:v>ФИТиВТ</c:v>
                  </c:pt>
                  <c:pt idx="67">
                    <c:v>ФПМиК</c:v>
                  </c:pt>
                  <c:pt idx="68">
                    <c:v>ФЭТ</c:v>
                  </c:pt>
                </c:lvl>
                <c:lvl>
                  <c:pt idx="0">
                    <c:v>10_11</c:v>
                  </c:pt>
                  <c:pt idx="19">
                    <c:v>11_12</c:v>
                  </c:pt>
                  <c:pt idx="42">
                    <c:v>12_13</c:v>
                  </c:pt>
                </c:lvl>
              </c:multiLvlStrCache>
            </c:multiLvlStrRef>
          </c:cat>
          <c:val>
            <c:numRef>
              <c:f>'для Осиповой'!$F$150:$F$218</c:f>
              <c:numCache>
                <c:formatCode>General</c:formatCode>
                <c:ptCount val="69"/>
                <c:pt idx="0">
                  <c:v>20</c:v>
                </c:pt>
                <c:pt idx="1">
                  <c:v>7</c:v>
                </c:pt>
                <c:pt idx="2">
                  <c:v>14</c:v>
                </c:pt>
                <c:pt idx="3">
                  <c:v>7</c:v>
                </c:pt>
                <c:pt idx="4">
                  <c:v>7</c:v>
                </c:pt>
                <c:pt idx="5">
                  <c:v>17</c:v>
                </c:pt>
                <c:pt idx="6">
                  <c:v>21</c:v>
                </c:pt>
                <c:pt idx="7">
                  <c:v>13</c:v>
                </c:pt>
                <c:pt idx="8">
                  <c:v>11</c:v>
                </c:pt>
                <c:pt idx="9">
                  <c:v>3</c:v>
                </c:pt>
                <c:pt idx="10">
                  <c:v>7</c:v>
                </c:pt>
                <c:pt idx="11">
                  <c:v>15</c:v>
                </c:pt>
                <c:pt idx="12">
                  <c:v>26</c:v>
                </c:pt>
                <c:pt idx="13">
                  <c:v>13</c:v>
                </c:pt>
                <c:pt idx="14">
                  <c:v>10</c:v>
                </c:pt>
                <c:pt idx="15">
                  <c:v>1</c:v>
                </c:pt>
                <c:pt idx="16">
                  <c:v>1</c:v>
                </c:pt>
                <c:pt idx="17">
                  <c:v>18</c:v>
                </c:pt>
                <c:pt idx="18">
                  <c:v>23</c:v>
                </c:pt>
                <c:pt idx="19">
                  <c:v>19</c:v>
                </c:pt>
                <c:pt idx="20">
                  <c:v>8</c:v>
                </c:pt>
                <c:pt idx="21">
                  <c:v>11</c:v>
                </c:pt>
                <c:pt idx="22">
                  <c:v>6</c:v>
                </c:pt>
                <c:pt idx="23">
                  <c:v>5</c:v>
                </c:pt>
                <c:pt idx="24">
                  <c:v>15</c:v>
                </c:pt>
                <c:pt idx="25">
                  <c:v>16</c:v>
                </c:pt>
                <c:pt idx="26">
                  <c:v>11</c:v>
                </c:pt>
                <c:pt idx="27">
                  <c:v>9</c:v>
                </c:pt>
                <c:pt idx="28">
                  <c:v>6</c:v>
                </c:pt>
                <c:pt idx="29">
                  <c:v>7</c:v>
                </c:pt>
                <c:pt idx="30">
                  <c:v>15</c:v>
                </c:pt>
                <c:pt idx="31">
                  <c:v>6</c:v>
                </c:pt>
                <c:pt idx="32">
                  <c:v>8</c:v>
                </c:pt>
                <c:pt idx="33">
                  <c:v>3</c:v>
                </c:pt>
                <c:pt idx="34">
                  <c:v>2</c:v>
                </c:pt>
                <c:pt idx="35">
                  <c:v>6</c:v>
                </c:pt>
                <c:pt idx="36">
                  <c:v>6</c:v>
                </c:pt>
                <c:pt idx="37">
                  <c:v>13</c:v>
                </c:pt>
                <c:pt idx="38">
                  <c:v>5</c:v>
                </c:pt>
                <c:pt idx="39">
                  <c:v>2</c:v>
                </c:pt>
                <c:pt idx="40">
                  <c:v>0</c:v>
                </c:pt>
                <c:pt idx="41">
                  <c:v>12</c:v>
                </c:pt>
                <c:pt idx="42">
                  <c:v>13</c:v>
                </c:pt>
                <c:pt idx="43">
                  <c:v>9</c:v>
                </c:pt>
                <c:pt idx="44">
                  <c:v>10</c:v>
                </c:pt>
                <c:pt idx="45">
                  <c:v>4</c:v>
                </c:pt>
                <c:pt idx="46">
                  <c:v>7</c:v>
                </c:pt>
                <c:pt idx="47">
                  <c:v>19</c:v>
                </c:pt>
                <c:pt idx="48">
                  <c:v>23</c:v>
                </c:pt>
                <c:pt idx="49">
                  <c:v>17</c:v>
                </c:pt>
                <c:pt idx="50">
                  <c:v>13</c:v>
                </c:pt>
                <c:pt idx="51">
                  <c:v>8</c:v>
                </c:pt>
                <c:pt idx="52">
                  <c:v>3</c:v>
                </c:pt>
                <c:pt idx="53">
                  <c:v>7</c:v>
                </c:pt>
                <c:pt idx="54">
                  <c:v>24</c:v>
                </c:pt>
                <c:pt idx="55">
                  <c:v>6</c:v>
                </c:pt>
                <c:pt idx="56">
                  <c:v>24</c:v>
                </c:pt>
                <c:pt idx="57">
                  <c:v>3</c:v>
                </c:pt>
                <c:pt idx="58">
                  <c:v>5</c:v>
                </c:pt>
                <c:pt idx="59">
                  <c:v>11</c:v>
                </c:pt>
                <c:pt idx="60">
                  <c:v>31</c:v>
                </c:pt>
                <c:pt idx="61">
                  <c:v>2</c:v>
                </c:pt>
                <c:pt idx="62">
                  <c:v>8</c:v>
                </c:pt>
                <c:pt idx="64">
                  <c:v>20</c:v>
                </c:pt>
                <c:pt idx="65">
                  <c:v>4</c:v>
                </c:pt>
                <c:pt idx="66">
                  <c:v>11</c:v>
                </c:pt>
                <c:pt idx="67">
                  <c:v>16</c:v>
                </c:pt>
                <c:pt idx="68">
                  <c:v>6</c:v>
                </c:pt>
              </c:numCache>
            </c:numRef>
          </c:val>
        </c:ser>
        <c:dLbls>
          <c:showLegendKey val="0"/>
          <c:showVal val="0"/>
          <c:showCatName val="0"/>
          <c:showSerName val="0"/>
          <c:showPercent val="0"/>
          <c:showBubbleSize val="0"/>
        </c:dLbls>
        <c:gapWidth val="79"/>
        <c:overlap val="100"/>
        <c:axId val="447146624"/>
        <c:axId val="447185280"/>
      </c:barChart>
      <c:catAx>
        <c:axId val="447146624"/>
        <c:scaling>
          <c:orientation val="minMax"/>
        </c:scaling>
        <c:delete val="0"/>
        <c:axPos val="l"/>
        <c:numFmt formatCode="General" sourceLinked="0"/>
        <c:majorTickMark val="out"/>
        <c:minorTickMark val="none"/>
        <c:tickLblPos val="nextTo"/>
        <c:txPr>
          <a:bodyPr/>
          <a:lstStyle/>
          <a:p>
            <a:pPr>
              <a:defRPr sz="1100" b="0"/>
            </a:pPr>
            <a:endParaRPr lang="ru-RU"/>
          </a:p>
        </c:txPr>
        <c:crossAx val="447185280"/>
        <c:crosses val="autoZero"/>
        <c:auto val="1"/>
        <c:lblAlgn val="ctr"/>
        <c:lblOffset val="100"/>
        <c:tickLblSkip val="2"/>
        <c:noMultiLvlLbl val="0"/>
      </c:catAx>
      <c:valAx>
        <c:axId val="447185280"/>
        <c:scaling>
          <c:orientation val="minMax"/>
        </c:scaling>
        <c:delete val="0"/>
        <c:axPos val="b"/>
        <c:majorGridlines/>
        <c:numFmt formatCode="General" sourceLinked="1"/>
        <c:majorTickMark val="out"/>
        <c:minorTickMark val="none"/>
        <c:tickLblPos val="nextTo"/>
        <c:crossAx val="447146624"/>
        <c:crosses val="autoZero"/>
        <c:crossBetween val="midCat"/>
      </c:valAx>
    </c:plotArea>
    <c:legend>
      <c:legendPos val="b"/>
      <c:layout>
        <c:manualLayout>
          <c:xMode val="edge"/>
          <c:yMode val="edge"/>
          <c:x val="8.5363925981727026E-2"/>
          <c:y val="0.8811223429244982"/>
          <c:w val="0.82897789299587499"/>
          <c:h val="0.10413424890351536"/>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Отчисления студентов с первого курса по признаку : поступившие по олимпиаде/ЕГЭ от общего количества студенотв первого курса за 3 года, филиалы</a:t>
            </a:r>
          </a:p>
        </c:rich>
      </c:tx>
      <c:layout>
        <c:manualLayout>
          <c:xMode val="edge"/>
          <c:yMode val="edge"/>
          <c:x val="0.10303137725329521"/>
          <c:y val="1.0986611586906199E-2"/>
        </c:manualLayout>
      </c:layout>
      <c:overlay val="0"/>
    </c:title>
    <c:autoTitleDeleted val="0"/>
    <c:plotArea>
      <c:layout>
        <c:manualLayout>
          <c:layoutTarget val="inner"/>
          <c:xMode val="edge"/>
          <c:yMode val="edge"/>
          <c:x val="5.5554947667885698E-2"/>
          <c:y val="0.204089975463811"/>
          <c:w val="0.9355529499945775"/>
          <c:h val="0.43711333854529599"/>
        </c:manualLayout>
      </c:layout>
      <c:barChart>
        <c:barDir val="col"/>
        <c:grouping val="stacked"/>
        <c:varyColors val="0"/>
        <c:ser>
          <c:idx val="0"/>
          <c:order val="0"/>
          <c:tx>
            <c:strRef>
              <c:f>'для Осиповой'!$C$220</c:f>
              <c:strCache>
                <c:ptCount val="1"/>
                <c:pt idx="0">
                  <c:v>Кол-во студентов, зачисленных по результатам олимпиад и продолжающие обучение </c:v>
                </c:pt>
              </c:strCache>
            </c:strRef>
          </c:tx>
          <c:invertIfNegative val="0"/>
          <c:cat>
            <c:multiLvlStrRef>
              <c:f>'для Осиповой'!$A$233:$B$271</c:f>
              <c:multiLvlStrCache>
                <c:ptCount val="39"/>
                <c:lvl>
                  <c:pt idx="0">
                    <c:v>экономики ПФ</c:v>
                  </c:pt>
                  <c:pt idx="1">
                    <c:v>менеджмента ПФ</c:v>
                  </c:pt>
                  <c:pt idx="2">
                    <c:v>БИ ПФ</c:v>
                  </c:pt>
                  <c:pt idx="3">
                    <c:v>Экономики СПб</c:v>
                  </c:pt>
                  <c:pt idx="4">
                    <c:v>Социологии СПб</c:v>
                  </c:pt>
                  <c:pt idx="5">
                    <c:v>Менеджмента СПб</c:v>
                  </c:pt>
                  <c:pt idx="6">
                    <c:v>Политологии СПб</c:v>
                  </c:pt>
                  <c:pt idx="7">
                    <c:v>Юридический СПб</c:v>
                  </c:pt>
                  <c:pt idx="8">
                    <c:v>экономики НФ</c:v>
                  </c:pt>
                  <c:pt idx="9">
                    <c:v>менеджмента НФ</c:v>
                  </c:pt>
                  <c:pt idx="10">
                    <c:v>права НФ</c:v>
                  </c:pt>
                  <c:pt idx="11">
                    <c:v>БИ и ПМ НФ</c:v>
                  </c:pt>
                  <c:pt idx="12">
                    <c:v>экономики ПФ</c:v>
                  </c:pt>
                  <c:pt idx="13">
                    <c:v>менеджмента ПФ</c:v>
                  </c:pt>
                  <c:pt idx="14">
                    <c:v>БИ ПФ</c:v>
                  </c:pt>
                  <c:pt idx="15">
                    <c:v>Экономики СПб</c:v>
                  </c:pt>
                  <c:pt idx="16">
                    <c:v>Социологии СПб</c:v>
                  </c:pt>
                  <c:pt idx="17">
                    <c:v>Менеджмента СПб</c:v>
                  </c:pt>
                  <c:pt idx="18">
                    <c:v>Политологии СПб</c:v>
                  </c:pt>
                  <c:pt idx="19">
                    <c:v>Юридический Спб</c:v>
                  </c:pt>
                  <c:pt idx="20">
                    <c:v>экономики НФ</c:v>
                  </c:pt>
                  <c:pt idx="21">
                    <c:v>менеджмента НФ</c:v>
                  </c:pt>
                  <c:pt idx="22">
                    <c:v>права НФ</c:v>
                  </c:pt>
                  <c:pt idx="23">
                    <c:v>БИ и ПМ НФ</c:v>
                  </c:pt>
                  <c:pt idx="24">
                    <c:v>экономики ПФ</c:v>
                  </c:pt>
                  <c:pt idx="25">
                    <c:v>менеджмента ПФ</c:v>
                  </c:pt>
                  <c:pt idx="26">
                    <c:v>БИ ПФ</c:v>
                  </c:pt>
                  <c:pt idx="27">
                    <c:v>Социально-гуманитарный факультет ПФ</c:v>
                  </c:pt>
                  <c:pt idx="28">
                    <c:v>Экономики СПб</c:v>
                  </c:pt>
                  <c:pt idx="29">
                    <c:v>Социологии СПб</c:v>
                  </c:pt>
                  <c:pt idx="30">
                    <c:v>Менеджмента СПб</c:v>
                  </c:pt>
                  <c:pt idx="31">
                    <c:v>Политологии СПб</c:v>
                  </c:pt>
                  <c:pt idx="32">
                    <c:v>Юридический СПб</c:v>
                  </c:pt>
                  <c:pt idx="33">
                    <c:v>История СПб</c:v>
                  </c:pt>
                  <c:pt idx="34">
                    <c:v>экономики НФ</c:v>
                  </c:pt>
                  <c:pt idx="35">
                    <c:v>менеджмента НФ</c:v>
                  </c:pt>
                  <c:pt idx="36">
                    <c:v>права НФ</c:v>
                  </c:pt>
                  <c:pt idx="37">
                    <c:v>БИи ПМ НФ</c:v>
                  </c:pt>
                  <c:pt idx="38">
                    <c:v>Факультет гуманитарных наук НФ</c:v>
                  </c:pt>
                </c:lvl>
                <c:lvl>
                  <c:pt idx="0">
                    <c:v>10_11</c:v>
                  </c:pt>
                  <c:pt idx="12">
                    <c:v>11_12</c:v>
                  </c:pt>
                  <c:pt idx="24">
                    <c:v>12_13</c:v>
                  </c:pt>
                </c:lvl>
              </c:multiLvlStrCache>
            </c:multiLvlStrRef>
          </c:cat>
          <c:val>
            <c:numRef>
              <c:f>'для Осиповой'!$C$233:$C$271</c:f>
              <c:numCache>
                <c:formatCode>General</c:formatCode>
                <c:ptCount val="39"/>
                <c:pt idx="0">
                  <c:v>4</c:v>
                </c:pt>
                <c:pt idx="1">
                  <c:v>3</c:v>
                </c:pt>
                <c:pt idx="2">
                  <c:v>4</c:v>
                </c:pt>
                <c:pt idx="3">
                  <c:v>6</c:v>
                </c:pt>
                <c:pt idx="4">
                  <c:v>5</c:v>
                </c:pt>
                <c:pt idx="5">
                  <c:v>3</c:v>
                </c:pt>
                <c:pt idx="6">
                  <c:v>1</c:v>
                </c:pt>
                <c:pt idx="7">
                  <c:v>8</c:v>
                </c:pt>
                <c:pt idx="8">
                  <c:v>7</c:v>
                </c:pt>
                <c:pt idx="9">
                  <c:v>0</c:v>
                </c:pt>
                <c:pt idx="10">
                  <c:v>12</c:v>
                </c:pt>
                <c:pt idx="11">
                  <c:v>28</c:v>
                </c:pt>
                <c:pt idx="12">
                  <c:v>7</c:v>
                </c:pt>
                <c:pt idx="13">
                  <c:v>0</c:v>
                </c:pt>
                <c:pt idx="14">
                  <c:v>0</c:v>
                </c:pt>
                <c:pt idx="15">
                  <c:v>7</c:v>
                </c:pt>
                <c:pt idx="16">
                  <c:v>1</c:v>
                </c:pt>
                <c:pt idx="17">
                  <c:v>6</c:v>
                </c:pt>
                <c:pt idx="18">
                  <c:v>2</c:v>
                </c:pt>
                <c:pt idx="19">
                  <c:v>8</c:v>
                </c:pt>
                <c:pt idx="20">
                  <c:v>13</c:v>
                </c:pt>
                <c:pt idx="21">
                  <c:v>4</c:v>
                </c:pt>
                <c:pt idx="22">
                  <c:v>25</c:v>
                </c:pt>
                <c:pt idx="23">
                  <c:v>6</c:v>
                </c:pt>
                <c:pt idx="24">
                  <c:v>2</c:v>
                </c:pt>
                <c:pt idx="25">
                  <c:v>1</c:v>
                </c:pt>
                <c:pt idx="26">
                  <c:v>0</c:v>
                </c:pt>
                <c:pt idx="27">
                  <c:v>1</c:v>
                </c:pt>
                <c:pt idx="28">
                  <c:v>9</c:v>
                </c:pt>
                <c:pt idx="29">
                  <c:v>0</c:v>
                </c:pt>
                <c:pt idx="30">
                  <c:v>10</c:v>
                </c:pt>
                <c:pt idx="31">
                  <c:v>4</c:v>
                </c:pt>
                <c:pt idx="32">
                  <c:v>19</c:v>
                </c:pt>
                <c:pt idx="33">
                  <c:v>3</c:v>
                </c:pt>
                <c:pt idx="34">
                  <c:v>14</c:v>
                </c:pt>
                <c:pt idx="35">
                  <c:v>1</c:v>
                </c:pt>
                <c:pt idx="36">
                  <c:v>9</c:v>
                </c:pt>
                <c:pt idx="37">
                  <c:v>6</c:v>
                </c:pt>
                <c:pt idx="38">
                  <c:v>2</c:v>
                </c:pt>
              </c:numCache>
            </c:numRef>
          </c:val>
        </c:ser>
        <c:ser>
          <c:idx val="1"/>
          <c:order val="1"/>
          <c:tx>
            <c:strRef>
              <c:f>'для Осиповой'!$D$220</c:f>
              <c:strCache>
                <c:ptCount val="1"/>
                <c:pt idx="0">
                  <c:v>Кол-во отчисленных победителей олимпиад </c:v>
                </c:pt>
              </c:strCache>
            </c:strRef>
          </c:tx>
          <c:invertIfNegative val="0"/>
          <c:cat>
            <c:multiLvlStrRef>
              <c:f>'для Осиповой'!$A$233:$B$271</c:f>
              <c:multiLvlStrCache>
                <c:ptCount val="39"/>
                <c:lvl>
                  <c:pt idx="0">
                    <c:v>экономики ПФ</c:v>
                  </c:pt>
                  <c:pt idx="1">
                    <c:v>менеджмента ПФ</c:v>
                  </c:pt>
                  <c:pt idx="2">
                    <c:v>БИ ПФ</c:v>
                  </c:pt>
                  <c:pt idx="3">
                    <c:v>Экономики СПб</c:v>
                  </c:pt>
                  <c:pt idx="4">
                    <c:v>Социологии СПб</c:v>
                  </c:pt>
                  <c:pt idx="5">
                    <c:v>Менеджмента СПб</c:v>
                  </c:pt>
                  <c:pt idx="6">
                    <c:v>Политологии СПб</c:v>
                  </c:pt>
                  <c:pt idx="7">
                    <c:v>Юридический СПб</c:v>
                  </c:pt>
                  <c:pt idx="8">
                    <c:v>экономики НФ</c:v>
                  </c:pt>
                  <c:pt idx="9">
                    <c:v>менеджмента НФ</c:v>
                  </c:pt>
                  <c:pt idx="10">
                    <c:v>права НФ</c:v>
                  </c:pt>
                  <c:pt idx="11">
                    <c:v>БИ и ПМ НФ</c:v>
                  </c:pt>
                  <c:pt idx="12">
                    <c:v>экономики ПФ</c:v>
                  </c:pt>
                  <c:pt idx="13">
                    <c:v>менеджмента ПФ</c:v>
                  </c:pt>
                  <c:pt idx="14">
                    <c:v>БИ ПФ</c:v>
                  </c:pt>
                  <c:pt idx="15">
                    <c:v>Экономики СПб</c:v>
                  </c:pt>
                  <c:pt idx="16">
                    <c:v>Социологии СПб</c:v>
                  </c:pt>
                  <c:pt idx="17">
                    <c:v>Менеджмента СПб</c:v>
                  </c:pt>
                  <c:pt idx="18">
                    <c:v>Политологии СПб</c:v>
                  </c:pt>
                  <c:pt idx="19">
                    <c:v>Юридический Спб</c:v>
                  </c:pt>
                  <c:pt idx="20">
                    <c:v>экономики НФ</c:v>
                  </c:pt>
                  <c:pt idx="21">
                    <c:v>менеджмента НФ</c:v>
                  </c:pt>
                  <c:pt idx="22">
                    <c:v>права НФ</c:v>
                  </c:pt>
                  <c:pt idx="23">
                    <c:v>БИ и ПМ НФ</c:v>
                  </c:pt>
                  <c:pt idx="24">
                    <c:v>экономики ПФ</c:v>
                  </c:pt>
                  <c:pt idx="25">
                    <c:v>менеджмента ПФ</c:v>
                  </c:pt>
                  <c:pt idx="26">
                    <c:v>БИ ПФ</c:v>
                  </c:pt>
                  <c:pt idx="27">
                    <c:v>Социально-гуманитарный факультет ПФ</c:v>
                  </c:pt>
                  <c:pt idx="28">
                    <c:v>Экономики СПб</c:v>
                  </c:pt>
                  <c:pt idx="29">
                    <c:v>Социологии СПб</c:v>
                  </c:pt>
                  <c:pt idx="30">
                    <c:v>Менеджмента СПб</c:v>
                  </c:pt>
                  <c:pt idx="31">
                    <c:v>Политологии СПб</c:v>
                  </c:pt>
                  <c:pt idx="32">
                    <c:v>Юридический СПб</c:v>
                  </c:pt>
                  <c:pt idx="33">
                    <c:v>История СПб</c:v>
                  </c:pt>
                  <c:pt idx="34">
                    <c:v>экономики НФ</c:v>
                  </c:pt>
                  <c:pt idx="35">
                    <c:v>менеджмента НФ</c:v>
                  </c:pt>
                  <c:pt idx="36">
                    <c:v>права НФ</c:v>
                  </c:pt>
                  <c:pt idx="37">
                    <c:v>БИи ПМ НФ</c:v>
                  </c:pt>
                  <c:pt idx="38">
                    <c:v>Факультет гуманитарных наук НФ</c:v>
                  </c:pt>
                </c:lvl>
                <c:lvl>
                  <c:pt idx="0">
                    <c:v>10_11</c:v>
                  </c:pt>
                  <c:pt idx="12">
                    <c:v>11_12</c:v>
                  </c:pt>
                  <c:pt idx="24">
                    <c:v>12_13</c:v>
                  </c:pt>
                </c:lvl>
              </c:multiLvlStrCache>
            </c:multiLvlStrRef>
          </c:cat>
          <c:val>
            <c:numRef>
              <c:f>'для Осиповой'!$D$233:$D$271</c:f>
              <c:numCache>
                <c:formatCode>General</c:formatCode>
                <c:ptCount val="39"/>
                <c:pt idx="3">
                  <c:v>1</c:v>
                </c:pt>
                <c:pt idx="5">
                  <c:v>1</c:v>
                </c:pt>
                <c:pt idx="12">
                  <c:v>1</c:v>
                </c:pt>
                <c:pt idx="13">
                  <c:v>1</c:v>
                </c:pt>
                <c:pt idx="14">
                  <c:v>0</c:v>
                </c:pt>
                <c:pt idx="15">
                  <c:v>0</c:v>
                </c:pt>
                <c:pt idx="16">
                  <c:v>0</c:v>
                </c:pt>
                <c:pt idx="17">
                  <c:v>0</c:v>
                </c:pt>
                <c:pt idx="18">
                  <c:v>0</c:v>
                </c:pt>
                <c:pt idx="19">
                  <c:v>2</c:v>
                </c:pt>
                <c:pt idx="20">
                  <c:v>0</c:v>
                </c:pt>
                <c:pt idx="21">
                  <c:v>0</c:v>
                </c:pt>
                <c:pt idx="22">
                  <c:v>0</c:v>
                </c:pt>
                <c:pt idx="23">
                  <c:v>0</c:v>
                </c:pt>
                <c:pt idx="28">
                  <c:v>2</c:v>
                </c:pt>
                <c:pt idx="30">
                  <c:v>1</c:v>
                </c:pt>
                <c:pt idx="34">
                  <c:v>1</c:v>
                </c:pt>
                <c:pt idx="35">
                  <c:v>1</c:v>
                </c:pt>
                <c:pt idx="37">
                  <c:v>1</c:v>
                </c:pt>
              </c:numCache>
            </c:numRef>
          </c:val>
        </c:ser>
        <c:ser>
          <c:idx val="2"/>
          <c:order val="2"/>
          <c:tx>
            <c:strRef>
              <c:f>'для Осиповой'!$E$220</c:f>
              <c:strCache>
                <c:ptCount val="1"/>
                <c:pt idx="0">
                  <c:v>Кол-во студентов, зачисленных по рез-ам ЕГЭ и продолжающие обучение</c:v>
                </c:pt>
              </c:strCache>
            </c:strRef>
          </c:tx>
          <c:invertIfNegative val="0"/>
          <c:cat>
            <c:multiLvlStrRef>
              <c:f>'для Осиповой'!$A$233:$B$271</c:f>
              <c:multiLvlStrCache>
                <c:ptCount val="39"/>
                <c:lvl>
                  <c:pt idx="0">
                    <c:v>экономики ПФ</c:v>
                  </c:pt>
                  <c:pt idx="1">
                    <c:v>менеджмента ПФ</c:v>
                  </c:pt>
                  <c:pt idx="2">
                    <c:v>БИ ПФ</c:v>
                  </c:pt>
                  <c:pt idx="3">
                    <c:v>Экономики СПб</c:v>
                  </c:pt>
                  <c:pt idx="4">
                    <c:v>Социологии СПб</c:v>
                  </c:pt>
                  <c:pt idx="5">
                    <c:v>Менеджмента СПб</c:v>
                  </c:pt>
                  <c:pt idx="6">
                    <c:v>Политологии СПб</c:v>
                  </c:pt>
                  <c:pt idx="7">
                    <c:v>Юридический СПб</c:v>
                  </c:pt>
                  <c:pt idx="8">
                    <c:v>экономики НФ</c:v>
                  </c:pt>
                  <c:pt idx="9">
                    <c:v>менеджмента НФ</c:v>
                  </c:pt>
                  <c:pt idx="10">
                    <c:v>права НФ</c:v>
                  </c:pt>
                  <c:pt idx="11">
                    <c:v>БИ и ПМ НФ</c:v>
                  </c:pt>
                  <c:pt idx="12">
                    <c:v>экономики ПФ</c:v>
                  </c:pt>
                  <c:pt idx="13">
                    <c:v>менеджмента ПФ</c:v>
                  </c:pt>
                  <c:pt idx="14">
                    <c:v>БИ ПФ</c:v>
                  </c:pt>
                  <c:pt idx="15">
                    <c:v>Экономики СПб</c:v>
                  </c:pt>
                  <c:pt idx="16">
                    <c:v>Социологии СПб</c:v>
                  </c:pt>
                  <c:pt idx="17">
                    <c:v>Менеджмента СПб</c:v>
                  </c:pt>
                  <c:pt idx="18">
                    <c:v>Политологии СПб</c:v>
                  </c:pt>
                  <c:pt idx="19">
                    <c:v>Юридический Спб</c:v>
                  </c:pt>
                  <c:pt idx="20">
                    <c:v>экономики НФ</c:v>
                  </c:pt>
                  <c:pt idx="21">
                    <c:v>менеджмента НФ</c:v>
                  </c:pt>
                  <c:pt idx="22">
                    <c:v>права НФ</c:v>
                  </c:pt>
                  <c:pt idx="23">
                    <c:v>БИ и ПМ НФ</c:v>
                  </c:pt>
                  <c:pt idx="24">
                    <c:v>экономики ПФ</c:v>
                  </c:pt>
                  <c:pt idx="25">
                    <c:v>менеджмента ПФ</c:v>
                  </c:pt>
                  <c:pt idx="26">
                    <c:v>БИ ПФ</c:v>
                  </c:pt>
                  <c:pt idx="27">
                    <c:v>Социально-гуманитарный факультет ПФ</c:v>
                  </c:pt>
                  <c:pt idx="28">
                    <c:v>Экономики СПб</c:v>
                  </c:pt>
                  <c:pt idx="29">
                    <c:v>Социологии СПб</c:v>
                  </c:pt>
                  <c:pt idx="30">
                    <c:v>Менеджмента СПб</c:v>
                  </c:pt>
                  <c:pt idx="31">
                    <c:v>Политологии СПб</c:v>
                  </c:pt>
                  <c:pt idx="32">
                    <c:v>Юридический СПб</c:v>
                  </c:pt>
                  <c:pt idx="33">
                    <c:v>История СПб</c:v>
                  </c:pt>
                  <c:pt idx="34">
                    <c:v>экономики НФ</c:v>
                  </c:pt>
                  <c:pt idx="35">
                    <c:v>менеджмента НФ</c:v>
                  </c:pt>
                  <c:pt idx="36">
                    <c:v>права НФ</c:v>
                  </c:pt>
                  <c:pt idx="37">
                    <c:v>БИи ПМ НФ</c:v>
                  </c:pt>
                  <c:pt idx="38">
                    <c:v>Факультет гуманитарных наук НФ</c:v>
                  </c:pt>
                </c:lvl>
                <c:lvl>
                  <c:pt idx="0">
                    <c:v>10_11</c:v>
                  </c:pt>
                  <c:pt idx="12">
                    <c:v>11_12</c:v>
                  </c:pt>
                  <c:pt idx="24">
                    <c:v>12_13</c:v>
                  </c:pt>
                </c:lvl>
              </c:multiLvlStrCache>
            </c:multiLvlStrRef>
          </c:cat>
          <c:val>
            <c:numRef>
              <c:f>'для Осиповой'!$E$233:$E$271</c:f>
              <c:numCache>
                <c:formatCode>General</c:formatCode>
                <c:ptCount val="39"/>
                <c:pt idx="0">
                  <c:v>100</c:v>
                </c:pt>
                <c:pt idx="1">
                  <c:v>116</c:v>
                </c:pt>
                <c:pt idx="2">
                  <c:v>48</c:v>
                </c:pt>
                <c:pt idx="3">
                  <c:v>119</c:v>
                </c:pt>
                <c:pt idx="4">
                  <c:v>78</c:v>
                </c:pt>
                <c:pt idx="5">
                  <c:v>94</c:v>
                </c:pt>
                <c:pt idx="6">
                  <c:v>44</c:v>
                </c:pt>
                <c:pt idx="7">
                  <c:v>96</c:v>
                </c:pt>
                <c:pt idx="8">
                  <c:v>144</c:v>
                </c:pt>
                <c:pt idx="9">
                  <c:v>147</c:v>
                </c:pt>
                <c:pt idx="10">
                  <c:v>80</c:v>
                </c:pt>
                <c:pt idx="11">
                  <c:v>77</c:v>
                </c:pt>
                <c:pt idx="12">
                  <c:v>81</c:v>
                </c:pt>
                <c:pt idx="13">
                  <c:v>107</c:v>
                </c:pt>
                <c:pt idx="14">
                  <c:v>34</c:v>
                </c:pt>
                <c:pt idx="15">
                  <c:v>145</c:v>
                </c:pt>
                <c:pt idx="16">
                  <c:v>84</c:v>
                </c:pt>
                <c:pt idx="17">
                  <c:v>131</c:v>
                </c:pt>
                <c:pt idx="18">
                  <c:v>34</c:v>
                </c:pt>
                <c:pt idx="19">
                  <c:v>54</c:v>
                </c:pt>
                <c:pt idx="20">
                  <c:v>116</c:v>
                </c:pt>
                <c:pt idx="21">
                  <c:v>137</c:v>
                </c:pt>
                <c:pt idx="22">
                  <c:v>49</c:v>
                </c:pt>
                <c:pt idx="23">
                  <c:v>56</c:v>
                </c:pt>
                <c:pt idx="24">
                  <c:v>76</c:v>
                </c:pt>
                <c:pt idx="25">
                  <c:v>97</c:v>
                </c:pt>
                <c:pt idx="26">
                  <c:v>41</c:v>
                </c:pt>
                <c:pt idx="27">
                  <c:v>35</c:v>
                </c:pt>
                <c:pt idx="28">
                  <c:v>113</c:v>
                </c:pt>
                <c:pt idx="29">
                  <c:v>48</c:v>
                </c:pt>
                <c:pt idx="30">
                  <c:v>87</c:v>
                </c:pt>
                <c:pt idx="31">
                  <c:v>24</c:v>
                </c:pt>
                <c:pt idx="32">
                  <c:v>93</c:v>
                </c:pt>
                <c:pt idx="33">
                  <c:v>16</c:v>
                </c:pt>
                <c:pt idx="34">
                  <c:v>88</c:v>
                </c:pt>
                <c:pt idx="35">
                  <c:v>92</c:v>
                </c:pt>
                <c:pt idx="36">
                  <c:v>51</c:v>
                </c:pt>
                <c:pt idx="37">
                  <c:v>82</c:v>
                </c:pt>
                <c:pt idx="38">
                  <c:v>31</c:v>
                </c:pt>
              </c:numCache>
            </c:numRef>
          </c:val>
        </c:ser>
        <c:ser>
          <c:idx val="3"/>
          <c:order val="3"/>
          <c:tx>
            <c:strRef>
              <c:f>'для Осиповой'!$F$220</c:f>
              <c:strCache>
                <c:ptCount val="1"/>
                <c:pt idx="0">
                  <c:v>Кол-во отчисленных студентов, поступивших по рез-м ЕГЭ </c:v>
                </c:pt>
              </c:strCache>
            </c:strRef>
          </c:tx>
          <c:invertIfNegative val="0"/>
          <c:cat>
            <c:multiLvlStrRef>
              <c:f>'для Осиповой'!$A$233:$B$271</c:f>
              <c:multiLvlStrCache>
                <c:ptCount val="39"/>
                <c:lvl>
                  <c:pt idx="0">
                    <c:v>экономики ПФ</c:v>
                  </c:pt>
                  <c:pt idx="1">
                    <c:v>менеджмента ПФ</c:v>
                  </c:pt>
                  <c:pt idx="2">
                    <c:v>БИ ПФ</c:v>
                  </c:pt>
                  <c:pt idx="3">
                    <c:v>Экономики СПб</c:v>
                  </c:pt>
                  <c:pt idx="4">
                    <c:v>Социологии СПб</c:v>
                  </c:pt>
                  <c:pt idx="5">
                    <c:v>Менеджмента СПб</c:v>
                  </c:pt>
                  <c:pt idx="6">
                    <c:v>Политологии СПб</c:v>
                  </c:pt>
                  <c:pt idx="7">
                    <c:v>Юридический СПб</c:v>
                  </c:pt>
                  <c:pt idx="8">
                    <c:v>экономики НФ</c:v>
                  </c:pt>
                  <c:pt idx="9">
                    <c:v>менеджмента НФ</c:v>
                  </c:pt>
                  <c:pt idx="10">
                    <c:v>права НФ</c:v>
                  </c:pt>
                  <c:pt idx="11">
                    <c:v>БИ и ПМ НФ</c:v>
                  </c:pt>
                  <c:pt idx="12">
                    <c:v>экономики ПФ</c:v>
                  </c:pt>
                  <c:pt idx="13">
                    <c:v>менеджмента ПФ</c:v>
                  </c:pt>
                  <c:pt idx="14">
                    <c:v>БИ ПФ</c:v>
                  </c:pt>
                  <c:pt idx="15">
                    <c:v>Экономики СПб</c:v>
                  </c:pt>
                  <c:pt idx="16">
                    <c:v>Социологии СПб</c:v>
                  </c:pt>
                  <c:pt idx="17">
                    <c:v>Менеджмента СПб</c:v>
                  </c:pt>
                  <c:pt idx="18">
                    <c:v>Политологии СПб</c:v>
                  </c:pt>
                  <c:pt idx="19">
                    <c:v>Юридический Спб</c:v>
                  </c:pt>
                  <c:pt idx="20">
                    <c:v>экономики НФ</c:v>
                  </c:pt>
                  <c:pt idx="21">
                    <c:v>менеджмента НФ</c:v>
                  </c:pt>
                  <c:pt idx="22">
                    <c:v>права НФ</c:v>
                  </c:pt>
                  <c:pt idx="23">
                    <c:v>БИ и ПМ НФ</c:v>
                  </c:pt>
                  <c:pt idx="24">
                    <c:v>экономики ПФ</c:v>
                  </c:pt>
                  <c:pt idx="25">
                    <c:v>менеджмента ПФ</c:v>
                  </c:pt>
                  <c:pt idx="26">
                    <c:v>БИ ПФ</c:v>
                  </c:pt>
                  <c:pt idx="27">
                    <c:v>Социально-гуманитарный факультет ПФ</c:v>
                  </c:pt>
                  <c:pt idx="28">
                    <c:v>Экономики СПб</c:v>
                  </c:pt>
                  <c:pt idx="29">
                    <c:v>Социологии СПб</c:v>
                  </c:pt>
                  <c:pt idx="30">
                    <c:v>Менеджмента СПб</c:v>
                  </c:pt>
                  <c:pt idx="31">
                    <c:v>Политологии СПб</c:v>
                  </c:pt>
                  <c:pt idx="32">
                    <c:v>Юридический СПб</c:v>
                  </c:pt>
                  <c:pt idx="33">
                    <c:v>История СПб</c:v>
                  </c:pt>
                  <c:pt idx="34">
                    <c:v>экономики НФ</c:v>
                  </c:pt>
                  <c:pt idx="35">
                    <c:v>менеджмента НФ</c:v>
                  </c:pt>
                  <c:pt idx="36">
                    <c:v>права НФ</c:v>
                  </c:pt>
                  <c:pt idx="37">
                    <c:v>БИи ПМ НФ</c:v>
                  </c:pt>
                  <c:pt idx="38">
                    <c:v>Факультет гуманитарных наук НФ</c:v>
                  </c:pt>
                </c:lvl>
                <c:lvl>
                  <c:pt idx="0">
                    <c:v>10_11</c:v>
                  </c:pt>
                  <c:pt idx="12">
                    <c:v>11_12</c:v>
                  </c:pt>
                  <c:pt idx="24">
                    <c:v>12_13</c:v>
                  </c:pt>
                </c:lvl>
              </c:multiLvlStrCache>
            </c:multiLvlStrRef>
          </c:cat>
          <c:val>
            <c:numRef>
              <c:f>'для Осиповой'!$F$233:$F$271</c:f>
              <c:numCache>
                <c:formatCode>General</c:formatCode>
                <c:ptCount val="39"/>
                <c:pt idx="3">
                  <c:v>28</c:v>
                </c:pt>
                <c:pt idx="4">
                  <c:v>17</c:v>
                </c:pt>
                <c:pt idx="5">
                  <c:v>14</c:v>
                </c:pt>
                <c:pt idx="6">
                  <c:v>1</c:v>
                </c:pt>
                <c:pt idx="7">
                  <c:v>10</c:v>
                </c:pt>
                <c:pt idx="12">
                  <c:v>13</c:v>
                </c:pt>
                <c:pt idx="13">
                  <c:v>20</c:v>
                </c:pt>
                <c:pt idx="14">
                  <c:v>9</c:v>
                </c:pt>
                <c:pt idx="15">
                  <c:v>14</c:v>
                </c:pt>
                <c:pt idx="16">
                  <c:v>6</c:v>
                </c:pt>
                <c:pt idx="17">
                  <c:v>4</c:v>
                </c:pt>
                <c:pt idx="18">
                  <c:v>7</c:v>
                </c:pt>
                <c:pt idx="19">
                  <c:v>11</c:v>
                </c:pt>
                <c:pt idx="20">
                  <c:v>2</c:v>
                </c:pt>
                <c:pt idx="21">
                  <c:v>5</c:v>
                </c:pt>
                <c:pt idx="22">
                  <c:v>14</c:v>
                </c:pt>
                <c:pt idx="23">
                  <c:v>4</c:v>
                </c:pt>
                <c:pt idx="24">
                  <c:v>11</c:v>
                </c:pt>
                <c:pt idx="25">
                  <c:v>10</c:v>
                </c:pt>
                <c:pt idx="26">
                  <c:v>4</c:v>
                </c:pt>
                <c:pt idx="27">
                  <c:v>8</c:v>
                </c:pt>
                <c:pt idx="28">
                  <c:v>19</c:v>
                </c:pt>
                <c:pt idx="29">
                  <c:v>6</c:v>
                </c:pt>
                <c:pt idx="30">
                  <c:v>9</c:v>
                </c:pt>
                <c:pt idx="31">
                  <c:v>1</c:v>
                </c:pt>
                <c:pt idx="32">
                  <c:v>17</c:v>
                </c:pt>
                <c:pt idx="33">
                  <c:v>6</c:v>
                </c:pt>
                <c:pt idx="34">
                  <c:v>7</c:v>
                </c:pt>
                <c:pt idx="35">
                  <c:v>7</c:v>
                </c:pt>
                <c:pt idx="36">
                  <c:v>2</c:v>
                </c:pt>
                <c:pt idx="37">
                  <c:v>18</c:v>
                </c:pt>
                <c:pt idx="38">
                  <c:v>1</c:v>
                </c:pt>
              </c:numCache>
            </c:numRef>
          </c:val>
        </c:ser>
        <c:dLbls>
          <c:showLegendKey val="0"/>
          <c:showVal val="0"/>
          <c:showCatName val="0"/>
          <c:showSerName val="0"/>
          <c:showPercent val="0"/>
          <c:showBubbleSize val="0"/>
        </c:dLbls>
        <c:gapWidth val="79"/>
        <c:overlap val="100"/>
        <c:axId val="447236736"/>
        <c:axId val="447246720"/>
      </c:barChart>
      <c:catAx>
        <c:axId val="447236736"/>
        <c:scaling>
          <c:orientation val="minMax"/>
        </c:scaling>
        <c:delete val="0"/>
        <c:axPos val="b"/>
        <c:numFmt formatCode="General" sourceLinked="0"/>
        <c:majorTickMark val="out"/>
        <c:minorTickMark val="none"/>
        <c:tickLblPos val="nextTo"/>
        <c:txPr>
          <a:bodyPr/>
          <a:lstStyle/>
          <a:p>
            <a:pPr>
              <a:defRPr sz="800"/>
            </a:pPr>
            <a:endParaRPr lang="ru-RU"/>
          </a:p>
        </c:txPr>
        <c:crossAx val="447246720"/>
        <c:crosses val="autoZero"/>
        <c:auto val="1"/>
        <c:lblAlgn val="ctr"/>
        <c:lblOffset val="100"/>
        <c:noMultiLvlLbl val="0"/>
      </c:catAx>
      <c:valAx>
        <c:axId val="447246720"/>
        <c:scaling>
          <c:orientation val="minMax"/>
          <c:max val="160"/>
        </c:scaling>
        <c:delete val="0"/>
        <c:axPos val="l"/>
        <c:numFmt formatCode="General" sourceLinked="1"/>
        <c:majorTickMark val="out"/>
        <c:minorTickMark val="none"/>
        <c:tickLblPos val="nextTo"/>
        <c:crossAx val="447236736"/>
        <c:crosses val="autoZero"/>
        <c:crossBetween val="between"/>
      </c:valAx>
    </c:plotArea>
    <c:legend>
      <c:legendPos val="b"/>
      <c:layout>
        <c:manualLayout>
          <c:xMode val="edge"/>
          <c:yMode val="edge"/>
          <c:x val="0.12714528000942751"/>
          <c:y val="0.11104361646947"/>
          <c:w val="0.84071089189746451"/>
          <c:h val="9.0389046024698494E-2"/>
        </c:manualLayout>
      </c:layout>
      <c:overlay val="0"/>
    </c:legend>
    <c:plotVisOnly val="1"/>
    <c:dispBlanksAs val="gap"/>
    <c:showDLblsOverMax val="0"/>
  </c:chart>
  <c:txPr>
    <a:bodyPr/>
    <a:lstStyle/>
    <a:p>
      <a:pPr>
        <a:defRPr sz="900"/>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ru-RU" sz="1200"/>
              <a:t>Отчисленные из бакалавриата в целом по НИУ ВШЭ</a:t>
            </a:r>
          </a:p>
        </c:rich>
      </c:tx>
      <c:layout>
        <c:manualLayout>
          <c:xMode val="edge"/>
          <c:yMode val="edge"/>
          <c:x val="0.22923353681913439"/>
          <c:y val="3.8231780167264098E-2"/>
        </c:manualLayout>
      </c:layout>
      <c:overlay val="0"/>
    </c:title>
    <c:autoTitleDeleted val="0"/>
    <c:plotArea>
      <c:layout/>
      <c:doughnutChart>
        <c:varyColors val="1"/>
        <c:ser>
          <c:idx val="2"/>
          <c:order val="0"/>
          <c:spPr>
            <a:effectLst>
              <a:innerShdw blurRad="63500" dist="50800" dir="18900000">
                <a:prstClr val="black">
                  <a:alpha val="50000"/>
                </a:prstClr>
              </a:innerShdw>
            </a:effectLst>
          </c:spPr>
          <c:explosion val="25"/>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w="9525" cap="flat" cmpd="sng" algn="ctr">
                <a:solidFill>
                  <a:schemeClr val="accent1">
                    <a:shade val="95000"/>
                    <a:satMod val="105000"/>
                  </a:schemeClr>
                </a:solidFill>
                <a:prstDash val="solid"/>
              </a:ln>
              <a:effectLst>
                <a:innerShdw blurRad="63500" dist="50800" dir="18900000">
                  <a:prstClr val="black">
                    <a:alpha val="50000"/>
                  </a:prstClr>
                </a:innerShdw>
              </a:effectLst>
            </c:spPr>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w="9525" cap="flat" cmpd="sng" algn="ctr">
                <a:solidFill>
                  <a:schemeClr val="accent2">
                    <a:shade val="95000"/>
                    <a:satMod val="105000"/>
                  </a:schemeClr>
                </a:solidFill>
                <a:prstDash val="solid"/>
              </a:ln>
              <a:effectLst>
                <a:innerShdw blurRad="63500" dist="50800" dir="18900000">
                  <a:prstClr val="black">
                    <a:alpha val="50000"/>
                  </a:prstClr>
                </a:innerShdw>
              </a:effectLst>
            </c:spPr>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w="9525" cap="flat" cmpd="sng" algn="ctr">
                <a:solidFill>
                  <a:schemeClr val="accent3">
                    <a:shade val="95000"/>
                    <a:satMod val="105000"/>
                  </a:schemeClr>
                </a:solidFill>
                <a:prstDash val="solid"/>
              </a:ln>
              <a:effectLst>
                <a:innerShdw blurRad="63500" dist="50800" dir="18900000">
                  <a:prstClr val="black">
                    <a:alpha val="50000"/>
                  </a:prstClr>
                </a:innerShdw>
              </a:effectLst>
            </c:spPr>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w="9525" cap="flat" cmpd="sng" algn="ctr">
                <a:solidFill>
                  <a:schemeClr val="accent4">
                    <a:shade val="95000"/>
                    <a:satMod val="105000"/>
                  </a:schemeClr>
                </a:solidFill>
                <a:prstDash val="solid"/>
              </a:ln>
              <a:effectLst>
                <a:innerShdw blurRad="63500" dist="50800" dir="18900000">
                  <a:prstClr val="black">
                    <a:alpha val="50000"/>
                  </a:prstClr>
                </a:innerShdw>
              </a:effectLst>
            </c:spPr>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'отчисл по филиалам'!$W$2:$Z$2</c:f>
              <c:strCache>
                <c:ptCount val="4"/>
                <c:pt idx="0">
                  <c:v>бюджетных за академическую неуспеваемость</c:v>
                </c:pt>
                <c:pt idx="1">
                  <c:v>коммерческих за академическую неуспеваемость</c:v>
                </c:pt>
                <c:pt idx="2">
                  <c:v>бюджетных по другим причинам</c:v>
                </c:pt>
                <c:pt idx="3">
                  <c:v>коммерческих по другим причинам</c:v>
                </c:pt>
              </c:strCache>
            </c:strRef>
          </c:cat>
          <c:val>
            <c:numRef>
              <c:f>'отчисл по филиалам'!$W$11:$Z$11</c:f>
              <c:numCache>
                <c:formatCode>General</c:formatCode>
                <c:ptCount val="4"/>
                <c:pt idx="0">
                  <c:v>309</c:v>
                </c:pt>
                <c:pt idx="1">
                  <c:v>397</c:v>
                </c:pt>
                <c:pt idx="2">
                  <c:v>368</c:v>
                </c:pt>
                <c:pt idx="3">
                  <c:v>435</c:v>
                </c:pt>
              </c:numCache>
            </c:numRef>
          </c:val>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51918993271908465"/>
          <c:y val="0.20389730853535848"/>
          <c:w val="0.46368861195721472"/>
          <c:h val="0.71359128496034796"/>
        </c:manualLayout>
      </c:layout>
      <c:overlay val="0"/>
      <c:txPr>
        <a:bodyPr/>
        <a:lstStyle/>
        <a:p>
          <a:pPr>
            <a:defRPr sz="1200"/>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Cyr"/>
                <a:ea typeface="Arial Cyr"/>
                <a:cs typeface="Arial Cyr"/>
              </a:defRPr>
            </a:pPr>
            <a:r>
              <a:rPr lang="ru-RU"/>
              <a:t>Среднее количество дисциплин для бакалавров  (без учета факультативов)</a:t>
            </a:r>
          </a:p>
        </c:rich>
      </c:tx>
      <c:layout>
        <c:manualLayout>
          <c:xMode val="edge"/>
          <c:yMode val="edge"/>
          <c:x val="0.14077686891080388"/>
          <c:y val="2.9874213836478012E-2"/>
        </c:manualLayout>
      </c:layout>
      <c:overlay val="0"/>
      <c:spPr>
        <a:noFill/>
        <a:ln w="25400">
          <a:noFill/>
        </a:ln>
      </c:spPr>
    </c:title>
    <c:autoTitleDeleted val="0"/>
    <c:plotArea>
      <c:layout>
        <c:manualLayout>
          <c:layoutTarget val="inner"/>
          <c:xMode val="edge"/>
          <c:yMode val="edge"/>
          <c:x val="0.14129443953965154"/>
          <c:y val="7.4794314962866787E-2"/>
          <c:w val="0.80097213948115698"/>
          <c:h val="0.87578750827238805"/>
        </c:manualLayout>
      </c:layout>
      <c:barChart>
        <c:barDir val="bar"/>
        <c:grouping val="clustered"/>
        <c:varyColors val="0"/>
        <c:ser>
          <c:idx val="0"/>
          <c:order val="0"/>
          <c:tx>
            <c:strRef>
              <c:f>Лист1!$D$6</c:f>
              <c:strCache>
                <c:ptCount val="1"/>
                <c:pt idx="0">
                  <c:v>2013</c:v>
                </c:pt>
              </c:strCache>
            </c:strRef>
          </c:tx>
          <c:spPr>
            <a:solidFill>
              <a:srgbClr val="99CCFF"/>
            </a:solidFill>
            <a:ln w="12700">
              <a:solidFill>
                <a:srgbClr val="000000"/>
              </a:solidFill>
              <a:prstDash val="solid"/>
            </a:ln>
          </c:spPr>
          <c:invertIfNegative val="0"/>
          <c:dLbls>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Лист1!$C$7:$C$26</c:f>
              <c:strCache>
                <c:ptCount val="20"/>
                <c:pt idx="0">
                  <c:v>ФиПЛ</c:v>
                </c:pt>
                <c:pt idx="1">
                  <c:v>Филология</c:v>
                </c:pt>
                <c:pt idx="2">
                  <c:v>ГиМУ</c:v>
                </c:pt>
                <c:pt idx="3">
                  <c:v>История</c:v>
                </c:pt>
                <c:pt idx="4">
                  <c:v>Востоковедение,
африканистика</c:v>
                </c:pt>
                <c:pt idx="5">
                  <c:v>Реклама и связи 
с общественностью</c:v>
                </c:pt>
                <c:pt idx="6">
                  <c:v>Культурология</c:v>
                </c:pt>
                <c:pt idx="7">
                  <c:v>Философия</c:v>
                </c:pt>
                <c:pt idx="8">
                  <c:v>Юриспруденция</c:v>
                </c:pt>
                <c:pt idx="9">
                  <c:v>Психология</c:v>
                </c:pt>
                <c:pt idx="10">
                  <c:v>Журналистика</c:v>
                </c:pt>
                <c:pt idx="11">
                  <c:v>Политология</c:v>
                </c:pt>
                <c:pt idx="12">
                  <c:v>Социология</c:v>
                </c:pt>
                <c:pt idx="13">
                  <c:v>Математика</c:v>
                </c:pt>
                <c:pt idx="14">
                  <c:v>Программная 
инженерия</c:v>
                </c:pt>
                <c:pt idx="15">
                  <c:v>Прикладная
 математика</c:v>
                </c:pt>
                <c:pt idx="16">
                  <c:v>Бизнес-
информатика</c:v>
                </c:pt>
                <c:pt idx="17">
                  <c:v>Менеджмент</c:v>
                </c:pt>
                <c:pt idx="18">
                  <c:v>Международные
отношения</c:v>
                </c:pt>
                <c:pt idx="19">
                  <c:v>Экономика</c:v>
                </c:pt>
              </c:strCache>
            </c:strRef>
          </c:cat>
          <c:val>
            <c:numRef>
              <c:f>Лист1!$D$7:$D$26</c:f>
              <c:numCache>
                <c:formatCode>General</c:formatCode>
                <c:ptCount val="20"/>
                <c:pt idx="0">
                  <c:v>28</c:v>
                </c:pt>
                <c:pt idx="1">
                  <c:v>27</c:v>
                </c:pt>
                <c:pt idx="2">
                  <c:v>34</c:v>
                </c:pt>
                <c:pt idx="3">
                  <c:v>36</c:v>
                </c:pt>
                <c:pt idx="4">
                  <c:v>29</c:v>
                </c:pt>
                <c:pt idx="5">
                  <c:v>42</c:v>
                </c:pt>
                <c:pt idx="6">
                  <c:v>31</c:v>
                </c:pt>
                <c:pt idx="7">
                  <c:v>29</c:v>
                </c:pt>
                <c:pt idx="8">
                  <c:v>28</c:v>
                </c:pt>
                <c:pt idx="9">
                  <c:v>24</c:v>
                </c:pt>
                <c:pt idx="10">
                  <c:v>21</c:v>
                </c:pt>
                <c:pt idx="11">
                  <c:v>35</c:v>
                </c:pt>
                <c:pt idx="12">
                  <c:v>36</c:v>
                </c:pt>
                <c:pt idx="13">
                  <c:v>21</c:v>
                </c:pt>
                <c:pt idx="14">
                  <c:v>32</c:v>
                </c:pt>
                <c:pt idx="15">
                  <c:v>30</c:v>
                </c:pt>
                <c:pt idx="16">
                  <c:v>30</c:v>
                </c:pt>
                <c:pt idx="17">
                  <c:v>35</c:v>
                </c:pt>
                <c:pt idx="18">
                  <c:v>32</c:v>
                </c:pt>
                <c:pt idx="19">
                  <c:v>30</c:v>
                </c:pt>
              </c:numCache>
            </c:numRef>
          </c:val>
        </c:ser>
        <c:ser>
          <c:idx val="1"/>
          <c:order val="1"/>
          <c:tx>
            <c:strRef>
              <c:f>Лист1!$E$6</c:f>
              <c:strCache>
                <c:ptCount val="1"/>
                <c:pt idx="0">
                  <c:v>2012 г.</c:v>
                </c:pt>
              </c:strCache>
            </c:strRef>
          </c:tx>
          <c:spPr>
            <a:solidFill>
              <a:srgbClr val="800080"/>
            </a:solidFill>
            <a:ln w="12700">
              <a:solidFill>
                <a:srgbClr val="000000"/>
              </a:solidFill>
              <a:prstDash val="solid"/>
            </a:ln>
          </c:spPr>
          <c:invertIfNegative val="0"/>
          <c:dLbls>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Лист1!$C$7:$C$26</c:f>
              <c:strCache>
                <c:ptCount val="20"/>
                <c:pt idx="0">
                  <c:v>ФиПЛ</c:v>
                </c:pt>
                <c:pt idx="1">
                  <c:v>Филология</c:v>
                </c:pt>
                <c:pt idx="2">
                  <c:v>ГиМУ</c:v>
                </c:pt>
                <c:pt idx="3">
                  <c:v>История</c:v>
                </c:pt>
                <c:pt idx="4">
                  <c:v>Востоковедение,
африканистика</c:v>
                </c:pt>
                <c:pt idx="5">
                  <c:v>Реклама и связи 
с общественностью</c:v>
                </c:pt>
                <c:pt idx="6">
                  <c:v>Культурология</c:v>
                </c:pt>
                <c:pt idx="7">
                  <c:v>Философия</c:v>
                </c:pt>
                <c:pt idx="8">
                  <c:v>Юриспруденция</c:v>
                </c:pt>
                <c:pt idx="9">
                  <c:v>Психология</c:v>
                </c:pt>
                <c:pt idx="10">
                  <c:v>Журналистика</c:v>
                </c:pt>
                <c:pt idx="11">
                  <c:v>Политология</c:v>
                </c:pt>
                <c:pt idx="12">
                  <c:v>Социология</c:v>
                </c:pt>
                <c:pt idx="13">
                  <c:v>Математика</c:v>
                </c:pt>
                <c:pt idx="14">
                  <c:v>Программная 
инженерия</c:v>
                </c:pt>
                <c:pt idx="15">
                  <c:v>Прикладная
 математика</c:v>
                </c:pt>
                <c:pt idx="16">
                  <c:v>Бизнес-
информатика</c:v>
                </c:pt>
                <c:pt idx="17">
                  <c:v>Менеджмент</c:v>
                </c:pt>
                <c:pt idx="18">
                  <c:v>Международные
отношения</c:v>
                </c:pt>
                <c:pt idx="19">
                  <c:v>Экономика</c:v>
                </c:pt>
              </c:strCache>
            </c:strRef>
          </c:cat>
          <c:val>
            <c:numRef>
              <c:f>Лист1!$E$7:$E$26</c:f>
              <c:numCache>
                <c:formatCode>General</c:formatCode>
                <c:ptCount val="20"/>
                <c:pt idx="0">
                  <c:v>28</c:v>
                </c:pt>
                <c:pt idx="1">
                  <c:v>28</c:v>
                </c:pt>
                <c:pt idx="2">
                  <c:v>35</c:v>
                </c:pt>
                <c:pt idx="3">
                  <c:v>34</c:v>
                </c:pt>
                <c:pt idx="4">
                  <c:v>28</c:v>
                </c:pt>
                <c:pt idx="5">
                  <c:v>40</c:v>
                </c:pt>
                <c:pt idx="6">
                  <c:v>32</c:v>
                </c:pt>
                <c:pt idx="7">
                  <c:v>30</c:v>
                </c:pt>
                <c:pt idx="8">
                  <c:v>30</c:v>
                </c:pt>
                <c:pt idx="9">
                  <c:v>25</c:v>
                </c:pt>
                <c:pt idx="10">
                  <c:v>22</c:v>
                </c:pt>
                <c:pt idx="11">
                  <c:v>35.5</c:v>
                </c:pt>
                <c:pt idx="12">
                  <c:v>38</c:v>
                </c:pt>
                <c:pt idx="13">
                  <c:v>22</c:v>
                </c:pt>
                <c:pt idx="14">
                  <c:v>33</c:v>
                </c:pt>
                <c:pt idx="15">
                  <c:v>31</c:v>
                </c:pt>
                <c:pt idx="16">
                  <c:v>31</c:v>
                </c:pt>
                <c:pt idx="17">
                  <c:v>34</c:v>
                </c:pt>
                <c:pt idx="18">
                  <c:v>33</c:v>
                </c:pt>
                <c:pt idx="19">
                  <c:v>31</c:v>
                </c:pt>
              </c:numCache>
            </c:numRef>
          </c:val>
        </c:ser>
        <c:ser>
          <c:idx val="2"/>
          <c:order val="2"/>
          <c:tx>
            <c:strRef>
              <c:f>Лист1!$F$6</c:f>
              <c:strCache>
                <c:ptCount val="1"/>
                <c:pt idx="0">
                  <c:v>2011 г.</c:v>
                </c:pt>
              </c:strCache>
            </c:strRef>
          </c:tx>
          <c:spPr>
            <a:solidFill>
              <a:srgbClr val="CC99FF"/>
            </a:solidFill>
            <a:ln w="12700">
              <a:solidFill>
                <a:srgbClr val="000000"/>
              </a:solidFill>
              <a:prstDash val="solid"/>
            </a:ln>
          </c:spPr>
          <c:invertIfNegative val="0"/>
          <c:dLbls>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Лист1!$C$7:$C$26</c:f>
              <c:strCache>
                <c:ptCount val="20"/>
                <c:pt idx="0">
                  <c:v>ФиПЛ</c:v>
                </c:pt>
                <c:pt idx="1">
                  <c:v>Филология</c:v>
                </c:pt>
                <c:pt idx="2">
                  <c:v>ГиМУ</c:v>
                </c:pt>
                <c:pt idx="3">
                  <c:v>История</c:v>
                </c:pt>
                <c:pt idx="4">
                  <c:v>Востоковедение,
африканистика</c:v>
                </c:pt>
                <c:pt idx="5">
                  <c:v>Реклама и связи 
с общественностью</c:v>
                </c:pt>
                <c:pt idx="6">
                  <c:v>Культурология</c:v>
                </c:pt>
                <c:pt idx="7">
                  <c:v>Философия</c:v>
                </c:pt>
                <c:pt idx="8">
                  <c:v>Юриспруденция</c:v>
                </c:pt>
                <c:pt idx="9">
                  <c:v>Психология</c:v>
                </c:pt>
                <c:pt idx="10">
                  <c:v>Журналистика</c:v>
                </c:pt>
                <c:pt idx="11">
                  <c:v>Политология</c:v>
                </c:pt>
                <c:pt idx="12">
                  <c:v>Социология</c:v>
                </c:pt>
                <c:pt idx="13">
                  <c:v>Математика</c:v>
                </c:pt>
                <c:pt idx="14">
                  <c:v>Программная 
инженерия</c:v>
                </c:pt>
                <c:pt idx="15">
                  <c:v>Прикладная
 математика</c:v>
                </c:pt>
                <c:pt idx="16">
                  <c:v>Бизнес-
информатика</c:v>
                </c:pt>
                <c:pt idx="17">
                  <c:v>Менеджмент</c:v>
                </c:pt>
                <c:pt idx="18">
                  <c:v>Международные
отношения</c:v>
                </c:pt>
                <c:pt idx="19">
                  <c:v>Экономика</c:v>
                </c:pt>
              </c:strCache>
            </c:strRef>
          </c:cat>
          <c:val>
            <c:numRef>
              <c:f>Лист1!$F$7:$F$26</c:f>
              <c:numCache>
                <c:formatCode>General</c:formatCode>
                <c:ptCount val="20"/>
                <c:pt idx="3">
                  <c:v>40</c:v>
                </c:pt>
                <c:pt idx="4">
                  <c:v>28</c:v>
                </c:pt>
                <c:pt idx="5">
                  <c:v>44</c:v>
                </c:pt>
                <c:pt idx="6">
                  <c:v>32</c:v>
                </c:pt>
                <c:pt idx="7">
                  <c:v>31</c:v>
                </c:pt>
                <c:pt idx="8">
                  <c:v>26</c:v>
                </c:pt>
                <c:pt idx="9">
                  <c:v>23</c:v>
                </c:pt>
                <c:pt idx="10">
                  <c:v>21</c:v>
                </c:pt>
                <c:pt idx="11">
                  <c:v>33</c:v>
                </c:pt>
                <c:pt idx="12">
                  <c:v>38</c:v>
                </c:pt>
                <c:pt idx="13">
                  <c:v>23</c:v>
                </c:pt>
                <c:pt idx="14">
                  <c:v>29</c:v>
                </c:pt>
                <c:pt idx="15">
                  <c:v>30</c:v>
                </c:pt>
                <c:pt idx="16">
                  <c:v>28</c:v>
                </c:pt>
                <c:pt idx="17">
                  <c:v>35</c:v>
                </c:pt>
                <c:pt idx="18">
                  <c:v>32</c:v>
                </c:pt>
                <c:pt idx="19">
                  <c:v>28</c:v>
                </c:pt>
              </c:numCache>
            </c:numRef>
          </c:val>
        </c:ser>
        <c:dLbls>
          <c:showLegendKey val="0"/>
          <c:showVal val="0"/>
          <c:showCatName val="0"/>
          <c:showSerName val="0"/>
          <c:showPercent val="0"/>
          <c:showBubbleSize val="0"/>
        </c:dLbls>
        <c:gapWidth val="150"/>
        <c:axId val="329881856"/>
        <c:axId val="329887744"/>
      </c:barChart>
      <c:catAx>
        <c:axId val="32988185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Cyr"/>
                <a:ea typeface="Arial Cyr"/>
                <a:cs typeface="Arial Cyr"/>
              </a:defRPr>
            </a:pPr>
            <a:endParaRPr lang="ru-RU"/>
          </a:p>
        </c:txPr>
        <c:crossAx val="329887744"/>
        <c:crosses val="autoZero"/>
        <c:auto val="1"/>
        <c:lblAlgn val="ctr"/>
        <c:lblOffset val="100"/>
        <c:tickLblSkip val="1"/>
        <c:tickMarkSkip val="1"/>
        <c:noMultiLvlLbl val="0"/>
      </c:catAx>
      <c:valAx>
        <c:axId val="329887744"/>
        <c:scaling>
          <c:orientation val="minMax"/>
        </c:scaling>
        <c:delete val="0"/>
        <c:axPos val="b"/>
        <c:majorGridlines>
          <c:spPr>
            <a:ln w="3175">
              <a:solidFill>
                <a:srgbClr val="C0C0C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329881856"/>
        <c:crosses val="autoZero"/>
        <c:crossBetween val="between"/>
        <c:majorUnit val="5"/>
      </c:valAx>
      <c:spPr>
        <a:noFill/>
        <a:ln w="25400">
          <a:noFill/>
        </a:ln>
      </c:spPr>
    </c:plotArea>
    <c:legend>
      <c:legendPos val="r"/>
      <c:layout>
        <c:manualLayout>
          <c:xMode val="edge"/>
          <c:yMode val="edge"/>
          <c:x val="0.77679847192120355"/>
          <c:y val="8.6279219610183686E-2"/>
          <c:w val="0.119972910375869"/>
          <c:h val="0.24326231558600381"/>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12700">
      <a:solidFill>
        <a:srgbClr val="FFFFFF"/>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Отчисленные из магистратуры в целом по НИУ</a:t>
            </a:r>
            <a:r>
              <a:rPr lang="ru-RU" sz="1200" baseline="0"/>
              <a:t> ВШЭ</a:t>
            </a:r>
            <a:endParaRPr lang="ru-RU" sz="1200"/>
          </a:p>
        </c:rich>
      </c:tx>
      <c:overlay val="0"/>
    </c:title>
    <c:autoTitleDeleted val="0"/>
    <c:plotArea>
      <c:layout/>
      <c:doughnutChart>
        <c:varyColors val="1"/>
        <c:ser>
          <c:idx val="0"/>
          <c:order val="0"/>
          <c:spPr>
            <a:effectLst>
              <a:innerShdw blurRad="63500" dist="50800" dir="18900000">
                <a:prstClr val="black">
                  <a:alpha val="50000"/>
                </a:prstClr>
              </a:innerShdw>
            </a:effectLst>
          </c:spPr>
          <c:explosion val="26"/>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w="9525" cap="flat" cmpd="sng" algn="ctr">
                <a:solidFill>
                  <a:schemeClr val="accent1">
                    <a:shade val="95000"/>
                    <a:satMod val="105000"/>
                  </a:schemeClr>
                </a:solidFill>
                <a:prstDash val="solid"/>
              </a:ln>
              <a:effectLst>
                <a:innerShdw blurRad="63500" dist="50800" dir="18900000">
                  <a:prstClr val="black">
                    <a:alpha val="50000"/>
                  </a:prstClr>
                </a:innerShdw>
              </a:effectLst>
            </c:spPr>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w="9525" cap="flat" cmpd="sng" algn="ctr">
                <a:solidFill>
                  <a:schemeClr val="accent2">
                    <a:shade val="95000"/>
                    <a:satMod val="105000"/>
                  </a:schemeClr>
                </a:solidFill>
                <a:prstDash val="solid"/>
              </a:ln>
              <a:effectLst>
                <a:innerShdw blurRad="63500" dist="50800" dir="18900000">
                  <a:prstClr val="black">
                    <a:alpha val="50000"/>
                  </a:prstClr>
                </a:innerShdw>
              </a:effectLst>
            </c:spPr>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w="9525" cap="flat" cmpd="sng" algn="ctr">
                <a:solidFill>
                  <a:schemeClr val="accent3">
                    <a:shade val="95000"/>
                    <a:satMod val="105000"/>
                  </a:schemeClr>
                </a:solidFill>
                <a:prstDash val="solid"/>
              </a:ln>
              <a:effectLst>
                <a:innerShdw blurRad="63500" dist="50800" dir="18900000">
                  <a:prstClr val="black">
                    <a:alpha val="50000"/>
                  </a:prstClr>
                </a:innerShdw>
              </a:effectLst>
            </c:spPr>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w="9525" cap="flat" cmpd="sng" algn="ctr">
                <a:solidFill>
                  <a:schemeClr val="accent4">
                    <a:shade val="95000"/>
                    <a:satMod val="105000"/>
                  </a:schemeClr>
                </a:solidFill>
                <a:prstDash val="solid"/>
              </a:ln>
              <a:effectLst>
                <a:innerShdw blurRad="63500" dist="50800" dir="18900000">
                  <a:prstClr val="black">
                    <a:alpha val="50000"/>
                  </a:prstClr>
                </a:innerShdw>
              </a:effectLst>
            </c:spPr>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'отчисл по филиалам'!$W$2:$Z$2</c:f>
              <c:strCache>
                <c:ptCount val="4"/>
                <c:pt idx="0">
                  <c:v>бюджетных за академическую неуспеваемость</c:v>
                </c:pt>
                <c:pt idx="1">
                  <c:v>коммерческих за академическую неуспеваемость</c:v>
                </c:pt>
                <c:pt idx="2">
                  <c:v>бюджетных по другим причинам</c:v>
                </c:pt>
                <c:pt idx="3">
                  <c:v>коммерческих по другим причинам</c:v>
                </c:pt>
              </c:strCache>
            </c:strRef>
          </c:cat>
          <c:val>
            <c:numRef>
              <c:f>'отчисл по филиалам'!$W$12:$Z$12</c:f>
              <c:numCache>
                <c:formatCode>General</c:formatCode>
                <c:ptCount val="4"/>
                <c:pt idx="0">
                  <c:v>221</c:v>
                </c:pt>
                <c:pt idx="1">
                  <c:v>33</c:v>
                </c:pt>
                <c:pt idx="2">
                  <c:v>253</c:v>
                </c:pt>
                <c:pt idx="3">
                  <c:v>43</c:v>
                </c:pt>
              </c:numCache>
            </c:numRef>
          </c:val>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49778811356445779"/>
          <c:y val="0.21414307640610739"/>
          <c:w val="0.48509043111184208"/>
          <c:h val="0.688899544996322"/>
        </c:manualLayout>
      </c:layout>
      <c:overlay val="0"/>
      <c:txPr>
        <a:bodyPr/>
        <a:lstStyle/>
        <a:p>
          <a:pPr>
            <a:defRPr sz="1200"/>
          </a:pPr>
          <a:endParaRPr lang="ru-RU"/>
        </a:p>
      </c:txPr>
    </c:legend>
    <c:plotVisOnly val="1"/>
    <c:dispBlanksAs val="zero"/>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a:lstStyle/>
          <a:p>
            <a:pPr>
              <a:defRPr sz="1200"/>
            </a:pPr>
            <a:r>
              <a:rPr lang="ru-RU" sz="1200"/>
              <a:t>Доли отчисленных</a:t>
            </a:r>
            <a:r>
              <a:rPr lang="ru-RU" sz="1200" baseline="0"/>
              <a:t> студентов по уровням образования в целом по НИУ ВШЭ</a:t>
            </a:r>
            <a:endParaRPr lang="ru-RU" sz="1200"/>
          </a:p>
        </c:rich>
      </c:tx>
      <c:overlay val="0"/>
    </c:title>
    <c:autoTitleDeleted val="0"/>
    <c:plotArea>
      <c:layout/>
      <c:barChart>
        <c:barDir val="col"/>
        <c:grouping val="clustered"/>
        <c:varyColors val="0"/>
        <c:ser>
          <c:idx val="0"/>
          <c:order val="0"/>
          <c:spPr>
            <a:ln>
              <a:noFill/>
            </a:ln>
            <a:effectLst>
              <a:outerShdw blurRad="50800" dist="38100" dir="18900000" algn="bl" rotWithShape="0">
                <a:prstClr val="black">
                  <a:alpha val="40000"/>
                </a:prstClr>
              </a:outerShdw>
            </a:effectLst>
          </c:spPr>
          <c:invertIfNegative val="0"/>
          <c:dPt>
            <c:idx val="0"/>
            <c:invertIfNegative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w="9525" cap="flat" cmpd="sng" algn="ctr">
                <a:noFill/>
                <a:prstDash val="solid"/>
              </a:ln>
              <a:effectLst>
                <a:outerShdw blurRad="50800" dist="38100" dir="18900000" algn="bl" rotWithShape="0">
                  <a:prstClr val="black">
                    <a:alpha val="40000"/>
                  </a:prstClr>
                </a:outerShdw>
              </a:effectLst>
            </c:spPr>
          </c:dPt>
          <c:dPt>
            <c:idx val="1"/>
            <c:invertIfNegative val="0"/>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w="9525" cap="flat" cmpd="sng" algn="ctr">
                <a:noFill/>
                <a:prstDash val="solid"/>
              </a:ln>
              <a:effectLst>
                <a:outerShdw blurRad="50800" dist="38100" dir="18900000" algn="bl" rotWithShape="0">
                  <a:prstClr val="black">
                    <a:alpha val="40000"/>
                  </a:prstClr>
                </a:outerShdw>
              </a:effectLst>
            </c:spPr>
          </c:dPt>
          <c:dPt>
            <c:idx val="2"/>
            <c:invertIfNegative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w="9525" cap="flat" cmpd="sng" algn="ctr">
                <a:noFill/>
                <a:prstDash val="solid"/>
              </a:ln>
              <a:effectLst>
                <a:outerShdw blurRad="50800" dist="38100" dir="18900000" algn="bl" rotWithShape="0">
                  <a:prstClr val="black">
                    <a:alpha val="40000"/>
                  </a:prstClr>
                </a:outerShdw>
              </a:effectLst>
            </c:spPr>
          </c:dPt>
          <c:dPt>
            <c:idx val="3"/>
            <c:invertIfNegative val="0"/>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w="9525" cap="flat" cmpd="sng" algn="ctr">
                <a:noFill/>
                <a:prstDash val="solid"/>
              </a:ln>
              <a:effectLst>
                <a:outerShdw blurRad="50800" dist="38100" dir="18900000" algn="bl" rotWithShape="0">
                  <a:prstClr val="black">
                    <a:alpha val="40000"/>
                  </a:prstClr>
                </a:outerShdw>
              </a:effectLst>
            </c:spPr>
          </c:dPt>
          <c:dPt>
            <c:idx val="4"/>
            <c:invertIfNegative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w="9525" cap="flat" cmpd="sng" algn="ctr">
                <a:noFill/>
                <a:prstDash val="solid"/>
              </a:ln>
              <a:effectLst>
                <a:outerShdw blurRad="50800" dist="38100" dir="18900000" algn="bl" rotWithShape="0">
                  <a:prstClr val="black">
                    <a:alpha val="40000"/>
                  </a:prstClr>
                </a:outerShdw>
              </a:effectLst>
            </c:spPr>
          </c:dPt>
          <c:dPt>
            <c:idx val="5"/>
            <c:invertIfNegative val="0"/>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w="9525" cap="flat" cmpd="sng" algn="ctr">
                <a:noFill/>
                <a:prstDash val="solid"/>
              </a:ln>
              <a:effectLst>
                <a:outerShdw blurRad="50800" dist="38100" dir="18900000" algn="bl" rotWithShape="0">
                  <a:prstClr val="black">
                    <a:alpha val="40000"/>
                  </a:prstClr>
                </a:outerShdw>
              </a:effectLst>
            </c:spPr>
          </c:dPt>
          <c:dPt>
            <c:idx val="6"/>
            <c:invertIfNegative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w="9525" cap="flat" cmpd="sng" algn="ctr">
                <a:noFill/>
                <a:prstDash val="solid"/>
              </a:ln>
              <a:effectLst>
                <a:outerShdw blurRad="50800" dist="38100" dir="18900000" algn="bl" rotWithShape="0">
                  <a:prstClr val="black">
                    <a:alpha val="40000"/>
                  </a:prstClr>
                </a:outerShdw>
              </a:effectLst>
            </c:spPr>
          </c:dPt>
          <c:dPt>
            <c:idx val="7"/>
            <c:invertIfNegative val="0"/>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w="9525" cap="flat" cmpd="sng" algn="ctr">
                <a:noFill/>
                <a:prstDash val="solid"/>
              </a:ln>
              <a:effectLst>
                <a:outerShdw blurRad="50800" dist="38100" dir="18900000" algn="bl" rotWithShape="0">
                  <a:prstClr val="black">
                    <a:alpha val="40000"/>
                  </a:prstClr>
                </a:outerShdw>
              </a:effectLst>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'отчисл по филиалам'!$A$3:$B$10</c:f>
              <c:multiLvlStrCache>
                <c:ptCount val="8"/>
                <c:lvl>
                  <c:pt idx="0">
                    <c:v>бакалавриат</c:v>
                  </c:pt>
                  <c:pt idx="1">
                    <c:v>магистратура</c:v>
                  </c:pt>
                  <c:pt idx="2">
                    <c:v>бакалавриат</c:v>
                  </c:pt>
                  <c:pt idx="3">
                    <c:v>магистратура</c:v>
                  </c:pt>
                  <c:pt idx="4">
                    <c:v>бакалавриат</c:v>
                  </c:pt>
                  <c:pt idx="5">
                    <c:v>магистратура</c:v>
                  </c:pt>
                  <c:pt idx="6">
                    <c:v>бакалавриат</c:v>
                  </c:pt>
                  <c:pt idx="7">
                    <c:v>магистратура</c:v>
                  </c:pt>
                </c:lvl>
                <c:lvl>
                  <c:pt idx="0">
                    <c:v>Москва</c:v>
                  </c:pt>
                  <c:pt idx="2">
                    <c:v>СПб</c:v>
                  </c:pt>
                  <c:pt idx="4">
                    <c:v>НН</c:v>
                  </c:pt>
                  <c:pt idx="6">
                    <c:v>Пермь</c:v>
                  </c:pt>
                </c:lvl>
              </c:multiLvlStrCache>
            </c:multiLvlStrRef>
          </c:cat>
          <c:val>
            <c:numRef>
              <c:f>'отчисл по филиалам'!$E$3:$E$10</c:f>
              <c:numCache>
                <c:formatCode>0%</c:formatCode>
                <c:ptCount val="8"/>
                <c:pt idx="0">
                  <c:v>9.9502045171617509E-2</c:v>
                </c:pt>
                <c:pt idx="1">
                  <c:v>0.15252490553074499</c:v>
                </c:pt>
                <c:pt idx="2">
                  <c:v>0.13850931677018599</c:v>
                </c:pt>
                <c:pt idx="3">
                  <c:v>0.21076233183856563</c:v>
                </c:pt>
                <c:pt idx="4">
                  <c:v>6.1619718309859045E-2</c:v>
                </c:pt>
                <c:pt idx="5">
                  <c:v>7.80346820809249E-2</c:v>
                </c:pt>
                <c:pt idx="6">
                  <c:v>6.8508287292817702E-2</c:v>
                </c:pt>
                <c:pt idx="7">
                  <c:v>0.17877094972067001</c:v>
                </c:pt>
              </c:numCache>
            </c:numRef>
          </c:val>
        </c:ser>
        <c:dLbls>
          <c:showLegendKey val="0"/>
          <c:showVal val="0"/>
          <c:showCatName val="0"/>
          <c:showSerName val="0"/>
          <c:showPercent val="0"/>
          <c:showBubbleSize val="0"/>
        </c:dLbls>
        <c:gapWidth val="150"/>
        <c:axId val="447696896"/>
        <c:axId val="447698432"/>
      </c:barChart>
      <c:catAx>
        <c:axId val="447696896"/>
        <c:scaling>
          <c:orientation val="minMax"/>
        </c:scaling>
        <c:delete val="0"/>
        <c:axPos val="b"/>
        <c:numFmt formatCode="General" sourceLinked="1"/>
        <c:majorTickMark val="out"/>
        <c:minorTickMark val="none"/>
        <c:tickLblPos val="nextTo"/>
        <c:crossAx val="447698432"/>
        <c:crosses val="autoZero"/>
        <c:auto val="1"/>
        <c:lblAlgn val="ctr"/>
        <c:lblOffset val="100"/>
        <c:noMultiLvlLbl val="0"/>
      </c:catAx>
      <c:valAx>
        <c:axId val="447698432"/>
        <c:scaling>
          <c:orientation val="minMax"/>
        </c:scaling>
        <c:delete val="0"/>
        <c:axPos val="l"/>
        <c:majorGridlines/>
        <c:numFmt formatCode="0%" sourceLinked="1"/>
        <c:majorTickMark val="out"/>
        <c:minorTickMark val="none"/>
        <c:tickLblPos val="nextTo"/>
        <c:crossAx val="447696896"/>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Доля отчислений по курсам в целом по НИУ ВШЭ</a:t>
            </a:r>
          </a:p>
        </c:rich>
      </c:tx>
      <c:overlay val="0"/>
    </c:title>
    <c:autoTitleDeleted val="0"/>
    <c:plotArea>
      <c:layout/>
      <c:barChart>
        <c:barDir val="bar"/>
        <c:grouping val="clustered"/>
        <c:varyColors val="0"/>
        <c:ser>
          <c:idx val="0"/>
          <c:order val="0"/>
          <c:tx>
            <c:v>1 курс</c:v>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'отчисл по филиалам'!$A$3:$B$10</c:f>
              <c:multiLvlStrCache>
                <c:ptCount val="8"/>
                <c:lvl>
                  <c:pt idx="0">
                    <c:v>бакалавриат</c:v>
                  </c:pt>
                  <c:pt idx="1">
                    <c:v>магистратура</c:v>
                  </c:pt>
                  <c:pt idx="2">
                    <c:v>бакалавриат</c:v>
                  </c:pt>
                  <c:pt idx="3">
                    <c:v>магистратура</c:v>
                  </c:pt>
                  <c:pt idx="4">
                    <c:v>бакалавриат</c:v>
                  </c:pt>
                  <c:pt idx="5">
                    <c:v>магистратура</c:v>
                  </c:pt>
                  <c:pt idx="6">
                    <c:v>бакалавриат</c:v>
                  </c:pt>
                  <c:pt idx="7">
                    <c:v>магистратура</c:v>
                  </c:pt>
                </c:lvl>
                <c:lvl>
                  <c:pt idx="0">
                    <c:v>Москва</c:v>
                  </c:pt>
                  <c:pt idx="2">
                    <c:v>СПб</c:v>
                  </c:pt>
                  <c:pt idx="4">
                    <c:v>НН</c:v>
                  </c:pt>
                  <c:pt idx="6">
                    <c:v>Пермь</c:v>
                  </c:pt>
                </c:lvl>
              </c:multiLvlStrCache>
            </c:multiLvlStrRef>
          </c:cat>
          <c:val>
            <c:numRef>
              <c:f>'отчисл по филиалам'!$H$3:$H$10</c:f>
              <c:numCache>
                <c:formatCode>0%</c:formatCode>
                <c:ptCount val="8"/>
                <c:pt idx="0">
                  <c:v>0.135318873421819</c:v>
                </c:pt>
                <c:pt idx="1">
                  <c:v>0.16720257234726699</c:v>
                </c:pt>
                <c:pt idx="2">
                  <c:v>0.26012793176972332</c:v>
                </c:pt>
                <c:pt idx="3">
                  <c:v>0.26618705035971202</c:v>
                </c:pt>
                <c:pt idx="4">
                  <c:v>0.124087591240876</c:v>
                </c:pt>
                <c:pt idx="5">
                  <c:v>8.4745762711864972E-2</c:v>
                </c:pt>
                <c:pt idx="6">
                  <c:v>0.14285714285714363</c:v>
                </c:pt>
                <c:pt idx="7">
                  <c:v>0.22826086956521699</c:v>
                </c:pt>
              </c:numCache>
            </c:numRef>
          </c:val>
        </c:ser>
        <c:ser>
          <c:idx val="1"/>
          <c:order val="1"/>
          <c:tx>
            <c:v>2 курс</c:v>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'отчисл по филиалам'!$A$3:$B$10</c:f>
              <c:multiLvlStrCache>
                <c:ptCount val="8"/>
                <c:lvl>
                  <c:pt idx="0">
                    <c:v>бакалавриат</c:v>
                  </c:pt>
                  <c:pt idx="1">
                    <c:v>магистратура</c:v>
                  </c:pt>
                  <c:pt idx="2">
                    <c:v>бакалавриат</c:v>
                  </c:pt>
                  <c:pt idx="3">
                    <c:v>магистратура</c:v>
                  </c:pt>
                  <c:pt idx="4">
                    <c:v>бакалавриат</c:v>
                  </c:pt>
                  <c:pt idx="5">
                    <c:v>магистратура</c:v>
                  </c:pt>
                  <c:pt idx="6">
                    <c:v>бакалавриат</c:v>
                  </c:pt>
                  <c:pt idx="7">
                    <c:v>магистратура</c:v>
                  </c:pt>
                </c:lvl>
                <c:lvl>
                  <c:pt idx="0">
                    <c:v>Москва</c:v>
                  </c:pt>
                  <c:pt idx="2">
                    <c:v>СПб</c:v>
                  </c:pt>
                  <c:pt idx="4">
                    <c:v>НН</c:v>
                  </c:pt>
                  <c:pt idx="6">
                    <c:v>Пермь</c:v>
                  </c:pt>
                </c:lvl>
              </c:multiLvlStrCache>
            </c:multiLvlStrRef>
          </c:cat>
          <c:val>
            <c:numRef>
              <c:f>'отчисл по филиалам'!$K$3:$K$10</c:f>
              <c:numCache>
                <c:formatCode>0%</c:formatCode>
                <c:ptCount val="8"/>
                <c:pt idx="0">
                  <c:v>0.10735826296743102</c:v>
                </c:pt>
                <c:pt idx="1">
                  <c:v>0.13569321533923301</c:v>
                </c:pt>
                <c:pt idx="2">
                  <c:v>0.10930232558139499</c:v>
                </c:pt>
                <c:pt idx="3">
                  <c:v>0.11904761904761912</c:v>
                </c:pt>
                <c:pt idx="4">
                  <c:v>5.8823529411764698E-2</c:v>
                </c:pt>
                <c:pt idx="5">
                  <c:v>7.1005917159763413E-2</c:v>
                </c:pt>
                <c:pt idx="6">
                  <c:v>2.6548672566371806E-2</c:v>
                </c:pt>
                <c:pt idx="7">
                  <c:v>0.12643678160919539</c:v>
                </c:pt>
              </c:numCache>
            </c:numRef>
          </c:val>
        </c:ser>
        <c:ser>
          <c:idx val="2"/>
          <c:order val="2"/>
          <c:tx>
            <c:v>3 курс</c:v>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'отчисл по филиалам'!$A$3:$B$10</c:f>
              <c:multiLvlStrCache>
                <c:ptCount val="8"/>
                <c:lvl>
                  <c:pt idx="0">
                    <c:v>бакалавриат</c:v>
                  </c:pt>
                  <c:pt idx="1">
                    <c:v>магистратура</c:v>
                  </c:pt>
                  <c:pt idx="2">
                    <c:v>бакалавриат</c:v>
                  </c:pt>
                  <c:pt idx="3">
                    <c:v>магистратура</c:v>
                  </c:pt>
                  <c:pt idx="4">
                    <c:v>бакалавриат</c:v>
                  </c:pt>
                  <c:pt idx="5">
                    <c:v>магистратура</c:v>
                  </c:pt>
                  <c:pt idx="6">
                    <c:v>бакалавриат</c:v>
                  </c:pt>
                  <c:pt idx="7">
                    <c:v>магистратура</c:v>
                  </c:pt>
                </c:lvl>
                <c:lvl>
                  <c:pt idx="0">
                    <c:v>Москва</c:v>
                  </c:pt>
                  <c:pt idx="2">
                    <c:v>СПб</c:v>
                  </c:pt>
                  <c:pt idx="4">
                    <c:v>НН</c:v>
                  </c:pt>
                  <c:pt idx="6">
                    <c:v>Пермь</c:v>
                  </c:pt>
                </c:lvl>
              </c:multiLvlStrCache>
            </c:multiLvlStrRef>
          </c:cat>
          <c:val>
            <c:numRef>
              <c:f>'отчисл по филиалам'!$N$3:$N$10</c:f>
              <c:numCache>
                <c:formatCode>General</c:formatCode>
                <c:ptCount val="8"/>
                <c:pt idx="0" formatCode="0%">
                  <c:v>7.79796189632255E-2</c:v>
                </c:pt>
                <c:pt idx="2" formatCode="0%">
                  <c:v>3.7783375314861652E-2</c:v>
                </c:pt>
                <c:pt idx="4" formatCode="0%">
                  <c:v>4.2553191489361722E-2</c:v>
                </c:pt>
                <c:pt idx="6" formatCode="0%">
                  <c:v>4.3269230769230796E-2</c:v>
                </c:pt>
              </c:numCache>
            </c:numRef>
          </c:val>
        </c:ser>
        <c:ser>
          <c:idx val="3"/>
          <c:order val="3"/>
          <c:tx>
            <c:v>4 курс</c:v>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'отчисл по филиалам'!$A$3:$B$10</c:f>
              <c:multiLvlStrCache>
                <c:ptCount val="8"/>
                <c:lvl>
                  <c:pt idx="0">
                    <c:v>бакалавриат</c:v>
                  </c:pt>
                  <c:pt idx="1">
                    <c:v>магистратура</c:v>
                  </c:pt>
                  <c:pt idx="2">
                    <c:v>бакалавриат</c:v>
                  </c:pt>
                  <c:pt idx="3">
                    <c:v>магистратура</c:v>
                  </c:pt>
                  <c:pt idx="4">
                    <c:v>бакалавриат</c:v>
                  </c:pt>
                  <c:pt idx="5">
                    <c:v>магистратура</c:v>
                  </c:pt>
                  <c:pt idx="6">
                    <c:v>бакалавриат</c:v>
                  </c:pt>
                  <c:pt idx="7">
                    <c:v>магистратура</c:v>
                  </c:pt>
                </c:lvl>
                <c:lvl>
                  <c:pt idx="0">
                    <c:v>Москва</c:v>
                  </c:pt>
                  <c:pt idx="2">
                    <c:v>СПб</c:v>
                  </c:pt>
                  <c:pt idx="4">
                    <c:v>НН</c:v>
                  </c:pt>
                  <c:pt idx="6">
                    <c:v>Пермь</c:v>
                  </c:pt>
                </c:lvl>
              </c:multiLvlStrCache>
            </c:multiLvlStrRef>
          </c:cat>
          <c:val>
            <c:numRef>
              <c:f>'отчисл по филиалам'!$Q$3:$Q$10</c:f>
              <c:numCache>
                <c:formatCode>General</c:formatCode>
                <c:ptCount val="8"/>
                <c:pt idx="0" formatCode="0%">
                  <c:v>8.2916666666666708E-2</c:v>
                </c:pt>
                <c:pt idx="2" formatCode="0%">
                  <c:v>9.7276264591439704E-2</c:v>
                </c:pt>
                <c:pt idx="4" formatCode="0%">
                  <c:v>2.158273381294961E-2</c:v>
                </c:pt>
                <c:pt idx="6" formatCode="0%">
                  <c:v>3.6649214659686027E-2</c:v>
                </c:pt>
              </c:numCache>
            </c:numRef>
          </c:val>
        </c:ser>
        <c:ser>
          <c:idx val="4"/>
          <c:order val="4"/>
          <c:tx>
            <c:v>5 курс</c:v>
          </c:tx>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'отчисл по филиалам'!$A$3:$B$10</c:f>
              <c:multiLvlStrCache>
                <c:ptCount val="8"/>
                <c:lvl>
                  <c:pt idx="0">
                    <c:v>бакалавриат</c:v>
                  </c:pt>
                  <c:pt idx="1">
                    <c:v>магистратура</c:v>
                  </c:pt>
                  <c:pt idx="2">
                    <c:v>бакалавриат</c:v>
                  </c:pt>
                  <c:pt idx="3">
                    <c:v>магистратура</c:v>
                  </c:pt>
                  <c:pt idx="4">
                    <c:v>бакалавриат</c:v>
                  </c:pt>
                  <c:pt idx="5">
                    <c:v>магистратура</c:v>
                  </c:pt>
                  <c:pt idx="6">
                    <c:v>бакалавриат</c:v>
                  </c:pt>
                  <c:pt idx="7">
                    <c:v>магистратура</c:v>
                  </c:pt>
                </c:lvl>
                <c:lvl>
                  <c:pt idx="0">
                    <c:v>Москва</c:v>
                  </c:pt>
                  <c:pt idx="2">
                    <c:v>СПб</c:v>
                  </c:pt>
                  <c:pt idx="4">
                    <c:v>НН</c:v>
                  </c:pt>
                  <c:pt idx="6">
                    <c:v>Пермь</c:v>
                  </c:pt>
                </c:lvl>
              </c:multiLvlStrCache>
            </c:multiLvlStrRef>
          </c:cat>
          <c:val>
            <c:numRef>
              <c:f>'отчисл по филиалам'!$T$3:$T$10</c:f>
              <c:numCache>
                <c:formatCode>General</c:formatCode>
                <c:ptCount val="8"/>
                <c:pt idx="0" formatCode="0%">
                  <c:v>6.3034188034188018E-2</c:v>
                </c:pt>
                <c:pt idx="2" formatCode="0%">
                  <c:v>0.17073170731707299</c:v>
                </c:pt>
                <c:pt idx="4" formatCode="0%">
                  <c:v>4.1237113402061876E-2</c:v>
                </c:pt>
              </c:numCache>
            </c:numRef>
          </c:val>
        </c:ser>
        <c:dLbls>
          <c:showLegendKey val="0"/>
          <c:showVal val="0"/>
          <c:showCatName val="0"/>
          <c:showSerName val="0"/>
          <c:showPercent val="0"/>
          <c:showBubbleSize val="0"/>
        </c:dLbls>
        <c:gapWidth val="108"/>
        <c:axId val="447998208"/>
        <c:axId val="448167936"/>
      </c:barChart>
      <c:catAx>
        <c:axId val="447998208"/>
        <c:scaling>
          <c:orientation val="minMax"/>
        </c:scaling>
        <c:delete val="0"/>
        <c:axPos val="l"/>
        <c:numFmt formatCode="General" sourceLinked="1"/>
        <c:majorTickMark val="out"/>
        <c:minorTickMark val="none"/>
        <c:tickLblPos val="nextTo"/>
        <c:crossAx val="448167936"/>
        <c:crosses val="autoZero"/>
        <c:auto val="1"/>
        <c:lblAlgn val="ctr"/>
        <c:lblOffset val="100"/>
        <c:noMultiLvlLbl val="0"/>
      </c:catAx>
      <c:valAx>
        <c:axId val="448167936"/>
        <c:scaling>
          <c:orientation val="minMax"/>
        </c:scaling>
        <c:delete val="0"/>
        <c:axPos val="b"/>
        <c:majorGridlines/>
        <c:numFmt formatCode="0%" sourceLinked="1"/>
        <c:majorTickMark val="out"/>
        <c:minorTickMark val="none"/>
        <c:tickLblPos val="nextTo"/>
        <c:crossAx val="447998208"/>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Соотношение </a:t>
            </a:r>
            <a:r>
              <a:rPr lang="ru-RU" sz="1200" baseline="0"/>
              <a:t>отчисленных по причине отчисления и признаку бюджет/коммерция в целом по НИУ ВШЭ</a:t>
            </a:r>
            <a:endParaRPr lang="ru-RU" sz="1200"/>
          </a:p>
        </c:rich>
      </c:tx>
      <c:overlay val="0"/>
    </c:title>
    <c:autoTitleDeleted val="0"/>
    <c:plotArea>
      <c:layout>
        <c:manualLayout>
          <c:layoutTarget val="inner"/>
          <c:xMode val="edge"/>
          <c:yMode val="edge"/>
          <c:x val="0.34479978464230399"/>
          <c:y val="7.6411352889505998E-2"/>
          <c:w val="0.61935897435897702"/>
          <c:h val="0.5052232591296445"/>
        </c:manualLayout>
      </c:layout>
      <c:barChart>
        <c:barDir val="bar"/>
        <c:grouping val="stacked"/>
        <c:varyColors val="0"/>
        <c:ser>
          <c:idx val="0"/>
          <c:order val="0"/>
          <c:tx>
            <c:v>бюджетных за академическую неуспеваемость</c:v>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cat>
            <c:multiLvlStrRef>
              <c:f>'отчисл по филиалам'!$A$3:$B$12</c:f>
              <c:multiLvlStrCache>
                <c:ptCount val="10"/>
                <c:lvl>
                  <c:pt idx="0">
                    <c:v>бакалавриат</c:v>
                  </c:pt>
                  <c:pt idx="1">
                    <c:v>магистратура</c:v>
                  </c:pt>
                  <c:pt idx="2">
                    <c:v>бакалавриат</c:v>
                  </c:pt>
                  <c:pt idx="3">
                    <c:v>магистратура</c:v>
                  </c:pt>
                  <c:pt idx="4">
                    <c:v>бакалавриат</c:v>
                  </c:pt>
                  <c:pt idx="5">
                    <c:v>магистратура</c:v>
                  </c:pt>
                  <c:pt idx="6">
                    <c:v>бакалавриат</c:v>
                  </c:pt>
                  <c:pt idx="7">
                    <c:v>магистратура</c:v>
                  </c:pt>
                  <c:pt idx="8">
                    <c:v>бакалавриат</c:v>
                  </c:pt>
                  <c:pt idx="9">
                    <c:v>магистратура</c:v>
                  </c:pt>
                </c:lvl>
                <c:lvl>
                  <c:pt idx="0">
                    <c:v>Москва</c:v>
                  </c:pt>
                  <c:pt idx="2">
                    <c:v>СПб</c:v>
                  </c:pt>
                  <c:pt idx="4">
                    <c:v>НН</c:v>
                  </c:pt>
                  <c:pt idx="6">
                    <c:v>Пермь</c:v>
                  </c:pt>
                  <c:pt idx="8">
                    <c:v>Всего</c:v>
                  </c:pt>
                </c:lvl>
              </c:multiLvlStrCache>
            </c:multiLvlStrRef>
          </c:cat>
          <c:val>
            <c:numRef>
              <c:f>'отчисл по филиалам'!$W$3:$W$12</c:f>
              <c:numCache>
                <c:formatCode>General</c:formatCode>
                <c:ptCount val="10"/>
                <c:pt idx="0">
                  <c:v>213</c:v>
                </c:pt>
                <c:pt idx="1">
                  <c:v>185</c:v>
                </c:pt>
                <c:pt idx="2">
                  <c:v>46</c:v>
                </c:pt>
                <c:pt idx="3">
                  <c:v>16</c:v>
                </c:pt>
                <c:pt idx="4">
                  <c:v>28</c:v>
                </c:pt>
                <c:pt idx="5">
                  <c:v>15</c:v>
                </c:pt>
                <c:pt idx="6">
                  <c:v>22</c:v>
                </c:pt>
                <c:pt idx="7">
                  <c:v>5</c:v>
                </c:pt>
                <c:pt idx="8">
                  <c:v>309</c:v>
                </c:pt>
                <c:pt idx="9">
                  <c:v>221</c:v>
                </c:pt>
              </c:numCache>
            </c:numRef>
          </c:val>
        </c:ser>
        <c:ser>
          <c:idx val="1"/>
          <c:order val="1"/>
          <c:tx>
            <c:v>коммерческих за академическую неуспеваемость</c:v>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invertIfNegative val="0"/>
          <c:cat>
            <c:multiLvlStrRef>
              <c:f>'отчисл по филиалам'!$A$3:$B$12</c:f>
              <c:multiLvlStrCache>
                <c:ptCount val="10"/>
                <c:lvl>
                  <c:pt idx="0">
                    <c:v>бакалавриат</c:v>
                  </c:pt>
                  <c:pt idx="1">
                    <c:v>магистратура</c:v>
                  </c:pt>
                  <c:pt idx="2">
                    <c:v>бакалавриат</c:v>
                  </c:pt>
                  <c:pt idx="3">
                    <c:v>магистратура</c:v>
                  </c:pt>
                  <c:pt idx="4">
                    <c:v>бакалавриат</c:v>
                  </c:pt>
                  <c:pt idx="5">
                    <c:v>магистратура</c:v>
                  </c:pt>
                  <c:pt idx="6">
                    <c:v>бакалавриат</c:v>
                  </c:pt>
                  <c:pt idx="7">
                    <c:v>магистратура</c:v>
                  </c:pt>
                  <c:pt idx="8">
                    <c:v>бакалавриат</c:v>
                  </c:pt>
                  <c:pt idx="9">
                    <c:v>магистратура</c:v>
                  </c:pt>
                </c:lvl>
                <c:lvl>
                  <c:pt idx="0">
                    <c:v>Москва</c:v>
                  </c:pt>
                  <c:pt idx="2">
                    <c:v>СПб</c:v>
                  </c:pt>
                  <c:pt idx="4">
                    <c:v>НН</c:v>
                  </c:pt>
                  <c:pt idx="6">
                    <c:v>Пермь</c:v>
                  </c:pt>
                  <c:pt idx="8">
                    <c:v>Всего</c:v>
                  </c:pt>
                </c:lvl>
              </c:multiLvlStrCache>
            </c:multiLvlStrRef>
          </c:cat>
          <c:val>
            <c:numRef>
              <c:f>'отчисл по филиалам'!$X$3:$X$12</c:f>
              <c:numCache>
                <c:formatCode>General</c:formatCode>
                <c:ptCount val="10"/>
                <c:pt idx="0">
                  <c:v>318</c:v>
                </c:pt>
                <c:pt idx="1">
                  <c:v>31</c:v>
                </c:pt>
                <c:pt idx="2">
                  <c:v>31</c:v>
                </c:pt>
                <c:pt idx="3">
                  <c:v>0</c:v>
                </c:pt>
                <c:pt idx="4">
                  <c:v>32</c:v>
                </c:pt>
                <c:pt idx="5">
                  <c:v>0</c:v>
                </c:pt>
                <c:pt idx="6">
                  <c:v>16</c:v>
                </c:pt>
                <c:pt idx="7">
                  <c:v>2</c:v>
                </c:pt>
                <c:pt idx="8">
                  <c:v>397</c:v>
                </c:pt>
                <c:pt idx="9">
                  <c:v>33</c:v>
                </c:pt>
              </c:numCache>
            </c:numRef>
          </c:val>
        </c:ser>
        <c:ser>
          <c:idx val="2"/>
          <c:order val="2"/>
          <c:tx>
            <c:v>бюджетных по другим причинам</c:v>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cat>
            <c:multiLvlStrRef>
              <c:f>'отчисл по филиалам'!$A$3:$B$12</c:f>
              <c:multiLvlStrCache>
                <c:ptCount val="10"/>
                <c:lvl>
                  <c:pt idx="0">
                    <c:v>бакалавриат</c:v>
                  </c:pt>
                  <c:pt idx="1">
                    <c:v>магистратура</c:v>
                  </c:pt>
                  <c:pt idx="2">
                    <c:v>бакалавриат</c:v>
                  </c:pt>
                  <c:pt idx="3">
                    <c:v>магистратура</c:v>
                  </c:pt>
                  <c:pt idx="4">
                    <c:v>бакалавриат</c:v>
                  </c:pt>
                  <c:pt idx="5">
                    <c:v>магистратура</c:v>
                  </c:pt>
                  <c:pt idx="6">
                    <c:v>бакалавриат</c:v>
                  </c:pt>
                  <c:pt idx="7">
                    <c:v>магистратура</c:v>
                  </c:pt>
                  <c:pt idx="8">
                    <c:v>бакалавриат</c:v>
                  </c:pt>
                  <c:pt idx="9">
                    <c:v>магистратура</c:v>
                  </c:pt>
                </c:lvl>
                <c:lvl>
                  <c:pt idx="0">
                    <c:v>Москва</c:v>
                  </c:pt>
                  <c:pt idx="2">
                    <c:v>СПб</c:v>
                  </c:pt>
                  <c:pt idx="4">
                    <c:v>НН</c:v>
                  </c:pt>
                  <c:pt idx="6">
                    <c:v>Пермь</c:v>
                  </c:pt>
                  <c:pt idx="8">
                    <c:v>Всего</c:v>
                  </c:pt>
                </c:lvl>
              </c:multiLvlStrCache>
            </c:multiLvlStrRef>
          </c:cat>
          <c:val>
            <c:numRef>
              <c:f>'отчисл по филиалам'!$Y$3:$Y$12</c:f>
              <c:numCache>
                <c:formatCode>General</c:formatCode>
                <c:ptCount val="10"/>
                <c:pt idx="0">
                  <c:v>224</c:v>
                </c:pt>
                <c:pt idx="1">
                  <c:v>189</c:v>
                </c:pt>
                <c:pt idx="2">
                  <c:v>104</c:v>
                </c:pt>
                <c:pt idx="3">
                  <c:v>31</c:v>
                </c:pt>
                <c:pt idx="4">
                  <c:v>27</c:v>
                </c:pt>
                <c:pt idx="5">
                  <c:v>12</c:v>
                </c:pt>
                <c:pt idx="6">
                  <c:v>13</c:v>
                </c:pt>
                <c:pt idx="7">
                  <c:v>21</c:v>
                </c:pt>
                <c:pt idx="8">
                  <c:v>368</c:v>
                </c:pt>
                <c:pt idx="9">
                  <c:v>253</c:v>
                </c:pt>
              </c:numCache>
            </c:numRef>
          </c:val>
        </c:ser>
        <c:ser>
          <c:idx val="3"/>
          <c:order val="3"/>
          <c:tx>
            <c:v>коммерческих по другим причинам</c:v>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invertIfNegative val="0"/>
          <c:cat>
            <c:multiLvlStrRef>
              <c:f>'отчисл по филиалам'!$A$3:$B$12</c:f>
              <c:multiLvlStrCache>
                <c:ptCount val="10"/>
                <c:lvl>
                  <c:pt idx="0">
                    <c:v>бакалавриат</c:v>
                  </c:pt>
                  <c:pt idx="1">
                    <c:v>магистратура</c:v>
                  </c:pt>
                  <c:pt idx="2">
                    <c:v>бакалавриат</c:v>
                  </c:pt>
                  <c:pt idx="3">
                    <c:v>магистратура</c:v>
                  </c:pt>
                  <c:pt idx="4">
                    <c:v>бакалавриат</c:v>
                  </c:pt>
                  <c:pt idx="5">
                    <c:v>магистратура</c:v>
                  </c:pt>
                  <c:pt idx="6">
                    <c:v>бакалавриат</c:v>
                  </c:pt>
                  <c:pt idx="7">
                    <c:v>магистратура</c:v>
                  </c:pt>
                  <c:pt idx="8">
                    <c:v>бакалавриат</c:v>
                  </c:pt>
                  <c:pt idx="9">
                    <c:v>магистратура</c:v>
                  </c:pt>
                </c:lvl>
                <c:lvl>
                  <c:pt idx="0">
                    <c:v>Москва</c:v>
                  </c:pt>
                  <c:pt idx="2">
                    <c:v>СПб</c:v>
                  </c:pt>
                  <c:pt idx="4">
                    <c:v>НН</c:v>
                  </c:pt>
                  <c:pt idx="6">
                    <c:v>Пермь</c:v>
                  </c:pt>
                  <c:pt idx="8">
                    <c:v>Всего</c:v>
                  </c:pt>
                </c:lvl>
              </c:multiLvlStrCache>
            </c:multiLvlStrRef>
          </c:cat>
          <c:val>
            <c:numRef>
              <c:f>'отчисл по филиалам'!$Z$3:$Z$12</c:f>
              <c:numCache>
                <c:formatCode>General</c:formatCode>
                <c:ptCount val="10"/>
                <c:pt idx="0">
                  <c:v>364</c:v>
                </c:pt>
                <c:pt idx="1">
                  <c:v>39</c:v>
                </c:pt>
                <c:pt idx="2">
                  <c:v>42</c:v>
                </c:pt>
                <c:pt idx="3">
                  <c:v>0</c:v>
                </c:pt>
                <c:pt idx="4">
                  <c:v>18</c:v>
                </c:pt>
                <c:pt idx="5">
                  <c:v>0</c:v>
                </c:pt>
                <c:pt idx="6">
                  <c:v>11</c:v>
                </c:pt>
                <c:pt idx="7">
                  <c:v>4</c:v>
                </c:pt>
                <c:pt idx="8">
                  <c:v>435</c:v>
                </c:pt>
                <c:pt idx="9">
                  <c:v>43</c:v>
                </c:pt>
              </c:numCache>
            </c:numRef>
          </c:val>
        </c:ser>
        <c:dLbls>
          <c:showLegendKey val="0"/>
          <c:showVal val="0"/>
          <c:showCatName val="0"/>
          <c:showSerName val="0"/>
          <c:showPercent val="0"/>
          <c:showBubbleSize val="0"/>
        </c:dLbls>
        <c:gapWidth val="95"/>
        <c:overlap val="100"/>
        <c:axId val="448211200"/>
        <c:axId val="448212992"/>
      </c:barChart>
      <c:catAx>
        <c:axId val="448211200"/>
        <c:scaling>
          <c:orientation val="minMax"/>
        </c:scaling>
        <c:delete val="0"/>
        <c:axPos val="l"/>
        <c:numFmt formatCode="General" sourceLinked="1"/>
        <c:majorTickMark val="none"/>
        <c:minorTickMark val="none"/>
        <c:tickLblPos val="nextTo"/>
        <c:crossAx val="448212992"/>
        <c:crosses val="autoZero"/>
        <c:auto val="1"/>
        <c:lblAlgn val="ctr"/>
        <c:lblOffset val="100"/>
        <c:noMultiLvlLbl val="0"/>
      </c:catAx>
      <c:valAx>
        <c:axId val="448212992"/>
        <c:scaling>
          <c:orientation val="minMax"/>
        </c:scaling>
        <c:delete val="0"/>
        <c:axPos val="b"/>
        <c:majorGridlines/>
        <c:numFmt formatCode="General" sourceLinked="1"/>
        <c:majorTickMark val="none"/>
        <c:minorTickMark val="none"/>
        <c:tickLblPos val="nextTo"/>
        <c:crossAx val="4482112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b="1" i="0" u="none" strike="noStrike" baseline="0">
                <a:solidFill>
                  <a:srgbClr val="000000"/>
                </a:solidFill>
                <a:latin typeface="Calibri"/>
                <a:ea typeface="Calibri"/>
                <a:cs typeface="Calibri"/>
              </a:defRPr>
            </a:pPr>
            <a:r>
              <a:rPr lang="ru-RU" sz="1200"/>
              <a:t>Доля отчисленных</a:t>
            </a:r>
            <a:r>
              <a:rPr lang="ru-RU" sz="1200" baseline="0"/>
              <a:t> бакалавров и специалистов </a:t>
            </a:r>
            <a:r>
              <a:rPr lang="ru-RU" sz="1200"/>
              <a:t>по разным основаниям от общего контингента студентов на 1 октября 2012 года в процентах</a:t>
            </a:r>
          </a:p>
        </c:rich>
      </c:tx>
      <c:layout>
        <c:manualLayout>
          <c:xMode val="edge"/>
          <c:yMode val="edge"/>
          <c:x val="0.12930258113870988"/>
          <c:y val="2.8070175438596585E-2"/>
        </c:manualLayout>
      </c:layout>
      <c:overlay val="0"/>
      <c:spPr>
        <a:noFill/>
        <a:ln w="25400">
          <a:noFill/>
        </a:ln>
      </c:spPr>
    </c:title>
    <c:autoTitleDeleted val="0"/>
    <c:plotArea>
      <c:layout/>
      <c:barChart>
        <c:barDir val="bar"/>
        <c:grouping val="stacked"/>
        <c:varyColors val="0"/>
        <c:ser>
          <c:idx val="0"/>
          <c:order val="0"/>
          <c:tx>
            <c:v>Доля отчисленных от контингента на 1 октяря 2013 года</c:v>
          </c:tx>
          <c:spPr>
            <a:gradFill rotWithShape="0">
              <a:gsLst>
                <a:gs pos="0">
                  <a:srgbClr val="9BC1FF"/>
                </a:gs>
                <a:gs pos="100000">
                  <a:srgbClr val="3F80CD"/>
                </a:gs>
              </a:gsLst>
              <a:lin ang="5400000"/>
            </a:gradFill>
            <a:ln w="25400">
              <a:noFill/>
            </a:ln>
            <a:effectLst>
              <a:outerShdw dist="35921" dir="2700000" algn="br">
                <a:srgbClr val="000000"/>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сем 12_13 всего отчислены бак'!$A$3:$A$30</c:f>
              <c:strCache>
                <c:ptCount val="28"/>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pt idx="27">
                  <c:v>ИТОГО</c:v>
                </c:pt>
              </c:strCache>
            </c:strRef>
          </c:cat>
          <c:val>
            <c:numRef>
              <c:f>'1 сем 12_13 всего отчислены бак'!$AL$3:$AL$30</c:f>
              <c:numCache>
                <c:formatCode>0.00%</c:formatCode>
                <c:ptCount val="28"/>
                <c:pt idx="0">
                  <c:v>1.6541353383458721E-2</c:v>
                </c:pt>
                <c:pt idx="1">
                  <c:v>4.5197740112994399E-2</c:v>
                </c:pt>
                <c:pt idx="2">
                  <c:v>0.125</c:v>
                </c:pt>
                <c:pt idx="3">
                  <c:v>4.5267489711934214E-2</c:v>
                </c:pt>
                <c:pt idx="4">
                  <c:v>1.478743068391874E-2</c:v>
                </c:pt>
                <c:pt idx="5">
                  <c:v>2.6845637583892835E-2</c:v>
                </c:pt>
                <c:pt idx="6">
                  <c:v>1.6736401673640201E-2</c:v>
                </c:pt>
                <c:pt idx="7">
                  <c:v>2.3121387283237E-2</c:v>
                </c:pt>
                <c:pt idx="8">
                  <c:v>3.2490974729242013E-2</c:v>
                </c:pt>
                <c:pt idx="9">
                  <c:v>2.3383768913342502E-2</c:v>
                </c:pt>
                <c:pt idx="10">
                  <c:v>3.734439834024901E-2</c:v>
                </c:pt>
                <c:pt idx="11">
                  <c:v>3.2967032967033016E-2</c:v>
                </c:pt>
                <c:pt idx="12">
                  <c:v>3.8674033149171311E-2</c:v>
                </c:pt>
                <c:pt idx="13">
                  <c:v>2.5581395348837199E-2</c:v>
                </c:pt>
                <c:pt idx="14">
                  <c:v>2.0547945205479635E-2</c:v>
                </c:pt>
                <c:pt idx="15">
                  <c:v>3.2786885245901599E-2</c:v>
                </c:pt>
                <c:pt idx="16">
                  <c:v>9.0090090090090669E-2</c:v>
                </c:pt>
                <c:pt idx="17">
                  <c:v>0.13017751479289888</c:v>
                </c:pt>
                <c:pt idx="18">
                  <c:v>4.91803278688525E-2</c:v>
                </c:pt>
                <c:pt idx="19">
                  <c:v>4.40251572327044E-2</c:v>
                </c:pt>
                <c:pt idx="20">
                  <c:v>4.2338709677419401E-2</c:v>
                </c:pt>
                <c:pt idx="21">
                  <c:v>8.5470085470085496E-3</c:v>
                </c:pt>
                <c:pt idx="22">
                  <c:v>4.3103448275861947E-2</c:v>
                </c:pt>
                <c:pt idx="23">
                  <c:v>1.6611295681063103E-2</c:v>
                </c:pt>
                <c:pt idx="24">
                  <c:v>0.10659898477157426</c:v>
                </c:pt>
                <c:pt idx="25">
                  <c:v>6.6820276497695896E-2</c:v>
                </c:pt>
                <c:pt idx="26">
                  <c:v>7.9268292682926914E-2</c:v>
                </c:pt>
                <c:pt idx="27">
                  <c:v>4.2536669542709446E-2</c:v>
                </c:pt>
              </c:numCache>
            </c:numRef>
          </c:val>
        </c:ser>
        <c:dLbls>
          <c:showLegendKey val="0"/>
          <c:showVal val="0"/>
          <c:showCatName val="0"/>
          <c:showSerName val="0"/>
          <c:showPercent val="0"/>
          <c:showBubbleSize val="0"/>
        </c:dLbls>
        <c:gapWidth val="150"/>
        <c:overlap val="100"/>
        <c:axId val="448530304"/>
        <c:axId val="448531840"/>
      </c:barChart>
      <c:catAx>
        <c:axId val="448530304"/>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448531840"/>
        <c:crosses val="autoZero"/>
        <c:auto val="1"/>
        <c:lblAlgn val="ctr"/>
        <c:lblOffset val="100"/>
        <c:noMultiLvlLbl val="0"/>
      </c:catAx>
      <c:valAx>
        <c:axId val="448531840"/>
        <c:scaling>
          <c:orientation val="minMax"/>
        </c:scaling>
        <c:delete val="0"/>
        <c:axPos val="b"/>
        <c:majorGridlines>
          <c:spPr>
            <a:ln w="3175">
              <a:solidFill>
                <a:srgbClr val="808080"/>
              </a:solidFill>
              <a:prstDash val="solid"/>
            </a:ln>
          </c:spPr>
        </c:majorGridlines>
        <c:numFmt formatCode="0%"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448530304"/>
        <c:crosses val="autoZero"/>
        <c:crossBetween val="between"/>
      </c:valAx>
      <c:spPr>
        <a:solidFill>
          <a:srgbClr val="FFFFFF"/>
        </a:solidFill>
        <a:ln w="25400">
          <a:noFill/>
        </a:ln>
      </c:spPr>
    </c:plotArea>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b="1" i="0" u="none" strike="noStrike" baseline="0">
                <a:solidFill>
                  <a:srgbClr val="000000"/>
                </a:solidFill>
                <a:latin typeface="Calibri"/>
                <a:ea typeface="Calibri"/>
                <a:cs typeface="Calibri"/>
              </a:defRPr>
            </a:pPr>
            <a:r>
              <a:rPr lang="ru-RU" sz="1200" b="1" i="0" u="none" strike="noStrike" baseline="0">
                <a:solidFill>
                  <a:srgbClr val="000000"/>
                </a:solidFill>
                <a:latin typeface="Calibri"/>
              </a:rPr>
              <a:t>Доля отчисленных от общего контингента студентов бакалавриата</a:t>
            </a:r>
          </a:p>
          <a:p>
            <a:pPr>
              <a:defRPr sz="1200" b="1" i="0" u="none" strike="noStrike" baseline="0">
                <a:solidFill>
                  <a:srgbClr val="000000"/>
                </a:solidFill>
                <a:latin typeface="Calibri"/>
                <a:ea typeface="Calibri"/>
                <a:cs typeface="Calibri"/>
              </a:defRPr>
            </a:pPr>
            <a:r>
              <a:rPr lang="ru-RU" sz="1200" b="1" i="0" u="none" strike="noStrike" baseline="0">
                <a:solidFill>
                  <a:srgbClr val="000000"/>
                </a:solidFill>
                <a:latin typeface="Calibri"/>
              </a:rPr>
              <a:t>на 1 октября 2012 года, в процентах, по итогам первого полугодия 2012/2013 учебного года</a:t>
            </a:r>
          </a:p>
        </c:rich>
      </c:tx>
      <c:layout>
        <c:manualLayout>
          <c:xMode val="edge"/>
          <c:yMode val="edge"/>
          <c:x val="0.15076348051430413"/>
          <c:y val="1.3180139464815476E-2"/>
        </c:manualLayout>
      </c:layout>
      <c:overlay val="0"/>
      <c:spPr>
        <a:noFill/>
        <a:ln w="25400">
          <a:noFill/>
        </a:ln>
      </c:spPr>
    </c:title>
    <c:autoTitleDeleted val="0"/>
    <c:plotArea>
      <c:layout>
        <c:manualLayout>
          <c:layoutTarget val="inner"/>
          <c:xMode val="edge"/>
          <c:yMode val="edge"/>
          <c:x val="5.2608048993875785E-2"/>
          <c:y val="0.1627000870174258"/>
          <c:w val="0.90958915135607998"/>
          <c:h val="0.48973605643044599"/>
        </c:manualLayout>
      </c:layout>
      <c:barChart>
        <c:barDir val="col"/>
        <c:grouping val="clustered"/>
        <c:varyColors val="0"/>
        <c:ser>
          <c:idx val="1"/>
          <c:order val="1"/>
          <c:tx>
            <c:v>Бюджетные студенты, отчисленные по разным основаниям</c:v>
          </c:tx>
          <c:spPr>
            <a:gradFill rotWithShape="0">
              <a:gsLst>
                <a:gs pos="0">
                  <a:srgbClr val="FF9A99"/>
                </a:gs>
                <a:gs pos="100000">
                  <a:srgbClr val="D1403C"/>
                </a:gs>
              </a:gsLst>
              <a:lin ang="5400000"/>
            </a:gradFill>
            <a:ln w="25400">
              <a:noFill/>
            </a:ln>
            <a:effectLst>
              <a:outerShdw dist="35921" dir="2700000" algn="br">
                <a:srgbClr val="000000"/>
              </a:outerShdw>
            </a:effectLst>
          </c:spPr>
          <c:invertIfNegative val="0"/>
          <c:val>
            <c:numRef>
              <c:f>'1 сем 12_13 всего отчислены бак'!$AN$3:$AN$30</c:f>
              <c:numCache>
                <c:formatCode>0.00%</c:formatCode>
                <c:ptCount val="28"/>
                <c:pt idx="0">
                  <c:v>0</c:v>
                </c:pt>
                <c:pt idx="1">
                  <c:v>9.416195856873864E-3</c:v>
                </c:pt>
                <c:pt idx="2">
                  <c:v>7.6388888888888895E-2</c:v>
                </c:pt>
                <c:pt idx="3">
                  <c:v>1.2345679012345723E-2</c:v>
                </c:pt>
                <c:pt idx="4">
                  <c:v>1.8484288354898301E-3</c:v>
                </c:pt>
                <c:pt idx="5">
                  <c:v>2.6845637583892835E-2</c:v>
                </c:pt>
                <c:pt idx="6">
                  <c:v>6.2761506276150713E-3</c:v>
                </c:pt>
                <c:pt idx="7">
                  <c:v>2.3121387283237E-2</c:v>
                </c:pt>
                <c:pt idx="8">
                  <c:v>1.0830324909747301E-2</c:v>
                </c:pt>
                <c:pt idx="9">
                  <c:v>1.1004126547455348E-2</c:v>
                </c:pt>
                <c:pt idx="10">
                  <c:v>1.0373443983402498E-2</c:v>
                </c:pt>
                <c:pt idx="11">
                  <c:v>1.0989010989011E-2</c:v>
                </c:pt>
                <c:pt idx="12">
                  <c:v>1.1049723756906101E-2</c:v>
                </c:pt>
                <c:pt idx="13">
                  <c:v>6.9767441860465506E-3</c:v>
                </c:pt>
                <c:pt idx="14">
                  <c:v>1.0273972602739699E-2</c:v>
                </c:pt>
                <c:pt idx="15">
                  <c:v>1.84426229508197E-2</c:v>
                </c:pt>
                <c:pt idx="16">
                  <c:v>1.8018018018018007E-2</c:v>
                </c:pt>
                <c:pt idx="17">
                  <c:v>0.1183431952662722</c:v>
                </c:pt>
                <c:pt idx="18">
                  <c:v>6.5573770491803443E-3</c:v>
                </c:pt>
                <c:pt idx="19">
                  <c:v>3.7735849056603946E-2</c:v>
                </c:pt>
                <c:pt idx="20">
                  <c:v>2.5201612903225919E-2</c:v>
                </c:pt>
                <c:pt idx="21">
                  <c:v>8.5470085470085496E-3</c:v>
                </c:pt>
                <c:pt idx="22">
                  <c:v>3.0172413793103401E-2</c:v>
                </c:pt>
                <c:pt idx="23">
                  <c:v>0</c:v>
                </c:pt>
                <c:pt idx="24">
                  <c:v>3.2994923857868001E-2</c:v>
                </c:pt>
                <c:pt idx="25">
                  <c:v>3.4562211981566802E-2</c:v>
                </c:pt>
                <c:pt idx="26">
                  <c:v>3.5060975609756212E-2</c:v>
                </c:pt>
                <c:pt idx="27">
                  <c:v>1.8032786885245899E-2</c:v>
                </c:pt>
              </c:numCache>
            </c:numRef>
          </c:val>
        </c:ser>
        <c:ser>
          <c:idx val="3"/>
          <c:order val="3"/>
          <c:tx>
            <c:v>Бюджетные студенты, отчисленные за академическую неуспеваемость</c:v>
          </c:tx>
          <c:spPr>
            <a:gradFill rotWithShape="0">
              <a:gsLst>
                <a:gs pos="0">
                  <a:srgbClr val="C8B0ED"/>
                </a:gs>
                <a:gs pos="100000">
                  <a:srgbClr val="7F5BAB"/>
                </a:gs>
              </a:gsLst>
              <a:lin ang="5400000"/>
            </a:gradFill>
            <a:ln w="25400">
              <a:noFill/>
            </a:ln>
            <a:effectLst>
              <a:outerShdw dist="35921" dir="2700000" algn="br">
                <a:srgbClr val="000000"/>
              </a:outerShdw>
            </a:effectLst>
          </c:spPr>
          <c:invertIfNegative val="0"/>
          <c:val>
            <c:numRef>
              <c:f>'1 сем 12_13 всего отчислены бак'!$AR$3:$AR$30</c:f>
              <c:numCache>
                <c:formatCode>0.00%</c:formatCode>
                <c:ptCount val="28"/>
                <c:pt idx="0">
                  <c:v>0</c:v>
                </c:pt>
                <c:pt idx="1">
                  <c:v>5.6497175141242903E-3</c:v>
                </c:pt>
                <c:pt idx="2">
                  <c:v>3.125E-2</c:v>
                </c:pt>
                <c:pt idx="3">
                  <c:v>8.23045267489712E-3</c:v>
                </c:pt>
                <c:pt idx="4">
                  <c:v>0</c:v>
                </c:pt>
                <c:pt idx="5">
                  <c:v>0</c:v>
                </c:pt>
                <c:pt idx="6">
                  <c:v>2.0920502092050199E-3</c:v>
                </c:pt>
                <c:pt idx="7">
                  <c:v>5.7803468208092621E-3</c:v>
                </c:pt>
                <c:pt idx="8">
                  <c:v>1.0830324909747301E-2</c:v>
                </c:pt>
                <c:pt idx="9">
                  <c:v>8.2530949105914728E-3</c:v>
                </c:pt>
                <c:pt idx="10">
                  <c:v>7.2614107883817534E-3</c:v>
                </c:pt>
                <c:pt idx="11">
                  <c:v>6.9930069930070182E-3</c:v>
                </c:pt>
                <c:pt idx="12">
                  <c:v>5.5248618784530376E-3</c:v>
                </c:pt>
                <c:pt idx="13">
                  <c:v>4.6511627906977021E-3</c:v>
                </c:pt>
                <c:pt idx="14">
                  <c:v>1.0273972602739699E-2</c:v>
                </c:pt>
                <c:pt idx="15">
                  <c:v>1.02459016393443E-2</c:v>
                </c:pt>
                <c:pt idx="16">
                  <c:v>9.0090090090090818E-3</c:v>
                </c:pt>
                <c:pt idx="17">
                  <c:v>8.2840236686390484E-2</c:v>
                </c:pt>
                <c:pt idx="18">
                  <c:v>6.5573770491803443E-3</c:v>
                </c:pt>
                <c:pt idx="19">
                  <c:v>1.88679245283019E-2</c:v>
                </c:pt>
                <c:pt idx="20">
                  <c:v>1.3104838709677456E-2</c:v>
                </c:pt>
                <c:pt idx="21">
                  <c:v>8.5470085470085496E-3</c:v>
                </c:pt>
                <c:pt idx="22">
                  <c:v>2.1551724137930977E-2</c:v>
                </c:pt>
                <c:pt idx="23">
                  <c:v>0</c:v>
                </c:pt>
                <c:pt idx="24">
                  <c:v>1.26903553299492E-2</c:v>
                </c:pt>
                <c:pt idx="25">
                  <c:v>1.3824884792626745E-2</c:v>
                </c:pt>
                <c:pt idx="26">
                  <c:v>1.9817073170731701E-2</c:v>
                </c:pt>
                <c:pt idx="27">
                  <c:v>9.9223468507334406E-3</c:v>
                </c:pt>
              </c:numCache>
            </c:numRef>
          </c:val>
        </c:ser>
        <c:dLbls>
          <c:showLegendKey val="0"/>
          <c:showVal val="0"/>
          <c:showCatName val="0"/>
          <c:showSerName val="0"/>
          <c:showPercent val="0"/>
          <c:showBubbleSize val="0"/>
        </c:dLbls>
        <c:gapWidth val="150"/>
        <c:axId val="448567168"/>
        <c:axId val="448585728"/>
      </c:barChart>
      <c:lineChart>
        <c:grouping val="standard"/>
        <c:varyColors val="0"/>
        <c:ser>
          <c:idx val="0"/>
          <c:order val="0"/>
          <c:tx>
            <c:v>Все студенты, отчисленные по разным основаниям</c:v>
          </c:tx>
          <c:spPr>
            <a:ln w="38100">
              <a:solidFill>
                <a:srgbClr val="666699"/>
              </a:solidFill>
              <a:prstDash val="solid"/>
            </a:ln>
          </c:spPr>
          <c:marker>
            <c:spPr>
              <a:gradFill rotWithShape="0">
                <a:gsLst>
                  <a:gs pos="0">
                    <a:srgbClr val="9BC1FF"/>
                  </a:gs>
                  <a:gs pos="100000">
                    <a:srgbClr val="3F80CD"/>
                  </a:gs>
                </a:gsLst>
                <a:lin ang="5400000"/>
              </a:gradFill>
              <a:ln>
                <a:solidFill>
                  <a:srgbClr val="666699"/>
                </a:solidFill>
                <a:prstDash val="solid"/>
              </a:ln>
              <a:effectLst>
                <a:outerShdw dist="35921" dir="2700000" algn="br">
                  <a:srgbClr val="000000"/>
                </a:outerShdw>
              </a:effectLst>
            </c:spPr>
          </c:marker>
          <c:cat>
            <c:strRef>
              <c:f>'1 сем 12_13 всего отчислены бак'!$A$3:$A$30</c:f>
              <c:strCache>
                <c:ptCount val="28"/>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pt idx="27">
                  <c:v>ИТОГО</c:v>
                </c:pt>
              </c:strCache>
            </c:strRef>
          </c:cat>
          <c:val>
            <c:numRef>
              <c:f>'1 сем 12_13 всего отчислены бак'!$AL$3:$AL$30</c:f>
              <c:numCache>
                <c:formatCode>0.00%</c:formatCode>
                <c:ptCount val="28"/>
                <c:pt idx="0">
                  <c:v>1.6541353383458721E-2</c:v>
                </c:pt>
                <c:pt idx="1">
                  <c:v>4.5197740112994399E-2</c:v>
                </c:pt>
                <c:pt idx="2">
                  <c:v>0.125</c:v>
                </c:pt>
                <c:pt idx="3">
                  <c:v>4.5267489711934214E-2</c:v>
                </c:pt>
                <c:pt idx="4">
                  <c:v>1.478743068391874E-2</c:v>
                </c:pt>
                <c:pt idx="5">
                  <c:v>2.6845637583892835E-2</c:v>
                </c:pt>
                <c:pt idx="6">
                  <c:v>1.6736401673640201E-2</c:v>
                </c:pt>
                <c:pt idx="7">
                  <c:v>2.3121387283237E-2</c:v>
                </c:pt>
                <c:pt idx="8">
                  <c:v>3.2490974729242013E-2</c:v>
                </c:pt>
                <c:pt idx="9">
                  <c:v>2.3383768913342502E-2</c:v>
                </c:pt>
                <c:pt idx="10">
                  <c:v>3.734439834024901E-2</c:v>
                </c:pt>
                <c:pt idx="11">
                  <c:v>3.2967032967033016E-2</c:v>
                </c:pt>
                <c:pt idx="12">
                  <c:v>3.8674033149171311E-2</c:v>
                </c:pt>
                <c:pt idx="13">
                  <c:v>2.5581395348837199E-2</c:v>
                </c:pt>
                <c:pt idx="14">
                  <c:v>2.0547945205479635E-2</c:v>
                </c:pt>
                <c:pt idx="15">
                  <c:v>3.2786885245901599E-2</c:v>
                </c:pt>
                <c:pt idx="16">
                  <c:v>9.0090090090090669E-2</c:v>
                </c:pt>
                <c:pt idx="17">
                  <c:v>0.13017751479289888</c:v>
                </c:pt>
                <c:pt idx="18">
                  <c:v>4.91803278688525E-2</c:v>
                </c:pt>
                <c:pt idx="19">
                  <c:v>4.40251572327044E-2</c:v>
                </c:pt>
                <c:pt idx="20">
                  <c:v>4.2338709677419401E-2</c:v>
                </c:pt>
                <c:pt idx="21">
                  <c:v>8.5470085470085496E-3</c:v>
                </c:pt>
                <c:pt idx="22">
                  <c:v>4.3103448275861947E-2</c:v>
                </c:pt>
                <c:pt idx="23">
                  <c:v>1.6611295681063103E-2</c:v>
                </c:pt>
                <c:pt idx="24">
                  <c:v>0.10659898477157426</c:v>
                </c:pt>
                <c:pt idx="25">
                  <c:v>6.6820276497695896E-2</c:v>
                </c:pt>
                <c:pt idx="26">
                  <c:v>7.9268292682926914E-2</c:v>
                </c:pt>
                <c:pt idx="27">
                  <c:v>4.2536669542709446E-2</c:v>
                </c:pt>
              </c:numCache>
            </c:numRef>
          </c:val>
          <c:smooth val="0"/>
        </c:ser>
        <c:ser>
          <c:idx val="2"/>
          <c:order val="2"/>
          <c:tx>
            <c:v>Все студенты, отчисленные за академическую неуспеваемость</c:v>
          </c:tx>
          <c:spPr>
            <a:ln w="38100">
              <a:solidFill>
                <a:srgbClr val="90713A"/>
              </a:solidFill>
              <a:prstDash val="solid"/>
            </a:ln>
          </c:spPr>
          <c:marker>
            <c:spPr>
              <a:gradFill rotWithShape="0">
                <a:gsLst>
                  <a:gs pos="0">
                    <a:srgbClr val="DCFFA0"/>
                  </a:gs>
                  <a:gs pos="100000">
                    <a:srgbClr val="A0CA4A"/>
                  </a:gs>
                </a:gsLst>
                <a:lin ang="5400000"/>
              </a:gradFill>
              <a:ln>
                <a:solidFill>
                  <a:srgbClr val="90713A"/>
                </a:solidFill>
                <a:prstDash val="solid"/>
              </a:ln>
              <a:effectLst>
                <a:outerShdw dist="35921" dir="2700000" algn="br">
                  <a:srgbClr val="000000"/>
                </a:outerShdw>
              </a:effectLst>
            </c:spPr>
          </c:marker>
          <c:cat>
            <c:strRef>
              <c:f>'1 сем 12_13 всего отчислены бак'!$A$3:$A$30</c:f>
              <c:strCache>
                <c:ptCount val="28"/>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pt idx="27">
                  <c:v>ИТОГО</c:v>
                </c:pt>
              </c:strCache>
            </c:strRef>
          </c:cat>
          <c:val>
            <c:numRef>
              <c:f>'1 сем 12_13 всего отчислены бак'!$AP$3:$AP$30</c:f>
              <c:numCache>
                <c:formatCode>0.00%</c:formatCode>
                <c:ptCount val="28"/>
                <c:pt idx="0">
                  <c:v>3.0075187969925074E-3</c:v>
                </c:pt>
                <c:pt idx="1">
                  <c:v>1.5065913370998099E-2</c:v>
                </c:pt>
                <c:pt idx="2">
                  <c:v>5.2083333333333613E-2</c:v>
                </c:pt>
                <c:pt idx="3">
                  <c:v>1.6460905349794348E-2</c:v>
                </c:pt>
                <c:pt idx="4">
                  <c:v>5.5452865064695E-3</c:v>
                </c:pt>
                <c:pt idx="5">
                  <c:v>0</c:v>
                </c:pt>
                <c:pt idx="6">
                  <c:v>6.2761506276150713E-3</c:v>
                </c:pt>
                <c:pt idx="7">
                  <c:v>5.7803468208092621E-3</c:v>
                </c:pt>
                <c:pt idx="8">
                  <c:v>2.1660649819494601E-2</c:v>
                </c:pt>
                <c:pt idx="9">
                  <c:v>1.7881705639614963E-2</c:v>
                </c:pt>
                <c:pt idx="10">
                  <c:v>2.6970954356846488E-2</c:v>
                </c:pt>
                <c:pt idx="11">
                  <c:v>2.0979020979021011E-2</c:v>
                </c:pt>
                <c:pt idx="12">
                  <c:v>1.3812154696132678E-2</c:v>
                </c:pt>
                <c:pt idx="13">
                  <c:v>9.3023255813953504E-3</c:v>
                </c:pt>
                <c:pt idx="14">
                  <c:v>2.0547945205479635E-2</c:v>
                </c:pt>
                <c:pt idx="15">
                  <c:v>1.63934426229508E-2</c:v>
                </c:pt>
                <c:pt idx="16">
                  <c:v>2.7027027027027216E-2</c:v>
                </c:pt>
                <c:pt idx="17">
                  <c:v>8.8757396449704568E-2</c:v>
                </c:pt>
                <c:pt idx="18">
                  <c:v>3.2786885245901599E-2</c:v>
                </c:pt>
                <c:pt idx="19">
                  <c:v>1.88679245283019E-2</c:v>
                </c:pt>
                <c:pt idx="20">
                  <c:v>2.5201612903225919E-2</c:v>
                </c:pt>
                <c:pt idx="21">
                  <c:v>8.5470085470085496E-3</c:v>
                </c:pt>
                <c:pt idx="22">
                  <c:v>3.0172413793103401E-2</c:v>
                </c:pt>
                <c:pt idx="23">
                  <c:v>1.6611295681063103E-2</c:v>
                </c:pt>
                <c:pt idx="24">
                  <c:v>7.3604060913705596E-2</c:v>
                </c:pt>
                <c:pt idx="25">
                  <c:v>2.764976958525367E-2</c:v>
                </c:pt>
                <c:pt idx="26">
                  <c:v>5.6402439024390509E-2</c:v>
                </c:pt>
                <c:pt idx="27">
                  <c:v>2.3727351164797187E-2</c:v>
                </c:pt>
              </c:numCache>
            </c:numRef>
          </c:val>
          <c:smooth val="0"/>
        </c:ser>
        <c:dLbls>
          <c:showLegendKey val="0"/>
          <c:showVal val="0"/>
          <c:showCatName val="0"/>
          <c:showSerName val="0"/>
          <c:showPercent val="0"/>
          <c:showBubbleSize val="0"/>
        </c:dLbls>
        <c:marker val="1"/>
        <c:smooth val="0"/>
        <c:axId val="448567168"/>
        <c:axId val="448585728"/>
      </c:lineChart>
      <c:catAx>
        <c:axId val="448567168"/>
        <c:scaling>
          <c:orientation val="minMax"/>
        </c:scaling>
        <c:delete val="0"/>
        <c:axPos val="b"/>
        <c:numFmt formatCode="General" sourceLinked="1"/>
        <c:majorTickMark val="out"/>
        <c:minorTickMark val="none"/>
        <c:tickLblPos val="nextTo"/>
        <c:spPr>
          <a:ln w="3175">
            <a:solidFill>
              <a:srgbClr val="808080"/>
            </a:solidFill>
            <a:prstDash val="solid"/>
          </a:ln>
        </c:spPr>
        <c:txPr>
          <a:bodyPr rot="-5400000" vert="horz"/>
          <a:lstStyle/>
          <a:p>
            <a:pPr>
              <a:defRPr sz="1050" b="0" i="0" u="none" strike="noStrike" baseline="0">
                <a:solidFill>
                  <a:srgbClr val="000000"/>
                </a:solidFill>
                <a:latin typeface="Calibri"/>
                <a:ea typeface="Calibri"/>
                <a:cs typeface="Calibri"/>
              </a:defRPr>
            </a:pPr>
            <a:endParaRPr lang="ru-RU"/>
          </a:p>
        </c:txPr>
        <c:crossAx val="448585728"/>
        <c:crosses val="autoZero"/>
        <c:auto val="1"/>
        <c:lblAlgn val="ctr"/>
        <c:lblOffset val="100"/>
        <c:noMultiLvlLbl val="0"/>
      </c:catAx>
      <c:valAx>
        <c:axId val="448585728"/>
        <c:scaling>
          <c:orientation val="minMax"/>
        </c:scaling>
        <c:delete val="0"/>
        <c:axPos val="l"/>
        <c:majorGridlines>
          <c:spPr>
            <a:ln w="3175">
              <a:solidFill>
                <a:srgbClr val="808080"/>
              </a:solidFill>
              <a:prstDash val="solid"/>
            </a:ln>
          </c:spPr>
        </c:majorGridlines>
        <c:numFmt formatCode="0%"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448567168"/>
        <c:crosses val="autoZero"/>
        <c:crossBetween val="between"/>
      </c:valAx>
      <c:spPr>
        <a:solidFill>
          <a:srgbClr val="FFFFFF"/>
        </a:solidFill>
        <a:ln w="25400">
          <a:noFill/>
        </a:ln>
      </c:spPr>
    </c:plotArea>
    <c:legend>
      <c:legendPos val="b"/>
      <c:layout>
        <c:manualLayout>
          <c:xMode val="edge"/>
          <c:yMode val="edge"/>
          <c:x val="6.4057277650420616E-2"/>
          <c:y val="0.84832450189009401"/>
          <c:w val="0.8718854446991634"/>
          <c:h val="0.10465615390569526"/>
        </c:manualLayout>
      </c:layout>
      <c:overlay val="0"/>
      <c:spPr>
        <a:noFill/>
        <a:ln w="25400">
          <a:noFill/>
        </a:ln>
      </c:spPr>
      <c:txPr>
        <a:bodyPr/>
        <a:lstStyle/>
        <a:p>
          <a:pPr>
            <a:defRPr sz="1100"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b="1" i="0" u="none" strike="noStrike" baseline="0">
                <a:solidFill>
                  <a:srgbClr val="000000"/>
                </a:solidFill>
                <a:latin typeface="Calibri"/>
                <a:ea typeface="Calibri"/>
                <a:cs typeface="Calibri"/>
              </a:defRPr>
            </a:pPr>
            <a:r>
              <a:rPr lang="ru-RU" sz="1200" b="1"/>
              <a:t>Количество отчисленных по разным основаниям студентов бакалавриата и специалитета по курсам по итогам 1 полугодия 2012/13 учебного года (абсолютные значения)</a:t>
            </a:r>
          </a:p>
        </c:rich>
      </c:tx>
      <c:overlay val="0"/>
      <c:spPr>
        <a:noFill/>
        <a:ln w="25400">
          <a:noFill/>
        </a:ln>
      </c:spPr>
    </c:title>
    <c:autoTitleDeleted val="0"/>
    <c:plotArea>
      <c:layout>
        <c:manualLayout>
          <c:layoutTarget val="inner"/>
          <c:xMode val="edge"/>
          <c:yMode val="edge"/>
          <c:x val="0.22023359162775588"/>
          <c:y val="0.11558478561827309"/>
          <c:w val="0.73551201966208901"/>
          <c:h val="0.73812357746469703"/>
        </c:manualLayout>
      </c:layout>
      <c:barChart>
        <c:barDir val="bar"/>
        <c:grouping val="stacked"/>
        <c:varyColors val="0"/>
        <c:ser>
          <c:idx val="0"/>
          <c:order val="0"/>
          <c:tx>
            <c:v>1 курс</c:v>
          </c:tx>
          <c:spPr>
            <a:gradFill rotWithShape="0">
              <a:gsLst>
                <a:gs pos="0">
                  <a:srgbClr val="9BC1FF"/>
                </a:gs>
                <a:gs pos="100000">
                  <a:srgbClr val="3F80CD"/>
                </a:gs>
              </a:gsLst>
              <a:lin ang="5400000"/>
            </a:gradFill>
            <a:ln w="25400">
              <a:noFill/>
            </a:ln>
            <a:effectLst>
              <a:outerShdw dist="35921" dir="2700000" algn="br">
                <a:srgbClr val="000000"/>
              </a:outerShdw>
            </a:effectLst>
          </c:spPr>
          <c:invertIfNegative val="0"/>
          <c:dLbls>
            <c:dLbl>
              <c:idx val="6"/>
              <c:delete val="1"/>
              <c:extLst>
                <c:ext xmlns:c15="http://schemas.microsoft.com/office/drawing/2012/chart" uri="{CE6537A1-D6FC-4f65-9D91-7224C49458BB}"/>
              </c:extLst>
            </c:dLbl>
            <c:dLbl>
              <c:idx val="21"/>
              <c:delete val="1"/>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сем 12_13 всего отчислены бак'!$A$3:$A$29</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'1 сем 12_13 всего отчислены бак'!$C$3:$C$29</c:f>
              <c:numCache>
                <c:formatCode>General</c:formatCode>
                <c:ptCount val="27"/>
                <c:pt idx="0">
                  <c:v>6</c:v>
                </c:pt>
                <c:pt idx="1">
                  <c:v>20</c:v>
                </c:pt>
                <c:pt idx="2">
                  <c:v>22</c:v>
                </c:pt>
                <c:pt idx="3">
                  <c:v>3</c:v>
                </c:pt>
                <c:pt idx="4">
                  <c:v>3</c:v>
                </c:pt>
                <c:pt idx="5">
                  <c:v>2</c:v>
                </c:pt>
                <c:pt idx="6">
                  <c:v>0</c:v>
                </c:pt>
                <c:pt idx="7">
                  <c:v>1</c:v>
                </c:pt>
                <c:pt idx="8">
                  <c:v>4</c:v>
                </c:pt>
                <c:pt idx="9">
                  <c:v>2</c:v>
                </c:pt>
                <c:pt idx="10">
                  <c:v>14</c:v>
                </c:pt>
                <c:pt idx="11">
                  <c:v>6</c:v>
                </c:pt>
                <c:pt idx="12">
                  <c:v>10</c:v>
                </c:pt>
                <c:pt idx="13">
                  <c:v>3</c:v>
                </c:pt>
                <c:pt idx="14">
                  <c:v>1</c:v>
                </c:pt>
                <c:pt idx="15">
                  <c:v>5</c:v>
                </c:pt>
                <c:pt idx="16">
                  <c:v>14</c:v>
                </c:pt>
                <c:pt idx="17">
                  <c:v>17</c:v>
                </c:pt>
                <c:pt idx="18">
                  <c:v>8</c:v>
                </c:pt>
                <c:pt idx="19">
                  <c:v>4</c:v>
                </c:pt>
                <c:pt idx="20">
                  <c:v>24</c:v>
                </c:pt>
                <c:pt idx="21">
                  <c:v>0</c:v>
                </c:pt>
                <c:pt idx="22">
                  <c:v>3</c:v>
                </c:pt>
                <c:pt idx="23">
                  <c:v>3</c:v>
                </c:pt>
                <c:pt idx="24">
                  <c:v>14</c:v>
                </c:pt>
                <c:pt idx="25">
                  <c:v>9</c:v>
                </c:pt>
                <c:pt idx="26">
                  <c:v>21</c:v>
                </c:pt>
              </c:numCache>
            </c:numRef>
          </c:val>
        </c:ser>
        <c:ser>
          <c:idx val="1"/>
          <c:order val="1"/>
          <c:tx>
            <c:v>2 курс</c:v>
          </c:tx>
          <c:spPr>
            <a:gradFill rotWithShape="0">
              <a:gsLst>
                <a:gs pos="0">
                  <a:srgbClr val="FF9A99"/>
                </a:gs>
                <a:gs pos="100000">
                  <a:srgbClr val="D1403C"/>
                </a:gs>
              </a:gsLst>
              <a:lin ang="5400000"/>
            </a:gradFill>
            <a:ln w="25400">
              <a:noFill/>
            </a:ln>
            <a:effectLst>
              <a:outerShdw dist="35921" dir="2700000" algn="br">
                <a:srgbClr val="000000"/>
              </a:outerShdw>
            </a:effectLst>
          </c:spPr>
          <c:invertIfNegative val="0"/>
          <c:dLbls>
            <c:dLbl>
              <c:idx val="12"/>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21"/>
              <c:layout>
                <c:manualLayout>
                  <c:x val="-1.6691077371202712E-7"/>
                  <c:y val="-3.1218597782118635E-17"/>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сем 12_13 всего отчислены бак'!$A$3:$A$29</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'1 сем 12_13 всего отчислены бак'!$H$3:$H$29</c:f>
              <c:numCache>
                <c:formatCode>General</c:formatCode>
                <c:ptCount val="27"/>
                <c:pt idx="0">
                  <c:v>3</c:v>
                </c:pt>
                <c:pt idx="1">
                  <c:v>2</c:v>
                </c:pt>
                <c:pt idx="2">
                  <c:v>9</c:v>
                </c:pt>
                <c:pt idx="3">
                  <c:v>4</c:v>
                </c:pt>
                <c:pt idx="4">
                  <c:v>3</c:v>
                </c:pt>
                <c:pt idx="5">
                  <c:v>1</c:v>
                </c:pt>
                <c:pt idx="6">
                  <c:v>3</c:v>
                </c:pt>
                <c:pt idx="7">
                  <c:v>3</c:v>
                </c:pt>
                <c:pt idx="8">
                  <c:v>3</c:v>
                </c:pt>
                <c:pt idx="9">
                  <c:v>8</c:v>
                </c:pt>
                <c:pt idx="10">
                  <c:v>7</c:v>
                </c:pt>
                <c:pt idx="11">
                  <c:v>7</c:v>
                </c:pt>
                <c:pt idx="12">
                  <c:v>0</c:v>
                </c:pt>
                <c:pt idx="13">
                  <c:v>4</c:v>
                </c:pt>
                <c:pt idx="14">
                  <c:v>1</c:v>
                </c:pt>
                <c:pt idx="15">
                  <c:v>4</c:v>
                </c:pt>
                <c:pt idx="16">
                  <c:v>6</c:v>
                </c:pt>
                <c:pt idx="17">
                  <c:v>0</c:v>
                </c:pt>
                <c:pt idx="18">
                  <c:v>5</c:v>
                </c:pt>
                <c:pt idx="19">
                  <c:v>3</c:v>
                </c:pt>
                <c:pt idx="20">
                  <c:v>10</c:v>
                </c:pt>
                <c:pt idx="21">
                  <c:v>1</c:v>
                </c:pt>
                <c:pt idx="22">
                  <c:v>6</c:v>
                </c:pt>
                <c:pt idx="23">
                  <c:v>1</c:v>
                </c:pt>
                <c:pt idx="24">
                  <c:v>15</c:v>
                </c:pt>
                <c:pt idx="25">
                  <c:v>5</c:v>
                </c:pt>
                <c:pt idx="26">
                  <c:v>8</c:v>
                </c:pt>
              </c:numCache>
            </c:numRef>
          </c:val>
        </c:ser>
        <c:ser>
          <c:idx val="2"/>
          <c:order val="2"/>
          <c:tx>
            <c:v>3 курс</c:v>
          </c:tx>
          <c:spPr>
            <a:gradFill rotWithShape="0">
              <a:gsLst>
                <a:gs pos="0">
                  <a:srgbClr val="DCFFA0"/>
                </a:gs>
                <a:gs pos="100000">
                  <a:srgbClr val="A0CA4A"/>
                </a:gs>
              </a:gsLst>
              <a:lin ang="5400000"/>
            </a:gradFill>
            <a:ln w="25400">
              <a:noFill/>
            </a:ln>
            <a:effectLst>
              <a:outerShdw dist="35921" dir="2700000" algn="br">
                <a:srgbClr val="000000"/>
              </a:outerShdw>
            </a:effectLst>
          </c:spPr>
          <c:invertIfNegative val="0"/>
          <c:dLbls>
            <c:dLbl>
              <c:idx val="7"/>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3"/>
              <c:delete val="1"/>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сем 12_13 всего отчислены бак'!$A$3:$A$29</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'1 сем 12_13 всего отчислены бак'!$M$3:$M$29</c:f>
              <c:numCache>
                <c:formatCode>General</c:formatCode>
                <c:ptCount val="27"/>
                <c:pt idx="0">
                  <c:v>1</c:v>
                </c:pt>
                <c:pt idx="1">
                  <c:v>0</c:v>
                </c:pt>
                <c:pt idx="2">
                  <c:v>2</c:v>
                </c:pt>
                <c:pt idx="3">
                  <c:v>4</c:v>
                </c:pt>
                <c:pt idx="4">
                  <c:v>1</c:v>
                </c:pt>
                <c:pt idx="5">
                  <c:v>1</c:v>
                </c:pt>
                <c:pt idx="6">
                  <c:v>2</c:v>
                </c:pt>
                <c:pt idx="7">
                  <c:v>0</c:v>
                </c:pt>
                <c:pt idx="8">
                  <c:v>2</c:v>
                </c:pt>
                <c:pt idx="9">
                  <c:v>2</c:v>
                </c:pt>
                <c:pt idx="10">
                  <c:v>13</c:v>
                </c:pt>
                <c:pt idx="11">
                  <c:v>11</c:v>
                </c:pt>
                <c:pt idx="12">
                  <c:v>2</c:v>
                </c:pt>
                <c:pt idx="13">
                  <c:v>4</c:v>
                </c:pt>
                <c:pt idx="14">
                  <c:v>2</c:v>
                </c:pt>
                <c:pt idx="15">
                  <c:v>6</c:v>
                </c:pt>
                <c:pt idx="16">
                  <c:v>0</c:v>
                </c:pt>
                <c:pt idx="17">
                  <c:v>4</c:v>
                </c:pt>
                <c:pt idx="18">
                  <c:v>2</c:v>
                </c:pt>
                <c:pt idx="19">
                  <c:v>0</c:v>
                </c:pt>
                <c:pt idx="20">
                  <c:v>3</c:v>
                </c:pt>
                <c:pt idx="21">
                  <c:v>0</c:v>
                </c:pt>
                <c:pt idx="22">
                  <c:v>1</c:v>
                </c:pt>
                <c:pt idx="23">
                  <c:v>0</c:v>
                </c:pt>
                <c:pt idx="24">
                  <c:v>8</c:v>
                </c:pt>
                <c:pt idx="25">
                  <c:v>9</c:v>
                </c:pt>
                <c:pt idx="26">
                  <c:v>13</c:v>
                </c:pt>
              </c:numCache>
            </c:numRef>
          </c:val>
        </c:ser>
        <c:ser>
          <c:idx val="3"/>
          <c:order val="3"/>
          <c:tx>
            <c:v>4 курс</c:v>
          </c:tx>
          <c:spPr>
            <a:gradFill rotWithShape="0">
              <a:gsLst>
                <a:gs pos="0">
                  <a:srgbClr val="C8B0ED"/>
                </a:gs>
                <a:gs pos="100000">
                  <a:srgbClr val="7F5BAB"/>
                </a:gs>
              </a:gsLst>
              <a:lin ang="5400000"/>
            </a:gradFill>
            <a:ln w="25400">
              <a:noFill/>
            </a:ln>
            <a:effectLst>
              <a:outerShdw dist="35921" dir="2700000" algn="br">
                <a:srgbClr val="000000"/>
              </a:outerShdw>
            </a:effectLst>
          </c:spPr>
          <c:invertIfNegative val="0"/>
          <c:dLbls>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сем 12_13 всего отчислены бак'!$A$3:$A$29</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'1 сем 12_13 всего отчислены бак'!$R$3:$R$29</c:f>
              <c:numCache>
                <c:formatCode>General</c:formatCode>
                <c:ptCount val="27"/>
                <c:pt idx="0">
                  <c:v>1</c:v>
                </c:pt>
                <c:pt idx="1">
                  <c:v>2</c:v>
                </c:pt>
                <c:pt idx="2">
                  <c:v>3</c:v>
                </c:pt>
                <c:pt idx="3">
                  <c:v>0</c:v>
                </c:pt>
                <c:pt idx="4">
                  <c:v>1</c:v>
                </c:pt>
                <c:pt idx="5">
                  <c:v>0</c:v>
                </c:pt>
                <c:pt idx="6">
                  <c:v>1</c:v>
                </c:pt>
                <c:pt idx="7">
                  <c:v>0</c:v>
                </c:pt>
                <c:pt idx="8">
                  <c:v>0</c:v>
                </c:pt>
                <c:pt idx="9">
                  <c:v>5</c:v>
                </c:pt>
                <c:pt idx="10">
                  <c:v>2</c:v>
                </c:pt>
                <c:pt idx="11">
                  <c:v>7</c:v>
                </c:pt>
                <c:pt idx="12">
                  <c:v>2</c:v>
                </c:pt>
                <c:pt idx="13">
                  <c:v>0</c:v>
                </c:pt>
                <c:pt idx="14">
                  <c:v>2</c:v>
                </c:pt>
                <c:pt idx="15">
                  <c:v>1</c:v>
                </c:pt>
                <c:pt idx="16">
                  <c:v>0</c:v>
                </c:pt>
                <c:pt idx="17">
                  <c:v>1</c:v>
                </c:pt>
                <c:pt idx="18">
                  <c:v>0</c:v>
                </c:pt>
                <c:pt idx="19">
                  <c:v>0</c:v>
                </c:pt>
                <c:pt idx="20">
                  <c:v>5</c:v>
                </c:pt>
                <c:pt idx="21">
                  <c:v>0</c:v>
                </c:pt>
                <c:pt idx="22">
                  <c:v>0</c:v>
                </c:pt>
                <c:pt idx="23">
                  <c:v>1</c:v>
                </c:pt>
                <c:pt idx="24">
                  <c:v>4</c:v>
                </c:pt>
                <c:pt idx="25">
                  <c:v>2</c:v>
                </c:pt>
                <c:pt idx="26">
                  <c:v>9</c:v>
                </c:pt>
              </c:numCache>
            </c:numRef>
          </c:val>
        </c:ser>
        <c:dLbls>
          <c:showLegendKey val="0"/>
          <c:showVal val="0"/>
          <c:showCatName val="0"/>
          <c:showSerName val="0"/>
          <c:showPercent val="0"/>
          <c:showBubbleSize val="0"/>
        </c:dLbls>
        <c:gapWidth val="75"/>
        <c:overlap val="100"/>
        <c:axId val="448722048"/>
        <c:axId val="448723584"/>
      </c:barChart>
      <c:catAx>
        <c:axId val="448722048"/>
        <c:scaling>
          <c:orientation val="minMax"/>
        </c:scaling>
        <c:delete val="0"/>
        <c:axPos val="l"/>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448723584"/>
        <c:crosses val="autoZero"/>
        <c:auto val="1"/>
        <c:lblAlgn val="ctr"/>
        <c:lblOffset val="100"/>
        <c:noMultiLvlLbl val="0"/>
      </c:catAx>
      <c:valAx>
        <c:axId val="448723584"/>
        <c:scaling>
          <c:orientation val="minMax"/>
        </c:scaling>
        <c:delete val="0"/>
        <c:axPos val="b"/>
        <c:majorGridlines>
          <c:spPr>
            <a:ln w="3175">
              <a:solidFill>
                <a:srgbClr val="808080"/>
              </a:solidFill>
              <a:prstDash val="solid"/>
            </a:ln>
          </c:spPr>
        </c:majorGridlines>
        <c:numFmt formatCode="General"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ru-RU"/>
          </a:p>
        </c:txPr>
        <c:crossAx val="448722048"/>
        <c:crosses val="autoZero"/>
        <c:crossBetween val="between"/>
      </c:valAx>
      <c:spPr>
        <a:solidFill>
          <a:srgbClr val="FFFFFF"/>
        </a:solidFill>
        <a:ln w="25400">
          <a:noFill/>
        </a:ln>
      </c:spPr>
    </c:plotArea>
    <c:legend>
      <c:legendPos val="r"/>
      <c:layout>
        <c:manualLayout>
          <c:xMode val="edge"/>
          <c:yMode val="edge"/>
          <c:x val="0.31697123710092789"/>
          <c:y val="0.93949201231735802"/>
          <c:w val="0.38447319778188738"/>
          <c:h val="2.7718550106609799E-2"/>
        </c:manualLayout>
      </c:layout>
      <c:overlay val="0"/>
      <c:spPr>
        <a:noFill/>
        <a:ln w="25400">
          <a:noFill/>
        </a:ln>
      </c:spPr>
      <c:txPr>
        <a:bodyPr/>
        <a:lstStyle/>
        <a:p>
          <a:pPr>
            <a:defRPr sz="1180"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b="1" i="0" u="none" strike="noStrike" baseline="0">
                <a:solidFill>
                  <a:srgbClr val="000000"/>
                </a:solidFill>
                <a:latin typeface="Calibri"/>
                <a:ea typeface="Calibri"/>
                <a:cs typeface="Calibri"/>
              </a:defRPr>
            </a:pPr>
            <a:r>
              <a:rPr lang="ru-RU" sz="1200" b="1"/>
              <a:t>Количество отчисленных студентов бакалавриата и специалитета за академическую неуспеваемость по курсам (абсолютные значения) по итогам первого полугодия 2012-2013 учебного года</a:t>
            </a:r>
          </a:p>
        </c:rich>
      </c:tx>
      <c:overlay val="0"/>
      <c:spPr>
        <a:noFill/>
        <a:ln w="25400">
          <a:noFill/>
        </a:ln>
      </c:spPr>
    </c:title>
    <c:autoTitleDeleted val="0"/>
    <c:plotArea>
      <c:layout>
        <c:manualLayout>
          <c:layoutTarget val="inner"/>
          <c:xMode val="edge"/>
          <c:yMode val="edge"/>
          <c:x val="0.183388518742849"/>
          <c:y val="9.8369160547845266E-2"/>
          <c:w val="0.76385608048993903"/>
          <c:h val="0.80336808292663819"/>
        </c:manualLayout>
      </c:layout>
      <c:barChart>
        <c:barDir val="bar"/>
        <c:grouping val="stacked"/>
        <c:varyColors val="0"/>
        <c:ser>
          <c:idx val="0"/>
          <c:order val="0"/>
          <c:tx>
            <c:v>1 курс</c:v>
          </c:tx>
          <c:spPr>
            <a:gradFill rotWithShape="0">
              <a:gsLst>
                <a:gs pos="0">
                  <a:srgbClr val="9BC1FF"/>
                </a:gs>
                <a:gs pos="100000">
                  <a:srgbClr val="3F80CD"/>
                </a:gs>
              </a:gsLst>
              <a:lin ang="5400000"/>
            </a:gradFill>
            <a:ln w="25400">
              <a:noFill/>
            </a:ln>
            <a:effectLst>
              <a:outerShdw dist="35921" dir="2700000" algn="br">
                <a:srgbClr val="000000"/>
              </a:outerShdw>
            </a:effectLst>
          </c:spPr>
          <c:invertIfNegative val="0"/>
          <c:dLbls>
            <c:dLbl>
              <c:idx val="4"/>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1"/>
              <c:delete val="1"/>
              <c:extLst>
                <c:ext xmlns:c15="http://schemas.microsoft.com/office/drawing/2012/chart" uri="{CE6537A1-D6FC-4f65-9D91-7224C49458BB}"/>
              </c:extLst>
            </c:dLbl>
            <c:spPr>
              <a:noFill/>
              <a:ln w="25400">
                <a:noFill/>
              </a:ln>
            </c:spPr>
            <c:txPr>
              <a:bodyPr/>
              <a:lstStyle/>
              <a:p>
                <a:pPr>
                  <a:defRPr sz="9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сем 12_13 всего отчислены бак'!$A$3:$A$29</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'1 сем 12_13 всего отчислены бак'!$E$3:$E$29</c:f>
              <c:numCache>
                <c:formatCode>General</c:formatCode>
                <c:ptCount val="27"/>
                <c:pt idx="0">
                  <c:v>2</c:v>
                </c:pt>
                <c:pt idx="1">
                  <c:v>5</c:v>
                </c:pt>
                <c:pt idx="2">
                  <c:v>12</c:v>
                </c:pt>
                <c:pt idx="3">
                  <c:v>2</c:v>
                </c:pt>
                <c:pt idx="4">
                  <c:v>0</c:v>
                </c:pt>
                <c:pt idx="5">
                  <c:v>0</c:v>
                </c:pt>
                <c:pt idx="6">
                  <c:v>0</c:v>
                </c:pt>
                <c:pt idx="7">
                  <c:v>0</c:v>
                </c:pt>
                <c:pt idx="8">
                  <c:v>3</c:v>
                </c:pt>
                <c:pt idx="9">
                  <c:v>2</c:v>
                </c:pt>
                <c:pt idx="10">
                  <c:v>10</c:v>
                </c:pt>
                <c:pt idx="11">
                  <c:v>2</c:v>
                </c:pt>
                <c:pt idx="12">
                  <c:v>4</c:v>
                </c:pt>
                <c:pt idx="13">
                  <c:v>2</c:v>
                </c:pt>
                <c:pt idx="14">
                  <c:v>1</c:v>
                </c:pt>
                <c:pt idx="15">
                  <c:v>4</c:v>
                </c:pt>
                <c:pt idx="16">
                  <c:v>5</c:v>
                </c:pt>
                <c:pt idx="17">
                  <c:v>13</c:v>
                </c:pt>
                <c:pt idx="18">
                  <c:v>8</c:v>
                </c:pt>
                <c:pt idx="19">
                  <c:v>0</c:v>
                </c:pt>
                <c:pt idx="20">
                  <c:v>18</c:v>
                </c:pt>
                <c:pt idx="21">
                  <c:v>0</c:v>
                </c:pt>
                <c:pt idx="22">
                  <c:v>3</c:v>
                </c:pt>
                <c:pt idx="23">
                  <c:v>3</c:v>
                </c:pt>
                <c:pt idx="24">
                  <c:v>13</c:v>
                </c:pt>
                <c:pt idx="25">
                  <c:v>6</c:v>
                </c:pt>
                <c:pt idx="26">
                  <c:v>18</c:v>
                </c:pt>
              </c:numCache>
            </c:numRef>
          </c:val>
        </c:ser>
        <c:ser>
          <c:idx val="1"/>
          <c:order val="1"/>
          <c:tx>
            <c:v>2 курс</c:v>
          </c:tx>
          <c:spPr>
            <a:gradFill rotWithShape="0">
              <a:gsLst>
                <a:gs pos="0">
                  <a:srgbClr val="FF9A99"/>
                </a:gs>
                <a:gs pos="100000">
                  <a:srgbClr val="D1403C"/>
                </a:gs>
              </a:gsLst>
              <a:lin ang="5400000"/>
            </a:gradFill>
            <a:ln w="25400">
              <a:noFill/>
            </a:ln>
            <a:effectLst>
              <a:outerShdw dist="35921" dir="2700000" algn="br">
                <a:srgbClr val="000000"/>
              </a:outerShdw>
            </a:effectLst>
          </c:spPr>
          <c:invertIfNegative val="0"/>
          <c:dLbls>
            <c:dLbl>
              <c:idx val="0"/>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0"/>
                  <c:y val="-1.4998125234346833E-3"/>
                </c:manualLayout>
              </c:layout>
              <c:showLegendKey val="0"/>
              <c:showVal val="1"/>
              <c:showCatName val="0"/>
              <c:showSerName val="0"/>
              <c:showPercent val="0"/>
              <c:showBubbleSize val="0"/>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7"/>
              <c:delete val="1"/>
              <c:extLst>
                <c:ext xmlns:c15="http://schemas.microsoft.com/office/drawing/2012/chart" uri="{CE6537A1-D6FC-4f65-9D91-7224C49458BB}"/>
              </c:extLst>
            </c:dLbl>
            <c:spPr>
              <a:noFill/>
              <a:ln w="25400">
                <a:noFill/>
              </a:ln>
            </c:spPr>
            <c:txPr>
              <a:bodyPr/>
              <a:lstStyle/>
              <a:p>
                <a:pPr>
                  <a:defRPr sz="9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сем 12_13 всего отчислены бак'!$A$3:$A$29</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'1 сем 12_13 всего отчислены бак'!$J$3:$J$29</c:f>
              <c:numCache>
                <c:formatCode>General</c:formatCode>
                <c:ptCount val="27"/>
                <c:pt idx="0">
                  <c:v>0</c:v>
                </c:pt>
                <c:pt idx="1">
                  <c:v>1</c:v>
                </c:pt>
                <c:pt idx="2">
                  <c:v>1</c:v>
                </c:pt>
                <c:pt idx="3">
                  <c:v>1</c:v>
                </c:pt>
                <c:pt idx="4">
                  <c:v>2</c:v>
                </c:pt>
                <c:pt idx="5">
                  <c:v>0</c:v>
                </c:pt>
                <c:pt idx="6">
                  <c:v>0</c:v>
                </c:pt>
                <c:pt idx="7">
                  <c:v>1</c:v>
                </c:pt>
                <c:pt idx="8">
                  <c:v>2</c:v>
                </c:pt>
                <c:pt idx="9">
                  <c:v>6</c:v>
                </c:pt>
                <c:pt idx="10">
                  <c:v>7</c:v>
                </c:pt>
                <c:pt idx="11">
                  <c:v>4</c:v>
                </c:pt>
                <c:pt idx="12">
                  <c:v>0</c:v>
                </c:pt>
                <c:pt idx="13">
                  <c:v>1</c:v>
                </c:pt>
                <c:pt idx="14">
                  <c:v>1</c:v>
                </c:pt>
                <c:pt idx="15">
                  <c:v>1</c:v>
                </c:pt>
                <c:pt idx="16">
                  <c:v>1</c:v>
                </c:pt>
                <c:pt idx="17">
                  <c:v>0</c:v>
                </c:pt>
                <c:pt idx="18">
                  <c:v>1</c:v>
                </c:pt>
                <c:pt idx="19">
                  <c:v>3</c:v>
                </c:pt>
                <c:pt idx="20">
                  <c:v>3</c:v>
                </c:pt>
                <c:pt idx="21">
                  <c:v>1</c:v>
                </c:pt>
                <c:pt idx="22">
                  <c:v>3</c:v>
                </c:pt>
                <c:pt idx="23">
                  <c:v>1</c:v>
                </c:pt>
                <c:pt idx="24">
                  <c:v>8</c:v>
                </c:pt>
                <c:pt idx="25">
                  <c:v>2</c:v>
                </c:pt>
                <c:pt idx="26">
                  <c:v>5</c:v>
                </c:pt>
              </c:numCache>
            </c:numRef>
          </c:val>
        </c:ser>
        <c:ser>
          <c:idx val="2"/>
          <c:order val="2"/>
          <c:tx>
            <c:v>3 курс</c:v>
          </c:tx>
          <c:spPr>
            <a:gradFill rotWithShape="0">
              <a:gsLst>
                <a:gs pos="0">
                  <a:srgbClr val="DCFFA0"/>
                </a:gs>
                <a:gs pos="100000">
                  <a:srgbClr val="A0CA4A"/>
                </a:gs>
              </a:gsLst>
              <a:lin ang="5400000"/>
            </a:gradFill>
            <a:ln w="25400">
              <a:noFill/>
            </a:ln>
            <a:effectLst>
              <a:outerShdw dist="35921" dir="2700000" algn="br">
                <a:srgbClr val="000000"/>
              </a:outerShdw>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6"/>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3"/>
              <c:delete val="1"/>
              <c:extLst>
                <c:ext xmlns:c15="http://schemas.microsoft.com/office/drawing/2012/chart" uri="{CE6537A1-D6FC-4f65-9D91-7224C49458BB}"/>
              </c:extLst>
            </c:dLbl>
            <c:spPr>
              <a:noFill/>
              <a:ln w="25400">
                <a:noFill/>
              </a:ln>
            </c:spPr>
            <c:txPr>
              <a:bodyPr/>
              <a:lstStyle/>
              <a:p>
                <a:pPr>
                  <a:defRPr sz="9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сем 12_13 всего отчислены бак'!$A$3:$A$29</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'1 сем 12_13 всего отчислены бак'!$O$3:$O$29</c:f>
              <c:numCache>
                <c:formatCode>General</c:formatCode>
                <c:ptCount val="27"/>
                <c:pt idx="0">
                  <c:v>0</c:v>
                </c:pt>
                <c:pt idx="1">
                  <c:v>0</c:v>
                </c:pt>
                <c:pt idx="2">
                  <c:v>2</c:v>
                </c:pt>
                <c:pt idx="3">
                  <c:v>1</c:v>
                </c:pt>
                <c:pt idx="4">
                  <c:v>1</c:v>
                </c:pt>
                <c:pt idx="5">
                  <c:v>0</c:v>
                </c:pt>
                <c:pt idx="6">
                  <c:v>1</c:v>
                </c:pt>
                <c:pt idx="7">
                  <c:v>0</c:v>
                </c:pt>
                <c:pt idx="8">
                  <c:v>1</c:v>
                </c:pt>
                <c:pt idx="9">
                  <c:v>1</c:v>
                </c:pt>
                <c:pt idx="10">
                  <c:v>9</c:v>
                </c:pt>
                <c:pt idx="11">
                  <c:v>7</c:v>
                </c:pt>
                <c:pt idx="12">
                  <c:v>0</c:v>
                </c:pt>
                <c:pt idx="13">
                  <c:v>1</c:v>
                </c:pt>
                <c:pt idx="14">
                  <c:v>2</c:v>
                </c:pt>
                <c:pt idx="15">
                  <c:v>3</c:v>
                </c:pt>
                <c:pt idx="16">
                  <c:v>0</c:v>
                </c:pt>
                <c:pt idx="17">
                  <c:v>1</c:v>
                </c:pt>
                <c:pt idx="18">
                  <c:v>1</c:v>
                </c:pt>
                <c:pt idx="19">
                  <c:v>0</c:v>
                </c:pt>
                <c:pt idx="20">
                  <c:v>2</c:v>
                </c:pt>
                <c:pt idx="21">
                  <c:v>0</c:v>
                </c:pt>
                <c:pt idx="22">
                  <c:v>1</c:v>
                </c:pt>
                <c:pt idx="23">
                  <c:v>0</c:v>
                </c:pt>
                <c:pt idx="24">
                  <c:v>4</c:v>
                </c:pt>
                <c:pt idx="25">
                  <c:v>2</c:v>
                </c:pt>
                <c:pt idx="26">
                  <c:v>6</c:v>
                </c:pt>
              </c:numCache>
            </c:numRef>
          </c:val>
        </c:ser>
        <c:ser>
          <c:idx val="3"/>
          <c:order val="3"/>
          <c:tx>
            <c:v>4 курс</c:v>
          </c:tx>
          <c:spPr>
            <a:gradFill rotWithShape="0">
              <a:gsLst>
                <a:gs pos="0">
                  <a:srgbClr val="C8B0ED"/>
                </a:gs>
                <a:gs pos="100000">
                  <a:srgbClr val="7F5BAB"/>
                </a:gs>
              </a:gsLst>
              <a:lin ang="5400000"/>
            </a:gradFill>
            <a:ln w="25400">
              <a:noFill/>
            </a:ln>
            <a:effectLst>
              <a:outerShdw dist="35921" dir="2700000" algn="br">
                <a:srgbClr val="000000"/>
              </a:outerShdw>
            </a:effectLst>
          </c:spPr>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layout>
                <c:manualLayout>
                  <c:x val="0"/>
                  <c:y val="2.9996250468691211E-3"/>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сем 12_13 всего отчислены бак'!$A$3:$A$29</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'1 сем 12_13 всего отчислены бак'!$T$3:$T$29</c:f>
              <c:numCache>
                <c:formatCode>General</c:formatCode>
                <c:ptCount val="27"/>
                <c:pt idx="0">
                  <c:v>0</c:v>
                </c:pt>
                <c:pt idx="1">
                  <c:v>2</c:v>
                </c:pt>
                <c:pt idx="2">
                  <c:v>0</c:v>
                </c:pt>
                <c:pt idx="3">
                  <c:v>0</c:v>
                </c:pt>
                <c:pt idx="4">
                  <c:v>0</c:v>
                </c:pt>
                <c:pt idx="5">
                  <c:v>0</c:v>
                </c:pt>
                <c:pt idx="6">
                  <c:v>1</c:v>
                </c:pt>
                <c:pt idx="7">
                  <c:v>0</c:v>
                </c:pt>
                <c:pt idx="8">
                  <c:v>0</c:v>
                </c:pt>
                <c:pt idx="9">
                  <c:v>4</c:v>
                </c:pt>
                <c:pt idx="10">
                  <c:v>0</c:v>
                </c:pt>
                <c:pt idx="11">
                  <c:v>6</c:v>
                </c:pt>
                <c:pt idx="12">
                  <c:v>1</c:v>
                </c:pt>
                <c:pt idx="13">
                  <c:v>0</c:v>
                </c:pt>
                <c:pt idx="14">
                  <c:v>2</c:v>
                </c:pt>
                <c:pt idx="15">
                  <c:v>0</c:v>
                </c:pt>
                <c:pt idx="16">
                  <c:v>0</c:v>
                </c:pt>
                <c:pt idx="17">
                  <c:v>1</c:v>
                </c:pt>
                <c:pt idx="18">
                  <c:v>0</c:v>
                </c:pt>
                <c:pt idx="19">
                  <c:v>0</c:v>
                </c:pt>
                <c:pt idx="20">
                  <c:v>2</c:v>
                </c:pt>
                <c:pt idx="21">
                  <c:v>0</c:v>
                </c:pt>
                <c:pt idx="22">
                  <c:v>0</c:v>
                </c:pt>
                <c:pt idx="23">
                  <c:v>1</c:v>
                </c:pt>
                <c:pt idx="24">
                  <c:v>3</c:v>
                </c:pt>
                <c:pt idx="25">
                  <c:v>2</c:v>
                </c:pt>
                <c:pt idx="26">
                  <c:v>7</c:v>
                </c:pt>
              </c:numCache>
            </c:numRef>
          </c:val>
        </c:ser>
        <c:dLbls>
          <c:showLegendKey val="0"/>
          <c:showVal val="0"/>
          <c:showCatName val="0"/>
          <c:showSerName val="0"/>
          <c:showPercent val="0"/>
          <c:showBubbleSize val="0"/>
        </c:dLbls>
        <c:gapWidth val="75"/>
        <c:overlap val="100"/>
        <c:axId val="449063936"/>
        <c:axId val="449098496"/>
      </c:barChart>
      <c:catAx>
        <c:axId val="449063936"/>
        <c:scaling>
          <c:orientation val="minMax"/>
        </c:scaling>
        <c:delete val="0"/>
        <c:axPos val="l"/>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449098496"/>
        <c:crosses val="autoZero"/>
        <c:auto val="1"/>
        <c:lblAlgn val="ctr"/>
        <c:lblOffset val="100"/>
        <c:noMultiLvlLbl val="0"/>
      </c:catAx>
      <c:valAx>
        <c:axId val="449098496"/>
        <c:scaling>
          <c:orientation val="minMax"/>
          <c:max val="60"/>
        </c:scaling>
        <c:delete val="0"/>
        <c:axPos val="b"/>
        <c:majorGridlines>
          <c:spPr>
            <a:ln w="3175">
              <a:solidFill>
                <a:srgbClr val="808080"/>
              </a:solidFill>
              <a:prstDash val="solid"/>
            </a:ln>
          </c:spPr>
        </c:majorGridlines>
        <c:numFmt formatCode="General"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ru-RU"/>
          </a:p>
        </c:txPr>
        <c:crossAx val="449063936"/>
        <c:crosses val="autoZero"/>
        <c:crossBetween val="between"/>
      </c:valAx>
      <c:spPr>
        <a:solidFill>
          <a:srgbClr val="FFFFFF"/>
        </a:solidFill>
        <a:ln w="25400">
          <a:noFill/>
        </a:ln>
      </c:spPr>
    </c:plotArea>
    <c:legend>
      <c:legendPos val="r"/>
      <c:layout>
        <c:manualLayout>
          <c:xMode val="edge"/>
          <c:yMode val="edge"/>
          <c:x val="0.23551467124301767"/>
          <c:y val="0.96173347473917903"/>
          <c:w val="0.51858873410054496"/>
          <c:h val="2.7280477408354743E-2"/>
        </c:manualLayout>
      </c:layout>
      <c:overlay val="0"/>
      <c:spPr>
        <a:noFill/>
        <a:ln w="25400">
          <a:noFill/>
        </a:ln>
      </c:spPr>
      <c:txPr>
        <a:bodyPr/>
        <a:lstStyle/>
        <a:p>
          <a:pPr>
            <a:defRPr sz="1180"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ru-RU" sz="1200" b="1" i="0" u="none" strike="noStrike" baseline="0">
                <a:effectLst/>
              </a:rPr>
              <a:t>Доля отчисленных студентов бакалавриата и специалитета по курсам (в процентах)</a:t>
            </a:r>
            <a:endParaRPr lang="ru-RU" sz="1200" b="1"/>
          </a:p>
        </c:rich>
      </c:tx>
      <c:overlay val="0"/>
    </c:title>
    <c:autoTitleDeleted val="0"/>
    <c:plotArea>
      <c:layout>
        <c:manualLayout>
          <c:layoutTarget val="inner"/>
          <c:xMode val="edge"/>
          <c:yMode val="edge"/>
          <c:x val="0.18093745076882481"/>
          <c:y val="7.745235593984813E-2"/>
          <c:w val="0.72086022656001802"/>
          <c:h val="0.87023409358514903"/>
        </c:manualLayout>
      </c:layout>
      <c:barChart>
        <c:barDir val="bar"/>
        <c:grouping val="clustered"/>
        <c:varyColors val="0"/>
        <c:ser>
          <c:idx val="0"/>
          <c:order val="0"/>
          <c:tx>
            <c:v>1 курс</c:v>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cat>
            <c:strRef>
              <c:f>('1 сем 12_13'!$B$4,'1 сем 12_13'!$B$10:$B$35)</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('1 сем 12_13'!$E$4,'1 сем 12_13'!$E$10:$E$35)</c:f>
              <c:numCache>
                <c:formatCode>0.00</c:formatCode>
                <c:ptCount val="27"/>
                <c:pt idx="0">
                  <c:v>2.419354838709677</c:v>
                </c:pt>
                <c:pt idx="1">
                  <c:v>13.888888888888939</c:v>
                </c:pt>
                <c:pt idx="2">
                  <c:v>20</c:v>
                </c:pt>
                <c:pt idx="3">
                  <c:v>2.9126213592232881</c:v>
                </c:pt>
                <c:pt idx="4">
                  <c:v>2.8846153846153837</c:v>
                </c:pt>
                <c:pt idx="5">
                  <c:v>3.4482758620689649</c:v>
                </c:pt>
                <c:pt idx="6">
                  <c:v>0</c:v>
                </c:pt>
                <c:pt idx="7">
                  <c:v>1.7857142857142778</c:v>
                </c:pt>
                <c:pt idx="8">
                  <c:v>3.8095238095238027</c:v>
                </c:pt>
                <c:pt idx="9">
                  <c:v>1.290322580645161</c:v>
                </c:pt>
                <c:pt idx="10">
                  <c:v>5.1660516605165849</c:v>
                </c:pt>
                <c:pt idx="11">
                  <c:v>2.3529411764705777</c:v>
                </c:pt>
                <c:pt idx="12">
                  <c:v>9.8039215686274517</c:v>
                </c:pt>
                <c:pt idx="13">
                  <c:v>3.2608695652174036</c:v>
                </c:pt>
                <c:pt idx="14">
                  <c:v>1.7857142857142778</c:v>
                </c:pt>
                <c:pt idx="15">
                  <c:v>3.9682539682539679</c:v>
                </c:pt>
                <c:pt idx="16">
                  <c:v>12.068965517241384</c:v>
                </c:pt>
                <c:pt idx="17">
                  <c:v>25.757575757575761</c:v>
                </c:pt>
                <c:pt idx="18">
                  <c:v>7.7669902912621414</c:v>
                </c:pt>
                <c:pt idx="19">
                  <c:v>8.5106382978723527</c:v>
                </c:pt>
                <c:pt idx="20">
                  <c:v>8.7591240875912408</c:v>
                </c:pt>
                <c:pt idx="21">
                  <c:v>0</c:v>
                </c:pt>
                <c:pt idx="22">
                  <c:v>4.7619047619047619</c:v>
                </c:pt>
                <c:pt idx="23">
                  <c:v>4.4117647058823923</c:v>
                </c:pt>
                <c:pt idx="24">
                  <c:v>13.46153846153846</c:v>
                </c:pt>
                <c:pt idx="25">
                  <c:v>6.818181818181789</c:v>
                </c:pt>
                <c:pt idx="26">
                  <c:v>40.384615384615294</c:v>
                </c:pt>
              </c:numCache>
            </c:numRef>
          </c:val>
        </c:ser>
        <c:ser>
          <c:idx val="6"/>
          <c:order val="1"/>
          <c:tx>
            <c:v>2 курс</c:v>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cat>
            <c:strRef>
              <c:f>('1 сем 12_13'!$B$4,'1 сем 12_13'!$B$10:$B$35)</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('1 сем 12_13'!$N$4,'1 сем 12_13'!$N$10:$N$35)</c:f>
              <c:numCache>
                <c:formatCode>0.00</c:formatCode>
                <c:ptCount val="27"/>
                <c:pt idx="0" formatCode="General">
                  <c:v>1.8181818181818181</c:v>
                </c:pt>
                <c:pt idx="1">
                  <c:v>2.3529411764705777</c:v>
                </c:pt>
                <c:pt idx="2">
                  <c:v>12.5</c:v>
                </c:pt>
                <c:pt idx="3">
                  <c:v>9.3023255813953494</c:v>
                </c:pt>
                <c:pt idx="4">
                  <c:v>2.8571428571428572</c:v>
                </c:pt>
                <c:pt idx="5">
                  <c:v>1.8518518518518521</c:v>
                </c:pt>
                <c:pt idx="6">
                  <c:v>3.125</c:v>
                </c:pt>
                <c:pt idx="7">
                  <c:v>6.25</c:v>
                </c:pt>
                <c:pt idx="8">
                  <c:v>3.6144578313253009</c:v>
                </c:pt>
                <c:pt idx="9">
                  <c:v>4.9689440993788816</c:v>
                </c:pt>
                <c:pt idx="10">
                  <c:v>4.1666666666666661</c:v>
                </c:pt>
                <c:pt idx="11">
                  <c:v>3.517587939698493</c:v>
                </c:pt>
                <c:pt idx="12">
                  <c:v>0</c:v>
                </c:pt>
                <c:pt idx="13">
                  <c:v>3.3057851239669387</c:v>
                </c:pt>
                <c:pt idx="14">
                  <c:v>1.31578947368421</c:v>
                </c:pt>
                <c:pt idx="15">
                  <c:v>2.64900662251656</c:v>
                </c:pt>
                <c:pt idx="16">
                  <c:v>5.6603773584905657</c:v>
                </c:pt>
                <c:pt idx="17">
                  <c:v>0</c:v>
                </c:pt>
                <c:pt idx="18">
                  <c:v>6.0975609756097455</c:v>
                </c:pt>
                <c:pt idx="19">
                  <c:v>7.6923076923076916</c:v>
                </c:pt>
                <c:pt idx="20">
                  <c:v>5.4347826086956506</c:v>
                </c:pt>
                <c:pt idx="21">
                  <c:v>1.6949152542372881</c:v>
                </c:pt>
                <c:pt idx="22">
                  <c:v>8.2191780821916964</c:v>
                </c:pt>
                <c:pt idx="23">
                  <c:v>2.1276595744680837</c:v>
                </c:pt>
                <c:pt idx="24">
                  <c:v>16.483516483516429</c:v>
                </c:pt>
                <c:pt idx="25">
                  <c:v>5.6179775280898525</c:v>
                </c:pt>
                <c:pt idx="26">
                  <c:v>10.666666666666718</c:v>
                </c:pt>
              </c:numCache>
            </c:numRef>
          </c:val>
        </c:ser>
        <c:ser>
          <c:idx val="7"/>
          <c:order val="2"/>
          <c:tx>
            <c:v>3 курс</c:v>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invertIfNegative val="0"/>
          <c:cat>
            <c:strRef>
              <c:f>('1 сем 12_13'!$B$4,'1 сем 12_13'!$B$10:$B$35)</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('1 сем 12_13'!$W$4,'1 сем 12_13'!$W$10:$W$35)</c:f>
              <c:numCache>
                <c:formatCode>General</c:formatCode>
                <c:ptCount val="27"/>
                <c:pt idx="0" formatCode="0.00">
                  <c:v>0.7692307692307685</c:v>
                </c:pt>
                <c:pt idx="1">
                  <c:v>0</c:v>
                </c:pt>
                <c:pt idx="2" formatCode="0.00">
                  <c:v>3.7037037037037042</c:v>
                </c:pt>
                <c:pt idx="3" formatCode="0.00">
                  <c:v>8.1632653061224492</c:v>
                </c:pt>
                <c:pt idx="4" formatCode="0.00">
                  <c:v>0.82644628099173556</c:v>
                </c:pt>
                <c:pt idx="5" formatCode="0.00">
                  <c:v>2.7027027027027111</c:v>
                </c:pt>
                <c:pt idx="6" formatCode="0.00">
                  <c:v>2.1052631578947372</c:v>
                </c:pt>
                <c:pt idx="7" formatCode="0.00">
                  <c:v>0</c:v>
                </c:pt>
                <c:pt idx="8" formatCode="0.00">
                  <c:v>5</c:v>
                </c:pt>
                <c:pt idx="9" formatCode="0.00">
                  <c:v>1.0582010582010579</c:v>
                </c:pt>
                <c:pt idx="10" formatCode="0.00">
                  <c:v>6.3106796116504853</c:v>
                </c:pt>
                <c:pt idx="11" formatCode="0.00">
                  <c:v>5.3921568627450549</c:v>
                </c:pt>
                <c:pt idx="12" formatCode="0.00">
                  <c:v>2.9411764705882337</c:v>
                </c:pt>
                <c:pt idx="13" formatCode="0.00">
                  <c:v>6.666666666666667</c:v>
                </c:pt>
                <c:pt idx="14" formatCode="0.00">
                  <c:v>2.3809523809523809</c:v>
                </c:pt>
                <c:pt idx="15" formatCode="0.00">
                  <c:v>5.7142857142857055</c:v>
                </c:pt>
                <c:pt idx="17" formatCode="0.00">
                  <c:v>12.5</c:v>
                </c:pt>
                <c:pt idx="18" formatCode="0.00">
                  <c:v>1.6666666666666681</c:v>
                </c:pt>
                <c:pt idx="19" formatCode="0.00">
                  <c:v>0</c:v>
                </c:pt>
                <c:pt idx="20" formatCode="0.00">
                  <c:v>1.3636363636363631</c:v>
                </c:pt>
                <c:pt idx="22" formatCode="0.00">
                  <c:v>2</c:v>
                </c:pt>
                <c:pt idx="23" formatCode="0.00">
                  <c:v>0</c:v>
                </c:pt>
                <c:pt idx="24" formatCode="0.00">
                  <c:v>17.39130434782609</c:v>
                </c:pt>
                <c:pt idx="25" formatCode="0.00">
                  <c:v>15.789473684210472</c:v>
                </c:pt>
                <c:pt idx="26" formatCode="0.00">
                  <c:v>7.8313253012048492</c:v>
                </c:pt>
              </c:numCache>
            </c:numRef>
          </c:val>
        </c:ser>
        <c:ser>
          <c:idx val="8"/>
          <c:order val="3"/>
          <c:tx>
            <c:v>4 курс</c:v>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invertIfNegative val="0"/>
          <c:cat>
            <c:strRef>
              <c:f>('1 сем 12_13'!$B$4,'1 сем 12_13'!$B$10:$B$35)</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('1 сем 12_13'!$AF$4,'1 сем 12_13'!$AF$10:$AF$35)</c:f>
              <c:numCache>
                <c:formatCode>0.00</c:formatCode>
                <c:ptCount val="27"/>
                <c:pt idx="0">
                  <c:v>0.81967213114754101</c:v>
                </c:pt>
                <c:pt idx="1">
                  <c:v>1.2121212121212068</c:v>
                </c:pt>
                <c:pt idx="2">
                  <c:v>5.7692307692307701</c:v>
                </c:pt>
                <c:pt idx="3">
                  <c:v>0</c:v>
                </c:pt>
                <c:pt idx="4">
                  <c:v>0.90909090909090851</c:v>
                </c:pt>
                <c:pt idx="6">
                  <c:v>1.0204081632653061</c:v>
                </c:pt>
                <c:pt idx="7">
                  <c:v>0</c:v>
                </c:pt>
                <c:pt idx="8">
                  <c:v>0</c:v>
                </c:pt>
                <c:pt idx="9">
                  <c:v>2.2522522522522532</c:v>
                </c:pt>
                <c:pt idx="10">
                  <c:v>0.82987551867220155</c:v>
                </c:pt>
                <c:pt idx="11">
                  <c:v>3.4313725490196068</c:v>
                </c:pt>
                <c:pt idx="12">
                  <c:v>2.5316455696202382</c:v>
                </c:pt>
                <c:pt idx="13">
                  <c:v>0</c:v>
                </c:pt>
                <c:pt idx="14">
                  <c:v>2.6315789473684208</c:v>
                </c:pt>
                <c:pt idx="15">
                  <c:v>0.94339622641509679</c:v>
                </c:pt>
                <c:pt idx="17">
                  <c:v>3.0303030303030267</c:v>
                </c:pt>
                <c:pt idx="19" formatCode="General">
                  <c:v>0</c:v>
                </c:pt>
                <c:pt idx="20">
                  <c:v>1.8656716417910451</c:v>
                </c:pt>
                <c:pt idx="22" formatCode="General">
                  <c:v>0</c:v>
                </c:pt>
                <c:pt idx="23">
                  <c:v>2.7027027027027111</c:v>
                </c:pt>
                <c:pt idx="24">
                  <c:v>5.4794520547945558</c:v>
                </c:pt>
                <c:pt idx="25">
                  <c:v>2.7397260273972601</c:v>
                </c:pt>
                <c:pt idx="26">
                  <c:v>5.2631578947368416</c:v>
                </c:pt>
              </c:numCache>
            </c:numRef>
          </c:val>
        </c:ser>
        <c:ser>
          <c:idx val="9"/>
          <c:order val="4"/>
          <c:tx>
            <c:v>5 курс</c:v>
          </c:tx>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invertIfNegative val="0"/>
          <c:cat>
            <c:strRef>
              <c:f>('1 сем 12_13'!$B$4,'1 сем 12_13'!$B$10:$B$35)</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('1 сем 12_13'!$AO$4,'1 сем 12_13'!$AO$10:$AO$35)</c:f>
              <c:numCache>
                <c:formatCode>General</c:formatCode>
                <c:ptCount val="27"/>
                <c:pt idx="4">
                  <c:v>0</c:v>
                </c:pt>
                <c:pt idx="6" formatCode="0.00">
                  <c:v>2.0833333333333401</c:v>
                </c:pt>
                <c:pt idx="10">
                  <c:v>0</c:v>
                </c:pt>
                <c:pt idx="11" formatCode="0.00">
                  <c:v>1.4388489208633142</c:v>
                </c:pt>
                <c:pt idx="13">
                  <c:v>0</c:v>
                </c:pt>
                <c:pt idx="20">
                  <c:v>0</c:v>
                </c:pt>
                <c:pt idx="23">
                  <c:v>0</c:v>
                </c:pt>
                <c:pt idx="24">
                  <c:v>1.25</c:v>
                </c:pt>
                <c:pt idx="25">
                  <c:v>5.6338028169013965</c:v>
                </c:pt>
                <c:pt idx="26">
                  <c:v>0.52083333333333404</c:v>
                </c:pt>
              </c:numCache>
            </c:numRef>
          </c:val>
        </c:ser>
        <c:dLbls>
          <c:showLegendKey val="0"/>
          <c:showVal val="0"/>
          <c:showCatName val="0"/>
          <c:showSerName val="0"/>
          <c:showPercent val="0"/>
          <c:showBubbleSize val="0"/>
        </c:dLbls>
        <c:gapWidth val="0"/>
        <c:overlap val="-6"/>
        <c:axId val="449556864"/>
        <c:axId val="449558400"/>
      </c:barChart>
      <c:catAx>
        <c:axId val="449556864"/>
        <c:scaling>
          <c:orientation val="minMax"/>
        </c:scaling>
        <c:delete val="0"/>
        <c:axPos val="l"/>
        <c:numFmt formatCode="General" sourceLinked="0"/>
        <c:majorTickMark val="out"/>
        <c:minorTickMark val="none"/>
        <c:tickLblPos val="nextTo"/>
        <c:crossAx val="449558400"/>
        <c:crosses val="autoZero"/>
        <c:auto val="1"/>
        <c:lblAlgn val="ctr"/>
        <c:lblOffset val="100"/>
        <c:noMultiLvlLbl val="0"/>
      </c:catAx>
      <c:valAx>
        <c:axId val="449558400"/>
        <c:scaling>
          <c:orientation val="minMax"/>
        </c:scaling>
        <c:delete val="0"/>
        <c:axPos val="b"/>
        <c:majorGridlines/>
        <c:numFmt formatCode="0" sourceLinked="0"/>
        <c:majorTickMark val="out"/>
        <c:minorTickMark val="none"/>
        <c:tickLblPos val="nextTo"/>
        <c:crossAx val="449556864"/>
        <c:crosses val="autoZero"/>
        <c:crossBetween val="between"/>
      </c:valAx>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b="1" i="0" u="none" strike="noStrike" baseline="0">
                <a:solidFill>
                  <a:srgbClr val="000000"/>
                </a:solidFill>
                <a:latin typeface="Calibri"/>
                <a:ea typeface="Calibri"/>
                <a:cs typeface="Calibri"/>
              </a:defRPr>
            </a:pPr>
            <a:r>
              <a:rPr lang="ru-RU" sz="1200" b="1"/>
              <a:t>Доля отчислений студентов магистратуры по курсам в процентах от численности студентов курса на 1 октября 2012 года</a:t>
            </a:r>
          </a:p>
        </c:rich>
      </c:tx>
      <c:overlay val="0"/>
      <c:spPr>
        <a:noFill/>
        <a:ln w="25400">
          <a:noFill/>
        </a:ln>
      </c:spPr>
    </c:title>
    <c:autoTitleDeleted val="0"/>
    <c:plotArea>
      <c:layout>
        <c:manualLayout>
          <c:layoutTarget val="inner"/>
          <c:xMode val="edge"/>
          <c:yMode val="edge"/>
          <c:x val="0.2480514895119478"/>
          <c:y val="0.11453962447014319"/>
          <c:w val="0.63242716216389028"/>
          <c:h val="0.87392359009352205"/>
        </c:manualLayout>
      </c:layout>
      <c:barChart>
        <c:barDir val="bar"/>
        <c:grouping val="clustered"/>
        <c:varyColors val="0"/>
        <c:ser>
          <c:idx val="0"/>
          <c:order val="0"/>
          <c:tx>
            <c:v>1 курс</c:v>
          </c:tx>
          <c:spPr>
            <a:gradFill rotWithShape="0">
              <a:gsLst>
                <a:gs pos="0">
                  <a:srgbClr val="9BC1FF"/>
                </a:gs>
                <a:gs pos="100000">
                  <a:srgbClr val="3F80CD"/>
                </a:gs>
              </a:gsLst>
              <a:lin ang="5400000"/>
            </a:gradFill>
            <a:ln w="25400">
              <a:noFill/>
            </a:ln>
            <a:effectLst>
              <a:outerShdw dist="35921" dir="2700000" algn="br">
                <a:srgbClr val="000000"/>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сем 12_13 маг'!$B$4,'1 сем 12_13 маг'!$B$6:$B$21,'1 сем 12_13 маг'!$B$23:$B$29,'1 сем 12_13 маг'!$B$31,'1 сем 12_13 маг'!$B$33,'1 сем 12_13 маг'!$B$35)</c:f>
              <c:strCache>
                <c:ptCount val="27"/>
                <c:pt idx="0">
                  <c:v>МИЭФ</c:v>
                </c:pt>
                <c:pt idx="1">
                  <c:v>Институт образования</c:v>
                </c:pt>
                <c:pt idx="2">
                  <c:v>Банковский институт</c:v>
                </c:pt>
                <c:pt idx="3">
                  <c:v>ВШУ</c:v>
                </c:pt>
                <c:pt idx="4">
                  <c:v>Каф.ПП</c:v>
                </c:pt>
                <c:pt idx="5">
                  <c:v>БИ</c:v>
                </c:pt>
                <c:pt idx="6">
                  <c:v>ПМ</c:v>
                </c:pt>
                <c:pt idx="7">
                  <c:v>ПИ</c:v>
                </c:pt>
                <c:pt idx="8">
                  <c:v>ГМУ</c:v>
                </c:pt>
                <c:pt idx="9">
                  <c:v>История</c:v>
                </c:pt>
                <c:pt idx="10">
                  <c:v>Логистика</c:v>
                </c:pt>
                <c:pt idx="11">
                  <c:v>Математика</c:v>
                </c:pt>
                <c:pt idx="12">
                  <c:v>Медиакомм.</c:v>
                </c:pt>
                <c:pt idx="13">
                  <c:v>Менеджмент</c:v>
                </c:pt>
                <c:pt idx="14">
                  <c:v>МЭиМП</c:v>
                </c:pt>
                <c:pt idx="15">
                  <c:v>Право</c:v>
                </c:pt>
                <c:pt idx="16">
                  <c:v>ПП</c:v>
                </c:pt>
                <c:pt idx="17">
                  <c:v>Психология</c:v>
                </c:pt>
                <c:pt idx="18">
                  <c:v>Социология</c:v>
                </c:pt>
                <c:pt idx="19">
                  <c:v>Филология</c:v>
                </c:pt>
                <c:pt idx="20">
                  <c:v>Философия</c:v>
                </c:pt>
                <c:pt idx="21">
                  <c:v>Востоковедение</c:v>
                </c:pt>
                <c:pt idx="22">
                  <c:v>Культурология</c:v>
                </c:pt>
                <c:pt idx="23">
                  <c:v>Экономика</c:v>
                </c:pt>
                <c:pt idx="24">
                  <c:v>Отд. Статистики</c:v>
                </c:pt>
                <c:pt idx="25">
                  <c:v>МИЭМ ФИТиВТ</c:v>
                </c:pt>
                <c:pt idx="26">
                  <c:v>МИЭМ ФЭТ</c:v>
                </c:pt>
              </c:strCache>
            </c:strRef>
          </c:cat>
          <c:val>
            <c:numRef>
              <c:f>('1 сем 12_13 маг'!$BP$4,'1 сем 12_13 маг'!$BP$6:$BP$21,'1 сем 12_13 маг'!$BP$23:$BP$29,'1 сем 12_13 маг'!$BP$31,'1 сем 12_13 маг'!$BP$33,'1 сем 12_13 маг'!$BP$35)</c:f>
              <c:numCache>
                <c:formatCode>0.00</c:formatCode>
                <c:ptCount val="27"/>
                <c:pt idx="0" formatCode="General">
                  <c:v>20</c:v>
                </c:pt>
                <c:pt idx="1">
                  <c:v>17.647058823529431</c:v>
                </c:pt>
                <c:pt idx="2">
                  <c:v>0</c:v>
                </c:pt>
                <c:pt idx="3">
                  <c:v>4.1666666666666661</c:v>
                </c:pt>
                <c:pt idx="4">
                  <c:v>0</c:v>
                </c:pt>
                <c:pt idx="5">
                  <c:v>5</c:v>
                </c:pt>
                <c:pt idx="6">
                  <c:v>17.39130434782609</c:v>
                </c:pt>
                <c:pt idx="7">
                  <c:v>0</c:v>
                </c:pt>
                <c:pt idx="8">
                  <c:v>6.3829787234042552</c:v>
                </c:pt>
                <c:pt idx="9">
                  <c:v>16.666666666666661</c:v>
                </c:pt>
                <c:pt idx="10">
                  <c:v>27.586206896551598</c:v>
                </c:pt>
                <c:pt idx="11">
                  <c:v>16</c:v>
                </c:pt>
                <c:pt idx="12">
                  <c:v>9.7560975609756166</c:v>
                </c:pt>
                <c:pt idx="13">
                  <c:v>5.9090909090909101</c:v>
                </c:pt>
                <c:pt idx="14">
                  <c:v>6.1855670103092786</c:v>
                </c:pt>
                <c:pt idx="15">
                  <c:v>10.236220472440918</c:v>
                </c:pt>
                <c:pt idx="16">
                  <c:v>13.793103448275808</c:v>
                </c:pt>
                <c:pt idx="17">
                  <c:v>5.0847457627118704</c:v>
                </c:pt>
                <c:pt idx="18">
                  <c:v>11.428571428571376</c:v>
                </c:pt>
                <c:pt idx="19">
                  <c:v>12.5</c:v>
                </c:pt>
                <c:pt idx="20">
                  <c:v>13.33333333333333</c:v>
                </c:pt>
                <c:pt idx="21">
                  <c:v>5</c:v>
                </c:pt>
                <c:pt idx="22">
                  <c:v>5</c:v>
                </c:pt>
                <c:pt idx="23">
                  <c:v>10.365853658536649</c:v>
                </c:pt>
                <c:pt idx="24">
                  <c:v>11.111111111111047</c:v>
                </c:pt>
                <c:pt idx="25">
                  <c:v>24.324324324324326</c:v>
                </c:pt>
                <c:pt idx="26">
                  <c:v>13.043478260869549</c:v>
                </c:pt>
              </c:numCache>
            </c:numRef>
          </c:val>
        </c:ser>
        <c:ser>
          <c:idx val="2"/>
          <c:order val="1"/>
          <c:tx>
            <c:v>2 курс</c:v>
          </c:tx>
          <c:invertIfNegative val="0"/>
          <c:dLbls>
            <c:dLbl>
              <c:idx val="2"/>
              <c:delete val="1"/>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сем 12_13 маг'!$B$4,'1 сем 12_13 маг'!$B$6:$B$21,'1 сем 12_13 маг'!$B$23:$B$29,'1 сем 12_13 маг'!$B$31,'1 сем 12_13 маг'!$B$33,'1 сем 12_13 маг'!$B$35)</c:f>
              <c:strCache>
                <c:ptCount val="27"/>
                <c:pt idx="0">
                  <c:v>МИЭФ</c:v>
                </c:pt>
                <c:pt idx="1">
                  <c:v>Институт образования</c:v>
                </c:pt>
                <c:pt idx="2">
                  <c:v>Банковский институт</c:v>
                </c:pt>
                <c:pt idx="3">
                  <c:v>ВШУ</c:v>
                </c:pt>
                <c:pt idx="4">
                  <c:v>Каф.ПП</c:v>
                </c:pt>
                <c:pt idx="5">
                  <c:v>БИ</c:v>
                </c:pt>
                <c:pt idx="6">
                  <c:v>ПМ</c:v>
                </c:pt>
                <c:pt idx="7">
                  <c:v>ПИ</c:v>
                </c:pt>
                <c:pt idx="8">
                  <c:v>ГМУ</c:v>
                </c:pt>
                <c:pt idx="9">
                  <c:v>История</c:v>
                </c:pt>
                <c:pt idx="10">
                  <c:v>Логистика</c:v>
                </c:pt>
                <c:pt idx="11">
                  <c:v>Математика</c:v>
                </c:pt>
                <c:pt idx="12">
                  <c:v>Медиакомм.</c:v>
                </c:pt>
                <c:pt idx="13">
                  <c:v>Менеджмент</c:v>
                </c:pt>
                <c:pt idx="14">
                  <c:v>МЭиМП</c:v>
                </c:pt>
                <c:pt idx="15">
                  <c:v>Право</c:v>
                </c:pt>
                <c:pt idx="16">
                  <c:v>ПП</c:v>
                </c:pt>
                <c:pt idx="17">
                  <c:v>Психология</c:v>
                </c:pt>
                <c:pt idx="18">
                  <c:v>Социология</c:v>
                </c:pt>
                <c:pt idx="19">
                  <c:v>Филология</c:v>
                </c:pt>
                <c:pt idx="20">
                  <c:v>Философия</c:v>
                </c:pt>
                <c:pt idx="21">
                  <c:v>Востоковедение</c:v>
                </c:pt>
                <c:pt idx="22">
                  <c:v>Культурология</c:v>
                </c:pt>
                <c:pt idx="23">
                  <c:v>Экономика</c:v>
                </c:pt>
                <c:pt idx="24">
                  <c:v>Отд. Статистики</c:v>
                </c:pt>
                <c:pt idx="25">
                  <c:v>МИЭМ ФИТиВТ</c:v>
                </c:pt>
                <c:pt idx="26">
                  <c:v>МИЭМ ФЭТ</c:v>
                </c:pt>
              </c:strCache>
            </c:strRef>
          </c:cat>
          <c:val>
            <c:numRef>
              <c:f>('1 сем 12_13 маг'!$BY$4,'1 сем 12_13 маг'!$BY$6:$BY$21,'1 сем 12_13 маг'!$BY$23:$BY$29,'1 сем 12_13 маг'!$BY$31,'1 сем 12_13 маг'!$BY$33,'1 сем 12_13 маг'!$BY$35)</c:f>
              <c:numCache>
                <c:formatCode>0.00</c:formatCode>
                <c:ptCount val="27"/>
                <c:pt idx="0">
                  <c:v>16.666666666666661</c:v>
                </c:pt>
                <c:pt idx="1">
                  <c:v>11.111111111111047</c:v>
                </c:pt>
                <c:pt idx="2">
                  <c:v>0</c:v>
                </c:pt>
                <c:pt idx="3">
                  <c:v>4.3478260869565206</c:v>
                </c:pt>
                <c:pt idx="4">
                  <c:v>4.7619047619047619</c:v>
                </c:pt>
                <c:pt idx="5">
                  <c:v>0</c:v>
                </c:pt>
                <c:pt idx="6">
                  <c:v>0</c:v>
                </c:pt>
                <c:pt idx="7">
                  <c:v>0</c:v>
                </c:pt>
                <c:pt idx="8">
                  <c:v>3.5714285714285707</c:v>
                </c:pt>
                <c:pt idx="9">
                  <c:v>7.6923076923076916</c:v>
                </c:pt>
                <c:pt idx="11">
                  <c:v>0</c:v>
                </c:pt>
                <c:pt idx="12">
                  <c:v>3.5714285714285707</c:v>
                </c:pt>
                <c:pt idx="13">
                  <c:v>2.42914979757085</c:v>
                </c:pt>
                <c:pt idx="14">
                  <c:v>5.6338028169013965</c:v>
                </c:pt>
                <c:pt idx="15">
                  <c:v>1.8181818181818181</c:v>
                </c:pt>
                <c:pt idx="16">
                  <c:v>4</c:v>
                </c:pt>
                <c:pt idx="17">
                  <c:v>2.7777777777777959</c:v>
                </c:pt>
                <c:pt idx="18">
                  <c:v>1.0416666666666659</c:v>
                </c:pt>
                <c:pt idx="20">
                  <c:v>0</c:v>
                </c:pt>
                <c:pt idx="22">
                  <c:v>0</c:v>
                </c:pt>
                <c:pt idx="23">
                  <c:v>1.3114754098360661</c:v>
                </c:pt>
                <c:pt idx="24">
                  <c:v>7.6923076923076916</c:v>
                </c:pt>
                <c:pt idx="25">
                  <c:v>0</c:v>
                </c:pt>
                <c:pt idx="26">
                  <c:v>0</c:v>
                </c:pt>
              </c:numCache>
            </c:numRef>
          </c:val>
        </c:ser>
        <c:dLbls>
          <c:showLegendKey val="0"/>
          <c:showVal val="0"/>
          <c:showCatName val="0"/>
          <c:showSerName val="0"/>
          <c:showPercent val="0"/>
          <c:showBubbleSize val="0"/>
        </c:dLbls>
        <c:gapWidth val="26"/>
        <c:axId val="449661952"/>
        <c:axId val="449676032"/>
      </c:barChart>
      <c:catAx>
        <c:axId val="449661952"/>
        <c:scaling>
          <c:orientation val="maxMin"/>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449676032"/>
        <c:crosses val="autoZero"/>
        <c:auto val="1"/>
        <c:lblAlgn val="ctr"/>
        <c:lblOffset val="100"/>
        <c:noMultiLvlLbl val="0"/>
      </c:catAx>
      <c:valAx>
        <c:axId val="449676032"/>
        <c:scaling>
          <c:orientation val="minMax"/>
        </c:scaling>
        <c:delete val="0"/>
        <c:axPos val="t"/>
        <c:majorGridlines>
          <c:spPr>
            <a:ln w="3175">
              <a:solidFill>
                <a:srgbClr val="808080"/>
              </a:solidFill>
              <a:prstDash val="solid"/>
            </a:ln>
          </c:spPr>
        </c:majorGridlines>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449661952"/>
        <c:crosses val="autoZero"/>
        <c:crossBetween val="between"/>
      </c:valAx>
      <c:spPr>
        <a:solidFill>
          <a:srgbClr val="FFFFFF"/>
        </a:solidFill>
        <a:ln w="25400">
          <a:noFill/>
        </a:ln>
      </c:spPr>
    </c:plotArea>
    <c:legend>
      <c:legendPos val="r"/>
      <c:layout>
        <c:manualLayout>
          <c:xMode val="edge"/>
          <c:yMode val="edge"/>
          <c:x val="0.90786014795152159"/>
          <c:y val="0.56918472953550803"/>
          <c:w val="8.0472185709363181E-2"/>
          <c:h val="4.4068808042445104E-2"/>
        </c:manualLayout>
      </c:layout>
      <c:overlay val="0"/>
      <c:spPr>
        <a:noFill/>
        <a:ln w="25400">
          <a:noFill/>
        </a:ln>
      </c:spPr>
      <c:txPr>
        <a:bodyPr/>
        <a:lstStyle/>
        <a:p>
          <a:pPr>
            <a:defRPr sz="845"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Cyr"/>
                <a:ea typeface="Arial Cyr"/>
                <a:cs typeface="Arial Cyr"/>
              </a:defRPr>
            </a:pPr>
            <a:r>
              <a:rPr lang="ru-RU" sz="1000" b="1" i="0" baseline="0"/>
              <a:t>Динамика средней доли самостоятельной работы</a:t>
            </a:r>
            <a:br>
              <a:rPr lang="ru-RU" sz="1000" b="1" i="0" baseline="0"/>
            </a:br>
            <a:r>
              <a:rPr lang="ru-RU" sz="1000" b="1" i="0" baseline="0"/>
              <a:t>в бакалавриате за 2</a:t>
            </a:r>
            <a:r>
              <a:rPr lang="en-US" sz="1000" b="1" i="0" baseline="0"/>
              <a:t>0</a:t>
            </a:r>
            <a:r>
              <a:rPr lang="ru-RU" sz="1000" b="1" i="0" baseline="0"/>
              <a:t>10/20</a:t>
            </a:r>
            <a:r>
              <a:rPr lang="en-US" sz="1000" b="1" i="0" baseline="0"/>
              <a:t>1</a:t>
            </a:r>
            <a:r>
              <a:rPr lang="ru-RU" sz="1000" b="1" i="0" baseline="0"/>
              <a:t>1-20</a:t>
            </a:r>
            <a:r>
              <a:rPr lang="en-US" sz="1000" b="1" i="0" baseline="0"/>
              <a:t>1</a:t>
            </a:r>
            <a:r>
              <a:rPr lang="ru-RU" sz="1000" b="1" i="0" baseline="0"/>
              <a:t>2/20</a:t>
            </a:r>
            <a:r>
              <a:rPr lang="en-US" sz="1000" b="1" i="0" baseline="0"/>
              <a:t>1</a:t>
            </a:r>
            <a:r>
              <a:rPr lang="ru-RU" sz="1000" b="1" i="0" baseline="0"/>
              <a:t>3 уч</a:t>
            </a:r>
            <a:endParaRPr lang="ru-RU" sz="1000" baseline="0"/>
          </a:p>
        </c:rich>
      </c:tx>
      <c:layout>
        <c:manualLayout>
          <c:xMode val="edge"/>
          <c:yMode val="edge"/>
          <c:x val="0.14233581764846201"/>
          <c:y val="3.3802908631458302E-2"/>
        </c:manualLayout>
      </c:layout>
      <c:overlay val="0"/>
      <c:spPr>
        <a:noFill/>
        <a:ln w="25400">
          <a:noFill/>
        </a:ln>
      </c:spPr>
    </c:title>
    <c:autoTitleDeleted val="0"/>
    <c:plotArea>
      <c:layout>
        <c:manualLayout>
          <c:layoutTarget val="inner"/>
          <c:xMode val="edge"/>
          <c:yMode val="edge"/>
          <c:x val="8.211678832116788E-2"/>
          <c:y val="0.25070457018124198"/>
          <c:w val="0.89233576642335799"/>
          <c:h val="0.34084553923517202"/>
        </c:manualLayout>
      </c:layout>
      <c:barChart>
        <c:barDir val="col"/>
        <c:grouping val="clustered"/>
        <c:varyColors val="0"/>
        <c:ser>
          <c:idx val="0"/>
          <c:order val="0"/>
          <c:spPr>
            <a:solidFill>
              <a:srgbClr val="9999FF"/>
            </a:solidFill>
            <a:ln w="12700">
              <a:solidFill>
                <a:srgbClr val="000000"/>
              </a:solidFill>
              <a:prstDash val="solid"/>
            </a:ln>
            <a:effectLst>
              <a:outerShdw dist="35921" dir="2700000" algn="br">
                <a:srgbClr val="000000"/>
              </a:outerShdw>
            </a:effectLst>
          </c:spPr>
          <c:invertIfNegative val="0"/>
          <c:dPt>
            <c:idx val="0"/>
            <c:invertIfNegative val="0"/>
            <c:bubble3D val="0"/>
            <c:spPr>
              <a:solidFill>
                <a:schemeClr val="tx2">
                  <a:lumMod val="40000"/>
                  <a:lumOff val="60000"/>
                </a:schemeClr>
              </a:solidFill>
              <a:ln w="12700">
                <a:solidFill>
                  <a:srgbClr val="000000"/>
                </a:solidFill>
                <a:prstDash val="solid"/>
              </a:ln>
              <a:effectLst>
                <a:outerShdw dist="35921" dir="2700000" algn="br">
                  <a:srgbClr val="000000"/>
                </a:outerShdw>
              </a:effectLst>
            </c:spPr>
          </c:dPt>
          <c:dPt>
            <c:idx val="1"/>
            <c:invertIfNegative val="0"/>
            <c:bubble3D val="0"/>
            <c:spPr>
              <a:solidFill>
                <a:schemeClr val="tx2">
                  <a:lumMod val="40000"/>
                  <a:lumOff val="60000"/>
                </a:schemeClr>
              </a:solidFill>
              <a:ln w="12700">
                <a:solidFill>
                  <a:srgbClr val="000000"/>
                </a:solidFill>
                <a:prstDash val="solid"/>
              </a:ln>
              <a:effectLst>
                <a:outerShdw dist="35921" dir="2700000" algn="br">
                  <a:srgbClr val="000000"/>
                </a:outerShdw>
              </a:effectLst>
            </c:spPr>
          </c:dPt>
          <c:dPt>
            <c:idx val="2"/>
            <c:invertIfNegative val="0"/>
            <c:bubble3D val="0"/>
            <c:spPr>
              <a:solidFill>
                <a:schemeClr val="tx2">
                  <a:lumMod val="40000"/>
                  <a:lumOff val="60000"/>
                </a:schemeClr>
              </a:solidFill>
              <a:ln w="12700">
                <a:solidFill>
                  <a:srgbClr val="000000"/>
                </a:solidFill>
                <a:prstDash val="solid"/>
              </a:ln>
              <a:effectLst>
                <a:outerShdw dist="35921" dir="2700000" algn="br">
                  <a:srgbClr val="000000"/>
                </a:outerShdw>
              </a:effectLst>
            </c:spPr>
          </c:dPt>
          <c:dPt>
            <c:idx val="3"/>
            <c:invertIfNegative val="0"/>
            <c:bubble3D val="0"/>
            <c:spPr>
              <a:solidFill>
                <a:schemeClr val="accent3">
                  <a:lumMod val="60000"/>
                  <a:lumOff val="40000"/>
                </a:schemeClr>
              </a:solidFill>
              <a:ln w="12700">
                <a:solidFill>
                  <a:srgbClr val="000000"/>
                </a:solidFill>
                <a:prstDash val="solid"/>
              </a:ln>
              <a:effectLst>
                <a:outerShdw dist="35921" dir="2700000" algn="br">
                  <a:srgbClr val="000000"/>
                </a:outerShdw>
              </a:effectLst>
            </c:spPr>
          </c:dPt>
          <c:dPt>
            <c:idx val="4"/>
            <c:invertIfNegative val="0"/>
            <c:bubble3D val="0"/>
            <c:spPr>
              <a:solidFill>
                <a:schemeClr val="accent3">
                  <a:lumMod val="60000"/>
                  <a:lumOff val="40000"/>
                </a:schemeClr>
              </a:solidFill>
              <a:ln w="12700">
                <a:solidFill>
                  <a:srgbClr val="000000"/>
                </a:solidFill>
                <a:prstDash val="solid"/>
              </a:ln>
              <a:effectLst>
                <a:outerShdw dist="35921" dir="2700000" algn="br">
                  <a:srgbClr val="000000"/>
                </a:outerShdw>
              </a:effectLst>
            </c:spPr>
          </c:dPt>
          <c:dPt>
            <c:idx val="5"/>
            <c:invertIfNegative val="0"/>
            <c:bubble3D val="0"/>
            <c:spPr>
              <a:solidFill>
                <a:schemeClr val="accent3">
                  <a:lumMod val="60000"/>
                  <a:lumOff val="40000"/>
                </a:schemeClr>
              </a:solidFill>
              <a:ln w="12700">
                <a:solidFill>
                  <a:srgbClr val="000000"/>
                </a:solidFill>
                <a:prstDash val="solid"/>
              </a:ln>
              <a:effectLst>
                <a:outerShdw dist="35921" dir="2700000" algn="br">
                  <a:srgbClr val="000000"/>
                </a:outerShdw>
              </a:effectLst>
            </c:spPr>
          </c:dPt>
          <c:dPt>
            <c:idx val="6"/>
            <c:invertIfNegative val="0"/>
            <c:bubble3D val="0"/>
            <c:spPr>
              <a:solidFill>
                <a:schemeClr val="accent6">
                  <a:lumMod val="40000"/>
                  <a:lumOff val="60000"/>
                </a:schemeClr>
              </a:solidFill>
              <a:ln w="12700">
                <a:solidFill>
                  <a:srgbClr val="000000"/>
                </a:solidFill>
                <a:prstDash val="solid"/>
              </a:ln>
              <a:effectLst>
                <a:outerShdw dist="35921" dir="2700000" algn="br">
                  <a:srgbClr val="000000"/>
                </a:outerShdw>
              </a:effectLst>
            </c:spPr>
          </c:dPt>
          <c:dPt>
            <c:idx val="7"/>
            <c:invertIfNegative val="0"/>
            <c:bubble3D val="0"/>
            <c:spPr>
              <a:solidFill>
                <a:schemeClr val="accent6">
                  <a:lumMod val="40000"/>
                  <a:lumOff val="60000"/>
                </a:schemeClr>
              </a:solidFill>
              <a:ln w="12700">
                <a:solidFill>
                  <a:srgbClr val="000000"/>
                </a:solidFill>
                <a:prstDash val="solid"/>
              </a:ln>
              <a:effectLst>
                <a:outerShdw dist="35921" dir="2700000" algn="br">
                  <a:srgbClr val="000000"/>
                </a:outerShdw>
              </a:effectLst>
            </c:spPr>
          </c:dPt>
          <c:dPt>
            <c:idx val="8"/>
            <c:invertIfNegative val="0"/>
            <c:bubble3D val="0"/>
            <c:spPr>
              <a:solidFill>
                <a:schemeClr val="accent6">
                  <a:lumMod val="40000"/>
                  <a:lumOff val="60000"/>
                </a:schemeClr>
              </a:solidFill>
              <a:ln w="12700">
                <a:solidFill>
                  <a:srgbClr val="000000"/>
                </a:solidFill>
                <a:prstDash val="solid"/>
              </a:ln>
              <a:effectLst>
                <a:outerShdw dist="35921" dir="2700000" algn="br">
                  <a:srgbClr val="000000"/>
                </a:outerShdw>
              </a:effectLst>
            </c:spPr>
          </c:dPt>
          <c:dPt>
            <c:idx val="9"/>
            <c:invertIfNegative val="0"/>
            <c:bubble3D val="0"/>
            <c:spPr>
              <a:solidFill>
                <a:srgbClr val="FF99CC"/>
              </a:solidFill>
              <a:ln w="12700">
                <a:solidFill>
                  <a:srgbClr val="000000"/>
                </a:solidFill>
                <a:prstDash val="solid"/>
              </a:ln>
              <a:effectLst>
                <a:outerShdw dist="35921" dir="2700000" algn="br">
                  <a:srgbClr val="000000"/>
                </a:outerShdw>
              </a:effectLst>
            </c:spPr>
          </c:dPt>
          <c:dPt>
            <c:idx val="10"/>
            <c:invertIfNegative val="0"/>
            <c:bubble3D val="0"/>
            <c:spPr>
              <a:solidFill>
                <a:srgbClr val="FF99CC"/>
              </a:solidFill>
              <a:ln w="12700">
                <a:solidFill>
                  <a:srgbClr val="000000"/>
                </a:solidFill>
                <a:prstDash val="solid"/>
              </a:ln>
              <a:effectLst>
                <a:outerShdw dist="35921" dir="2700000" algn="br">
                  <a:srgbClr val="000000"/>
                </a:outerShdw>
              </a:effectLst>
            </c:spPr>
          </c:dPt>
          <c:dPt>
            <c:idx val="11"/>
            <c:invertIfNegative val="0"/>
            <c:bubble3D val="0"/>
            <c:spPr>
              <a:solidFill>
                <a:srgbClr val="FF99CC"/>
              </a:solidFill>
              <a:ln w="12700">
                <a:solidFill>
                  <a:srgbClr val="000000"/>
                </a:solidFill>
                <a:prstDash val="solid"/>
              </a:ln>
              <a:effectLst>
                <a:outerShdw dist="35921" dir="2700000" algn="br">
                  <a:srgbClr val="000000"/>
                </a:outerShdw>
              </a:effectLst>
            </c:spPr>
          </c:dPt>
          <c:dLbls>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самост!$C$5:$N$6</c:f>
              <c:multiLvlStrCache>
                <c:ptCount val="12"/>
                <c:lvl>
                  <c:pt idx="0">
                    <c:v>2010/2011</c:v>
                  </c:pt>
                  <c:pt idx="1">
                    <c:v>2011/2012</c:v>
                  </c:pt>
                  <c:pt idx="2">
                    <c:v>2012/2013</c:v>
                  </c:pt>
                  <c:pt idx="3">
                    <c:v>2010/2011</c:v>
                  </c:pt>
                  <c:pt idx="4">
                    <c:v>2011/2012</c:v>
                  </c:pt>
                  <c:pt idx="5">
                    <c:v>2012/2013</c:v>
                  </c:pt>
                  <c:pt idx="6">
                    <c:v>2010/2011</c:v>
                  </c:pt>
                  <c:pt idx="7">
                    <c:v>2011/2012</c:v>
                  </c:pt>
                  <c:pt idx="8">
                    <c:v>2012/2013</c:v>
                  </c:pt>
                  <c:pt idx="9">
                    <c:v>2010/2011</c:v>
                  </c:pt>
                  <c:pt idx="10">
                    <c:v>2011/2012</c:v>
                  </c:pt>
                  <c:pt idx="11">
                    <c:v>2012/2013</c:v>
                  </c:pt>
                </c:lvl>
                <c:lvl>
                  <c:pt idx="0">
                    <c:v>Головной университет</c:v>
                  </c:pt>
                  <c:pt idx="3">
                    <c:v>Нижегородский филиал</c:v>
                  </c:pt>
                  <c:pt idx="6">
                    <c:v>Санкт-Петербургский филиал</c:v>
                  </c:pt>
                  <c:pt idx="9">
                    <c:v>Пермский филиал</c:v>
                  </c:pt>
                </c:lvl>
              </c:multiLvlStrCache>
            </c:multiLvlStrRef>
          </c:cat>
          <c:val>
            <c:numRef>
              <c:f>самост!$C$7:$N$7</c:f>
              <c:numCache>
                <c:formatCode>General</c:formatCode>
                <c:ptCount val="12"/>
                <c:pt idx="0">
                  <c:v>60.6</c:v>
                </c:pt>
                <c:pt idx="1">
                  <c:v>57.3</c:v>
                </c:pt>
                <c:pt idx="2">
                  <c:v>62.2</c:v>
                </c:pt>
                <c:pt idx="3">
                  <c:v>57</c:v>
                </c:pt>
                <c:pt idx="4">
                  <c:v>61.5</c:v>
                </c:pt>
                <c:pt idx="5">
                  <c:v>61.4</c:v>
                </c:pt>
                <c:pt idx="6">
                  <c:v>59</c:v>
                </c:pt>
                <c:pt idx="7">
                  <c:v>62.8</c:v>
                </c:pt>
                <c:pt idx="8">
                  <c:v>61.4</c:v>
                </c:pt>
                <c:pt idx="9">
                  <c:v>54.5</c:v>
                </c:pt>
                <c:pt idx="10">
                  <c:v>63.5</c:v>
                </c:pt>
                <c:pt idx="11">
                  <c:v>64.7</c:v>
                </c:pt>
              </c:numCache>
            </c:numRef>
          </c:val>
        </c:ser>
        <c:dLbls>
          <c:showLegendKey val="0"/>
          <c:showVal val="0"/>
          <c:showCatName val="0"/>
          <c:showSerName val="0"/>
          <c:showPercent val="0"/>
          <c:showBubbleSize val="0"/>
        </c:dLbls>
        <c:gapWidth val="150"/>
        <c:axId val="358880768"/>
        <c:axId val="358882304"/>
      </c:barChart>
      <c:catAx>
        <c:axId val="358880768"/>
        <c:scaling>
          <c:orientation val="minMax"/>
        </c:scaling>
        <c:delete val="0"/>
        <c:axPos val="b"/>
        <c:majorGridlines>
          <c:spPr>
            <a:ln>
              <a:solidFill>
                <a:sysClr val="window" lastClr="FFFFFF"/>
              </a:solidFill>
            </a:ln>
          </c:spPr>
        </c:majorGridlines>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Cyr"/>
                <a:ea typeface="Arial Cyr"/>
                <a:cs typeface="Arial Cyr"/>
              </a:defRPr>
            </a:pPr>
            <a:endParaRPr lang="ru-RU"/>
          </a:p>
        </c:txPr>
        <c:crossAx val="358882304"/>
        <c:crosses val="autoZero"/>
        <c:auto val="1"/>
        <c:lblAlgn val="ctr"/>
        <c:lblOffset val="100"/>
        <c:tickLblSkip val="1"/>
        <c:tickMarkSkip val="1"/>
        <c:noMultiLvlLbl val="0"/>
      </c:catAx>
      <c:valAx>
        <c:axId val="358882304"/>
        <c:scaling>
          <c:orientation val="minMax"/>
          <c:max val="70"/>
          <c:min val="0"/>
        </c:scaling>
        <c:delete val="0"/>
        <c:axPos val="l"/>
        <c:majorGridlines>
          <c:spPr>
            <a:ln w="3175">
              <a:solidFill>
                <a:srgbClr val="FFFFFF"/>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358880768"/>
        <c:crosses val="autoZero"/>
        <c:crossBetween val="between"/>
        <c:majorUnit val="10"/>
        <c:minorUnit val="0.14000000000000001"/>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12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b="1" i="0" u="none" strike="noStrike" baseline="0">
                <a:solidFill>
                  <a:srgbClr val="000000"/>
                </a:solidFill>
                <a:latin typeface="Calibri"/>
                <a:ea typeface="Calibri"/>
                <a:cs typeface="Calibri"/>
              </a:defRPr>
            </a:pPr>
            <a:r>
              <a:rPr lang="ru-RU" sz="1200" b="1"/>
              <a:t>Сравнение доли отчислений по разным основаниям и за академическую неуспеваемость среди магистров (в процентах от контингента магистров на 1 октября 2012 года)</a:t>
            </a:r>
          </a:p>
        </c:rich>
      </c:tx>
      <c:overlay val="0"/>
      <c:spPr>
        <a:noFill/>
        <a:ln w="25400">
          <a:noFill/>
        </a:ln>
      </c:spPr>
    </c:title>
    <c:autoTitleDeleted val="0"/>
    <c:plotArea>
      <c:layout>
        <c:manualLayout>
          <c:layoutTarget val="inner"/>
          <c:xMode val="edge"/>
          <c:yMode val="edge"/>
          <c:x val="5.6554339129599202E-2"/>
          <c:y val="0.14390311158749317"/>
          <c:w val="0.94344566087040105"/>
          <c:h val="0.54980839436955264"/>
        </c:manualLayout>
      </c:layout>
      <c:lineChart>
        <c:grouping val="standard"/>
        <c:varyColors val="0"/>
        <c:ser>
          <c:idx val="0"/>
          <c:order val="0"/>
          <c:tx>
            <c:v>отчислено по разным основаниям</c:v>
          </c:tx>
          <c:spPr>
            <a:ln w="38100">
              <a:solidFill>
                <a:srgbClr val="666699"/>
              </a:solidFill>
              <a:prstDash val="solid"/>
            </a:ln>
          </c:spPr>
          <c:marker>
            <c:spPr>
              <a:gradFill rotWithShape="0">
                <a:gsLst>
                  <a:gs pos="0">
                    <a:srgbClr val="9BC1FF"/>
                  </a:gs>
                  <a:gs pos="100000">
                    <a:srgbClr val="3F80CD"/>
                  </a:gs>
                </a:gsLst>
                <a:lin ang="5400000"/>
              </a:gradFill>
              <a:ln>
                <a:solidFill>
                  <a:srgbClr val="666699"/>
                </a:solidFill>
                <a:prstDash val="solid"/>
              </a:ln>
              <a:effectLst>
                <a:outerShdw dist="35921" dir="2700000" algn="br">
                  <a:srgbClr val="000000"/>
                </a:outerShdw>
              </a:effectLst>
            </c:spPr>
          </c:marker>
          <c:dLbls>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сем 12_13 маг'!$B$4,'1 сем 12_13 маг'!$B$6:$B$21,'1 сем 12_13 маг'!$B$23:$B$29,'1 сем 12_13 маг'!$B$31,'1 сем 12_13 маг'!$B$33,'1 сем 12_13 маг'!$B$35:$B$36)</c:f>
              <c:strCache>
                <c:ptCount val="28"/>
                <c:pt idx="0">
                  <c:v>МИЭФ</c:v>
                </c:pt>
                <c:pt idx="1">
                  <c:v>Институт образования</c:v>
                </c:pt>
                <c:pt idx="2">
                  <c:v>Банковский институт</c:v>
                </c:pt>
                <c:pt idx="3">
                  <c:v>ВШУ</c:v>
                </c:pt>
                <c:pt idx="4">
                  <c:v>Каф.ПП</c:v>
                </c:pt>
                <c:pt idx="5">
                  <c:v>БИ</c:v>
                </c:pt>
                <c:pt idx="6">
                  <c:v>ПМ</c:v>
                </c:pt>
                <c:pt idx="7">
                  <c:v>ПИ</c:v>
                </c:pt>
                <c:pt idx="8">
                  <c:v>ГМУ</c:v>
                </c:pt>
                <c:pt idx="9">
                  <c:v>История</c:v>
                </c:pt>
                <c:pt idx="10">
                  <c:v>Логистика</c:v>
                </c:pt>
                <c:pt idx="11">
                  <c:v>Математика</c:v>
                </c:pt>
                <c:pt idx="12">
                  <c:v>Медиакомм.</c:v>
                </c:pt>
                <c:pt idx="13">
                  <c:v>Менеджмент</c:v>
                </c:pt>
                <c:pt idx="14">
                  <c:v>МЭиМП</c:v>
                </c:pt>
                <c:pt idx="15">
                  <c:v>Право</c:v>
                </c:pt>
                <c:pt idx="16">
                  <c:v>ПП</c:v>
                </c:pt>
                <c:pt idx="17">
                  <c:v>Психология</c:v>
                </c:pt>
                <c:pt idx="18">
                  <c:v>Социология</c:v>
                </c:pt>
                <c:pt idx="19">
                  <c:v>Филология</c:v>
                </c:pt>
                <c:pt idx="20">
                  <c:v>Философия</c:v>
                </c:pt>
                <c:pt idx="21">
                  <c:v>Востоковедение</c:v>
                </c:pt>
                <c:pt idx="22">
                  <c:v>Культурология</c:v>
                </c:pt>
                <c:pt idx="23">
                  <c:v>Экономика</c:v>
                </c:pt>
                <c:pt idx="24">
                  <c:v>Отд. Статистики</c:v>
                </c:pt>
                <c:pt idx="25">
                  <c:v>МИЭМ ФИТиВТ</c:v>
                </c:pt>
                <c:pt idx="26">
                  <c:v>МИЭМ ФЭТ</c:v>
                </c:pt>
                <c:pt idx="27">
                  <c:v>ИТОГО</c:v>
                </c:pt>
              </c:strCache>
            </c:strRef>
          </c:cat>
          <c:val>
            <c:numRef>
              <c:f>('1 сем 12_13 маг'!$CH$4,'1 сем 12_13 маг'!$CH$6:$CH$21,'1 сем 12_13 маг'!$CH$23:$CH$29,'1 сем 12_13 маг'!$CH$31,'1 сем 12_13 маг'!$CH$33,'1 сем 12_13 маг'!$CH$35:$CH$36)</c:f>
              <c:numCache>
                <c:formatCode>0.00</c:formatCode>
                <c:ptCount val="28"/>
                <c:pt idx="0">
                  <c:v>18.75</c:v>
                </c:pt>
                <c:pt idx="1">
                  <c:v>14.285714285714302</c:v>
                </c:pt>
                <c:pt idx="2">
                  <c:v>0</c:v>
                </c:pt>
                <c:pt idx="3">
                  <c:v>4.2553191489361701</c:v>
                </c:pt>
                <c:pt idx="4">
                  <c:v>2.2727272727272854</c:v>
                </c:pt>
                <c:pt idx="5">
                  <c:v>2.5862068965517238</c:v>
                </c:pt>
                <c:pt idx="6">
                  <c:v>9.7560975609756166</c:v>
                </c:pt>
                <c:pt idx="7">
                  <c:v>0</c:v>
                </c:pt>
                <c:pt idx="8">
                  <c:v>4.8543689320388363</c:v>
                </c:pt>
                <c:pt idx="9">
                  <c:v>13.51351351351351</c:v>
                </c:pt>
                <c:pt idx="10">
                  <c:v>37.931034482758413</c:v>
                </c:pt>
                <c:pt idx="11">
                  <c:v>11.428571428571376</c:v>
                </c:pt>
                <c:pt idx="12">
                  <c:v>7.2463768115942031</c:v>
                </c:pt>
                <c:pt idx="13">
                  <c:v>4.0685224839400433</c:v>
                </c:pt>
                <c:pt idx="14">
                  <c:v>5.9523809523809446</c:v>
                </c:pt>
                <c:pt idx="15">
                  <c:v>6.3291139240506329</c:v>
                </c:pt>
                <c:pt idx="16">
                  <c:v>9.2592592592593093</c:v>
                </c:pt>
                <c:pt idx="17">
                  <c:v>4.2105263157894726</c:v>
                </c:pt>
                <c:pt idx="18">
                  <c:v>6.4676616915422924</c:v>
                </c:pt>
                <c:pt idx="19">
                  <c:v>12.5</c:v>
                </c:pt>
                <c:pt idx="20">
                  <c:v>5.7142857142857055</c:v>
                </c:pt>
                <c:pt idx="21">
                  <c:v>5</c:v>
                </c:pt>
                <c:pt idx="22">
                  <c:v>2.8571428571428572</c:v>
                </c:pt>
                <c:pt idx="23">
                  <c:v>6.0031595576619265</c:v>
                </c:pt>
                <c:pt idx="24">
                  <c:v>9.0909090909091006</c:v>
                </c:pt>
                <c:pt idx="25">
                  <c:v>16.981132075471518</c:v>
                </c:pt>
                <c:pt idx="26">
                  <c:v>8.8235294117647065</c:v>
                </c:pt>
                <c:pt idx="27">
                  <c:v>6.3144329896907045</c:v>
                </c:pt>
              </c:numCache>
            </c:numRef>
          </c:val>
          <c:smooth val="0"/>
        </c:ser>
        <c:ser>
          <c:idx val="2"/>
          <c:order val="1"/>
          <c:tx>
            <c:v>отчислено за академическую неуспеваемость</c:v>
          </c:tx>
          <c:cat>
            <c:strRef>
              <c:f>('1 сем 12_13 маг'!$B$4,'1 сем 12_13 маг'!$B$6:$B$21,'1 сем 12_13 маг'!$B$23:$B$29,'1 сем 12_13 маг'!$B$31,'1 сем 12_13 маг'!$B$33,'1 сем 12_13 маг'!$B$35:$B$36)</c:f>
              <c:strCache>
                <c:ptCount val="28"/>
                <c:pt idx="0">
                  <c:v>МИЭФ</c:v>
                </c:pt>
                <c:pt idx="1">
                  <c:v>Институт образования</c:v>
                </c:pt>
                <c:pt idx="2">
                  <c:v>Банковский институт</c:v>
                </c:pt>
                <c:pt idx="3">
                  <c:v>ВШУ</c:v>
                </c:pt>
                <c:pt idx="4">
                  <c:v>Каф.ПП</c:v>
                </c:pt>
                <c:pt idx="5">
                  <c:v>БИ</c:v>
                </c:pt>
                <c:pt idx="6">
                  <c:v>ПМ</c:v>
                </c:pt>
                <c:pt idx="7">
                  <c:v>ПИ</c:v>
                </c:pt>
                <c:pt idx="8">
                  <c:v>ГМУ</c:v>
                </c:pt>
                <c:pt idx="9">
                  <c:v>История</c:v>
                </c:pt>
                <c:pt idx="10">
                  <c:v>Логистика</c:v>
                </c:pt>
                <c:pt idx="11">
                  <c:v>Математика</c:v>
                </c:pt>
                <c:pt idx="12">
                  <c:v>Медиакомм.</c:v>
                </c:pt>
                <c:pt idx="13">
                  <c:v>Менеджмент</c:v>
                </c:pt>
                <c:pt idx="14">
                  <c:v>МЭиМП</c:v>
                </c:pt>
                <c:pt idx="15">
                  <c:v>Право</c:v>
                </c:pt>
                <c:pt idx="16">
                  <c:v>ПП</c:v>
                </c:pt>
                <c:pt idx="17">
                  <c:v>Психология</c:v>
                </c:pt>
                <c:pt idx="18">
                  <c:v>Социология</c:v>
                </c:pt>
                <c:pt idx="19">
                  <c:v>Филология</c:v>
                </c:pt>
                <c:pt idx="20">
                  <c:v>Философия</c:v>
                </c:pt>
                <c:pt idx="21">
                  <c:v>Востоковедение</c:v>
                </c:pt>
                <c:pt idx="22">
                  <c:v>Культурология</c:v>
                </c:pt>
                <c:pt idx="23">
                  <c:v>Экономика</c:v>
                </c:pt>
                <c:pt idx="24">
                  <c:v>Отд. Статистики</c:v>
                </c:pt>
                <c:pt idx="25">
                  <c:v>МИЭМ ФИТиВТ</c:v>
                </c:pt>
                <c:pt idx="26">
                  <c:v>МИЭМ ФЭТ</c:v>
                </c:pt>
                <c:pt idx="27">
                  <c:v>ИТОГО</c:v>
                </c:pt>
              </c:strCache>
            </c:strRef>
          </c:cat>
          <c:val>
            <c:numRef>
              <c:f>('1 сем 12_13 маг'!$CL$4,'1 сем 12_13 маг'!$CL$6:$CL$21,'1 сем 12_13 маг'!$CL$23:$CL$29,'1 сем 12_13 маг'!$CL$31,'1 сем 12_13 маг'!$CL$33,'1 сем 12_13 маг'!$CL$35:$CL$36)</c:f>
              <c:numCache>
                <c:formatCode>0.00</c:formatCode>
                <c:ptCount val="28"/>
                <c:pt idx="0">
                  <c:v>14.58333333333333</c:v>
                </c:pt>
                <c:pt idx="1">
                  <c:v>8.5714285714285712</c:v>
                </c:pt>
                <c:pt idx="2">
                  <c:v>0</c:v>
                </c:pt>
                <c:pt idx="3">
                  <c:v>0</c:v>
                </c:pt>
                <c:pt idx="4">
                  <c:v>2.2727272727272854</c:v>
                </c:pt>
                <c:pt idx="5">
                  <c:v>2.1551724137930899</c:v>
                </c:pt>
                <c:pt idx="6">
                  <c:v>7.3170731707317067</c:v>
                </c:pt>
                <c:pt idx="7">
                  <c:v>0</c:v>
                </c:pt>
                <c:pt idx="8">
                  <c:v>1.9417475728155393</c:v>
                </c:pt>
                <c:pt idx="9">
                  <c:v>0</c:v>
                </c:pt>
                <c:pt idx="10">
                  <c:v>20.68965517241379</c:v>
                </c:pt>
                <c:pt idx="11">
                  <c:v>5.7142857142857055</c:v>
                </c:pt>
                <c:pt idx="12">
                  <c:v>7.2463768115942031</c:v>
                </c:pt>
                <c:pt idx="13">
                  <c:v>2.355460385438958</c:v>
                </c:pt>
                <c:pt idx="14">
                  <c:v>1.7857142857142778</c:v>
                </c:pt>
                <c:pt idx="15">
                  <c:v>4.6413502109704643</c:v>
                </c:pt>
                <c:pt idx="16">
                  <c:v>3.7037037037037042</c:v>
                </c:pt>
                <c:pt idx="17">
                  <c:v>3.6842105263157889</c:v>
                </c:pt>
                <c:pt idx="18">
                  <c:v>2.4875621890547177</c:v>
                </c:pt>
                <c:pt idx="19">
                  <c:v>6.25</c:v>
                </c:pt>
                <c:pt idx="20">
                  <c:v>2.8571428571428572</c:v>
                </c:pt>
                <c:pt idx="21">
                  <c:v>0</c:v>
                </c:pt>
                <c:pt idx="22">
                  <c:v>0</c:v>
                </c:pt>
                <c:pt idx="23">
                  <c:v>3.9494470774091628</c:v>
                </c:pt>
                <c:pt idx="24">
                  <c:v>0</c:v>
                </c:pt>
                <c:pt idx="25">
                  <c:v>15.09433962264151</c:v>
                </c:pt>
                <c:pt idx="26">
                  <c:v>8.8235294117647065</c:v>
                </c:pt>
                <c:pt idx="27">
                  <c:v>3.8659793814432977</c:v>
                </c:pt>
              </c:numCache>
            </c:numRef>
          </c:val>
          <c:smooth val="0"/>
        </c:ser>
        <c:dLbls>
          <c:showLegendKey val="0"/>
          <c:showVal val="0"/>
          <c:showCatName val="0"/>
          <c:showSerName val="0"/>
          <c:showPercent val="0"/>
          <c:showBubbleSize val="0"/>
        </c:dLbls>
        <c:marker val="1"/>
        <c:smooth val="0"/>
        <c:axId val="449707008"/>
        <c:axId val="449811200"/>
      </c:lineChart>
      <c:catAx>
        <c:axId val="449707008"/>
        <c:scaling>
          <c:orientation val="minMax"/>
        </c:scaling>
        <c:delete val="0"/>
        <c:axPos val="b"/>
        <c:numFmt formatCode="General" sourceLinked="1"/>
        <c:majorTickMark val="none"/>
        <c:minorTickMark val="none"/>
        <c:tickLblPos val="nextTo"/>
        <c:spPr>
          <a:ln w="3175">
            <a:solidFill>
              <a:srgbClr val="808080"/>
            </a:solidFill>
            <a:prstDash val="solid"/>
          </a:ln>
        </c:spPr>
        <c:txPr>
          <a:bodyPr rot="-5400000" vert="horz"/>
          <a:lstStyle/>
          <a:p>
            <a:pPr>
              <a:defRPr sz="1000" b="0" i="0" u="none" strike="noStrike" baseline="0">
                <a:solidFill>
                  <a:srgbClr val="000000"/>
                </a:solidFill>
                <a:latin typeface="Calibri"/>
                <a:ea typeface="Calibri"/>
                <a:cs typeface="Calibri"/>
              </a:defRPr>
            </a:pPr>
            <a:endParaRPr lang="ru-RU"/>
          </a:p>
        </c:txPr>
        <c:crossAx val="449811200"/>
        <c:crosses val="autoZero"/>
        <c:auto val="1"/>
        <c:lblAlgn val="ctr"/>
        <c:lblOffset val="100"/>
        <c:noMultiLvlLbl val="0"/>
      </c:catAx>
      <c:valAx>
        <c:axId val="449811200"/>
        <c:scaling>
          <c:orientation val="minMax"/>
        </c:scaling>
        <c:delete val="0"/>
        <c:axPos val="l"/>
        <c:majorGridlines>
          <c:spPr>
            <a:ln w="3175">
              <a:solidFill>
                <a:srgbClr val="808080"/>
              </a:solidFill>
              <a:prstDash val="solid"/>
            </a:ln>
          </c:spPr>
        </c:majorGridlines>
        <c:numFmt formatCode="0" sourceLinked="0"/>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449707008"/>
        <c:crosses val="autoZero"/>
        <c:crossBetween val="between"/>
      </c:valAx>
      <c:spPr>
        <a:solidFill>
          <a:srgbClr val="FFFFFF"/>
        </a:solidFill>
        <a:ln w="25400">
          <a:noFill/>
        </a:ln>
      </c:spPr>
    </c:plotArea>
    <c:legend>
      <c:legendPos val="b"/>
      <c:overlay val="0"/>
      <c:spPr>
        <a:noFill/>
        <a:ln w="25400">
          <a:noFill/>
        </a:ln>
      </c:spPr>
      <c:txPr>
        <a:bodyPr/>
        <a:lstStyle/>
        <a:p>
          <a:pPr>
            <a:defRPr sz="845"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ru-RU" sz="1200" b="1"/>
              <a:t>Доля отчисленных студентов бакалавриата (специалитета) по разным основаниям в %</a:t>
            </a:r>
          </a:p>
        </c:rich>
      </c:tx>
      <c:overlay val="0"/>
    </c:title>
    <c:autoTitleDeleted val="0"/>
    <c:plotArea>
      <c:layout/>
      <c:barChart>
        <c:barDir val="bar"/>
        <c:grouping val="clustered"/>
        <c:varyColors val="0"/>
        <c:ser>
          <c:idx val="0"/>
          <c:order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 сем 12-13_бакалавры'!$A$3,'2 сем 12-13_бакалавры'!$A$9:$A$34)</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('2 сем 12-13_бакалавры'!$BF$3,'2 сем 12-13_бакалавры'!$BF$9:$BF$34)</c:f>
              <c:numCache>
                <c:formatCode>0.00</c:formatCode>
                <c:ptCount val="27"/>
                <c:pt idx="0">
                  <c:v>7.4581430745814314</c:v>
                </c:pt>
                <c:pt idx="1">
                  <c:v>3.6679536679536682</c:v>
                </c:pt>
                <c:pt idx="2">
                  <c:v>9.9601593625498008</c:v>
                </c:pt>
                <c:pt idx="3">
                  <c:v>11.711711711711658</c:v>
                </c:pt>
                <c:pt idx="4">
                  <c:v>4.7706422018348995</c:v>
                </c:pt>
                <c:pt idx="5">
                  <c:v>6.1643835616438265</c:v>
                </c:pt>
                <c:pt idx="6">
                  <c:v>8.4188911704311522</c:v>
                </c:pt>
                <c:pt idx="7">
                  <c:v>7.5471698113207548</c:v>
                </c:pt>
                <c:pt idx="8">
                  <c:v>5.2434456928839124</c:v>
                </c:pt>
                <c:pt idx="9">
                  <c:v>6.4295485636114886</c:v>
                </c:pt>
                <c:pt idx="10">
                  <c:v>5.1687763713079855</c:v>
                </c:pt>
                <c:pt idx="11">
                  <c:v>2.7383367139959538</c:v>
                </c:pt>
                <c:pt idx="12">
                  <c:v>4.6783625730994149</c:v>
                </c:pt>
                <c:pt idx="13">
                  <c:v>3.1400966183575019</c:v>
                </c:pt>
                <c:pt idx="14">
                  <c:v>3.0303030303030267</c:v>
                </c:pt>
                <c:pt idx="15">
                  <c:v>4.1575492341356668</c:v>
                </c:pt>
                <c:pt idx="16">
                  <c:v>6.1224489795918355</c:v>
                </c:pt>
                <c:pt idx="17">
                  <c:v>14.666666666666696</c:v>
                </c:pt>
                <c:pt idx="18">
                  <c:v>5.1546391752577305</c:v>
                </c:pt>
                <c:pt idx="19">
                  <c:v>7.4324324324324333</c:v>
                </c:pt>
                <c:pt idx="20">
                  <c:v>3.0832476875642341</c:v>
                </c:pt>
                <c:pt idx="21">
                  <c:v>2.5423728813559352</c:v>
                </c:pt>
                <c:pt idx="22">
                  <c:v>5.7017543859649402</c:v>
                </c:pt>
                <c:pt idx="23">
                  <c:v>2.9411764705882337</c:v>
                </c:pt>
                <c:pt idx="24">
                  <c:v>6.4205457463884255</c:v>
                </c:pt>
                <c:pt idx="25">
                  <c:v>9.5693779904306187</c:v>
                </c:pt>
                <c:pt idx="26">
                  <c:v>8.1521739130434785</c:v>
                </c:pt>
              </c:numCache>
            </c:numRef>
          </c:val>
        </c:ser>
        <c:dLbls>
          <c:showLegendKey val="0"/>
          <c:showVal val="0"/>
          <c:showCatName val="0"/>
          <c:showSerName val="0"/>
          <c:showPercent val="0"/>
          <c:showBubbleSize val="0"/>
        </c:dLbls>
        <c:gapWidth val="70"/>
        <c:axId val="449817600"/>
        <c:axId val="449835776"/>
      </c:barChart>
      <c:catAx>
        <c:axId val="449817600"/>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449835776"/>
        <c:crosses val="autoZero"/>
        <c:auto val="1"/>
        <c:lblAlgn val="ctr"/>
        <c:lblOffset val="100"/>
        <c:noMultiLvlLbl val="0"/>
      </c:catAx>
      <c:valAx>
        <c:axId val="449835776"/>
        <c:scaling>
          <c:orientation val="minMax"/>
          <c:max val="16"/>
          <c:min val="0"/>
        </c:scaling>
        <c:delete val="0"/>
        <c:axPos val="b"/>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449817600"/>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ru-RU" sz="1200" b="1"/>
              <a:t>Доля отчисленных</a:t>
            </a:r>
            <a:r>
              <a:rPr lang="ru-RU" sz="1200" b="1" baseline="0"/>
              <a:t> от общего контингента студентов бакалавриата по итогам 2 семестра 2012/2013 уч.г. в %</a:t>
            </a:r>
            <a:endParaRPr lang="ru-RU" sz="1200" b="1"/>
          </a:p>
        </c:rich>
      </c:tx>
      <c:overlay val="0"/>
    </c:title>
    <c:autoTitleDeleted val="0"/>
    <c:plotArea>
      <c:layout>
        <c:manualLayout>
          <c:layoutTarget val="inner"/>
          <c:xMode val="edge"/>
          <c:yMode val="edge"/>
          <c:x val="7.0653476007806734E-2"/>
          <c:y val="0.10269420341004529"/>
          <c:w val="0.90584225048792"/>
          <c:h val="0.583354468635779"/>
        </c:manualLayout>
      </c:layout>
      <c:barChart>
        <c:barDir val="col"/>
        <c:grouping val="clustered"/>
        <c:varyColors val="0"/>
        <c:ser>
          <c:idx val="6"/>
          <c:order val="1"/>
          <c:tx>
            <c:v>бюджетные студенты, отчисленные по разным основаниям</c:v>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('2 сем 12-13 всего бак'!$A$3,'2 сем 12-13 всего бак'!$A$9:$A$34)</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('2 сем 12-13 всего бак'!$AJ$3,'2 сем 12-13 всего бак'!$AJ$9:$AJ$34)</c:f>
              <c:numCache>
                <c:formatCode>0%</c:formatCode>
                <c:ptCount val="27"/>
                <c:pt idx="0">
                  <c:v>0</c:v>
                </c:pt>
                <c:pt idx="1">
                  <c:v>1.3513513513513507E-2</c:v>
                </c:pt>
                <c:pt idx="2">
                  <c:v>6.7729083665338724E-2</c:v>
                </c:pt>
                <c:pt idx="3">
                  <c:v>7.6576576576576599E-2</c:v>
                </c:pt>
                <c:pt idx="4">
                  <c:v>1.4678899082568801E-2</c:v>
                </c:pt>
                <c:pt idx="5">
                  <c:v>2.7397260273972612E-2</c:v>
                </c:pt>
                <c:pt idx="6">
                  <c:v>2.4640657084188899E-2</c:v>
                </c:pt>
                <c:pt idx="7">
                  <c:v>2.5157232704402552E-2</c:v>
                </c:pt>
                <c:pt idx="8">
                  <c:v>7.4906367041198928E-3</c:v>
                </c:pt>
                <c:pt idx="9">
                  <c:v>2.32558139534884E-2</c:v>
                </c:pt>
                <c:pt idx="10">
                  <c:v>8.438818565400838E-3</c:v>
                </c:pt>
                <c:pt idx="11">
                  <c:v>8.1135902636916748E-3</c:v>
                </c:pt>
                <c:pt idx="12">
                  <c:v>1.1695906432748499E-2</c:v>
                </c:pt>
                <c:pt idx="13">
                  <c:v>7.2463768115942342E-3</c:v>
                </c:pt>
                <c:pt idx="14">
                  <c:v>1.3468013468013507E-2</c:v>
                </c:pt>
                <c:pt idx="15">
                  <c:v>2.1881838074398412E-2</c:v>
                </c:pt>
                <c:pt idx="16">
                  <c:v>1.0204081632653142E-2</c:v>
                </c:pt>
                <c:pt idx="17">
                  <c:v>8.0000000000000043E-2</c:v>
                </c:pt>
                <c:pt idx="18">
                  <c:v>1.0309278350515505E-2</c:v>
                </c:pt>
                <c:pt idx="19">
                  <c:v>1.3513513513513507E-2</c:v>
                </c:pt>
                <c:pt idx="20">
                  <c:v>1.02774922918808E-2</c:v>
                </c:pt>
                <c:pt idx="21">
                  <c:v>2.5423728813559383E-2</c:v>
                </c:pt>
                <c:pt idx="22">
                  <c:v>2.1929824561403542E-2</c:v>
                </c:pt>
                <c:pt idx="23">
                  <c:v>3.267973856209176E-3</c:v>
                </c:pt>
                <c:pt idx="24">
                  <c:v>4.49438202247191E-2</c:v>
                </c:pt>
                <c:pt idx="25">
                  <c:v>5.2631578947368404E-2</c:v>
                </c:pt>
                <c:pt idx="26">
                  <c:v>4.0760869565217399E-2</c:v>
                </c:pt>
              </c:numCache>
            </c:numRef>
          </c:val>
        </c:ser>
        <c:ser>
          <c:idx val="8"/>
          <c:order val="3"/>
          <c:tx>
            <c:v>бюджетные студенты, отчисленные за академическую неуспеваемость</c:v>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('2 сем 12-13 всего бак'!$A$3,'2 сем 12-13 всего бак'!$A$9:$A$34)</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('2 сем 12-13 всего бак'!$AN$3,'2 сем 12-13 всего бак'!$AN$9:$AN$34)</c:f>
              <c:numCache>
                <c:formatCode>0%</c:formatCode>
                <c:ptCount val="27"/>
                <c:pt idx="0">
                  <c:v>0</c:v>
                </c:pt>
                <c:pt idx="1">
                  <c:v>1.9305019305019373E-3</c:v>
                </c:pt>
                <c:pt idx="2">
                  <c:v>3.5856573705179411E-2</c:v>
                </c:pt>
                <c:pt idx="3">
                  <c:v>2.7027027027027216E-2</c:v>
                </c:pt>
                <c:pt idx="4">
                  <c:v>1.8348623853211036E-3</c:v>
                </c:pt>
                <c:pt idx="5">
                  <c:v>1.3698630136986301E-2</c:v>
                </c:pt>
                <c:pt idx="6">
                  <c:v>2.05338809034908E-3</c:v>
                </c:pt>
                <c:pt idx="7">
                  <c:v>1.2578616352201161E-2</c:v>
                </c:pt>
                <c:pt idx="8">
                  <c:v>7.4906367041198928E-3</c:v>
                </c:pt>
                <c:pt idx="9">
                  <c:v>6.8399452804377772E-3</c:v>
                </c:pt>
                <c:pt idx="10">
                  <c:v>3.1645569620253355E-3</c:v>
                </c:pt>
                <c:pt idx="11">
                  <c:v>1.01419878296146E-3</c:v>
                </c:pt>
                <c:pt idx="12">
                  <c:v>2.9239766081871508E-3</c:v>
                </c:pt>
                <c:pt idx="13">
                  <c:v>0</c:v>
                </c:pt>
                <c:pt idx="14">
                  <c:v>1.01010101010101E-2</c:v>
                </c:pt>
                <c:pt idx="15">
                  <c:v>0</c:v>
                </c:pt>
                <c:pt idx="16">
                  <c:v>1.0204081632653142E-2</c:v>
                </c:pt>
                <c:pt idx="17">
                  <c:v>2.6666666666666752E-2</c:v>
                </c:pt>
                <c:pt idx="18">
                  <c:v>1.0309278350515505E-2</c:v>
                </c:pt>
                <c:pt idx="19">
                  <c:v>0</c:v>
                </c:pt>
                <c:pt idx="20">
                  <c:v>2.0554984583761602E-3</c:v>
                </c:pt>
                <c:pt idx="21">
                  <c:v>0</c:v>
                </c:pt>
                <c:pt idx="22">
                  <c:v>1.3157894736842101E-2</c:v>
                </c:pt>
                <c:pt idx="23">
                  <c:v>3.267973856209176E-3</c:v>
                </c:pt>
                <c:pt idx="24">
                  <c:v>4.0128410914927824E-2</c:v>
                </c:pt>
                <c:pt idx="25">
                  <c:v>3.1100478468899673E-2</c:v>
                </c:pt>
                <c:pt idx="26">
                  <c:v>2.1739130434782601E-2</c:v>
                </c:pt>
              </c:numCache>
            </c:numRef>
          </c:val>
        </c:ser>
        <c:dLbls>
          <c:showLegendKey val="0"/>
          <c:showVal val="0"/>
          <c:showCatName val="0"/>
          <c:showSerName val="0"/>
          <c:showPercent val="0"/>
          <c:showBubbleSize val="0"/>
        </c:dLbls>
        <c:gapWidth val="66"/>
        <c:axId val="551546880"/>
        <c:axId val="551548800"/>
      </c:barChart>
      <c:lineChart>
        <c:grouping val="standard"/>
        <c:varyColors val="0"/>
        <c:ser>
          <c:idx val="0"/>
          <c:order val="0"/>
          <c:tx>
            <c:v>все студенты, отчсиленные по разным основаниям</c:v>
          </c:tx>
          <c:spPr>
            <a:ln w="28575" cap="flat" cmpd="sng" algn="ctr">
              <a:solidFill>
                <a:schemeClr val="accent1"/>
              </a:solidFill>
              <a:prstDash val="solid"/>
            </a:ln>
            <a:effectLst/>
          </c:spPr>
          <c:marker>
            <c:spPr>
              <a:solidFill>
                <a:schemeClr val="lt1"/>
              </a:solidFill>
              <a:ln w="28575" cap="flat" cmpd="sng" algn="ctr">
                <a:solidFill>
                  <a:schemeClr val="accent1"/>
                </a:solidFill>
                <a:prstDash val="solid"/>
              </a:ln>
              <a:effectLst/>
            </c:spPr>
          </c:marker>
          <c:cat>
            <c:strRef>
              <c:f>('2 сем 12-13 всего бак'!$A$3,'2 сем 12-13 всего бак'!$A$9:$A$34)</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('2 сем 12-13 всего бак'!$AH$3,'2 сем 12-13 всего бак'!$AH$9:$AH$34)</c:f>
              <c:numCache>
                <c:formatCode>0%</c:formatCode>
                <c:ptCount val="27"/>
                <c:pt idx="0">
                  <c:v>7.4581430745814414E-2</c:v>
                </c:pt>
                <c:pt idx="1">
                  <c:v>3.6679536679536814E-2</c:v>
                </c:pt>
                <c:pt idx="2">
                  <c:v>9.9601593625498266E-2</c:v>
                </c:pt>
                <c:pt idx="3">
                  <c:v>0.11711711711711698</c:v>
                </c:pt>
                <c:pt idx="4">
                  <c:v>4.7706422018349078E-2</c:v>
                </c:pt>
                <c:pt idx="5">
                  <c:v>6.1643835616438297E-2</c:v>
                </c:pt>
                <c:pt idx="6">
                  <c:v>8.41889117043121E-2</c:v>
                </c:pt>
                <c:pt idx="7">
                  <c:v>7.5471698113207614E-2</c:v>
                </c:pt>
                <c:pt idx="8">
                  <c:v>5.243445692883919E-2</c:v>
                </c:pt>
                <c:pt idx="9">
                  <c:v>6.4295485636114896E-2</c:v>
                </c:pt>
                <c:pt idx="10">
                  <c:v>5.1687763713080086E-2</c:v>
                </c:pt>
                <c:pt idx="11">
                  <c:v>2.738336713995964E-2</c:v>
                </c:pt>
                <c:pt idx="12">
                  <c:v>4.6783625730994198E-2</c:v>
                </c:pt>
                <c:pt idx="13">
                  <c:v>3.1400966183575053E-2</c:v>
                </c:pt>
                <c:pt idx="14">
                  <c:v>3.03030303030303E-2</c:v>
                </c:pt>
                <c:pt idx="15">
                  <c:v>4.1575492341356698E-2</c:v>
                </c:pt>
                <c:pt idx="16">
                  <c:v>6.1224489795918401E-2</c:v>
                </c:pt>
                <c:pt idx="17">
                  <c:v>0.146666666666667</c:v>
                </c:pt>
                <c:pt idx="18">
                  <c:v>5.1546391752577303E-2</c:v>
                </c:pt>
                <c:pt idx="19">
                  <c:v>7.4324324324324523E-2</c:v>
                </c:pt>
                <c:pt idx="20">
                  <c:v>3.0832476875642299E-2</c:v>
                </c:pt>
                <c:pt idx="21">
                  <c:v>2.5423728813559383E-2</c:v>
                </c:pt>
                <c:pt idx="22">
                  <c:v>5.7017543859649487E-2</c:v>
                </c:pt>
                <c:pt idx="23">
                  <c:v>2.94117647058823E-2</c:v>
                </c:pt>
                <c:pt idx="24">
                  <c:v>6.4205457463884397E-2</c:v>
                </c:pt>
                <c:pt idx="25">
                  <c:v>9.5693779904306192E-2</c:v>
                </c:pt>
                <c:pt idx="26">
                  <c:v>8.1521739130434798E-2</c:v>
                </c:pt>
              </c:numCache>
            </c:numRef>
          </c:val>
          <c:smooth val="0"/>
        </c:ser>
        <c:ser>
          <c:idx val="7"/>
          <c:order val="2"/>
          <c:tx>
            <c:v>все студенты, отчисленные за академическую неуспеваемость</c:v>
          </c:tx>
          <c:spPr>
            <a:ln w="28575" cap="flat" cmpd="sng" algn="ctr">
              <a:solidFill>
                <a:schemeClr val="accent2"/>
              </a:solidFill>
              <a:prstDash val="solid"/>
            </a:ln>
            <a:effectLst/>
          </c:spPr>
          <c:marker>
            <c:spPr>
              <a:solidFill>
                <a:schemeClr val="lt1"/>
              </a:solidFill>
              <a:ln w="28575" cap="flat" cmpd="sng" algn="ctr">
                <a:solidFill>
                  <a:schemeClr val="accent2"/>
                </a:solidFill>
                <a:prstDash val="solid"/>
              </a:ln>
              <a:effectLst/>
            </c:spPr>
          </c:marker>
          <c:cat>
            <c:strRef>
              <c:f>('2 сем 12-13 всего бак'!$A$3,'2 сем 12-13 всего бак'!$A$9:$A$34)</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('2 сем 12-13 всего бак'!$AL$3,'2 сем 12-13 всего бак'!$AL$9:$AL$34)</c:f>
              <c:numCache>
                <c:formatCode>0%</c:formatCode>
                <c:ptCount val="27"/>
                <c:pt idx="0">
                  <c:v>1.8264840182648401E-2</c:v>
                </c:pt>
                <c:pt idx="1">
                  <c:v>1.3513513513513507E-2</c:v>
                </c:pt>
                <c:pt idx="2">
                  <c:v>5.5776892430278904E-2</c:v>
                </c:pt>
                <c:pt idx="3">
                  <c:v>4.0540540540540487E-2</c:v>
                </c:pt>
                <c:pt idx="4">
                  <c:v>5.5045871559633221E-3</c:v>
                </c:pt>
                <c:pt idx="5">
                  <c:v>3.424657534246571E-2</c:v>
                </c:pt>
                <c:pt idx="6">
                  <c:v>1.4373716632443499E-2</c:v>
                </c:pt>
                <c:pt idx="7">
                  <c:v>2.5157232704402552E-2</c:v>
                </c:pt>
                <c:pt idx="8">
                  <c:v>3.7453183520599453E-2</c:v>
                </c:pt>
                <c:pt idx="9">
                  <c:v>1.7783857729138253E-2</c:v>
                </c:pt>
                <c:pt idx="10">
                  <c:v>1.79324894514768E-2</c:v>
                </c:pt>
                <c:pt idx="11">
                  <c:v>5.0709939148073343E-3</c:v>
                </c:pt>
                <c:pt idx="12">
                  <c:v>1.1695906432748499E-2</c:v>
                </c:pt>
                <c:pt idx="13">
                  <c:v>1.4492753623188401E-2</c:v>
                </c:pt>
                <c:pt idx="14">
                  <c:v>2.02020202020202E-2</c:v>
                </c:pt>
                <c:pt idx="15">
                  <c:v>4.376367614879694E-3</c:v>
                </c:pt>
                <c:pt idx="16">
                  <c:v>2.5510204081632598E-2</c:v>
                </c:pt>
                <c:pt idx="17">
                  <c:v>6.0000000000000032E-2</c:v>
                </c:pt>
                <c:pt idx="18">
                  <c:v>3.4364261168384903E-2</c:v>
                </c:pt>
                <c:pt idx="19">
                  <c:v>2.0270270270270434E-2</c:v>
                </c:pt>
                <c:pt idx="20">
                  <c:v>1.13052415210689E-2</c:v>
                </c:pt>
                <c:pt idx="21">
                  <c:v>0</c:v>
                </c:pt>
                <c:pt idx="22">
                  <c:v>3.0701754385964952E-2</c:v>
                </c:pt>
                <c:pt idx="23">
                  <c:v>2.2875816993464249E-2</c:v>
                </c:pt>
                <c:pt idx="24">
                  <c:v>5.6179775280898674E-2</c:v>
                </c:pt>
                <c:pt idx="25">
                  <c:v>5.980861244019163E-2</c:v>
                </c:pt>
                <c:pt idx="26">
                  <c:v>5.4347826086956499E-2</c:v>
                </c:pt>
              </c:numCache>
            </c:numRef>
          </c:val>
          <c:smooth val="0"/>
        </c:ser>
        <c:dLbls>
          <c:showLegendKey val="0"/>
          <c:showVal val="0"/>
          <c:showCatName val="0"/>
          <c:showSerName val="0"/>
          <c:showPercent val="0"/>
          <c:showBubbleSize val="0"/>
        </c:dLbls>
        <c:marker val="1"/>
        <c:smooth val="0"/>
        <c:axId val="551546880"/>
        <c:axId val="551548800"/>
      </c:lineChart>
      <c:catAx>
        <c:axId val="551546880"/>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551548800"/>
        <c:crosses val="autoZero"/>
        <c:auto val="1"/>
        <c:lblAlgn val="ctr"/>
        <c:lblOffset val="100"/>
        <c:noMultiLvlLbl val="0"/>
      </c:catAx>
      <c:valAx>
        <c:axId val="551548800"/>
        <c:scaling>
          <c:orientation val="minMax"/>
        </c:scaling>
        <c:delete val="0"/>
        <c:axPos val="l"/>
        <c:majorGridlines/>
        <c:numFmt formatCode="0%" sourceLinked="1"/>
        <c:majorTickMark val="out"/>
        <c:minorTickMark val="none"/>
        <c:tickLblPos val="nextTo"/>
        <c:crossAx val="551546880"/>
        <c:crosses val="autoZero"/>
        <c:crossBetween val="between"/>
      </c:valAx>
    </c:plotArea>
    <c:legend>
      <c:legendPos val="b"/>
      <c:layout>
        <c:manualLayout>
          <c:xMode val="edge"/>
          <c:yMode val="edge"/>
          <c:x val="3.3953487043716903E-2"/>
          <c:y val="0.84203211886649698"/>
          <c:w val="0.93934728779141996"/>
          <c:h val="0.14563168047753738"/>
        </c:manualLayout>
      </c:layout>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ru-RU" sz="1200" b="1"/>
              <a:t>Количество отчисленных по разным основаниям студентов бакалавриата (специалитета)  по итогам 2 семестра 2012-2013г. в абсолютных значениях</a:t>
            </a:r>
          </a:p>
        </c:rich>
      </c:tx>
      <c:layout>
        <c:manualLayout>
          <c:xMode val="edge"/>
          <c:yMode val="edge"/>
          <c:x val="0.1058096011649"/>
          <c:y val="1.1137097672346594E-2"/>
        </c:manualLayout>
      </c:layout>
      <c:overlay val="0"/>
    </c:title>
    <c:autoTitleDeleted val="0"/>
    <c:plotArea>
      <c:layout/>
      <c:barChart>
        <c:barDir val="bar"/>
        <c:grouping val="stacked"/>
        <c:varyColors val="0"/>
        <c:ser>
          <c:idx val="0"/>
          <c:order val="0"/>
          <c:tx>
            <c:v>1 курс</c:v>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 сем 12-13_бакалавры'!$A$3,'2 сем 12-13_бакалавры'!$A$9:$A$34)</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('2 сем 12-13_бакалавры'!$C$3,'2 сем 12-13_бакалавры'!$C$9:$C$34)</c:f>
              <c:numCache>
                <c:formatCode>General</c:formatCode>
                <c:ptCount val="27"/>
                <c:pt idx="0">
                  <c:v>26</c:v>
                </c:pt>
                <c:pt idx="1">
                  <c:v>4</c:v>
                </c:pt>
                <c:pt idx="2">
                  <c:v>15</c:v>
                </c:pt>
                <c:pt idx="3">
                  <c:v>11</c:v>
                </c:pt>
                <c:pt idx="4">
                  <c:v>6</c:v>
                </c:pt>
                <c:pt idx="5">
                  <c:v>7</c:v>
                </c:pt>
                <c:pt idx="6">
                  <c:v>5</c:v>
                </c:pt>
                <c:pt idx="7">
                  <c:v>9</c:v>
                </c:pt>
                <c:pt idx="8">
                  <c:v>5</c:v>
                </c:pt>
                <c:pt idx="9">
                  <c:v>11</c:v>
                </c:pt>
                <c:pt idx="10">
                  <c:v>10</c:v>
                </c:pt>
                <c:pt idx="11">
                  <c:v>2</c:v>
                </c:pt>
                <c:pt idx="12">
                  <c:v>3</c:v>
                </c:pt>
                <c:pt idx="13">
                  <c:v>3</c:v>
                </c:pt>
                <c:pt idx="14">
                  <c:v>3</c:v>
                </c:pt>
                <c:pt idx="15">
                  <c:v>2</c:v>
                </c:pt>
                <c:pt idx="16">
                  <c:v>8</c:v>
                </c:pt>
                <c:pt idx="17">
                  <c:v>5</c:v>
                </c:pt>
                <c:pt idx="18">
                  <c:v>8</c:v>
                </c:pt>
                <c:pt idx="19">
                  <c:v>4</c:v>
                </c:pt>
                <c:pt idx="20">
                  <c:v>13</c:v>
                </c:pt>
                <c:pt idx="21">
                  <c:v>3</c:v>
                </c:pt>
                <c:pt idx="22">
                  <c:v>7</c:v>
                </c:pt>
                <c:pt idx="23">
                  <c:v>3</c:v>
                </c:pt>
                <c:pt idx="24">
                  <c:v>8</c:v>
                </c:pt>
                <c:pt idx="25">
                  <c:v>15</c:v>
                </c:pt>
                <c:pt idx="26">
                  <c:v>3</c:v>
                </c:pt>
              </c:numCache>
            </c:numRef>
          </c:val>
        </c:ser>
        <c:ser>
          <c:idx val="6"/>
          <c:order val="1"/>
          <c:tx>
            <c:v>2 курс</c:v>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invertIfNegative val="0"/>
          <c:dLbls>
            <c:dLbl>
              <c:idx val="7"/>
              <c:delete val="1"/>
              <c:extLst>
                <c:ext xmlns:c15="http://schemas.microsoft.com/office/drawing/2012/chart" uri="{CE6537A1-D6FC-4f65-9D91-7224C49458BB}"/>
              </c:extLst>
            </c:dLbl>
            <c:dLbl>
              <c:idx val="21"/>
              <c:delete val="1"/>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 сем 12-13_бакалавры'!$A$3,'2 сем 12-13_бакалавры'!$A$9:$A$34)</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('2 сем 12-13_бакалавры'!$L$3,'2 сем 12-13_бакалавры'!$L$9:$L$34)</c:f>
              <c:numCache>
                <c:formatCode>General</c:formatCode>
                <c:ptCount val="27"/>
                <c:pt idx="0">
                  <c:v>7</c:v>
                </c:pt>
                <c:pt idx="1">
                  <c:v>3</c:v>
                </c:pt>
                <c:pt idx="2">
                  <c:v>3</c:v>
                </c:pt>
                <c:pt idx="3">
                  <c:v>9</c:v>
                </c:pt>
                <c:pt idx="4">
                  <c:v>3</c:v>
                </c:pt>
                <c:pt idx="5">
                  <c:v>2</c:v>
                </c:pt>
                <c:pt idx="6">
                  <c:v>1</c:v>
                </c:pt>
                <c:pt idx="7">
                  <c:v>0</c:v>
                </c:pt>
                <c:pt idx="8">
                  <c:v>7</c:v>
                </c:pt>
                <c:pt idx="9">
                  <c:v>7</c:v>
                </c:pt>
                <c:pt idx="10">
                  <c:v>11</c:v>
                </c:pt>
                <c:pt idx="11">
                  <c:v>4</c:v>
                </c:pt>
                <c:pt idx="12">
                  <c:v>8</c:v>
                </c:pt>
                <c:pt idx="13">
                  <c:v>5</c:v>
                </c:pt>
                <c:pt idx="14">
                  <c:v>2</c:v>
                </c:pt>
                <c:pt idx="15">
                  <c:v>3</c:v>
                </c:pt>
                <c:pt idx="16">
                  <c:v>3</c:v>
                </c:pt>
                <c:pt idx="17">
                  <c:v>10</c:v>
                </c:pt>
                <c:pt idx="18">
                  <c:v>6</c:v>
                </c:pt>
                <c:pt idx="19">
                  <c:v>4</c:v>
                </c:pt>
                <c:pt idx="20">
                  <c:v>7</c:v>
                </c:pt>
                <c:pt idx="21">
                  <c:v>0</c:v>
                </c:pt>
                <c:pt idx="22">
                  <c:v>1</c:v>
                </c:pt>
                <c:pt idx="23">
                  <c:v>5</c:v>
                </c:pt>
                <c:pt idx="24">
                  <c:v>10</c:v>
                </c:pt>
                <c:pt idx="25">
                  <c:v>16</c:v>
                </c:pt>
                <c:pt idx="26">
                  <c:v>8</c:v>
                </c:pt>
              </c:numCache>
            </c:numRef>
          </c:val>
        </c:ser>
        <c:ser>
          <c:idx val="7"/>
          <c:order val="2"/>
          <c:tx>
            <c:v>3 курс</c:v>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invertIfNegative val="0"/>
          <c:dLbls>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3"/>
              <c:delete val="1"/>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 сем 12-13_бакалавры'!$A$3,'2 сем 12-13_бакалавры'!$A$9:$A$34)</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('2 сем 12-13_бакалавры'!$U$3,'2 сем 12-13_бакалавры'!$U$9:$U$34)</c:f>
              <c:numCache>
                <c:formatCode>General</c:formatCode>
                <c:ptCount val="27"/>
                <c:pt idx="0">
                  <c:v>8</c:v>
                </c:pt>
                <c:pt idx="1">
                  <c:v>6</c:v>
                </c:pt>
                <c:pt idx="2">
                  <c:v>2</c:v>
                </c:pt>
                <c:pt idx="3">
                  <c:v>0</c:v>
                </c:pt>
                <c:pt idx="4">
                  <c:v>2</c:v>
                </c:pt>
                <c:pt idx="5">
                  <c:v>0</c:v>
                </c:pt>
                <c:pt idx="6">
                  <c:v>2</c:v>
                </c:pt>
                <c:pt idx="7">
                  <c:v>2</c:v>
                </c:pt>
                <c:pt idx="8">
                  <c:v>1</c:v>
                </c:pt>
                <c:pt idx="9">
                  <c:v>8</c:v>
                </c:pt>
                <c:pt idx="10">
                  <c:v>9</c:v>
                </c:pt>
                <c:pt idx="11">
                  <c:v>1</c:v>
                </c:pt>
                <c:pt idx="12">
                  <c:v>0</c:v>
                </c:pt>
                <c:pt idx="13">
                  <c:v>1</c:v>
                </c:pt>
                <c:pt idx="14">
                  <c:v>1</c:v>
                </c:pt>
                <c:pt idx="15">
                  <c:v>2</c:v>
                </c:pt>
                <c:pt idx="16">
                  <c:v>1</c:v>
                </c:pt>
                <c:pt idx="17">
                  <c:v>3</c:v>
                </c:pt>
                <c:pt idx="18">
                  <c:v>1</c:v>
                </c:pt>
                <c:pt idx="19">
                  <c:v>2</c:v>
                </c:pt>
                <c:pt idx="20">
                  <c:v>2</c:v>
                </c:pt>
                <c:pt idx="21">
                  <c:v>0</c:v>
                </c:pt>
                <c:pt idx="22">
                  <c:v>4</c:v>
                </c:pt>
                <c:pt idx="23">
                  <c:v>0</c:v>
                </c:pt>
                <c:pt idx="24">
                  <c:v>8</c:v>
                </c:pt>
                <c:pt idx="25">
                  <c:v>7</c:v>
                </c:pt>
                <c:pt idx="26">
                  <c:v>10</c:v>
                </c:pt>
              </c:numCache>
            </c:numRef>
          </c:val>
        </c:ser>
        <c:ser>
          <c:idx val="8"/>
          <c:order val="3"/>
          <c:tx>
            <c:v>4 курс</c:v>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dLbls>
            <c:dLbl>
              <c:idx val="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21"/>
              <c:delete val="1"/>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 сем 12-13_бакалавры'!$A$3,'2 сем 12-13_бакалавры'!$A$9:$A$34)</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('2 сем 12-13_бакалавры'!$AD$3,'2 сем 12-13_бакалавры'!$AD$9:$AD$34)</c:f>
              <c:numCache>
                <c:formatCode>General</c:formatCode>
                <c:ptCount val="27"/>
                <c:pt idx="0">
                  <c:v>8</c:v>
                </c:pt>
                <c:pt idx="1">
                  <c:v>6</c:v>
                </c:pt>
                <c:pt idx="2">
                  <c:v>5</c:v>
                </c:pt>
                <c:pt idx="3">
                  <c:v>6</c:v>
                </c:pt>
                <c:pt idx="4">
                  <c:v>15</c:v>
                </c:pt>
                <c:pt idx="5">
                  <c:v>0</c:v>
                </c:pt>
                <c:pt idx="6">
                  <c:v>16</c:v>
                </c:pt>
                <c:pt idx="7">
                  <c:v>1</c:v>
                </c:pt>
                <c:pt idx="8">
                  <c:v>1</c:v>
                </c:pt>
                <c:pt idx="9">
                  <c:v>21</c:v>
                </c:pt>
                <c:pt idx="10">
                  <c:v>17</c:v>
                </c:pt>
                <c:pt idx="11">
                  <c:v>5</c:v>
                </c:pt>
                <c:pt idx="12">
                  <c:v>5</c:v>
                </c:pt>
                <c:pt idx="13">
                  <c:v>2</c:v>
                </c:pt>
                <c:pt idx="14">
                  <c:v>3</c:v>
                </c:pt>
                <c:pt idx="15">
                  <c:v>12</c:v>
                </c:pt>
                <c:pt idx="16">
                  <c:v>0</c:v>
                </c:pt>
                <c:pt idx="17">
                  <c:v>4</c:v>
                </c:pt>
                <c:pt idx="18">
                  <c:v>0</c:v>
                </c:pt>
                <c:pt idx="19">
                  <c:v>1</c:v>
                </c:pt>
                <c:pt idx="20">
                  <c:v>8</c:v>
                </c:pt>
                <c:pt idx="21">
                  <c:v>0</c:v>
                </c:pt>
                <c:pt idx="22">
                  <c:v>1</c:v>
                </c:pt>
                <c:pt idx="23">
                  <c:v>1</c:v>
                </c:pt>
                <c:pt idx="24">
                  <c:v>10</c:v>
                </c:pt>
                <c:pt idx="25">
                  <c:v>1</c:v>
                </c:pt>
                <c:pt idx="26">
                  <c:v>1</c:v>
                </c:pt>
              </c:numCache>
            </c:numRef>
          </c:val>
        </c:ser>
        <c:ser>
          <c:idx val="9"/>
          <c:order val="4"/>
          <c:tx>
            <c:v>5 курс</c:v>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 сем 12-13_бакалавры'!$A$3,'2 сем 12-13_бакалавры'!$A$9:$A$34)</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('2 сем 12-13_бакалавры'!$AM$3,'2 сем 12-13_бакалавры'!$AM$9:$AM$34)</c:f>
              <c:numCache>
                <c:formatCode>General</c:formatCode>
                <c:ptCount val="27"/>
                <c:pt idx="0">
                  <c:v>0</c:v>
                </c:pt>
                <c:pt idx="1">
                  <c:v>0</c:v>
                </c:pt>
                <c:pt idx="2">
                  <c:v>0</c:v>
                </c:pt>
                <c:pt idx="3">
                  <c:v>0</c:v>
                </c:pt>
                <c:pt idx="4">
                  <c:v>0</c:v>
                </c:pt>
                <c:pt idx="5">
                  <c:v>0</c:v>
                </c:pt>
                <c:pt idx="6">
                  <c:v>17</c:v>
                </c:pt>
                <c:pt idx="7">
                  <c:v>0</c:v>
                </c:pt>
                <c:pt idx="8">
                  <c:v>0</c:v>
                </c:pt>
                <c:pt idx="9">
                  <c:v>0</c:v>
                </c:pt>
                <c:pt idx="10">
                  <c:v>2</c:v>
                </c:pt>
                <c:pt idx="11">
                  <c:v>15</c:v>
                </c:pt>
                <c:pt idx="12">
                  <c:v>0</c:v>
                </c:pt>
                <c:pt idx="13">
                  <c:v>2</c:v>
                </c:pt>
                <c:pt idx="14">
                  <c:v>0</c:v>
                </c:pt>
                <c:pt idx="15">
                  <c:v>0</c:v>
                </c:pt>
                <c:pt idx="16">
                  <c:v>0</c:v>
                </c:pt>
                <c:pt idx="17">
                  <c:v>0</c:v>
                </c:pt>
                <c:pt idx="18">
                  <c:v>0</c:v>
                </c:pt>
                <c:pt idx="19">
                  <c:v>0</c:v>
                </c:pt>
                <c:pt idx="20">
                  <c:v>0</c:v>
                </c:pt>
                <c:pt idx="21">
                  <c:v>0</c:v>
                </c:pt>
                <c:pt idx="22">
                  <c:v>0</c:v>
                </c:pt>
                <c:pt idx="23">
                  <c:v>0</c:v>
                </c:pt>
                <c:pt idx="24">
                  <c:v>4</c:v>
                </c:pt>
                <c:pt idx="25">
                  <c:v>1</c:v>
                </c:pt>
                <c:pt idx="26">
                  <c:v>8</c:v>
                </c:pt>
              </c:numCache>
            </c:numRef>
          </c:val>
        </c:ser>
        <c:dLbls>
          <c:showLegendKey val="0"/>
          <c:showVal val="0"/>
          <c:showCatName val="0"/>
          <c:showSerName val="0"/>
          <c:showPercent val="0"/>
          <c:showBubbleSize val="0"/>
        </c:dLbls>
        <c:gapWidth val="34"/>
        <c:overlap val="100"/>
        <c:axId val="551681408"/>
        <c:axId val="552027264"/>
      </c:barChart>
      <c:catAx>
        <c:axId val="551681408"/>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52027264"/>
        <c:crosses val="autoZero"/>
        <c:auto val="1"/>
        <c:lblAlgn val="ctr"/>
        <c:lblOffset val="100"/>
        <c:noMultiLvlLbl val="0"/>
      </c:catAx>
      <c:valAx>
        <c:axId val="552027264"/>
        <c:scaling>
          <c:orientation val="minMax"/>
          <c:max val="50"/>
        </c:scaling>
        <c:delete val="0"/>
        <c:axPos val="b"/>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51681408"/>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ru-RU" sz="1200" b="1"/>
              <a:t>Количество отчисленных за академическую неуспеваемость студентов бакалавриата (специалитета) по итогам 2 семестра 2012-2013 уч.г. в абсолютных значениях</a:t>
            </a:r>
          </a:p>
        </c:rich>
      </c:tx>
      <c:overlay val="0"/>
    </c:title>
    <c:autoTitleDeleted val="0"/>
    <c:plotArea>
      <c:layout>
        <c:manualLayout>
          <c:layoutTarget val="inner"/>
          <c:xMode val="edge"/>
          <c:yMode val="edge"/>
          <c:x val="0.13003913147220381"/>
          <c:y val="0.115956678700361"/>
          <c:w val="0.80296967544686804"/>
          <c:h val="0.79020216267042798"/>
        </c:manualLayout>
      </c:layout>
      <c:barChart>
        <c:barDir val="bar"/>
        <c:grouping val="stacked"/>
        <c:varyColors val="0"/>
        <c:ser>
          <c:idx val="0"/>
          <c:order val="0"/>
          <c:tx>
            <c:v>1 курс</c:v>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dLbls>
            <c:dLbl>
              <c:idx val="1"/>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9"/>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 сем 12-13_бакалавры'!$A$3,'2 сем 12-13_бакалавры'!$A$9:$A$34)</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('2 сем 12-13_бакалавры'!$G$3,'2 сем 12-13_бакалавры'!$G$9:$G$34)</c:f>
              <c:numCache>
                <c:formatCode>General</c:formatCode>
                <c:ptCount val="27"/>
                <c:pt idx="0">
                  <c:v>4</c:v>
                </c:pt>
                <c:pt idx="1">
                  <c:v>0</c:v>
                </c:pt>
                <c:pt idx="2">
                  <c:v>9</c:v>
                </c:pt>
                <c:pt idx="3">
                  <c:v>8</c:v>
                </c:pt>
                <c:pt idx="4">
                  <c:v>2</c:v>
                </c:pt>
                <c:pt idx="5">
                  <c:v>4</c:v>
                </c:pt>
                <c:pt idx="6">
                  <c:v>4</c:v>
                </c:pt>
                <c:pt idx="7">
                  <c:v>3</c:v>
                </c:pt>
                <c:pt idx="8">
                  <c:v>3</c:v>
                </c:pt>
                <c:pt idx="9">
                  <c:v>5</c:v>
                </c:pt>
                <c:pt idx="10">
                  <c:v>6</c:v>
                </c:pt>
                <c:pt idx="11">
                  <c:v>0</c:v>
                </c:pt>
                <c:pt idx="12">
                  <c:v>0</c:v>
                </c:pt>
                <c:pt idx="13">
                  <c:v>2</c:v>
                </c:pt>
                <c:pt idx="14">
                  <c:v>2</c:v>
                </c:pt>
                <c:pt idx="15">
                  <c:v>0</c:v>
                </c:pt>
                <c:pt idx="16">
                  <c:v>5</c:v>
                </c:pt>
                <c:pt idx="17">
                  <c:v>2</c:v>
                </c:pt>
                <c:pt idx="18">
                  <c:v>6</c:v>
                </c:pt>
                <c:pt idx="19">
                  <c:v>0</c:v>
                </c:pt>
                <c:pt idx="20">
                  <c:v>7</c:v>
                </c:pt>
                <c:pt idx="21">
                  <c:v>0</c:v>
                </c:pt>
                <c:pt idx="22">
                  <c:v>4</c:v>
                </c:pt>
                <c:pt idx="23">
                  <c:v>3</c:v>
                </c:pt>
                <c:pt idx="24">
                  <c:v>7</c:v>
                </c:pt>
                <c:pt idx="25">
                  <c:v>8</c:v>
                </c:pt>
                <c:pt idx="26">
                  <c:v>1</c:v>
                </c:pt>
              </c:numCache>
            </c:numRef>
          </c:val>
        </c:ser>
        <c:ser>
          <c:idx val="6"/>
          <c:order val="1"/>
          <c:tx>
            <c:v>2 курс</c:v>
          </c:tx>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invertIfNegative val="0"/>
          <c:dLbls>
            <c:dLbl>
              <c:idx val="4"/>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 сем 12-13_бакалавры'!$A$3,'2 сем 12-13_бакалавры'!$A$9:$A$34)</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('2 сем 12-13_бакалавры'!$P$3,'2 сем 12-13_бакалавры'!$P$9:$P$34)</c:f>
              <c:numCache>
                <c:formatCode>General</c:formatCode>
                <c:ptCount val="27"/>
                <c:pt idx="0">
                  <c:v>3</c:v>
                </c:pt>
                <c:pt idx="1">
                  <c:v>1</c:v>
                </c:pt>
                <c:pt idx="2">
                  <c:v>1</c:v>
                </c:pt>
                <c:pt idx="3">
                  <c:v>1</c:v>
                </c:pt>
                <c:pt idx="4">
                  <c:v>0</c:v>
                </c:pt>
                <c:pt idx="5">
                  <c:v>1</c:v>
                </c:pt>
                <c:pt idx="6">
                  <c:v>0</c:v>
                </c:pt>
                <c:pt idx="7">
                  <c:v>0</c:v>
                </c:pt>
                <c:pt idx="8">
                  <c:v>5</c:v>
                </c:pt>
                <c:pt idx="9">
                  <c:v>3</c:v>
                </c:pt>
                <c:pt idx="10">
                  <c:v>5</c:v>
                </c:pt>
                <c:pt idx="11">
                  <c:v>0</c:v>
                </c:pt>
                <c:pt idx="12">
                  <c:v>1</c:v>
                </c:pt>
                <c:pt idx="13">
                  <c:v>1</c:v>
                </c:pt>
                <c:pt idx="14">
                  <c:v>1</c:v>
                </c:pt>
                <c:pt idx="15">
                  <c:v>0</c:v>
                </c:pt>
                <c:pt idx="16">
                  <c:v>0</c:v>
                </c:pt>
                <c:pt idx="17">
                  <c:v>2</c:v>
                </c:pt>
                <c:pt idx="18">
                  <c:v>3</c:v>
                </c:pt>
                <c:pt idx="19">
                  <c:v>2</c:v>
                </c:pt>
                <c:pt idx="20">
                  <c:v>2</c:v>
                </c:pt>
                <c:pt idx="21">
                  <c:v>0</c:v>
                </c:pt>
                <c:pt idx="22">
                  <c:v>0</c:v>
                </c:pt>
                <c:pt idx="23">
                  <c:v>3</c:v>
                </c:pt>
                <c:pt idx="24">
                  <c:v>10</c:v>
                </c:pt>
                <c:pt idx="25">
                  <c:v>11</c:v>
                </c:pt>
                <c:pt idx="26">
                  <c:v>6</c:v>
                </c:pt>
              </c:numCache>
            </c:numRef>
          </c:val>
        </c:ser>
        <c:ser>
          <c:idx val="7"/>
          <c:order val="2"/>
          <c:tx>
            <c:v>3 курс</c:v>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invertIfNegative val="0"/>
          <c:dLbls>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 сем 12-13_бакалавры'!$A$3,'2 сем 12-13_бакалавры'!$A$9:$A$34)</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('2 сем 12-13_бакалавры'!$Y$3,'2 сем 12-13_бакалавры'!$Y$9:$Y$34)</c:f>
              <c:numCache>
                <c:formatCode>General</c:formatCode>
                <c:ptCount val="27"/>
                <c:pt idx="0">
                  <c:v>3</c:v>
                </c:pt>
                <c:pt idx="1">
                  <c:v>4</c:v>
                </c:pt>
                <c:pt idx="2">
                  <c:v>2</c:v>
                </c:pt>
                <c:pt idx="3">
                  <c:v>0</c:v>
                </c:pt>
                <c:pt idx="4">
                  <c:v>1</c:v>
                </c:pt>
                <c:pt idx="5">
                  <c:v>0</c:v>
                </c:pt>
                <c:pt idx="6">
                  <c:v>1</c:v>
                </c:pt>
                <c:pt idx="7">
                  <c:v>1</c:v>
                </c:pt>
                <c:pt idx="8">
                  <c:v>1</c:v>
                </c:pt>
                <c:pt idx="9">
                  <c:v>4</c:v>
                </c:pt>
                <c:pt idx="10">
                  <c:v>3</c:v>
                </c:pt>
                <c:pt idx="11">
                  <c:v>1</c:v>
                </c:pt>
                <c:pt idx="12">
                  <c:v>0</c:v>
                </c:pt>
                <c:pt idx="13">
                  <c:v>0</c:v>
                </c:pt>
                <c:pt idx="14">
                  <c:v>1</c:v>
                </c:pt>
                <c:pt idx="15">
                  <c:v>1</c:v>
                </c:pt>
                <c:pt idx="16">
                  <c:v>0</c:v>
                </c:pt>
                <c:pt idx="17">
                  <c:v>3</c:v>
                </c:pt>
                <c:pt idx="18">
                  <c:v>1</c:v>
                </c:pt>
                <c:pt idx="19">
                  <c:v>1</c:v>
                </c:pt>
                <c:pt idx="20">
                  <c:v>2</c:v>
                </c:pt>
                <c:pt idx="21">
                  <c:v>0</c:v>
                </c:pt>
                <c:pt idx="22">
                  <c:v>3</c:v>
                </c:pt>
                <c:pt idx="23">
                  <c:v>0</c:v>
                </c:pt>
                <c:pt idx="24">
                  <c:v>7</c:v>
                </c:pt>
                <c:pt idx="25">
                  <c:v>5</c:v>
                </c:pt>
                <c:pt idx="26">
                  <c:v>8</c:v>
                </c:pt>
              </c:numCache>
            </c:numRef>
          </c:val>
        </c:ser>
        <c:ser>
          <c:idx val="8"/>
          <c:order val="3"/>
          <c:tx>
            <c:v>4 курс</c:v>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dLbls>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6"/>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 сем 12-13_бакалавры'!$A$3,'2 сем 12-13_бакалавры'!$A$9:$A$34)</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('2 сем 12-13_бакалавры'!$AH$3,'2 сем 12-13_бакалавры'!$AH$9:$AH$34)</c:f>
              <c:numCache>
                <c:formatCode>General</c:formatCode>
                <c:ptCount val="27"/>
                <c:pt idx="0">
                  <c:v>2</c:v>
                </c:pt>
                <c:pt idx="1">
                  <c:v>2</c:v>
                </c:pt>
                <c:pt idx="2">
                  <c:v>2</c:v>
                </c:pt>
                <c:pt idx="3">
                  <c:v>0</c:v>
                </c:pt>
                <c:pt idx="4">
                  <c:v>0</c:v>
                </c:pt>
                <c:pt idx="5">
                  <c:v>0</c:v>
                </c:pt>
                <c:pt idx="6">
                  <c:v>1</c:v>
                </c:pt>
                <c:pt idx="7">
                  <c:v>0</c:v>
                </c:pt>
                <c:pt idx="8">
                  <c:v>1</c:v>
                </c:pt>
                <c:pt idx="9">
                  <c:v>1</c:v>
                </c:pt>
                <c:pt idx="10">
                  <c:v>3</c:v>
                </c:pt>
                <c:pt idx="11">
                  <c:v>2</c:v>
                </c:pt>
                <c:pt idx="12">
                  <c:v>3</c:v>
                </c:pt>
                <c:pt idx="13">
                  <c:v>2</c:v>
                </c:pt>
                <c:pt idx="14">
                  <c:v>2</c:v>
                </c:pt>
                <c:pt idx="15">
                  <c:v>1</c:v>
                </c:pt>
                <c:pt idx="16">
                  <c:v>0</c:v>
                </c:pt>
                <c:pt idx="17">
                  <c:v>2</c:v>
                </c:pt>
                <c:pt idx="18">
                  <c:v>0</c:v>
                </c:pt>
                <c:pt idx="19">
                  <c:v>0</c:v>
                </c:pt>
                <c:pt idx="20">
                  <c:v>0</c:v>
                </c:pt>
                <c:pt idx="21">
                  <c:v>0</c:v>
                </c:pt>
                <c:pt idx="22">
                  <c:v>0</c:v>
                </c:pt>
                <c:pt idx="23">
                  <c:v>1</c:v>
                </c:pt>
                <c:pt idx="24">
                  <c:v>9</c:v>
                </c:pt>
                <c:pt idx="25">
                  <c:v>1</c:v>
                </c:pt>
                <c:pt idx="26">
                  <c:v>0</c:v>
                </c:pt>
              </c:numCache>
            </c:numRef>
          </c:val>
        </c:ser>
        <c:ser>
          <c:idx val="9"/>
          <c:order val="4"/>
          <c:tx>
            <c:v>5 курс</c:v>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 сем 12-13_бакалавры'!$A$3,'2 сем 12-13_бакалавры'!$A$9:$A$34)</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('2 сем 12-13_бакалавры'!$AQ$3,'2 сем 12-13_бакалавры'!$AQ$9:$AQ$34)</c:f>
              <c:numCache>
                <c:formatCode>General</c:formatCode>
                <c:ptCount val="27"/>
                <c:pt idx="0">
                  <c:v>0</c:v>
                </c:pt>
                <c:pt idx="1">
                  <c:v>0</c:v>
                </c:pt>
                <c:pt idx="2">
                  <c:v>0</c:v>
                </c:pt>
                <c:pt idx="3">
                  <c:v>0</c:v>
                </c:pt>
                <c:pt idx="4">
                  <c:v>0</c:v>
                </c:pt>
                <c:pt idx="5">
                  <c:v>0</c:v>
                </c:pt>
                <c:pt idx="6">
                  <c:v>1</c:v>
                </c:pt>
                <c:pt idx="7">
                  <c:v>0</c:v>
                </c:pt>
                <c:pt idx="8">
                  <c:v>0</c:v>
                </c:pt>
                <c:pt idx="9">
                  <c:v>0</c:v>
                </c:pt>
                <c:pt idx="10">
                  <c:v>0</c:v>
                </c:pt>
                <c:pt idx="11">
                  <c:v>2</c:v>
                </c:pt>
                <c:pt idx="12">
                  <c:v>0</c:v>
                </c:pt>
                <c:pt idx="13">
                  <c:v>1</c:v>
                </c:pt>
                <c:pt idx="14">
                  <c:v>0</c:v>
                </c:pt>
                <c:pt idx="15">
                  <c:v>0</c:v>
                </c:pt>
                <c:pt idx="16">
                  <c:v>0</c:v>
                </c:pt>
                <c:pt idx="17">
                  <c:v>0</c:v>
                </c:pt>
                <c:pt idx="18">
                  <c:v>0</c:v>
                </c:pt>
                <c:pt idx="19">
                  <c:v>0</c:v>
                </c:pt>
                <c:pt idx="20">
                  <c:v>0</c:v>
                </c:pt>
                <c:pt idx="21">
                  <c:v>0</c:v>
                </c:pt>
                <c:pt idx="22">
                  <c:v>0</c:v>
                </c:pt>
                <c:pt idx="23">
                  <c:v>0</c:v>
                </c:pt>
                <c:pt idx="24">
                  <c:v>2</c:v>
                </c:pt>
                <c:pt idx="25">
                  <c:v>0</c:v>
                </c:pt>
                <c:pt idx="26">
                  <c:v>5</c:v>
                </c:pt>
              </c:numCache>
            </c:numRef>
          </c:val>
        </c:ser>
        <c:dLbls>
          <c:showLegendKey val="0"/>
          <c:showVal val="0"/>
          <c:showCatName val="0"/>
          <c:showSerName val="0"/>
          <c:showPercent val="0"/>
          <c:showBubbleSize val="0"/>
        </c:dLbls>
        <c:gapWidth val="72"/>
        <c:overlap val="100"/>
        <c:axId val="552200448"/>
        <c:axId val="552386560"/>
      </c:barChart>
      <c:catAx>
        <c:axId val="552200448"/>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52386560"/>
        <c:crosses val="autoZero"/>
        <c:auto val="1"/>
        <c:lblAlgn val="ctr"/>
        <c:lblOffset val="100"/>
        <c:noMultiLvlLbl val="0"/>
      </c:catAx>
      <c:valAx>
        <c:axId val="552386560"/>
        <c:scaling>
          <c:orientation val="minMax"/>
          <c:max val="35"/>
        </c:scaling>
        <c:delete val="0"/>
        <c:axPos val="b"/>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52200448"/>
        <c:crosses val="autoZero"/>
        <c:crossBetween val="between"/>
      </c:valAx>
    </c:plotArea>
    <c:legend>
      <c:legendPos val="b"/>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b="1" i="0" u="none" strike="noStrike" baseline="0">
                <a:solidFill>
                  <a:srgbClr val="000000"/>
                </a:solidFill>
                <a:latin typeface="Calibri"/>
                <a:ea typeface="Calibri"/>
                <a:cs typeface="Calibri"/>
              </a:defRPr>
            </a:pPr>
            <a:r>
              <a:rPr lang="ru-RU" sz="1200" b="1"/>
              <a:t>Отчисления студентов бакалавриата по курсам в % от общей численности студентов курса</a:t>
            </a:r>
          </a:p>
        </c:rich>
      </c:tx>
      <c:overlay val="0"/>
    </c:title>
    <c:autoTitleDeleted val="0"/>
    <c:plotArea>
      <c:layout>
        <c:manualLayout>
          <c:layoutTarget val="inner"/>
          <c:xMode val="edge"/>
          <c:yMode val="edge"/>
          <c:x val="0.17157098242466501"/>
          <c:y val="0.10689384562715602"/>
          <c:w val="0.80489517924183662"/>
          <c:h val="0.85979677398548504"/>
        </c:manualLayout>
      </c:layout>
      <c:barChart>
        <c:barDir val="bar"/>
        <c:grouping val="clustered"/>
        <c:varyColors val="0"/>
        <c:ser>
          <c:idx val="9"/>
          <c:order val="0"/>
          <c:tx>
            <c:v>1 курс</c:v>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cat>
            <c:strRef>
              <c:f>('2 сем 12-13_бакалавры'!$A$3,'2 сем 12-13_бакалавры'!$A$9:$A$34)</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('2 сем 12-13_бакалавры'!$D$3,'2 сем 12-13_бакалавры'!$D$9:$D$34)</c:f>
              <c:numCache>
                <c:formatCode>0.00</c:formatCode>
                <c:ptCount val="27"/>
                <c:pt idx="0">
                  <c:v>10.83333333333333</c:v>
                </c:pt>
                <c:pt idx="1">
                  <c:v>3.1746031746031727</c:v>
                </c:pt>
                <c:pt idx="2">
                  <c:v>15.463917525773224</c:v>
                </c:pt>
                <c:pt idx="3">
                  <c:v>12.087912087912088</c:v>
                </c:pt>
                <c:pt idx="4">
                  <c:v>5.2631578947368416</c:v>
                </c:pt>
                <c:pt idx="5">
                  <c:v>12.28070175438596</c:v>
                </c:pt>
                <c:pt idx="6">
                  <c:v>5.1546391752577305</c:v>
                </c:pt>
                <c:pt idx="7">
                  <c:v>16.981132075471518</c:v>
                </c:pt>
                <c:pt idx="8">
                  <c:v>4.3859649122806976</c:v>
                </c:pt>
                <c:pt idx="9">
                  <c:v>6.6265060240963765</c:v>
                </c:pt>
                <c:pt idx="10">
                  <c:v>3.7037037037037042</c:v>
                </c:pt>
                <c:pt idx="11">
                  <c:v>0.77519379844961478</c:v>
                </c:pt>
                <c:pt idx="12">
                  <c:v>3.191489361702128</c:v>
                </c:pt>
                <c:pt idx="13">
                  <c:v>3.2258064516129052</c:v>
                </c:pt>
                <c:pt idx="14">
                  <c:v>4.918032786885246</c:v>
                </c:pt>
                <c:pt idx="15">
                  <c:v>1.6949152542372881</c:v>
                </c:pt>
                <c:pt idx="16">
                  <c:v>8.1632653061224492</c:v>
                </c:pt>
                <c:pt idx="17">
                  <c:v>8.7719298245613988</c:v>
                </c:pt>
                <c:pt idx="18">
                  <c:v>8.0808080808080813</c:v>
                </c:pt>
                <c:pt idx="19">
                  <c:v>8.6956521739130448</c:v>
                </c:pt>
                <c:pt idx="20">
                  <c:v>4.8689138576778621</c:v>
                </c:pt>
                <c:pt idx="21">
                  <c:v>5.0847457627118704</c:v>
                </c:pt>
                <c:pt idx="22">
                  <c:v>10.447761194029848</c:v>
                </c:pt>
                <c:pt idx="23">
                  <c:v>4.4776119402985071</c:v>
                </c:pt>
                <c:pt idx="24">
                  <c:v>7.0796460176991403</c:v>
                </c:pt>
                <c:pt idx="25">
                  <c:v>12.195121951219511</c:v>
                </c:pt>
                <c:pt idx="26">
                  <c:v>6.818181818181789</c:v>
                </c:pt>
              </c:numCache>
            </c:numRef>
          </c:val>
        </c:ser>
        <c:ser>
          <c:idx val="4"/>
          <c:order val="1"/>
          <c:tx>
            <c:v>2 курс</c:v>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invertIfNegative val="0"/>
          <c:cat>
            <c:strRef>
              <c:f>('2 сем 12-13_бакалавры'!$A$3,'2 сем 12-13_бакалавры'!$A$9:$A$34)</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('2 сем 12-13_бакалавры'!$M$3,'2 сем 12-13_бакалавры'!$M$9:$M$34)</c:f>
              <c:numCache>
                <c:formatCode>0.00</c:formatCode>
                <c:ptCount val="27"/>
                <c:pt idx="0">
                  <c:v>4.2944785276073381</c:v>
                </c:pt>
                <c:pt idx="1">
                  <c:v>3.3707865168539342</c:v>
                </c:pt>
                <c:pt idx="2">
                  <c:v>5</c:v>
                </c:pt>
                <c:pt idx="3">
                  <c:v>23.684210526315788</c:v>
                </c:pt>
                <c:pt idx="4">
                  <c:v>2.8571428571428572</c:v>
                </c:pt>
                <c:pt idx="5">
                  <c:v>3.7735849056603881</c:v>
                </c:pt>
                <c:pt idx="6">
                  <c:v>1.0204081632653061</c:v>
                </c:pt>
                <c:pt idx="7">
                  <c:v>0</c:v>
                </c:pt>
                <c:pt idx="8">
                  <c:v>9.3333333333333357</c:v>
                </c:pt>
                <c:pt idx="9">
                  <c:v>4.5751633986928359</c:v>
                </c:pt>
                <c:pt idx="10">
                  <c:v>6.5868263473053865</c:v>
                </c:pt>
                <c:pt idx="11">
                  <c:v>2.1164021164021127</c:v>
                </c:pt>
                <c:pt idx="12">
                  <c:v>7.7669902912621414</c:v>
                </c:pt>
                <c:pt idx="13">
                  <c:v>4.2735042735042725</c:v>
                </c:pt>
                <c:pt idx="14">
                  <c:v>2.5641025641025652</c:v>
                </c:pt>
                <c:pt idx="15">
                  <c:v>2.0833333333333401</c:v>
                </c:pt>
                <c:pt idx="16">
                  <c:v>3.0612244897959182</c:v>
                </c:pt>
                <c:pt idx="17">
                  <c:v>34.482758620689658</c:v>
                </c:pt>
                <c:pt idx="18">
                  <c:v>8</c:v>
                </c:pt>
                <c:pt idx="19">
                  <c:v>13.33333333333333</c:v>
                </c:pt>
                <c:pt idx="20">
                  <c:v>3.9772727272727271</c:v>
                </c:pt>
                <c:pt idx="21">
                  <c:v>0</c:v>
                </c:pt>
                <c:pt idx="22">
                  <c:v>1.4285714285714299</c:v>
                </c:pt>
                <c:pt idx="23">
                  <c:v>10.638297872340418</c:v>
                </c:pt>
                <c:pt idx="24">
                  <c:v>11.235955056179771</c:v>
                </c:pt>
                <c:pt idx="25">
                  <c:v>17.977528089887628</c:v>
                </c:pt>
                <c:pt idx="26">
                  <c:v>15.38461538461538</c:v>
                </c:pt>
              </c:numCache>
            </c:numRef>
          </c:val>
        </c:ser>
        <c:ser>
          <c:idx val="5"/>
          <c:order val="2"/>
          <c:tx>
            <c:v>3 курс</c:v>
          </c:tx>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invertIfNegative val="0"/>
          <c:cat>
            <c:strRef>
              <c:f>('2 сем 12-13_бакалавры'!$A$3,'2 сем 12-13_бакалавры'!$A$9:$A$34)</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('2 сем 12-13_бакалавры'!$V$3,'2 сем 12-13_бакалавры'!$V$9:$V$34)</c:f>
              <c:numCache>
                <c:formatCode>0.00</c:formatCode>
                <c:ptCount val="27"/>
                <c:pt idx="0">
                  <c:v>5.6737588652482271</c:v>
                </c:pt>
                <c:pt idx="1">
                  <c:v>4.2857142857142874</c:v>
                </c:pt>
                <c:pt idx="2">
                  <c:v>4.6511627906976933</c:v>
                </c:pt>
                <c:pt idx="3">
                  <c:v>0</c:v>
                </c:pt>
                <c:pt idx="4">
                  <c:v>1.6949152542372881</c:v>
                </c:pt>
                <c:pt idx="5">
                  <c:v>0</c:v>
                </c:pt>
                <c:pt idx="6">
                  <c:v>2.1739130434782608</c:v>
                </c:pt>
                <c:pt idx="7">
                  <c:v>6.4516129032258114</c:v>
                </c:pt>
                <c:pt idx="8">
                  <c:v>2.6315789473684208</c:v>
                </c:pt>
                <c:pt idx="9">
                  <c:v>4.3715846994535497</c:v>
                </c:pt>
                <c:pt idx="10">
                  <c:v>4.8128342245988938</c:v>
                </c:pt>
                <c:pt idx="11">
                  <c:v>0.50505050505050497</c:v>
                </c:pt>
                <c:pt idx="12">
                  <c:v>0</c:v>
                </c:pt>
                <c:pt idx="13">
                  <c:v>2.0833333333333401</c:v>
                </c:pt>
                <c:pt idx="14">
                  <c:v>1.2345679012345681</c:v>
                </c:pt>
                <c:pt idx="15">
                  <c:v>2.150537634408602</c:v>
                </c:pt>
                <c:pt idx="16">
                  <c:v>0</c:v>
                </c:pt>
                <c:pt idx="17">
                  <c:v>9.0909090909091006</c:v>
                </c:pt>
                <c:pt idx="18">
                  <c:v>0.85470085470085655</c:v>
                </c:pt>
                <c:pt idx="19">
                  <c:v>5.8823529411764666</c:v>
                </c:pt>
                <c:pt idx="20">
                  <c:v>0.91743119266055095</c:v>
                </c:pt>
                <c:pt idx="21">
                  <c:v>0</c:v>
                </c:pt>
                <c:pt idx="22">
                  <c:v>8.8888888888888928</c:v>
                </c:pt>
                <c:pt idx="23">
                  <c:v>0</c:v>
                </c:pt>
                <c:pt idx="24">
                  <c:v>7.0175438596491215</c:v>
                </c:pt>
                <c:pt idx="25">
                  <c:v>14.893617021276604</c:v>
                </c:pt>
                <c:pt idx="26">
                  <c:v>12.987012987012999</c:v>
                </c:pt>
              </c:numCache>
            </c:numRef>
          </c:val>
        </c:ser>
        <c:ser>
          <c:idx val="6"/>
          <c:order val="3"/>
          <c:tx>
            <c:v>4 курс</c:v>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cat>
            <c:strRef>
              <c:f>('2 сем 12-13_бакалавры'!$A$3,'2 сем 12-13_бакалавры'!$A$9:$A$34)</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('2 сем 12-13_бакалавры'!$AE$3,'2 сем 12-13_бакалавры'!$AE$9:$AE$34)</c:f>
              <c:numCache>
                <c:formatCode>0.00</c:formatCode>
                <c:ptCount val="27"/>
                <c:pt idx="0" formatCode="General">
                  <c:v>7.0796460176991403</c:v>
                </c:pt>
                <c:pt idx="1">
                  <c:v>3.6809815950920384</c:v>
                </c:pt>
                <c:pt idx="2">
                  <c:v>9.8039215686274517</c:v>
                </c:pt>
                <c:pt idx="3">
                  <c:v>13.33333333333333</c:v>
                </c:pt>
                <c:pt idx="4">
                  <c:v>14.01869158878505</c:v>
                </c:pt>
                <c:pt idx="5">
                  <c:v>0</c:v>
                </c:pt>
                <c:pt idx="6">
                  <c:v>16.494845360824741</c:v>
                </c:pt>
                <c:pt idx="7">
                  <c:v>2.9411764705882337</c:v>
                </c:pt>
                <c:pt idx="8">
                  <c:v>2.5</c:v>
                </c:pt>
                <c:pt idx="9">
                  <c:v>9.170305676855893</c:v>
                </c:pt>
                <c:pt idx="10">
                  <c:v>7.2649572649572303</c:v>
                </c:pt>
                <c:pt idx="11">
                  <c:v>2.5252525252525237</c:v>
                </c:pt>
                <c:pt idx="12">
                  <c:v>6.4935064935064926</c:v>
                </c:pt>
                <c:pt idx="13">
                  <c:v>1.8518518518518521</c:v>
                </c:pt>
                <c:pt idx="14">
                  <c:v>3.8961038961038783</c:v>
                </c:pt>
                <c:pt idx="15">
                  <c:v>11.76470588235294</c:v>
                </c:pt>
                <c:pt idx="16">
                  <c:v>0</c:v>
                </c:pt>
                <c:pt idx="17">
                  <c:v>12.90322580645161</c:v>
                </c:pt>
                <c:pt idx="18">
                  <c:v>0</c:v>
                </c:pt>
                <c:pt idx="19">
                  <c:v>2.6315789473684208</c:v>
                </c:pt>
                <c:pt idx="20">
                  <c:v>3.018867924528283</c:v>
                </c:pt>
                <c:pt idx="21">
                  <c:v>0</c:v>
                </c:pt>
                <c:pt idx="22">
                  <c:v>2.1739130434782608</c:v>
                </c:pt>
                <c:pt idx="23">
                  <c:v>2.6315789473684208</c:v>
                </c:pt>
                <c:pt idx="24">
                  <c:v>6.8493150684931496</c:v>
                </c:pt>
                <c:pt idx="25">
                  <c:v>1.3698630136986298</c:v>
                </c:pt>
                <c:pt idx="26">
                  <c:v>1.136363636363636</c:v>
                </c:pt>
              </c:numCache>
            </c:numRef>
          </c:val>
        </c:ser>
        <c:ser>
          <c:idx val="7"/>
          <c:order val="4"/>
          <c:tx>
            <c:v>5 курс</c:v>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invertIfNegative val="0"/>
          <c:cat>
            <c:strRef>
              <c:f>('2 сем 12-13_бакалавры'!$A$3,'2 сем 12-13_бакалавры'!$A$9:$A$34)</c:f>
              <c:strCache>
                <c:ptCount val="27"/>
                <c:pt idx="0">
                  <c:v>МИЭФ</c:v>
                </c:pt>
                <c:pt idx="1">
                  <c:v>БИ</c:v>
                </c:pt>
                <c:pt idx="2">
                  <c:v>ПМ</c:v>
                </c:pt>
                <c:pt idx="3">
                  <c:v>ПИ</c:v>
                </c:pt>
                <c:pt idx="4">
                  <c:v>ГМУ</c:v>
                </c:pt>
                <c:pt idx="5">
                  <c:v>История</c:v>
                </c:pt>
                <c:pt idx="6">
                  <c:v>Логистика</c:v>
                </c:pt>
                <c:pt idx="7">
                  <c:v>Математика</c:v>
                </c:pt>
                <c:pt idx="8">
                  <c:v>Медиакомм.</c:v>
                </c:pt>
                <c:pt idx="9">
                  <c:v>Менеджмент</c:v>
                </c:pt>
                <c:pt idx="10">
                  <c:v>МЭиМП</c:v>
                </c:pt>
                <c:pt idx="11">
                  <c:v>Право</c:v>
                </c:pt>
                <c:pt idx="12">
                  <c:v>ПП</c:v>
                </c:pt>
                <c:pt idx="13">
                  <c:v>ОИК</c:v>
                </c:pt>
                <c:pt idx="14">
                  <c:v>Психология</c:v>
                </c:pt>
                <c:pt idx="15">
                  <c:v>Социология</c:v>
                </c:pt>
                <c:pt idx="16">
                  <c:v>Филология</c:v>
                </c:pt>
                <c:pt idx="17">
                  <c:v>Философия</c:v>
                </c:pt>
                <c:pt idx="18">
                  <c:v>Востоковедение</c:v>
                </c:pt>
                <c:pt idx="19">
                  <c:v>Культурология</c:v>
                </c:pt>
                <c:pt idx="20">
                  <c:v>Экономика</c:v>
                </c:pt>
                <c:pt idx="21">
                  <c:v>ВШЭ-РЭШ</c:v>
                </c:pt>
                <c:pt idx="22">
                  <c:v>Отд. статистики</c:v>
                </c:pt>
                <c:pt idx="23">
                  <c:v>МИЭМ Дизайн</c:v>
                </c:pt>
                <c:pt idx="24">
                  <c:v>МИЭМ ФИТиВТ</c:v>
                </c:pt>
                <c:pt idx="25">
                  <c:v>МИЭМ ФПМиК</c:v>
                </c:pt>
                <c:pt idx="26">
                  <c:v>МИЭМ ФЭТ</c:v>
                </c:pt>
              </c:strCache>
            </c:strRef>
          </c:cat>
          <c:val>
            <c:numRef>
              <c:f>('2 сем 12-13_бакалавры'!$AN$3,'2 сем 12-13_бакалавры'!$AN$9:$AN$34)</c:f>
              <c:numCache>
                <c:formatCode>General</c:formatCode>
                <c:ptCount val="27"/>
                <c:pt idx="4" formatCode="0.00">
                  <c:v>0</c:v>
                </c:pt>
                <c:pt idx="10">
                  <c:v>2.2222222222222232</c:v>
                </c:pt>
                <c:pt idx="11" formatCode="0.00">
                  <c:v>10.48951048951049</c:v>
                </c:pt>
                <c:pt idx="13">
                  <c:v>4.1666666666666661</c:v>
                </c:pt>
              </c:numCache>
            </c:numRef>
          </c:val>
        </c:ser>
        <c:dLbls>
          <c:showLegendKey val="0"/>
          <c:showVal val="0"/>
          <c:showCatName val="0"/>
          <c:showSerName val="0"/>
          <c:showPercent val="0"/>
          <c:showBubbleSize val="0"/>
        </c:dLbls>
        <c:gapWidth val="50"/>
        <c:overlap val="5"/>
        <c:axId val="552500608"/>
        <c:axId val="552510592"/>
      </c:barChart>
      <c:catAx>
        <c:axId val="552500608"/>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52510592"/>
        <c:crosses val="autoZero"/>
        <c:auto val="1"/>
        <c:lblAlgn val="ctr"/>
        <c:lblOffset val="100"/>
        <c:noMultiLvlLbl val="0"/>
      </c:catAx>
      <c:valAx>
        <c:axId val="552510592"/>
        <c:scaling>
          <c:orientation val="minMax"/>
          <c:max val="35"/>
        </c:scaling>
        <c:delete val="0"/>
        <c:axPos val="b"/>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52500608"/>
        <c:crosses val="autoZero"/>
        <c:crossBetween val="between"/>
      </c:valAx>
    </c:plotArea>
    <c:legend>
      <c:legendPos val="b"/>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ru-RU" sz="1200"/>
              <a:t>Доля отчисленных студентов магистратуры по курсам в % от общей численности студентов курса</a:t>
            </a:r>
          </a:p>
        </c:rich>
      </c:tx>
      <c:overlay val="0"/>
    </c:title>
    <c:autoTitleDeleted val="0"/>
    <c:plotArea>
      <c:layout/>
      <c:barChart>
        <c:barDir val="bar"/>
        <c:grouping val="clustered"/>
        <c:varyColors val="0"/>
        <c:ser>
          <c:idx val="0"/>
          <c:order val="0"/>
          <c:tx>
            <c:v>1 курс</c:v>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dLbls>
            <c:dLbl>
              <c:idx val="10"/>
              <c:delete val="1"/>
              <c:extLst>
                <c:ext xmlns:c15="http://schemas.microsoft.com/office/drawing/2012/chart" uri="{CE6537A1-D6FC-4f65-9D91-7224C49458BB}"/>
              </c:extLst>
            </c:dLbl>
            <c:dLbl>
              <c:idx val="11"/>
              <c:layout>
                <c:manualLayout>
                  <c:x val="6.7796610169491992E-3"/>
                  <c:y val="5.502063273727592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4.5197740112994014E-3"/>
                  <c:y val="1.10041265474553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8"/>
              <c:layout>
                <c:manualLayout>
                  <c:x val="-2.2598870056496812E-3"/>
                  <c:y val="5.5020632737276514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 сем 12-13 маг'!$A$3;'2 сем 12-13 маг'!$A$5:$A$20;'2 сем 12-13 маг'!$A$22:$A$28;'2 сем 12-13 маг'!$A$30;'2 сем 12-13 маг'!$A$32;'2 сем 12-13 маг'!$A$34)</c:f>
              <c:strCache>
                <c:ptCount val="27"/>
                <c:pt idx="0">
                  <c:v>МИЭФ</c:v>
                </c:pt>
                <c:pt idx="1">
                  <c:v>Институт образования</c:v>
                </c:pt>
                <c:pt idx="2">
                  <c:v>Банковский институт</c:v>
                </c:pt>
                <c:pt idx="3">
                  <c:v>ВШУ</c:v>
                </c:pt>
                <c:pt idx="4">
                  <c:v>Каф.ПП</c:v>
                </c:pt>
                <c:pt idx="5">
                  <c:v>БИ</c:v>
                </c:pt>
                <c:pt idx="6">
                  <c:v>ПМ</c:v>
                </c:pt>
                <c:pt idx="7">
                  <c:v>ПИ</c:v>
                </c:pt>
                <c:pt idx="8">
                  <c:v>ГМУ</c:v>
                </c:pt>
                <c:pt idx="9">
                  <c:v>История</c:v>
                </c:pt>
                <c:pt idx="10">
                  <c:v>Логистика</c:v>
                </c:pt>
                <c:pt idx="11">
                  <c:v>Математика</c:v>
                </c:pt>
                <c:pt idx="12">
                  <c:v>Медиакомм.</c:v>
                </c:pt>
                <c:pt idx="13">
                  <c:v>Менеджмент</c:v>
                </c:pt>
                <c:pt idx="14">
                  <c:v>МЭиМП</c:v>
                </c:pt>
                <c:pt idx="15">
                  <c:v>Право</c:v>
                </c:pt>
                <c:pt idx="16">
                  <c:v>ПП</c:v>
                </c:pt>
                <c:pt idx="17">
                  <c:v>Психология</c:v>
                </c:pt>
                <c:pt idx="18">
                  <c:v>Социология</c:v>
                </c:pt>
                <c:pt idx="19">
                  <c:v>Филология</c:v>
                </c:pt>
                <c:pt idx="20">
                  <c:v>Философия</c:v>
                </c:pt>
                <c:pt idx="21">
                  <c:v>Востоковедение</c:v>
                </c:pt>
                <c:pt idx="22">
                  <c:v>Культурология</c:v>
                </c:pt>
                <c:pt idx="23">
                  <c:v>Экономика</c:v>
                </c:pt>
                <c:pt idx="24">
                  <c:v>Отд. статистики</c:v>
                </c:pt>
                <c:pt idx="25">
                  <c:v>МИЭМ ФИТиВТ</c:v>
                </c:pt>
                <c:pt idx="26">
                  <c:v>МИЭМ ФЭТ</c:v>
                </c:pt>
              </c:strCache>
            </c:strRef>
          </c:cat>
          <c:val>
            <c:numRef>
              <c:f>('2 сем 12-13 маг'!$D$3;'2 сем 12-13 маг'!$D$5:$D$20;'2 сем 12-13 маг'!$D$22:$D$28;'2 сем 12-13 маг'!$D$30;'2 сем 12-13 маг'!$D$32;'2 сем 12-13 маг'!$D$34)</c:f>
              <c:numCache>
                <c:formatCode>0.00</c:formatCode>
                <c:ptCount val="27"/>
                <c:pt idx="0">
                  <c:v>8.3333333333333321</c:v>
                </c:pt>
                <c:pt idx="1">
                  <c:v>15.38461538461538</c:v>
                </c:pt>
                <c:pt idx="2">
                  <c:v>4.3478260869565206</c:v>
                </c:pt>
                <c:pt idx="3">
                  <c:v>8.6956521739130448</c:v>
                </c:pt>
                <c:pt idx="4">
                  <c:v>26.92307692307692</c:v>
                </c:pt>
                <c:pt idx="5">
                  <c:v>3.5087719298245608</c:v>
                </c:pt>
                <c:pt idx="6">
                  <c:v>5</c:v>
                </c:pt>
                <c:pt idx="7">
                  <c:v>6.25</c:v>
                </c:pt>
                <c:pt idx="8">
                  <c:v>2.0408163265306132</c:v>
                </c:pt>
                <c:pt idx="9">
                  <c:v>9.5238095238095237</c:v>
                </c:pt>
                <c:pt idx="10">
                  <c:v>0</c:v>
                </c:pt>
                <c:pt idx="11">
                  <c:v>18.51851851851853</c:v>
                </c:pt>
                <c:pt idx="12">
                  <c:v>7.4074074074074066</c:v>
                </c:pt>
                <c:pt idx="13">
                  <c:v>4.6948356807511686</c:v>
                </c:pt>
                <c:pt idx="14">
                  <c:v>7.4468085106382977</c:v>
                </c:pt>
                <c:pt idx="15">
                  <c:v>3.4188034188034178</c:v>
                </c:pt>
                <c:pt idx="16">
                  <c:v>7.6923076923076916</c:v>
                </c:pt>
                <c:pt idx="17">
                  <c:v>5.2173913043478324</c:v>
                </c:pt>
                <c:pt idx="18">
                  <c:v>5.5555555555555252</c:v>
                </c:pt>
                <c:pt idx="19">
                  <c:v>3.7037037037037042</c:v>
                </c:pt>
                <c:pt idx="20">
                  <c:v>15.38461538461538</c:v>
                </c:pt>
                <c:pt idx="21">
                  <c:v>21.052631578947178</c:v>
                </c:pt>
                <c:pt idx="22">
                  <c:v>0</c:v>
                </c:pt>
                <c:pt idx="23">
                  <c:v>4.8780487804878296</c:v>
                </c:pt>
                <c:pt idx="24">
                  <c:v>10</c:v>
                </c:pt>
                <c:pt idx="25">
                  <c:v>15.38461538461538</c:v>
                </c:pt>
                <c:pt idx="26">
                  <c:v>25</c:v>
                </c:pt>
              </c:numCache>
            </c:numRef>
          </c:val>
        </c:ser>
        <c:ser>
          <c:idx val="2"/>
          <c:order val="1"/>
          <c:tx>
            <c:v>2 курс</c:v>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dLbls>
            <c:dLbl>
              <c:idx val="2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 сем 12-13 маг'!$A$3;'2 сем 12-13 маг'!$A$5:$A$20;'2 сем 12-13 маг'!$A$22:$A$28;'2 сем 12-13 маг'!$A$30;'2 сем 12-13 маг'!$A$32;'2 сем 12-13 маг'!$A$34)</c:f>
              <c:strCache>
                <c:ptCount val="27"/>
                <c:pt idx="0">
                  <c:v>МИЭФ</c:v>
                </c:pt>
                <c:pt idx="1">
                  <c:v>Институт образования</c:v>
                </c:pt>
                <c:pt idx="2">
                  <c:v>Банковский институт</c:v>
                </c:pt>
                <c:pt idx="3">
                  <c:v>ВШУ</c:v>
                </c:pt>
                <c:pt idx="4">
                  <c:v>Каф.ПП</c:v>
                </c:pt>
                <c:pt idx="5">
                  <c:v>БИ</c:v>
                </c:pt>
                <c:pt idx="6">
                  <c:v>ПМ</c:v>
                </c:pt>
                <c:pt idx="7">
                  <c:v>ПИ</c:v>
                </c:pt>
                <c:pt idx="8">
                  <c:v>ГМУ</c:v>
                </c:pt>
                <c:pt idx="9">
                  <c:v>История</c:v>
                </c:pt>
                <c:pt idx="10">
                  <c:v>Логистика</c:v>
                </c:pt>
                <c:pt idx="11">
                  <c:v>Математика</c:v>
                </c:pt>
                <c:pt idx="12">
                  <c:v>Медиакомм.</c:v>
                </c:pt>
                <c:pt idx="13">
                  <c:v>Менеджмент</c:v>
                </c:pt>
                <c:pt idx="14">
                  <c:v>МЭиМП</c:v>
                </c:pt>
                <c:pt idx="15">
                  <c:v>Право</c:v>
                </c:pt>
                <c:pt idx="16">
                  <c:v>ПП</c:v>
                </c:pt>
                <c:pt idx="17">
                  <c:v>Психология</c:v>
                </c:pt>
                <c:pt idx="18">
                  <c:v>Социология</c:v>
                </c:pt>
                <c:pt idx="19">
                  <c:v>Филология</c:v>
                </c:pt>
                <c:pt idx="20">
                  <c:v>Философия</c:v>
                </c:pt>
                <c:pt idx="21">
                  <c:v>Востоковедение</c:v>
                </c:pt>
                <c:pt idx="22">
                  <c:v>Культурология</c:v>
                </c:pt>
                <c:pt idx="23">
                  <c:v>Экономика</c:v>
                </c:pt>
                <c:pt idx="24">
                  <c:v>Отд. статистики</c:v>
                </c:pt>
                <c:pt idx="25">
                  <c:v>МИЭМ ФИТиВТ</c:v>
                </c:pt>
                <c:pt idx="26">
                  <c:v>МИЭМ ФЭТ</c:v>
                </c:pt>
              </c:strCache>
            </c:strRef>
          </c:cat>
          <c:val>
            <c:numRef>
              <c:f>('2 сем 12-13 маг'!$M$3;'2 сем 12-13 маг'!$M$5:$M$20;'2 сем 12-13 маг'!$M$22:$M$28;'2 сем 12-13 маг'!$M$30;'2 сем 12-13 маг'!$M$32;'2 сем 12-13 маг'!$M$34)</c:f>
              <c:numCache>
                <c:formatCode>0.00</c:formatCode>
                <c:ptCount val="27"/>
                <c:pt idx="0">
                  <c:v>5.8823529411764666</c:v>
                </c:pt>
                <c:pt idx="1">
                  <c:v>26.666666666666671</c:v>
                </c:pt>
                <c:pt idx="4">
                  <c:v>15</c:v>
                </c:pt>
                <c:pt idx="5">
                  <c:v>6.3063063063063058</c:v>
                </c:pt>
                <c:pt idx="6">
                  <c:v>8.1081081081080981</c:v>
                </c:pt>
                <c:pt idx="7">
                  <c:v>35</c:v>
                </c:pt>
                <c:pt idx="8">
                  <c:v>36</c:v>
                </c:pt>
                <c:pt idx="9">
                  <c:v>16.666666666666661</c:v>
                </c:pt>
                <c:pt idx="10">
                  <c:v>15</c:v>
                </c:pt>
                <c:pt idx="11">
                  <c:v>20</c:v>
                </c:pt>
                <c:pt idx="12">
                  <c:v>9.8039215686274517</c:v>
                </c:pt>
                <c:pt idx="13">
                  <c:v>5.7416267942584076</c:v>
                </c:pt>
                <c:pt idx="14">
                  <c:v>21.739130434782609</c:v>
                </c:pt>
                <c:pt idx="15">
                  <c:v>15.09433962264151</c:v>
                </c:pt>
                <c:pt idx="16">
                  <c:v>22.72727272727273</c:v>
                </c:pt>
                <c:pt idx="17">
                  <c:v>8.4507042253521227</c:v>
                </c:pt>
                <c:pt idx="18">
                  <c:v>6.1855670103092786</c:v>
                </c:pt>
                <c:pt idx="19">
                  <c:v>0</c:v>
                </c:pt>
                <c:pt idx="20">
                  <c:v>5.2631578947368416</c:v>
                </c:pt>
                <c:pt idx="21">
                  <c:v>0</c:v>
                </c:pt>
                <c:pt idx="22">
                  <c:v>0</c:v>
                </c:pt>
                <c:pt idx="23">
                  <c:v>7.5812274368231325</c:v>
                </c:pt>
                <c:pt idx="24">
                  <c:v>0</c:v>
                </c:pt>
                <c:pt idx="25">
                  <c:v>6.25</c:v>
                </c:pt>
                <c:pt idx="26">
                  <c:v>0</c:v>
                </c:pt>
              </c:numCache>
            </c:numRef>
          </c:val>
        </c:ser>
        <c:dLbls>
          <c:showLegendKey val="0"/>
          <c:showVal val="0"/>
          <c:showCatName val="0"/>
          <c:showSerName val="0"/>
          <c:showPercent val="0"/>
          <c:showBubbleSize val="0"/>
        </c:dLbls>
        <c:gapWidth val="22"/>
        <c:axId val="552523264"/>
        <c:axId val="552524800"/>
      </c:barChart>
      <c:catAx>
        <c:axId val="552523264"/>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52524800"/>
        <c:crossesAt val="0"/>
        <c:auto val="1"/>
        <c:lblAlgn val="ctr"/>
        <c:lblOffset val="100"/>
        <c:noMultiLvlLbl val="0"/>
      </c:catAx>
      <c:valAx>
        <c:axId val="552524800"/>
        <c:scaling>
          <c:orientation val="minMax"/>
          <c:max val="40"/>
          <c:min val="0"/>
        </c:scaling>
        <c:delete val="0"/>
        <c:axPos val="b"/>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52523264"/>
        <c:crosses val="autoZero"/>
        <c:crossBetween val="between"/>
        <c:majorUnit val="5"/>
        <c:minorUnit val="1"/>
      </c:valAx>
    </c:plotArea>
    <c:legend>
      <c:legendPos val="r"/>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ru-RU" sz="1200" b="1"/>
              <a:t>Сравнение доли отчисленных магистров по разным основаниям и отчисленных за академическую неуспеваемость </a:t>
            </a:r>
          </a:p>
        </c:rich>
      </c:tx>
      <c:layout>
        <c:manualLayout>
          <c:xMode val="edge"/>
          <c:yMode val="edge"/>
          <c:x val="0.12123122053182339"/>
          <c:y val="1.29870333372508E-2"/>
        </c:manualLayout>
      </c:layout>
      <c:overlay val="0"/>
    </c:title>
    <c:autoTitleDeleted val="0"/>
    <c:plotArea>
      <c:layout/>
      <c:lineChart>
        <c:grouping val="standard"/>
        <c:varyColors val="0"/>
        <c:ser>
          <c:idx val="0"/>
          <c:order val="0"/>
          <c:tx>
            <c:v>отчислено по разным основаниям</c:v>
          </c:tx>
          <c:spPr>
            <a:ln w="25400" cap="flat" cmpd="sng" algn="ctr">
              <a:solidFill>
                <a:schemeClr val="accent1">
                  <a:shade val="50000"/>
                </a:schemeClr>
              </a:solidFill>
              <a:prstDash val="solid"/>
            </a:ln>
            <a:effectLst/>
          </c:spPr>
          <c:marker>
            <c:spPr>
              <a:solidFill>
                <a:schemeClr val="accent1"/>
              </a:solidFill>
              <a:ln w="25400" cap="flat" cmpd="sng" algn="ctr">
                <a:solidFill>
                  <a:schemeClr val="accent1">
                    <a:shade val="50000"/>
                  </a:schemeClr>
                </a:solidFill>
                <a:prstDash val="solid"/>
              </a:ln>
              <a:effectLst/>
            </c:spPr>
          </c:marker>
          <c:cat>
            <c:strRef>
              <c:f>('2 сем 12-13 маг'!$A$3,'2 сем 12-13 маг'!$A$5:$A$20,'2 сем 12-13 маг'!$A$22:$A$28,'2 сем 12-13 маг'!$A$30,'2 сем 12-13 маг'!$A$32,'2 сем 12-13 маг'!$A$34)</c:f>
              <c:strCache>
                <c:ptCount val="27"/>
                <c:pt idx="0">
                  <c:v>МИЭФ</c:v>
                </c:pt>
                <c:pt idx="1">
                  <c:v>Институт образования</c:v>
                </c:pt>
                <c:pt idx="2">
                  <c:v>Банковский институт</c:v>
                </c:pt>
                <c:pt idx="3">
                  <c:v>ВШУ</c:v>
                </c:pt>
                <c:pt idx="4">
                  <c:v>Каф.ПП</c:v>
                </c:pt>
                <c:pt idx="5">
                  <c:v>БИ</c:v>
                </c:pt>
                <c:pt idx="6">
                  <c:v>ПМ</c:v>
                </c:pt>
                <c:pt idx="7">
                  <c:v>ПИ</c:v>
                </c:pt>
                <c:pt idx="8">
                  <c:v>ГМУ</c:v>
                </c:pt>
                <c:pt idx="9">
                  <c:v>История</c:v>
                </c:pt>
                <c:pt idx="10">
                  <c:v>Логистика</c:v>
                </c:pt>
                <c:pt idx="11">
                  <c:v>Математика</c:v>
                </c:pt>
                <c:pt idx="12">
                  <c:v>Медиакомм.</c:v>
                </c:pt>
                <c:pt idx="13">
                  <c:v>Менеджмент</c:v>
                </c:pt>
                <c:pt idx="14">
                  <c:v>МЭиМП</c:v>
                </c:pt>
                <c:pt idx="15">
                  <c:v>Право</c:v>
                </c:pt>
                <c:pt idx="16">
                  <c:v>ПП</c:v>
                </c:pt>
                <c:pt idx="17">
                  <c:v>Психология</c:v>
                </c:pt>
                <c:pt idx="18">
                  <c:v>Социология</c:v>
                </c:pt>
                <c:pt idx="19">
                  <c:v>Филология</c:v>
                </c:pt>
                <c:pt idx="20">
                  <c:v>Философия</c:v>
                </c:pt>
                <c:pt idx="21">
                  <c:v>Востоковедение</c:v>
                </c:pt>
                <c:pt idx="22">
                  <c:v>Культурология</c:v>
                </c:pt>
                <c:pt idx="23">
                  <c:v>Экономика</c:v>
                </c:pt>
                <c:pt idx="24">
                  <c:v>Отд. статистики</c:v>
                </c:pt>
                <c:pt idx="25">
                  <c:v>МИЭМ ФИТиВТ</c:v>
                </c:pt>
                <c:pt idx="26">
                  <c:v>МИЭМ ФЭТ</c:v>
                </c:pt>
              </c:strCache>
            </c:strRef>
          </c:cat>
          <c:val>
            <c:numRef>
              <c:f>('2 сем 12-13 маг'!$V$3,'2 сем 12-13 маг'!$V$5:$V$20,'2 сем 12-13 маг'!$V$22:$V$28,'2 сем 12-13 маг'!$V$30,'2 сем 12-13 маг'!$V$32,'2 сем 12-13 маг'!$V$34)</c:f>
              <c:numCache>
                <c:formatCode>0.00</c:formatCode>
                <c:ptCount val="27"/>
                <c:pt idx="0">
                  <c:v>7.3170731707317067</c:v>
                </c:pt>
                <c:pt idx="1">
                  <c:v>21.428571428571427</c:v>
                </c:pt>
                <c:pt idx="2">
                  <c:v>2.0408163265306132</c:v>
                </c:pt>
                <c:pt idx="3">
                  <c:v>15.555555555555596</c:v>
                </c:pt>
                <c:pt idx="4">
                  <c:v>21.739130434782609</c:v>
                </c:pt>
                <c:pt idx="5">
                  <c:v>4.8888888888888866</c:v>
                </c:pt>
                <c:pt idx="6">
                  <c:v>6.4935064935064926</c:v>
                </c:pt>
                <c:pt idx="7">
                  <c:v>22.222222222222076</c:v>
                </c:pt>
                <c:pt idx="8">
                  <c:v>19.191919191919201</c:v>
                </c:pt>
                <c:pt idx="9">
                  <c:v>12.121212121212055</c:v>
                </c:pt>
                <c:pt idx="10">
                  <c:v>7.1428571428571406</c:v>
                </c:pt>
                <c:pt idx="11">
                  <c:v>18.91891891891893</c:v>
                </c:pt>
                <c:pt idx="12">
                  <c:v>8.3333333333333321</c:v>
                </c:pt>
                <c:pt idx="13">
                  <c:v>5.2132701421800984</c:v>
                </c:pt>
                <c:pt idx="14">
                  <c:v>14.516129032258069</c:v>
                </c:pt>
                <c:pt idx="15">
                  <c:v>8.9686098654708513</c:v>
                </c:pt>
                <c:pt idx="16">
                  <c:v>14.58333333333333</c:v>
                </c:pt>
                <c:pt idx="17">
                  <c:v>6.4516129032258114</c:v>
                </c:pt>
                <c:pt idx="18">
                  <c:v>5.8823529411764666</c:v>
                </c:pt>
                <c:pt idx="19">
                  <c:v>3.7037037037037042</c:v>
                </c:pt>
                <c:pt idx="20">
                  <c:v>9.3750000000000266</c:v>
                </c:pt>
                <c:pt idx="21">
                  <c:v>21.052631578947178</c:v>
                </c:pt>
                <c:pt idx="22">
                  <c:v>0</c:v>
                </c:pt>
                <c:pt idx="23">
                  <c:v>6.205673758865248</c:v>
                </c:pt>
                <c:pt idx="24">
                  <c:v>5</c:v>
                </c:pt>
                <c:pt idx="25">
                  <c:v>11.9047619047619</c:v>
                </c:pt>
                <c:pt idx="26">
                  <c:v>16.12903225806452</c:v>
                </c:pt>
              </c:numCache>
            </c:numRef>
          </c:val>
          <c:smooth val="0"/>
        </c:ser>
        <c:ser>
          <c:idx val="2"/>
          <c:order val="1"/>
          <c:tx>
            <c:v>отчислено за академическую неуспеваемость</c:v>
          </c:tx>
          <c:cat>
            <c:strRef>
              <c:f>('2 сем 12-13 маг'!$A$3,'2 сем 12-13 маг'!$A$5:$A$20,'2 сем 12-13 маг'!$A$22:$A$28,'2 сем 12-13 маг'!$A$30,'2 сем 12-13 маг'!$A$32,'2 сем 12-13 маг'!$A$34)</c:f>
              <c:strCache>
                <c:ptCount val="27"/>
                <c:pt idx="0">
                  <c:v>МИЭФ</c:v>
                </c:pt>
                <c:pt idx="1">
                  <c:v>Институт образования</c:v>
                </c:pt>
                <c:pt idx="2">
                  <c:v>Банковский институт</c:v>
                </c:pt>
                <c:pt idx="3">
                  <c:v>ВШУ</c:v>
                </c:pt>
                <c:pt idx="4">
                  <c:v>Каф.ПП</c:v>
                </c:pt>
                <c:pt idx="5">
                  <c:v>БИ</c:v>
                </c:pt>
                <c:pt idx="6">
                  <c:v>ПМ</c:v>
                </c:pt>
                <c:pt idx="7">
                  <c:v>ПИ</c:v>
                </c:pt>
                <c:pt idx="8">
                  <c:v>ГМУ</c:v>
                </c:pt>
                <c:pt idx="9">
                  <c:v>История</c:v>
                </c:pt>
                <c:pt idx="10">
                  <c:v>Логистика</c:v>
                </c:pt>
                <c:pt idx="11">
                  <c:v>Математика</c:v>
                </c:pt>
                <c:pt idx="12">
                  <c:v>Медиакомм.</c:v>
                </c:pt>
                <c:pt idx="13">
                  <c:v>Менеджмент</c:v>
                </c:pt>
                <c:pt idx="14">
                  <c:v>МЭиМП</c:v>
                </c:pt>
                <c:pt idx="15">
                  <c:v>Право</c:v>
                </c:pt>
                <c:pt idx="16">
                  <c:v>ПП</c:v>
                </c:pt>
                <c:pt idx="17">
                  <c:v>Психология</c:v>
                </c:pt>
                <c:pt idx="18">
                  <c:v>Социология</c:v>
                </c:pt>
                <c:pt idx="19">
                  <c:v>Филология</c:v>
                </c:pt>
                <c:pt idx="20">
                  <c:v>Философия</c:v>
                </c:pt>
                <c:pt idx="21">
                  <c:v>Востоковедение</c:v>
                </c:pt>
                <c:pt idx="22">
                  <c:v>Культурология</c:v>
                </c:pt>
                <c:pt idx="23">
                  <c:v>Экономика</c:v>
                </c:pt>
                <c:pt idx="24">
                  <c:v>Отд. статистики</c:v>
                </c:pt>
                <c:pt idx="25">
                  <c:v>МИЭМ ФИТиВТ</c:v>
                </c:pt>
                <c:pt idx="26">
                  <c:v>МИЭМ ФЭТ</c:v>
                </c:pt>
              </c:strCache>
            </c:strRef>
          </c:cat>
          <c:val>
            <c:numRef>
              <c:f>('2 сем 12-13 маг'!$Z$3,'2 сем 12-13 маг'!$Z$5:$Z$20,'2 сем 12-13 маг'!$Z$22:$Z$28,'2 сем 12-13 маг'!$Z$30,'2 сем 12-13 маг'!$Z$32,'2 сем 12-13 маг'!$Z$34)</c:f>
              <c:numCache>
                <c:formatCode>0.00</c:formatCode>
                <c:ptCount val="27"/>
                <c:pt idx="0">
                  <c:v>2.4390243902438948</c:v>
                </c:pt>
                <c:pt idx="1">
                  <c:v>7.1428571428571406</c:v>
                </c:pt>
                <c:pt idx="2">
                  <c:v>0</c:v>
                </c:pt>
                <c:pt idx="3">
                  <c:v>2.2222222222222232</c:v>
                </c:pt>
                <c:pt idx="4">
                  <c:v>17.39130434782609</c:v>
                </c:pt>
                <c:pt idx="5">
                  <c:v>1.333333333333333</c:v>
                </c:pt>
                <c:pt idx="6">
                  <c:v>2.5974025974026</c:v>
                </c:pt>
                <c:pt idx="7">
                  <c:v>8.3333333333333321</c:v>
                </c:pt>
                <c:pt idx="8">
                  <c:v>14.141414141414094</c:v>
                </c:pt>
                <c:pt idx="9">
                  <c:v>0</c:v>
                </c:pt>
                <c:pt idx="10">
                  <c:v>0</c:v>
                </c:pt>
                <c:pt idx="11">
                  <c:v>2.7027027027027111</c:v>
                </c:pt>
                <c:pt idx="12">
                  <c:v>4.5454545454545459</c:v>
                </c:pt>
                <c:pt idx="13">
                  <c:v>3.080568720379147</c:v>
                </c:pt>
                <c:pt idx="14">
                  <c:v>1.0752688172042955</c:v>
                </c:pt>
                <c:pt idx="15">
                  <c:v>3.1390134529147979</c:v>
                </c:pt>
                <c:pt idx="16">
                  <c:v>4.1666666666666661</c:v>
                </c:pt>
                <c:pt idx="17">
                  <c:v>2.150537634408602</c:v>
                </c:pt>
                <c:pt idx="18">
                  <c:v>1.6042780748663186</c:v>
                </c:pt>
                <c:pt idx="19">
                  <c:v>3.7037037037037042</c:v>
                </c:pt>
                <c:pt idx="20">
                  <c:v>3.125</c:v>
                </c:pt>
                <c:pt idx="21">
                  <c:v>15.789473684210472</c:v>
                </c:pt>
                <c:pt idx="22">
                  <c:v>0</c:v>
                </c:pt>
                <c:pt idx="23">
                  <c:v>1.5957446808510638</c:v>
                </c:pt>
                <c:pt idx="24" formatCode="General">
                  <c:v>5</c:v>
                </c:pt>
                <c:pt idx="25" formatCode="General">
                  <c:v>11.9047619047619</c:v>
                </c:pt>
                <c:pt idx="26" formatCode="General">
                  <c:v>12.90322580645161</c:v>
                </c:pt>
              </c:numCache>
            </c:numRef>
          </c:val>
          <c:smooth val="0"/>
        </c:ser>
        <c:dLbls>
          <c:showLegendKey val="0"/>
          <c:showVal val="0"/>
          <c:showCatName val="0"/>
          <c:showSerName val="0"/>
          <c:showPercent val="0"/>
          <c:showBubbleSize val="0"/>
        </c:dLbls>
        <c:marker val="1"/>
        <c:smooth val="0"/>
        <c:axId val="552669184"/>
        <c:axId val="552670720"/>
      </c:lineChart>
      <c:catAx>
        <c:axId val="552669184"/>
        <c:scaling>
          <c:orientation val="minMax"/>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ru-RU"/>
          </a:p>
        </c:txPr>
        <c:crossAx val="552670720"/>
        <c:crosses val="autoZero"/>
        <c:auto val="1"/>
        <c:lblAlgn val="ctr"/>
        <c:lblOffset val="100"/>
        <c:noMultiLvlLbl val="0"/>
      </c:catAx>
      <c:valAx>
        <c:axId val="552670720"/>
        <c:scaling>
          <c:orientation val="minMax"/>
          <c:max val="25"/>
        </c:scaling>
        <c:delete val="0"/>
        <c:axPos val="l"/>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52669184"/>
        <c:crosses val="autoZero"/>
        <c:crossBetween val="between"/>
      </c:valAx>
    </c:plotArea>
    <c:legend>
      <c:legendPos val="b"/>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i="0" baseline="0"/>
              <a:t>Студенты, обучающиеся на ИУП с повторным изучением ряда дисциплин, в бакалавриате/специалитете Москвы </a:t>
            </a:r>
          </a:p>
        </c:rich>
      </c:tx>
      <c:overlay val="0"/>
    </c:title>
    <c:autoTitleDeleted val="0"/>
    <c:plotArea>
      <c:layout>
        <c:manualLayout>
          <c:layoutTarget val="inner"/>
          <c:xMode val="edge"/>
          <c:yMode val="edge"/>
          <c:x val="0.27365139898746998"/>
          <c:y val="0.120288537181795"/>
          <c:w val="0.68497872946115002"/>
          <c:h val="0.75281362741566304"/>
        </c:manualLayout>
      </c:layout>
      <c:barChart>
        <c:barDir val="bar"/>
        <c:grouping val="stacked"/>
        <c:varyColors val="0"/>
        <c:ser>
          <c:idx val="0"/>
          <c:order val="0"/>
          <c:tx>
            <c:v>1 курс</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dLbls>
            <c:dLbl>
              <c:idx val="0"/>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4"/>
              <c:delete val="1"/>
              <c:extLst>
                <c:ext xmlns:c15="http://schemas.microsoft.com/office/drawing/2012/chart" uri="{CE6537A1-D6FC-4f65-9D91-7224C49458BB}"/>
              </c:extLst>
            </c:dLbl>
            <c:dLbl>
              <c:idx val="2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'Переход по курсам'!$A$5:$A$31</c:f>
              <c:strCache>
                <c:ptCount val="27"/>
                <c:pt idx="0">
                  <c:v>МИЭФ</c:v>
                </c:pt>
                <c:pt idx="1">
                  <c:v>БИ</c:v>
                </c:pt>
                <c:pt idx="2">
                  <c:v>Отд. ПМ </c:v>
                </c:pt>
                <c:pt idx="3">
                  <c:v>Отд. ПИ</c:v>
                </c:pt>
                <c:pt idx="4">
                  <c:v>ГиМУ</c:v>
                </c:pt>
                <c:pt idx="5">
                  <c:v>Истории</c:v>
                </c:pt>
                <c:pt idx="6">
                  <c:v>Логистики</c:v>
                </c:pt>
                <c:pt idx="7">
                  <c:v>Математики</c:v>
                </c:pt>
                <c:pt idx="8">
                  <c:v>Медиаком-ций</c:v>
                </c:pt>
                <c:pt idx="9">
                  <c:v>Менеджмента</c:v>
                </c:pt>
                <c:pt idx="10">
                  <c:v>МЭиМП</c:v>
                </c:pt>
                <c:pt idx="11">
                  <c:v>Права</c:v>
                </c:pt>
                <c:pt idx="12">
                  <c:v>ПП</c:v>
                </c:pt>
                <c:pt idx="13">
                  <c:v>ОИК</c:v>
                </c:pt>
                <c:pt idx="14">
                  <c:v>Психологии</c:v>
                </c:pt>
                <c:pt idx="15">
                  <c:v>Социологии</c:v>
                </c:pt>
                <c:pt idx="16">
                  <c:v>Филологии</c:v>
                </c:pt>
                <c:pt idx="17">
                  <c:v>Философии</c:v>
                </c:pt>
                <c:pt idx="18">
                  <c:v>Отд. востоковедения</c:v>
                </c:pt>
                <c:pt idx="19">
                  <c:v>Отд. культурологии</c:v>
                </c:pt>
                <c:pt idx="20">
                  <c:v>Экономики</c:v>
                </c:pt>
                <c:pt idx="21">
                  <c:v>Отд. "Совм.бак-риат ВШЭ и РЭШ"</c:v>
                </c:pt>
                <c:pt idx="22">
                  <c:v>ОСАДиД </c:v>
                </c:pt>
                <c:pt idx="23">
                  <c:v>МИЭМ Отд. дизайна</c:v>
                </c:pt>
                <c:pt idx="24">
                  <c:v>МИЭМ ФИТиВТ</c:v>
                </c:pt>
                <c:pt idx="25">
                  <c:v>МИЭМ ФПМиК</c:v>
                </c:pt>
                <c:pt idx="26">
                  <c:v>МИЭМ ФЭТ</c:v>
                </c:pt>
              </c:strCache>
            </c:strRef>
          </c:cat>
          <c:val>
            <c:numRef>
              <c:f>'Переход по курсам'!$R$5:$R$31</c:f>
              <c:numCache>
                <c:formatCode>General</c:formatCode>
                <c:ptCount val="27"/>
                <c:pt idx="0">
                  <c:v>0</c:v>
                </c:pt>
                <c:pt idx="1">
                  <c:v>1</c:v>
                </c:pt>
                <c:pt idx="2">
                  <c:v>1</c:v>
                </c:pt>
                <c:pt idx="3">
                  <c:v>2</c:v>
                </c:pt>
                <c:pt idx="4">
                  <c:v>3</c:v>
                </c:pt>
                <c:pt idx="5">
                  <c:v>0</c:v>
                </c:pt>
                <c:pt idx="6">
                  <c:v>1</c:v>
                </c:pt>
                <c:pt idx="7">
                  <c:v>0</c:v>
                </c:pt>
                <c:pt idx="8">
                  <c:v>1</c:v>
                </c:pt>
                <c:pt idx="9">
                  <c:v>12</c:v>
                </c:pt>
                <c:pt idx="10">
                  <c:v>0</c:v>
                </c:pt>
                <c:pt idx="11">
                  <c:v>0</c:v>
                </c:pt>
                <c:pt idx="12">
                  <c:v>0</c:v>
                </c:pt>
                <c:pt idx="13">
                  <c:v>0</c:v>
                </c:pt>
                <c:pt idx="14">
                  <c:v>0</c:v>
                </c:pt>
                <c:pt idx="15">
                  <c:v>0</c:v>
                </c:pt>
                <c:pt idx="16">
                  <c:v>0</c:v>
                </c:pt>
                <c:pt idx="17">
                  <c:v>0</c:v>
                </c:pt>
                <c:pt idx="18">
                  <c:v>0</c:v>
                </c:pt>
                <c:pt idx="19">
                  <c:v>0</c:v>
                </c:pt>
                <c:pt idx="20">
                  <c:v>4</c:v>
                </c:pt>
                <c:pt idx="21">
                  <c:v>0</c:v>
                </c:pt>
                <c:pt idx="22">
                  <c:v>1</c:v>
                </c:pt>
                <c:pt idx="23">
                  <c:v>0</c:v>
                </c:pt>
                <c:pt idx="24">
                  <c:v>0</c:v>
                </c:pt>
                <c:pt idx="25">
                  <c:v>0</c:v>
                </c:pt>
                <c:pt idx="26">
                  <c:v>0</c:v>
                </c:pt>
              </c:numCache>
            </c:numRef>
          </c:val>
        </c:ser>
        <c:ser>
          <c:idx val="1"/>
          <c:order val="1"/>
          <c:tx>
            <c:v>2 курс</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invertIfNegative val="0"/>
          <c:dLbls>
            <c:dLbl>
              <c:idx val="0"/>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4"/>
              <c:delete val="1"/>
              <c:extLst>
                <c:ext xmlns:c15="http://schemas.microsoft.com/office/drawing/2012/chart" uri="{CE6537A1-D6FC-4f65-9D91-7224C49458BB}"/>
              </c:extLst>
            </c:dLbl>
            <c:dLbl>
              <c:idx val="26"/>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'Переход по курсам'!$A$5:$A$31</c:f>
              <c:strCache>
                <c:ptCount val="27"/>
                <c:pt idx="0">
                  <c:v>МИЭФ</c:v>
                </c:pt>
                <c:pt idx="1">
                  <c:v>БИ</c:v>
                </c:pt>
                <c:pt idx="2">
                  <c:v>Отд. ПМ </c:v>
                </c:pt>
                <c:pt idx="3">
                  <c:v>Отд. ПИ</c:v>
                </c:pt>
                <c:pt idx="4">
                  <c:v>ГиМУ</c:v>
                </c:pt>
                <c:pt idx="5">
                  <c:v>Истории</c:v>
                </c:pt>
                <c:pt idx="6">
                  <c:v>Логистики</c:v>
                </c:pt>
                <c:pt idx="7">
                  <c:v>Математики</c:v>
                </c:pt>
                <c:pt idx="8">
                  <c:v>Медиаком-ций</c:v>
                </c:pt>
                <c:pt idx="9">
                  <c:v>Менеджмента</c:v>
                </c:pt>
                <c:pt idx="10">
                  <c:v>МЭиМП</c:v>
                </c:pt>
                <c:pt idx="11">
                  <c:v>Права</c:v>
                </c:pt>
                <c:pt idx="12">
                  <c:v>ПП</c:v>
                </c:pt>
                <c:pt idx="13">
                  <c:v>ОИК</c:v>
                </c:pt>
                <c:pt idx="14">
                  <c:v>Психологии</c:v>
                </c:pt>
                <c:pt idx="15">
                  <c:v>Социологии</c:v>
                </c:pt>
                <c:pt idx="16">
                  <c:v>Филологии</c:v>
                </c:pt>
                <c:pt idx="17">
                  <c:v>Философии</c:v>
                </c:pt>
                <c:pt idx="18">
                  <c:v>Отд. востоковедения</c:v>
                </c:pt>
                <c:pt idx="19">
                  <c:v>Отд. культурологии</c:v>
                </c:pt>
                <c:pt idx="20">
                  <c:v>Экономики</c:v>
                </c:pt>
                <c:pt idx="21">
                  <c:v>Отд. "Совм.бак-риат ВШЭ и РЭШ"</c:v>
                </c:pt>
                <c:pt idx="22">
                  <c:v>ОСАДиД </c:v>
                </c:pt>
                <c:pt idx="23">
                  <c:v>МИЭМ Отд. дизайна</c:v>
                </c:pt>
                <c:pt idx="24">
                  <c:v>МИЭМ ФИТиВТ</c:v>
                </c:pt>
                <c:pt idx="25">
                  <c:v>МИЭМ ФПМиК</c:v>
                </c:pt>
                <c:pt idx="26">
                  <c:v>МИЭМ ФЭТ</c:v>
                </c:pt>
              </c:strCache>
            </c:strRef>
          </c:cat>
          <c:val>
            <c:numRef>
              <c:f>'Переход по курсам'!$S$5:$S$31</c:f>
              <c:numCache>
                <c:formatCode>General</c:formatCode>
                <c:ptCount val="27"/>
                <c:pt idx="0">
                  <c:v>0</c:v>
                </c:pt>
                <c:pt idx="1">
                  <c:v>10</c:v>
                </c:pt>
                <c:pt idx="2">
                  <c:v>2</c:v>
                </c:pt>
                <c:pt idx="3">
                  <c:v>2</c:v>
                </c:pt>
                <c:pt idx="4">
                  <c:v>16</c:v>
                </c:pt>
                <c:pt idx="5">
                  <c:v>0</c:v>
                </c:pt>
                <c:pt idx="6">
                  <c:v>7</c:v>
                </c:pt>
                <c:pt idx="7">
                  <c:v>0</c:v>
                </c:pt>
                <c:pt idx="8">
                  <c:v>6</c:v>
                </c:pt>
                <c:pt idx="9">
                  <c:v>30</c:v>
                </c:pt>
                <c:pt idx="10">
                  <c:v>1</c:v>
                </c:pt>
                <c:pt idx="11">
                  <c:v>0</c:v>
                </c:pt>
                <c:pt idx="12">
                  <c:v>4</c:v>
                </c:pt>
                <c:pt idx="13">
                  <c:v>1</c:v>
                </c:pt>
                <c:pt idx="14">
                  <c:v>0</c:v>
                </c:pt>
                <c:pt idx="15">
                  <c:v>1</c:v>
                </c:pt>
                <c:pt idx="16">
                  <c:v>0</c:v>
                </c:pt>
                <c:pt idx="17">
                  <c:v>0</c:v>
                </c:pt>
                <c:pt idx="18">
                  <c:v>1</c:v>
                </c:pt>
                <c:pt idx="19">
                  <c:v>0</c:v>
                </c:pt>
                <c:pt idx="20">
                  <c:v>11</c:v>
                </c:pt>
                <c:pt idx="21">
                  <c:v>0</c:v>
                </c:pt>
                <c:pt idx="22">
                  <c:v>1</c:v>
                </c:pt>
                <c:pt idx="23">
                  <c:v>0</c:v>
                </c:pt>
                <c:pt idx="24">
                  <c:v>0</c:v>
                </c:pt>
                <c:pt idx="25">
                  <c:v>2</c:v>
                </c:pt>
                <c:pt idx="26">
                  <c:v>0</c:v>
                </c:pt>
              </c:numCache>
            </c:numRef>
          </c:val>
        </c:ser>
        <c:ser>
          <c:idx val="2"/>
          <c:order val="2"/>
          <c:tx>
            <c:v>3 курс</c:v>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dLbls>
            <c:dLbl>
              <c:idx val="2"/>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6"/>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'Переход по курсам'!$A$5:$A$31</c:f>
              <c:strCache>
                <c:ptCount val="27"/>
                <c:pt idx="0">
                  <c:v>МИЭФ</c:v>
                </c:pt>
                <c:pt idx="1">
                  <c:v>БИ</c:v>
                </c:pt>
                <c:pt idx="2">
                  <c:v>Отд. ПМ </c:v>
                </c:pt>
                <c:pt idx="3">
                  <c:v>Отд. ПИ</c:v>
                </c:pt>
                <c:pt idx="4">
                  <c:v>ГиМУ</c:v>
                </c:pt>
                <c:pt idx="5">
                  <c:v>Истории</c:v>
                </c:pt>
                <c:pt idx="6">
                  <c:v>Логистики</c:v>
                </c:pt>
                <c:pt idx="7">
                  <c:v>Математики</c:v>
                </c:pt>
                <c:pt idx="8">
                  <c:v>Медиаком-ций</c:v>
                </c:pt>
                <c:pt idx="9">
                  <c:v>Менеджмента</c:v>
                </c:pt>
                <c:pt idx="10">
                  <c:v>МЭиМП</c:v>
                </c:pt>
                <c:pt idx="11">
                  <c:v>Права</c:v>
                </c:pt>
                <c:pt idx="12">
                  <c:v>ПП</c:v>
                </c:pt>
                <c:pt idx="13">
                  <c:v>ОИК</c:v>
                </c:pt>
                <c:pt idx="14">
                  <c:v>Психологии</c:v>
                </c:pt>
                <c:pt idx="15">
                  <c:v>Социологии</c:v>
                </c:pt>
                <c:pt idx="16">
                  <c:v>Филологии</c:v>
                </c:pt>
                <c:pt idx="17">
                  <c:v>Философии</c:v>
                </c:pt>
                <c:pt idx="18">
                  <c:v>Отд. востоковедения</c:v>
                </c:pt>
                <c:pt idx="19">
                  <c:v>Отд. культурологии</c:v>
                </c:pt>
                <c:pt idx="20">
                  <c:v>Экономики</c:v>
                </c:pt>
                <c:pt idx="21">
                  <c:v>Отд. "Совм.бак-риат ВШЭ и РЭШ"</c:v>
                </c:pt>
                <c:pt idx="22">
                  <c:v>ОСАДиД </c:v>
                </c:pt>
                <c:pt idx="23">
                  <c:v>МИЭМ Отд. дизайна</c:v>
                </c:pt>
                <c:pt idx="24">
                  <c:v>МИЭМ ФИТиВТ</c:v>
                </c:pt>
                <c:pt idx="25">
                  <c:v>МИЭМ ФПМиК</c:v>
                </c:pt>
                <c:pt idx="26">
                  <c:v>МИЭМ ФЭТ</c:v>
                </c:pt>
              </c:strCache>
            </c:strRef>
          </c:cat>
          <c:val>
            <c:numRef>
              <c:f>'Переход по курсам'!$T$5:$T$31</c:f>
              <c:numCache>
                <c:formatCode>General</c:formatCode>
                <c:ptCount val="27"/>
                <c:pt idx="0">
                  <c:v>1</c:v>
                </c:pt>
                <c:pt idx="1">
                  <c:v>2</c:v>
                </c:pt>
                <c:pt idx="2">
                  <c:v>0</c:v>
                </c:pt>
                <c:pt idx="3">
                  <c:v>2</c:v>
                </c:pt>
                <c:pt idx="4">
                  <c:v>3</c:v>
                </c:pt>
                <c:pt idx="5">
                  <c:v>2</c:v>
                </c:pt>
                <c:pt idx="6">
                  <c:v>4</c:v>
                </c:pt>
                <c:pt idx="7">
                  <c:v>0</c:v>
                </c:pt>
                <c:pt idx="8">
                  <c:v>0</c:v>
                </c:pt>
                <c:pt idx="9">
                  <c:v>6</c:v>
                </c:pt>
                <c:pt idx="10">
                  <c:v>7</c:v>
                </c:pt>
                <c:pt idx="11">
                  <c:v>4</c:v>
                </c:pt>
                <c:pt idx="12">
                  <c:v>2</c:v>
                </c:pt>
                <c:pt idx="13">
                  <c:v>3</c:v>
                </c:pt>
                <c:pt idx="14">
                  <c:v>1</c:v>
                </c:pt>
                <c:pt idx="15">
                  <c:v>3</c:v>
                </c:pt>
                <c:pt idx="16">
                  <c:v>0</c:v>
                </c:pt>
                <c:pt idx="17">
                  <c:v>0</c:v>
                </c:pt>
                <c:pt idx="18">
                  <c:v>0</c:v>
                </c:pt>
                <c:pt idx="19">
                  <c:v>0</c:v>
                </c:pt>
                <c:pt idx="20">
                  <c:v>16</c:v>
                </c:pt>
                <c:pt idx="21">
                  <c:v>0</c:v>
                </c:pt>
                <c:pt idx="22">
                  <c:v>9</c:v>
                </c:pt>
                <c:pt idx="23">
                  <c:v>0</c:v>
                </c:pt>
                <c:pt idx="24">
                  <c:v>7</c:v>
                </c:pt>
                <c:pt idx="25">
                  <c:v>3</c:v>
                </c:pt>
                <c:pt idx="26">
                  <c:v>0</c:v>
                </c:pt>
              </c:numCache>
            </c:numRef>
          </c:val>
        </c:ser>
        <c:ser>
          <c:idx val="3"/>
          <c:order val="3"/>
          <c:tx>
            <c:v>4 курс</c:v>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invertIfNegative val="0"/>
          <c:dLbls>
            <c:dLbl>
              <c:idx val="0"/>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5"/>
              <c:delete val="1"/>
              <c:extLst>
                <c:ext xmlns:c15="http://schemas.microsoft.com/office/drawing/2012/chart" uri="{CE6537A1-D6FC-4f65-9D91-7224C49458BB}"/>
              </c:extLst>
            </c:dLbl>
            <c:dLbl>
              <c:idx val="26"/>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'Переход по курсам'!$A$5:$A$31</c:f>
              <c:strCache>
                <c:ptCount val="27"/>
                <c:pt idx="0">
                  <c:v>МИЭФ</c:v>
                </c:pt>
                <c:pt idx="1">
                  <c:v>БИ</c:v>
                </c:pt>
                <c:pt idx="2">
                  <c:v>Отд. ПМ </c:v>
                </c:pt>
                <c:pt idx="3">
                  <c:v>Отд. ПИ</c:v>
                </c:pt>
                <c:pt idx="4">
                  <c:v>ГиМУ</c:v>
                </c:pt>
                <c:pt idx="5">
                  <c:v>Истории</c:v>
                </c:pt>
                <c:pt idx="6">
                  <c:v>Логистики</c:v>
                </c:pt>
                <c:pt idx="7">
                  <c:v>Математики</c:v>
                </c:pt>
                <c:pt idx="8">
                  <c:v>Медиаком-ций</c:v>
                </c:pt>
                <c:pt idx="9">
                  <c:v>Менеджмента</c:v>
                </c:pt>
                <c:pt idx="10">
                  <c:v>МЭиМП</c:v>
                </c:pt>
                <c:pt idx="11">
                  <c:v>Права</c:v>
                </c:pt>
                <c:pt idx="12">
                  <c:v>ПП</c:v>
                </c:pt>
                <c:pt idx="13">
                  <c:v>ОИК</c:v>
                </c:pt>
                <c:pt idx="14">
                  <c:v>Психологии</c:v>
                </c:pt>
                <c:pt idx="15">
                  <c:v>Социологии</c:v>
                </c:pt>
                <c:pt idx="16">
                  <c:v>Филологии</c:v>
                </c:pt>
                <c:pt idx="17">
                  <c:v>Философии</c:v>
                </c:pt>
                <c:pt idx="18">
                  <c:v>Отд. востоковедения</c:v>
                </c:pt>
                <c:pt idx="19">
                  <c:v>Отд. культурологии</c:v>
                </c:pt>
                <c:pt idx="20">
                  <c:v>Экономики</c:v>
                </c:pt>
                <c:pt idx="21">
                  <c:v>Отд. "Совм.бак-риат ВШЭ и РЭШ"</c:v>
                </c:pt>
                <c:pt idx="22">
                  <c:v>ОСАДиД </c:v>
                </c:pt>
                <c:pt idx="23">
                  <c:v>МИЭМ Отд. дизайна</c:v>
                </c:pt>
                <c:pt idx="24">
                  <c:v>МИЭМ ФИТиВТ</c:v>
                </c:pt>
                <c:pt idx="25">
                  <c:v>МИЭМ ФПМиК</c:v>
                </c:pt>
                <c:pt idx="26">
                  <c:v>МИЭМ ФЭТ</c:v>
                </c:pt>
              </c:strCache>
            </c:strRef>
          </c:cat>
          <c:val>
            <c:numRef>
              <c:f>'Переход по курсам'!$U$5:$U$31</c:f>
              <c:numCache>
                <c:formatCode>General</c:formatCode>
                <c:ptCount val="27"/>
                <c:pt idx="0">
                  <c:v>0</c:v>
                </c:pt>
                <c:pt idx="1">
                  <c:v>4</c:v>
                </c:pt>
                <c:pt idx="2">
                  <c:v>4</c:v>
                </c:pt>
                <c:pt idx="3">
                  <c:v>4</c:v>
                </c:pt>
                <c:pt idx="4">
                  <c:v>8</c:v>
                </c:pt>
                <c:pt idx="5">
                  <c:v>1</c:v>
                </c:pt>
                <c:pt idx="6">
                  <c:v>0</c:v>
                </c:pt>
                <c:pt idx="7">
                  <c:v>0</c:v>
                </c:pt>
                <c:pt idx="8">
                  <c:v>0</c:v>
                </c:pt>
                <c:pt idx="9">
                  <c:v>10</c:v>
                </c:pt>
                <c:pt idx="10">
                  <c:v>6</c:v>
                </c:pt>
                <c:pt idx="11">
                  <c:v>2</c:v>
                </c:pt>
                <c:pt idx="12">
                  <c:v>11</c:v>
                </c:pt>
                <c:pt idx="13">
                  <c:v>1</c:v>
                </c:pt>
                <c:pt idx="14">
                  <c:v>6</c:v>
                </c:pt>
                <c:pt idx="15">
                  <c:v>8</c:v>
                </c:pt>
                <c:pt idx="16">
                  <c:v>0</c:v>
                </c:pt>
                <c:pt idx="17">
                  <c:v>1</c:v>
                </c:pt>
                <c:pt idx="18">
                  <c:v>1</c:v>
                </c:pt>
                <c:pt idx="19">
                  <c:v>0</c:v>
                </c:pt>
                <c:pt idx="20">
                  <c:v>8</c:v>
                </c:pt>
                <c:pt idx="21">
                  <c:v>0</c:v>
                </c:pt>
                <c:pt idx="22">
                  <c:v>7</c:v>
                </c:pt>
                <c:pt idx="23">
                  <c:v>1</c:v>
                </c:pt>
                <c:pt idx="24">
                  <c:v>10</c:v>
                </c:pt>
                <c:pt idx="25">
                  <c:v>0</c:v>
                </c:pt>
                <c:pt idx="26">
                  <c:v>0</c:v>
                </c:pt>
              </c:numCache>
            </c:numRef>
          </c:val>
        </c:ser>
        <c:ser>
          <c:idx val="4"/>
          <c:order val="4"/>
          <c:tx>
            <c:v>5 курс</c:v>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5"/>
              <c:delete val="1"/>
              <c:extLst>
                <c:ext xmlns:c15="http://schemas.microsoft.com/office/drawing/2012/chart" uri="{CE6537A1-D6FC-4f65-9D91-7224C49458BB}"/>
              </c:extLst>
            </c:dLbl>
            <c:dLbl>
              <c:idx val="26"/>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'Переход по курсам'!$A$5:$A$31</c:f>
              <c:strCache>
                <c:ptCount val="27"/>
                <c:pt idx="0">
                  <c:v>МИЭФ</c:v>
                </c:pt>
                <c:pt idx="1">
                  <c:v>БИ</c:v>
                </c:pt>
                <c:pt idx="2">
                  <c:v>Отд. ПМ </c:v>
                </c:pt>
                <c:pt idx="3">
                  <c:v>Отд. ПИ</c:v>
                </c:pt>
                <c:pt idx="4">
                  <c:v>ГиМУ</c:v>
                </c:pt>
                <c:pt idx="5">
                  <c:v>Истории</c:v>
                </c:pt>
                <c:pt idx="6">
                  <c:v>Логистики</c:v>
                </c:pt>
                <c:pt idx="7">
                  <c:v>Математики</c:v>
                </c:pt>
                <c:pt idx="8">
                  <c:v>Медиаком-ций</c:v>
                </c:pt>
                <c:pt idx="9">
                  <c:v>Менеджмента</c:v>
                </c:pt>
                <c:pt idx="10">
                  <c:v>МЭиМП</c:v>
                </c:pt>
                <c:pt idx="11">
                  <c:v>Права</c:v>
                </c:pt>
                <c:pt idx="12">
                  <c:v>ПП</c:v>
                </c:pt>
                <c:pt idx="13">
                  <c:v>ОИК</c:v>
                </c:pt>
                <c:pt idx="14">
                  <c:v>Психологии</c:v>
                </c:pt>
                <c:pt idx="15">
                  <c:v>Социологии</c:v>
                </c:pt>
                <c:pt idx="16">
                  <c:v>Филологии</c:v>
                </c:pt>
                <c:pt idx="17">
                  <c:v>Философии</c:v>
                </c:pt>
                <c:pt idx="18">
                  <c:v>Отд. востоковедения</c:v>
                </c:pt>
                <c:pt idx="19">
                  <c:v>Отд. культурологии</c:v>
                </c:pt>
                <c:pt idx="20">
                  <c:v>Экономики</c:v>
                </c:pt>
                <c:pt idx="21">
                  <c:v>Отд. "Совм.бак-риат ВШЭ и РЭШ"</c:v>
                </c:pt>
                <c:pt idx="22">
                  <c:v>ОСАДиД </c:v>
                </c:pt>
                <c:pt idx="23">
                  <c:v>МИЭМ Отд. дизайна</c:v>
                </c:pt>
                <c:pt idx="24">
                  <c:v>МИЭМ ФИТиВТ</c:v>
                </c:pt>
                <c:pt idx="25">
                  <c:v>МИЭМ ФПМиК</c:v>
                </c:pt>
                <c:pt idx="26">
                  <c:v>МИЭМ ФЭТ</c:v>
                </c:pt>
              </c:strCache>
            </c:strRef>
          </c:cat>
          <c:val>
            <c:numRef>
              <c:f>'Переход по курсам'!$V$5:$V$31</c:f>
              <c:numCache>
                <c:formatCode>General</c:formatCode>
                <c:ptCount val="27"/>
                <c:pt idx="0">
                  <c:v>0</c:v>
                </c:pt>
                <c:pt idx="1">
                  <c:v>0</c:v>
                </c:pt>
                <c:pt idx="2">
                  <c:v>0</c:v>
                </c:pt>
                <c:pt idx="3">
                  <c:v>0</c:v>
                </c:pt>
                <c:pt idx="4">
                  <c:v>0</c:v>
                </c:pt>
                <c:pt idx="5">
                  <c:v>0</c:v>
                </c:pt>
                <c:pt idx="6">
                  <c:v>0</c:v>
                </c:pt>
                <c:pt idx="7">
                  <c:v>0</c:v>
                </c:pt>
                <c:pt idx="8">
                  <c:v>0</c:v>
                </c:pt>
                <c:pt idx="9">
                  <c:v>0</c:v>
                </c:pt>
                <c:pt idx="10">
                  <c:v>0</c:v>
                </c:pt>
                <c:pt idx="11">
                  <c:v>2</c:v>
                </c:pt>
                <c:pt idx="12">
                  <c:v>0</c:v>
                </c:pt>
                <c:pt idx="13">
                  <c:v>6</c:v>
                </c:pt>
                <c:pt idx="14">
                  <c:v>0</c:v>
                </c:pt>
                <c:pt idx="15">
                  <c:v>0</c:v>
                </c:pt>
                <c:pt idx="16">
                  <c:v>0</c:v>
                </c:pt>
                <c:pt idx="17">
                  <c:v>0</c:v>
                </c:pt>
                <c:pt idx="18">
                  <c:v>0</c:v>
                </c:pt>
                <c:pt idx="19">
                  <c:v>0</c:v>
                </c:pt>
                <c:pt idx="20">
                  <c:v>0</c:v>
                </c:pt>
                <c:pt idx="21">
                  <c:v>0</c:v>
                </c:pt>
                <c:pt idx="22">
                  <c:v>0</c:v>
                </c:pt>
                <c:pt idx="23">
                  <c:v>0</c:v>
                </c:pt>
                <c:pt idx="24">
                  <c:v>4</c:v>
                </c:pt>
                <c:pt idx="25">
                  <c:v>0</c:v>
                </c:pt>
                <c:pt idx="26">
                  <c:v>0</c:v>
                </c:pt>
              </c:numCache>
            </c:numRef>
          </c:val>
        </c:ser>
        <c:dLbls>
          <c:showLegendKey val="0"/>
          <c:showVal val="0"/>
          <c:showCatName val="0"/>
          <c:showSerName val="0"/>
          <c:showPercent val="0"/>
          <c:showBubbleSize val="0"/>
        </c:dLbls>
        <c:gapWidth val="41"/>
        <c:overlap val="100"/>
        <c:axId val="552951808"/>
        <c:axId val="552953344"/>
      </c:barChart>
      <c:catAx>
        <c:axId val="552951808"/>
        <c:scaling>
          <c:orientation val="minMax"/>
        </c:scaling>
        <c:delete val="0"/>
        <c:axPos val="l"/>
        <c:numFmt formatCode="General" sourceLinked="0"/>
        <c:majorTickMark val="out"/>
        <c:minorTickMark val="none"/>
        <c:tickLblPos val="nextTo"/>
        <c:crossAx val="552953344"/>
        <c:crosses val="autoZero"/>
        <c:auto val="1"/>
        <c:lblAlgn val="ctr"/>
        <c:lblOffset val="100"/>
        <c:noMultiLvlLbl val="0"/>
      </c:catAx>
      <c:valAx>
        <c:axId val="552953344"/>
        <c:scaling>
          <c:orientation val="minMax"/>
          <c:max val="60"/>
        </c:scaling>
        <c:delete val="0"/>
        <c:axPos val="b"/>
        <c:majorGridlines/>
        <c:numFmt formatCode="General" sourceLinked="1"/>
        <c:majorTickMark val="out"/>
        <c:minorTickMark val="none"/>
        <c:tickLblPos val="nextTo"/>
        <c:crossAx val="552951808"/>
        <c:crosses val="autoZero"/>
        <c:crossBetween val="between"/>
      </c:valAx>
    </c:plotArea>
    <c:legend>
      <c:legendPos val="b"/>
      <c:overlay val="0"/>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Количество студентов, переведенных на ИУП,</a:t>
            </a:r>
            <a:r>
              <a:rPr lang="ru-RU" sz="1200" baseline="0"/>
              <a:t> включая переведенных на ИУП за академическую неуспеваемость,  в 2012-13 учебном году (Москва, бакалавры/специалисты)</a:t>
            </a:r>
            <a:endParaRPr lang="ru-RU" sz="1200"/>
          </a:p>
        </c:rich>
      </c:tx>
      <c:overlay val="0"/>
    </c:title>
    <c:autoTitleDeleted val="0"/>
    <c:plotArea>
      <c:layout/>
      <c:barChart>
        <c:barDir val="bar"/>
        <c:grouping val="stacked"/>
        <c:varyColors val="0"/>
        <c:ser>
          <c:idx val="0"/>
          <c:order val="0"/>
          <c:tx>
            <c:v>переведено на ИУП</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диаграммы'!$A$5:$A$31</c:f>
              <c:strCache>
                <c:ptCount val="27"/>
                <c:pt idx="0">
                  <c:v>МИЭФ</c:v>
                </c:pt>
                <c:pt idx="1">
                  <c:v>БИ</c:v>
                </c:pt>
                <c:pt idx="2">
                  <c:v>Отд. ПМ </c:v>
                </c:pt>
                <c:pt idx="3">
                  <c:v>Отд. ПИ</c:v>
                </c:pt>
                <c:pt idx="4">
                  <c:v>ГиМУ</c:v>
                </c:pt>
                <c:pt idx="5">
                  <c:v>Истории</c:v>
                </c:pt>
                <c:pt idx="6">
                  <c:v>Логистики</c:v>
                </c:pt>
                <c:pt idx="7">
                  <c:v>Математики</c:v>
                </c:pt>
                <c:pt idx="8">
                  <c:v>Медиаком-ций</c:v>
                </c:pt>
                <c:pt idx="9">
                  <c:v>Менеджмента</c:v>
                </c:pt>
                <c:pt idx="10">
                  <c:v>МЭиМП</c:v>
                </c:pt>
                <c:pt idx="11">
                  <c:v>Права</c:v>
                </c:pt>
                <c:pt idx="12">
                  <c:v>ПП</c:v>
                </c:pt>
                <c:pt idx="13">
                  <c:v>ОИК</c:v>
                </c:pt>
                <c:pt idx="14">
                  <c:v>Психологии</c:v>
                </c:pt>
                <c:pt idx="15">
                  <c:v>Социологии</c:v>
                </c:pt>
                <c:pt idx="16">
                  <c:v>Филологии</c:v>
                </c:pt>
                <c:pt idx="17">
                  <c:v>Философии</c:v>
                </c:pt>
                <c:pt idx="18">
                  <c:v>Отд. востоковедения</c:v>
                </c:pt>
                <c:pt idx="19">
                  <c:v>Отд. культурологии</c:v>
                </c:pt>
                <c:pt idx="20">
                  <c:v>Экономики</c:v>
                </c:pt>
                <c:pt idx="21">
                  <c:v>Отд. "Совм.бак-риат ВШЭ и РЭШ"</c:v>
                </c:pt>
                <c:pt idx="22">
                  <c:v>ОСАДиД </c:v>
                </c:pt>
                <c:pt idx="23">
                  <c:v>МИЭМ Отд. дизайна</c:v>
                </c:pt>
                <c:pt idx="24">
                  <c:v>МИЭМ ФИТиВТ</c:v>
                </c:pt>
                <c:pt idx="25">
                  <c:v>МИЭМ ФПМиК</c:v>
                </c:pt>
                <c:pt idx="26">
                  <c:v>МИЭМ ФЭТ</c:v>
                </c:pt>
              </c:strCache>
            </c:strRef>
          </c:cat>
          <c:val>
            <c:numRef>
              <c:f>'Для диаграммы'!$M$5:$M$31</c:f>
              <c:numCache>
                <c:formatCode>General</c:formatCode>
                <c:ptCount val="27"/>
                <c:pt idx="0">
                  <c:v>1</c:v>
                </c:pt>
                <c:pt idx="1">
                  <c:v>29</c:v>
                </c:pt>
                <c:pt idx="2">
                  <c:v>15</c:v>
                </c:pt>
                <c:pt idx="3">
                  <c:v>14</c:v>
                </c:pt>
                <c:pt idx="4">
                  <c:v>59</c:v>
                </c:pt>
                <c:pt idx="5">
                  <c:v>3</c:v>
                </c:pt>
                <c:pt idx="6">
                  <c:v>12</c:v>
                </c:pt>
                <c:pt idx="7">
                  <c:v>9</c:v>
                </c:pt>
                <c:pt idx="8">
                  <c:v>8</c:v>
                </c:pt>
                <c:pt idx="9">
                  <c:v>85</c:v>
                </c:pt>
                <c:pt idx="10">
                  <c:v>40</c:v>
                </c:pt>
                <c:pt idx="11">
                  <c:v>11</c:v>
                </c:pt>
                <c:pt idx="12">
                  <c:v>32</c:v>
                </c:pt>
                <c:pt idx="13">
                  <c:v>31</c:v>
                </c:pt>
                <c:pt idx="14">
                  <c:v>8</c:v>
                </c:pt>
                <c:pt idx="15">
                  <c:v>18</c:v>
                </c:pt>
                <c:pt idx="16">
                  <c:v>3</c:v>
                </c:pt>
                <c:pt idx="17">
                  <c:v>15</c:v>
                </c:pt>
                <c:pt idx="18">
                  <c:v>9</c:v>
                </c:pt>
                <c:pt idx="19">
                  <c:v>10</c:v>
                </c:pt>
                <c:pt idx="20">
                  <c:v>39</c:v>
                </c:pt>
                <c:pt idx="21">
                  <c:v>0</c:v>
                </c:pt>
                <c:pt idx="22">
                  <c:v>18</c:v>
                </c:pt>
                <c:pt idx="23">
                  <c:v>6</c:v>
                </c:pt>
                <c:pt idx="24">
                  <c:v>34</c:v>
                </c:pt>
                <c:pt idx="25">
                  <c:v>19</c:v>
                </c:pt>
                <c:pt idx="26">
                  <c:v>12</c:v>
                </c:pt>
              </c:numCache>
            </c:numRef>
          </c:val>
        </c:ser>
        <c:ser>
          <c:idx val="1"/>
          <c:order val="1"/>
          <c:tx>
            <c:v>из них за академическую неуспеваемость</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6"/>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диаграммы'!$A$5:$A$31</c:f>
              <c:strCache>
                <c:ptCount val="27"/>
                <c:pt idx="0">
                  <c:v>МИЭФ</c:v>
                </c:pt>
                <c:pt idx="1">
                  <c:v>БИ</c:v>
                </c:pt>
                <c:pt idx="2">
                  <c:v>Отд. ПМ </c:v>
                </c:pt>
                <c:pt idx="3">
                  <c:v>Отд. ПИ</c:v>
                </c:pt>
                <c:pt idx="4">
                  <c:v>ГиМУ</c:v>
                </c:pt>
                <c:pt idx="5">
                  <c:v>Истории</c:v>
                </c:pt>
                <c:pt idx="6">
                  <c:v>Логистики</c:v>
                </c:pt>
                <c:pt idx="7">
                  <c:v>Математики</c:v>
                </c:pt>
                <c:pt idx="8">
                  <c:v>Медиаком-ций</c:v>
                </c:pt>
                <c:pt idx="9">
                  <c:v>Менеджмента</c:v>
                </c:pt>
                <c:pt idx="10">
                  <c:v>МЭиМП</c:v>
                </c:pt>
                <c:pt idx="11">
                  <c:v>Права</c:v>
                </c:pt>
                <c:pt idx="12">
                  <c:v>ПП</c:v>
                </c:pt>
                <c:pt idx="13">
                  <c:v>ОИК</c:v>
                </c:pt>
                <c:pt idx="14">
                  <c:v>Психологии</c:v>
                </c:pt>
                <c:pt idx="15">
                  <c:v>Социологии</c:v>
                </c:pt>
                <c:pt idx="16">
                  <c:v>Филологии</c:v>
                </c:pt>
                <c:pt idx="17">
                  <c:v>Философии</c:v>
                </c:pt>
                <c:pt idx="18">
                  <c:v>Отд. востоковедения</c:v>
                </c:pt>
                <c:pt idx="19">
                  <c:v>Отд. культурологии</c:v>
                </c:pt>
                <c:pt idx="20">
                  <c:v>Экономики</c:v>
                </c:pt>
                <c:pt idx="21">
                  <c:v>Отд. "Совм.бак-риат ВШЭ и РЭШ"</c:v>
                </c:pt>
                <c:pt idx="22">
                  <c:v>ОСАДиД </c:v>
                </c:pt>
                <c:pt idx="23">
                  <c:v>МИЭМ Отд. дизайна</c:v>
                </c:pt>
                <c:pt idx="24">
                  <c:v>МИЭМ ФИТиВТ</c:v>
                </c:pt>
                <c:pt idx="25">
                  <c:v>МИЭМ ФПМиК</c:v>
                </c:pt>
                <c:pt idx="26">
                  <c:v>МИЭМ ФЭТ</c:v>
                </c:pt>
              </c:strCache>
            </c:strRef>
          </c:cat>
          <c:val>
            <c:numRef>
              <c:f>'Для диаграммы'!$O$5:$O$31</c:f>
              <c:numCache>
                <c:formatCode>General</c:formatCode>
                <c:ptCount val="27"/>
                <c:pt idx="0">
                  <c:v>1</c:v>
                </c:pt>
                <c:pt idx="1">
                  <c:v>18</c:v>
                </c:pt>
                <c:pt idx="2">
                  <c:v>7</c:v>
                </c:pt>
                <c:pt idx="3">
                  <c:v>10</c:v>
                </c:pt>
                <c:pt idx="4">
                  <c:v>29</c:v>
                </c:pt>
                <c:pt idx="5">
                  <c:v>3</c:v>
                </c:pt>
                <c:pt idx="6">
                  <c:v>12</c:v>
                </c:pt>
                <c:pt idx="7">
                  <c:v>0</c:v>
                </c:pt>
                <c:pt idx="8">
                  <c:v>7</c:v>
                </c:pt>
                <c:pt idx="9">
                  <c:v>58</c:v>
                </c:pt>
                <c:pt idx="10">
                  <c:v>14</c:v>
                </c:pt>
                <c:pt idx="11">
                  <c:v>8</c:v>
                </c:pt>
                <c:pt idx="12">
                  <c:v>17</c:v>
                </c:pt>
                <c:pt idx="13">
                  <c:v>12</c:v>
                </c:pt>
                <c:pt idx="14">
                  <c:v>7</c:v>
                </c:pt>
                <c:pt idx="15">
                  <c:v>12</c:v>
                </c:pt>
                <c:pt idx="16">
                  <c:v>0</c:v>
                </c:pt>
                <c:pt idx="17">
                  <c:v>1</c:v>
                </c:pt>
                <c:pt idx="18">
                  <c:v>2</c:v>
                </c:pt>
                <c:pt idx="19">
                  <c:v>0</c:v>
                </c:pt>
                <c:pt idx="20">
                  <c:v>39</c:v>
                </c:pt>
                <c:pt idx="21">
                  <c:v>0</c:v>
                </c:pt>
                <c:pt idx="22">
                  <c:v>18</c:v>
                </c:pt>
                <c:pt idx="23">
                  <c:v>1</c:v>
                </c:pt>
                <c:pt idx="24">
                  <c:v>21</c:v>
                </c:pt>
                <c:pt idx="25">
                  <c:v>5</c:v>
                </c:pt>
                <c:pt idx="26">
                  <c:v>0</c:v>
                </c:pt>
              </c:numCache>
            </c:numRef>
          </c:val>
        </c:ser>
        <c:dLbls>
          <c:showLegendKey val="0"/>
          <c:showVal val="0"/>
          <c:showCatName val="0"/>
          <c:showSerName val="0"/>
          <c:showPercent val="0"/>
          <c:showBubbleSize val="0"/>
        </c:dLbls>
        <c:gapWidth val="59"/>
        <c:overlap val="100"/>
        <c:axId val="553281792"/>
        <c:axId val="553299968"/>
      </c:barChart>
      <c:catAx>
        <c:axId val="553281792"/>
        <c:scaling>
          <c:orientation val="minMax"/>
        </c:scaling>
        <c:delete val="0"/>
        <c:axPos val="l"/>
        <c:numFmt formatCode="General" sourceLinked="0"/>
        <c:majorTickMark val="out"/>
        <c:minorTickMark val="none"/>
        <c:tickLblPos val="nextTo"/>
        <c:crossAx val="553299968"/>
        <c:crosses val="autoZero"/>
        <c:auto val="1"/>
        <c:lblAlgn val="ctr"/>
        <c:lblOffset val="100"/>
        <c:noMultiLvlLbl val="0"/>
      </c:catAx>
      <c:valAx>
        <c:axId val="553299968"/>
        <c:scaling>
          <c:orientation val="minMax"/>
        </c:scaling>
        <c:delete val="0"/>
        <c:axPos val="b"/>
        <c:majorGridlines/>
        <c:numFmt formatCode="General" sourceLinked="1"/>
        <c:majorTickMark val="out"/>
        <c:minorTickMark val="none"/>
        <c:tickLblPos val="nextTo"/>
        <c:crossAx val="553281792"/>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Cyr"/>
                <a:ea typeface="Arial Cyr"/>
                <a:cs typeface="Arial Cyr"/>
              </a:defRPr>
            </a:pPr>
            <a:r>
              <a:rPr lang="ru-RU" sz="800" b="1" i="0" baseline="0"/>
              <a:t>Динамика средней доли самостоятельной работы</a:t>
            </a:r>
            <a:br>
              <a:rPr lang="ru-RU" sz="800" b="1" i="0" baseline="0"/>
            </a:br>
            <a:r>
              <a:rPr lang="ru-RU" sz="800" b="1" i="0" baseline="0"/>
              <a:t>в магистратуре за 2</a:t>
            </a:r>
            <a:r>
              <a:rPr lang="en-US" sz="800" b="1" i="0" baseline="0"/>
              <a:t>0</a:t>
            </a:r>
            <a:r>
              <a:rPr lang="ru-RU" sz="800" b="1" i="0" baseline="0"/>
              <a:t>10/20</a:t>
            </a:r>
            <a:r>
              <a:rPr lang="en-US" sz="800" b="1" i="0" baseline="0"/>
              <a:t>1</a:t>
            </a:r>
            <a:r>
              <a:rPr lang="ru-RU" sz="800" b="1" i="0" baseline="0"/>
              <a:t>1-20</a:t>
            </a:r>
            <a:r>
              <a:rPr lang="en-US" sz="800" b="1" i="0" baseline="0"/>
              <a:t>1</a:t>
            </a:r>
            <a:r>
              <a:rPr lang="ru-RU" sz="800" b="1" i="0" baseline="0"/>
              <a:t>2/</a:t>
            </a:r>
            <a:r>
              <a:rPr lang="en-US" sz="800" b="1" i="0" baseline="0"/>
              <a:t>2</a:t>
            </a:r>
            <a:r>
              <a:rPr lang="ru-RU" sz="800" b="1" i="0" baseline="0"/>
              <a:t>0</a:t>
            </a:r>
            <a:r>
              <a:rPr lang="en-US" sz="800" b="1" i="0" baseline="0"/>
              <a:t>1</a:t>
            </a:r>
            <a:r>
              <a:rPr lang="ru-RU" sz="800" b="1" i="0" baseline="0"/>
              <a:t>3 уч</a:t>
            </a:r>
          </a:p>
        </c:rich>
      </c:tx>
      <c:layout>
        <c:manualLayout>
          <c:xMode val="edge"/>
          <c:yMode val="edge"/>
          <c:x val="0.14495412844036748"/>
          <c:y val="2.05675615849224E-2"/>
        </c:manualLayout>
      </c:layout>
      <c:overlay val="0"/>
      <c:spPr>
        <a:noFill/>
        <a:ln w="25400">
          <a:noFill/>
        </a:ln>
      </c:spPr>
    </c:title>
    <c:autoTitleDeleted val="0"/>
    <c:plotArea>
      <c:layout>
        <c:manualLayout>
          <c:layoutTarget val="inner"/>
          <c:xMode val="edge"/>
          <c:yMode val="edge"/>
          <c:x val="6.6018302269492568E-2"/>
          <c:y val="0.21524319333144096"/>
          <c:w val="0.89174311926605498"/>
          <c:h val="0.34704370179948796"/>
        </c:manualLayout>
      </c:layout>
      <c:barChart>
        <c:barDir val="col"/>
        <c:grouping val="clustered"/>
        <c:varyColors val="0"/>
        <c:ser>
          <c:idx val="0"/>
          <c:order val="0"/>
          <c:spPr>
            <a:solidFill>
              <a:srgbClr val="9999FF"/>
            </a:solidFill>
            <a:ln w="12700">
              <a:solidFill>
                <a:srgbClr val="000000"/>
              </a:solidFill>
              <a:prstDash val="solid"/>
            </a:ln>
            <a:effectLst>
              <a:outerShdw dist="35921" dir="2700000" algn="br">
                <a:srgbClr val="000000"/>
              </a:outerShdw>
            </a:effectLst>
          </c:spPr>
          <c:invertIfNegative val="0"/>
          <c:dPt>
            <c:idx val="0"/>
            <c:invertIfNegative val="0"/>
            <c:bubble3D val="0"/>
            <c:spPr>
              <a:solidFill>
                <a:schemeClr val="accent4">
                  <a:lumMod val="60000"/>
                  <a:lumOff val="40000"/>
                </a:schemeClr>
              </a:solidFill>
              <a:ln w="12700">
                <a:solidFill>
                  <a:srgbClr val="000000"/>
                </a:solidFill>
                <a:prstDash val="solid"/>
              </a:ln>
              <a:effectLst>
                <a:outerShdw dist="35921" dir="2700000" algn="br">
                  <a:srgbClr val="000000"/>
                </a:outerShdw>
              </a:effectLst>
            </c:spPr>
          </c:dPt>
          <c:dPt>
            <c:idx val="1"/>
            <c:invertIfNegative val="0"/>
            <c:bubble3D val="0"/>
            <c:spPr>
              <a:solidFill>
                <a:schemeClr val="accent4">
                  <a:lumMod val="60000"/>
                  <a:lumOff val="40000"/>
                </a:schemeClr>
              </a:solidFill>
              <a:ln w="12700">
                <a:solidFill>
                  <a:srgbClr val="000000"/>
                </a:solidFill>
                <a:prstDash val="solid"/>
              </a:ln>
              <a:effectLst>
                <a:outerShdw dist="35921" dir="2700000" algn="br">
                  <a:srgbClr val="000000"/>
                </a:outerShdw>
              </a:effectLst>
            </c:spPr>
          </c:dPt>
          <c:dPt>
            <c:idx val="2"/>
            <c:invertIfNegative val="0"/>
            <c:bubble3D val="0"/>
            <c:spPr>
              <a:solidFill>
                <a:schemeClr val="accent4">
                  <a:lumMod val="60000"/>
                  <a:lumOff val="40000"/>
                </a:schemeClr>
              </a:solidFill>
              <a:ln w="12700">
                <a:solidFill>
                  <a:srgbClr val="000000"/>
                </a:solidFill>
                <a:prstDash val="solid"/>
              </a:ln>
              <a:effectLst>
                <a:outerShdw dist="35921" dir="2700000" algn="br">
                  <a:srgbClr val="000000"/>
                </a:outerShdw>
              </a:effectLst>
            </c:spPr>
          </c:dPt>
          <c:dPt>
            <c:idx val="3"/>
            <c:invertIfNegative val="0"/>
            <c:bubble3D val="0"/>
            <c:spPr>
              <a:solidFill>
                <a:schemeClr val="accent3">
                  <a:lumMod val="75000"/>
                </a:schemeClr>
              </a:solidFill>
              <a:ln w="12700">
                <a:solidFill>
                  <a:srgbClr val="000000"/>
                </a:solidFill>
                <a:prstDash val="solid"/>
              </a:ln>
              <a:effectLst>
                <a:outerShdw dist="35921" dir="2700000" algn="br">
                  <a:srgbClr val="000000"/>
                </a:outerShdw>
              </a:effectLst>
            </c:spPr>
          </c:dPt>
          <c:dPt>
            <c:idx val="4"/>
            <c:invertIfNegative val="0"/>
            <c:bubble3D val="0"/>
            <c:spPr>
              <a:solidFill>
                <a:schemeClr val="accent3">
                  <a:lumMod val="75000"/>
                </a:schemeClr>
              </a:solidFill>
              <a:ln w="12700">
                <a:solidFill>
                  <a:srgbClr val="000000"/>
                </a:solidFill>
                <a:prstDash val="solid"/>
              </a:ln>
              <a:effectLst>
                <a:outerShdw dist="35921" dir="2700000" algn="br">
                  <a:srgbClr val="000000"/>
                </a:outerShdw>
              </a:effectLst>
            </c:spPr>
          </c:dPt>
          <c:dPt>
            <c:idx val="5"/>
            <c:invertIfNegative val="0"/>
            <c:bubble3D val="0"/>
            <c:spPr>
              <a:solidFill>
                <a:schemeClr val="accent3">
                  <a:lumMod val="75000"/>
                </a:schemeClr>
              </a:solidFill>
              <a:ln w="12700">
                <a:solidFill>
                  <a:srgbClr val="000000"/>
                </a:solidFill>
                <a:prstDash val="solid"/>
              </a:ln>
              <a:effectLst>
                <a:outerShdw dist="35921" dir="2700000" algn="br">
                  <a:srgbClr val="000000"/>
                </a:outerShdw>
              </a:effectLst>
            </c:spPr>
          </c:dPt>
          <c:dPt>
            <c:idx val="6"/>
            <c:invertIfNegative val="0"/>
            <c:bubble3D val="0"/>
            <c:spPr>
              <a:solidFill>
                <a:schemeClr val="tx2">
                  <a:lumMod val="60000"/>
                  <a:lumOff val="40000"/>
                </a:schemeClr>
              </a:solidFill>
              <a:ln w="12700">
                <a:solidFill>
                  <a:srgbClr val="000000"/>
                </a:solidFill>
                <a:prstDash val="solid"/>
              </a:ln>
              <a:effectLst>
                <a:outerShdw dist="35921" dir="2700000" algn="br">
                  <a:srgbClr val="000000"/>
                </a:outerShdw>
              </a:effectLst>
            </c:spPr>
          </c:dPt>
          <c:dPt>
            <c:idx val="7"/>
            <c:invertIfNegative val="0"/>
            <c:bubble3D val="0"/>
            <c:spPr>
              <a:solidFill>
                <a:schemeClr val="tx2">
                  <a:lumMod val="60000"/>
                  <a:lumOff val="40000"/>
                </a:schemeClr>
              </a:solidFill>
              <a:ln w="12700">
                <a:solidFill>
                  <a:srgbClr val="000000"/>
                </a:solidFill>
                <a:prstDash val="solid"/>
              </a:ln>
              <a:effectLst>
                <a:outerShdw dist="35921" dir="2700000" algn="br">
                  <a:srgbClr val="000000"/>
                </a:outerShdw>
              </a:effectLst>
            </c:spPr>
          </c:dPt>
          <c:dPt>
            <c:idx val="8"/>
            <c:invertIfNegative val="0"/>
            <c:bubble3D val="0"/>
            <c:spPr>
              <a:solidFill>
                <a:schemeClr val="tx2">
                  <a:lumMod val="60000"/>
                  <a:lumOff val="40000"/>
                </a:schemeClr>
              </a:solidFill>
              <a:ln w="12700">
                <a:solidFill>
                  <a:srgbClr val="000000"/>
                </a:solidFill>
                <a:prstDash val="solid"/>
              </a:ln>
              <a:effectLst>
                <a:outerShdw dist="35921" dir="2700000" algn="br">
                  <a:srgbClr val="000000"/>
                </a:outerShdw>
              </a:effectLst>
            </c:spPr>
          </c:dPt>
          <c:dPt>
            <c:idx val="9"/>
            <c:invertIfNegative val="0"/>
            <c:bubble3D val="0"/>
            <c:spPr>
              <a:solidFill>
                <a:schemeClr val="accent2">
                  <a:lumMod val="40000"/>
                  <a:lumOff val="60000"/>
                </a:schemeClr>
              </a:solidFill>
              <a:ln w="12700">
                <a:solidFill>
                  <a:srgbClr val="000000"/>
                </a:solidFill>
                <a:prstDash val="solid"/>
              </a:ln>
              <a:effectLst>
                <a:outerShdw dist="35921" dir="2700000" algn="br">
                  <a:srgbClr val="000000"/>
                </a:outerShdw>
              </a:effectLst>
            </c:spPr>
          </c:dPt>
          <c:dPt>
            <c:idx val="10"/>
            <c:invertIfNegative val="0"/>
            <c:bubble3D val="0"/>
            <c:spPr>
              <a:solidFill>
                <a:schemeClr val="accent2">
                  <a:lumMod val="40000"/>
                  <a:lumOff val="60000"/>
                </a:schemeClr>
              </a:solidFill>
              <a:ln w="12700">
                <a:solidFill>
                  <a:srgbClr val="000000"/>
                </a:solidFill>
                <a:prstDash val="solid"/>
              </a:ln>
              <a:effectLst>
                <a:outerShdw dist="35921" dir="2700000" algn="br">
                  <a:srgbClr val="000000"/>
                </a:outerShdw>
              </a:effectLst>
            </c:spPr>
          </c:dPt>
          <c:dPt>
            <c:idx val="11"/>
            <c:invertIfNegative val="0"/>
            <c:bubble3D val="0"/>
            <c:spPr>
              <a:solidFill>
                <a:schemeClr val="accent2">
                  <a:lumMod val="40000"/>
                  <a:lumOff val="60000"/>
                </a:schemeClr>
              </a:solidFill>
              <a:ln w="12700">
                <a:solidFill>
                  <a:srgbClr val="000000"/>
                </a:solidFill>
                <a:prstDash val="solid"/>
              </a:ln>
              <a:effectLst>
                <a:outerShdw dist="35921" dir="2700000" algn="br">
                  <a:srgbClr val="000000"/>
                </a:outerShdw>
              </a:effectLst>
            </c:spPr>
          </c:dPt>
          <c:dLbls>
            <c:spPr>
              <a:noFill/>
              <a:ln w="25400">
                <a:noFill/>
              </a:ln>
            </c:spPr>
            <c:txPr>
              <a:bodyPr/>
              <a:lstStyle/>
              <a:p>
                <a:pPr>
                  <a:defRPr sz="10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самост!$C$13:$N$14</c:f>
              <c:multiLvlStrCache>
                <c:ptCount val="12"/>
                <c:lvl>
                  <c:pt idx="0">
                    <c:v>2010/2011</c:v>
                  </c:pt>
                  <c:pt idx="1">
                    <c:v>2011/2012</c:v>
                  </c:pt>
                  <c:pt idx="2">
                    <c:v>2012/2013</c:v>
                  </c:pt>
                  <c:pt idx="3">
                    <c:v>2010/2011</c:v>
                  </c:pt>
                  <c:pt idx="4">
                    <c:v>2011/2012</c:v>
                  </c:pt>
                  <c:pt idx="5">
                    <c:v>2012/2013</c:v>
                  </c:pt>
                  <c:pt idx="6">
                    <c:v>2010/2011</c:v>
                  </c:pt>
                  <c:pt idx="7">
                    <c:v>2011/2012</c:v>
                  </c:pt>
                  <c:pt idx="8">
                    <c:v>2012/2013</c:v>
                  </c:pt>
                  <c:pt idx="9">
                    <c:v>2010/2011</c:v>
                  </c:pt>
                  <c:pt idx="10">
                    <c:v>2011/2012</c:v>
                  </c:pt>
                  <c:pt idx="11">
                    <c:v>2012/2013</c:v>
                  </c:pt>
                </c:lvl>
                <c:lvl>
                  <c:pt idx="0">
                    <c:v>Головной университет</c:v>
                  </c:pt>
                  <c:pt idx="3">
                    <c:v>Нижегородский филиал</c:v>
                  </c:pt>
                  <c:pt idx="6">
                    <c:v>Санкт-Петербургский филиал</c:v>
                  </c:pt>
                  <c:pt idx="9">
                    <c:v>Пермский филиал</c:v>
                  </c:pt>
                </c:lvl>
              </c:multiLvlStrCache>
            </c:multiLvlStrRef>
          </c:cat>
          <c:val>
            <c:numRef>
              <c:f>самост!$C$15:$N$15</c:f>
              <c:numCache>
                <c:formatCode>General</c:formatCode>
                <c:ptCount val="12"/>
                <c:pt idx="0">
                  <c:v>75.7</c:v>
                </c:pt>
                <c:pt idx="1">
                  <c:v>75.099999999999994</c:v>
                </c:pt>
                <c:pt idx="2">
                  <c:v>76.7</c:v>
                </c:pt>
                <c:pt idx="3">
                  <c:v>67.599999999999994</c:v>
                </c:pt>
                <c:pt idx="4">
                  <c:v>76.900000000000006</c:v>
                </c:pt>
                <c:pt idx="5">
                  <c:v>77.400000000000006</c:v>
                </c:pt>
                <c:pt idx="6">
                  <c:v>62.1</c:v>
                </c:pt>
                <c:pt idx="7">
                  <c:v>75.8</c:v>
                </c:pt>
                <c:pt idx="8">
                  <c:v>77.3</c:v>
                </c:pt>
                <c:pt idx="9">
                  <c:v>73.599999999999994</c:v>
                </c:pt>
                <c:pt idx="10">
                  <c:v>77</c:v>
                </c:pt>
                <c:pt idx="11">
                  <c:v>77.5</c:v>
                </c:pt>
              </c:numCache>
            </c:numRef>
          </c:val>
        </c:ser>
        <c:dLbls>
          <c:showLegendKey val="0"/>
          <c:showVal val="0"/>
          <c:showCatName val="0"/>
          <c:showSerName val="0"/>
          <c:showPercent val="0"/>
          <c:showBubbleSize val="0"/>
        </c:dLbls>
        <c:gapWidth val="150"/>
        <c:axId val="358912384"/>
        <c:axId val="358913920"/>
      </c:barChart>
      <c:catAx>
        <c:axId val="358912384"/>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Cyr"/>
                <a:ea typeface="Arial Cyr"/>
                <a:cs typeface="Arial Cyr"/>
              </a:defRPr>
            </a:pPr>
            <a:endParaRPr lang="ru-RU"/>
          </a:p>
        </c:txPr>
        <c:crossAx val="358913920"/>
        <c:crosses val="autoZero"/>
        <c:auto val="1"/>
        <c:lblAlgn val="ctr"/>
        <c:lblOffset val="100"/>
        <c:tickLblSkip val="1"/>
        <c:tickMarkSkip val="1"/>
        <c:noMultiLvlLbl val="0"/>
      </c:catAx>
      <c:valAx>
        <c:axId val="358913920"/>
        <c:scaling>
          <c:orientation val="minMax"/>
          <c:max val="80"/>
        </c:scaling>
        <c:delete val="0"/>
        <c:axPos val="l"/>
        <c:numFmt formatCode="General" sourceLinked="1"/>
        <c:majorTickMark val="out"/>
        <c:minorTickMark val="none"/>
        <c:tickLblPos val="nextTo"/>
        <c:txPr>
          <a:bodyPr rot="0" vert="horz"/>
          <a:lstStyle/>
          <a:p>
            <a:pPr>
              <a:defRPr/>
            </a:pPr>
            <a:endParaRPr lang="ru-RU"/>
          </a:p>
        </c:txPr>
        <c:crossAx val="358912384"/>
        <c:crosses val="autoZero"/>
        <c:crossBetween val="between"/>
        <c:majorUnit val="20"/>
        <c:minorUnit val="1"/>
      </c:valAx>
      <c:spPr>
        <a:noFill/>
        <a:ln w="25400">
          <a:noFill/>
        </a:ln>
      </c:spPr>
    </c:plotArea>
    <c:plotVisOnly val="1"/>
    <c:dispBlanksAs val="gap"/>
    <c:showDLblsOverMax val="0"/>
  </c:chart>
  <c:spPr>
    <a:solidFill>
      <a:srgbClr val="FFFFFF"/>
    </a:solidFill>
    <a:ln w="9525">
      <a:noFill/>
    </a:ln>
  </c:spPr>
  <c:txPr>
    <a:bodyPr/>
    <a:lstStyle/>
    <a:p>
      <a:pPr>
        <a:defRPr sz="112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baseline="0"/>
              <a:t>Динамика отчислений студентов, обучающихся по ИУП,</a:t>
            </a:r>
            <a:br>
              <a:rPr lang="ru-RU" sz="1400" b="1" i="0" baseline="0"/>
            </a:br>
            <a:r>
              <a:rPr lang="ru-RU" sz="1400" b="1" i="0" baseline="0"/>
              <a:t> за три года (Москва)</a:t>
            </a:r>
            <a:endParaRPr lang="ru-RU" sz="1400"/>
          </a:p>
        </c:rich>
      </c:tx>
      <c:overlay val="0"/>
    </c:title>
    <c:autoTitleDeleted val="0"/>
    <c:plotArea>
      <c:layout>
        <c:manualLayout>
          <c:layoutTarget val="inner"/>
          <c:xMode val="edge"/>
          <c:yMode val="edge"/>
          <c:x val="0.3696624926289509"/>
          <c:y val="9.2323202804389312E-2"/>
          <c:w val="0.58888652940086372"/>
          <c:h val="0.86768656708010261"/>
        </c:manualLayout>
      </c:layout>
      <c:barChart>
        <c:barDir val="bar"/>
        <c:grouping val="stacked"/>
        <c:varyColors val="0"/>
        <c:ser>
          <c:idx val="0"/>
          <c:order val="0"/>
          <c:tx>
            <c:strRef>
              <c:f>диаграммы_москва!$C$2</c:f>
              <c:strCache>
                <c:ptCount val="1"/>
                <c:pt idx="0">
                  <c:v>Кол-во студентов, успешно сдавших ИУП</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диаграммы_москва!$A$3:$B$71</c:f>
              <c:multiLvlStrCache>
                <c:ptCount val="69"/>
                <c:lvl>
                  <c:pt idx="0">
                    <c:v>2010-2011</c:v>
                  </c:pt>
                  <c:pt idx="1">
                    <c:v>2011-2012</c:v>
                  </c:pt>
                  <c:pt idx="2">
                    <c:v>2012-2013</c:v>
                  </c:pt>
                  <c:pt idx="3">
                    <c:v>2010-2011</c:v>
                  </c:pt>
                  <c:pt idx="4">
                    <c:v>2011-2012</c:v>
                  </c:pt>
                  <c:pt idx="5">
                    <c:v>2012-2013</c:v>
                  </c:pt>
                  <c:pt idx="6">
                    <c:v>2010-2011</c:v>
                  </c:pt>
                  <c:pt idx="7">
                    <c:v>2011-2012</c:v>
                  </c:pt>
                  <c:pt idx="8">
                    <c:v>2012-2013</c:v>
                  </c:pt>
                  <c:pt idx="9">
                    <c:v>2010-2011</c:v>
                  </c:pt>
                  <c:pt idx="10">
                    <c:v>2011-2012</c:v>
                  </c:pt>
                  <c:pt idx="11">
                    <c:v>2012-2013</c:v>
                  </c:pt>
                  <c:pt idx="12">
                    <c:v>2010-2011</c:v>
                  </c:pt>
                  <c:pt idx="13">
                    <c:v>2011-2012</c:v>
                  </c:pt>
                  <c:pt idx="14">
                    <c:v>2012-2013</c:v>
                  </c:pt>
                  <c:pt idx="15">
                    <c:v>2010-2011</c:v>
                  </c:pt>
                  <c:pt idx="16">
                    <c:v>2011-2012</c:v>
                  </c:pt>
                  <c:pt idx="17">
                    <c:v>2012-2013</c:v>
                  </c:pt>
                  <c:pt idx="18">
                    <c:v>2010-2011</c:v>
                  </c:pt>
                  <c:pt idx="19">
                    <c:v>2011-2012</c:v>
                  </c:pt>
                  <c:pt idx="20">
                    <c:v>2012-2013</c:v>
                  </c:pt>
                  <c:pt idx="21">
                    <c:v>2010-2011</c:v>
                  </c:pt>
                  <c:pt idx="22">
                    <c:v>2011-2012</c:v>
                  </c:pt>
                  <c:pt idx="23">
                    <c:v>2012-2013</c:v>
                  </c:pt>
                  <c:pt idx="24">
                    <c:v>2010-2011</c:v>
                  </c:pt>
                  <c:pt idx="25">
                    <c:v>2011-2012</c:v>
                  </c:pt>
                  <c:pt idx="26">
                    <c:v>2012-2013</c:v>
                  </c:pt>
                  <c:pt idx="27">
                    <c:v>2010-2011</c:v>
                  </c:pt>
                  <c:pt idx="28">
                    <c:v>2011-2012</c:v>
                  </c:pt>
                  <c:pt idx="29">
                    <c:v>2012-2013</c:v>
                  </c:pt>
                  <c:pt idx="30">
                    <c:v>2010-2011</c:v>
                  </c:pt>
                  <c:pt idx="31">
                    <c:v>2011-2012</c:v>
                  </c:pt>
                  <c:pt idx="32">
                    <c:v>2012-2013</c:v>
                  </c:pt>
                  <c:pt idx="33">
                    <c:v>2010-2011</c:v>
                  </c:pt>
                  <c:pt idx="34">
                    <c:v>2011-2012</c:v>
                  </c:pt>
                  <c:pt idx="35">
                    <c:v>2012-2013</c:v>
                  </c:pt>
                  <c:pt idx="36">
                    <c:v>2010-2011</c:v>
                  </c:pt>
                  <c:pt idx="37">
                    <c:v>2011-2012</c:v>
                  </c:pt>
                  <c:pt idx="38">
                    <c:v>2012-2013</c:v>
                  </c:pt>
                  <c:pt idx="39">
                    <c:v>2010-2011</c:v>
                  </c:pt>
                  <c:pt idx="40">
                    <c:v>2011-2012</c:v>
                  </c:pt>
                  <c:pt idx="41">
                    <c:v>2012-2013</c:v>
                  </c:pt>
                  <c:pt idx="42">
                    <c:v>2010-2011</c:v>
                  </c:pt>
                  <c:pt idx="43">
                    <c:v>2011-2012</c:v>
                  </c:pt>
                  <c:pt idx="44">
                    <c:v>2012-2013</c:v>
                  </c:pt>
                  <c:pt idx="45">
                    <c:v>2010-2011</c:v>
                  </c:pt>
                  <c:pt idx="46">
                    <c:v>2011-2012</c:v>
                  </c:pt>
                  <c:pt idx="47">
                    <c:v>2012-2013</c:v>
                  </c:pt>
                  <c:pt idx="48">
                    <c:v>2010-2011</c:v>
                  </c:pt>
                  <c:pt idx="49">
                    <c:v>2011-2012</c:v>
                  </c:pt>
                  <c:pt idx="50">
                    <c:v>2012-2013</c:v>
                  </c:pt>
                  <c:pt idx="51">
                    <c:v>2010-2011</c:v>
                  </c:pt>
                  <c:pt idx="52">
                    <c:v>2011-2012</c:v>
                  </c:pt>
                  <c:pt idx="53">
                    <c:v>2012-2013</c:v>
                  </c:pt>
                  <c:pt idx="54">
                    <c:v>2010-2011</c:v>
                  </c:pt>
                  <c:pt idx="55">
                    <c:v>2011-2012</c:v>
                  </c:pt>
                  <c:pt idx="56">
                    <c:v>2012-2013</c:v>
                  </c:pt>
                  <c:pt idx="57">
                    <c:v>2010-2011</c:v>
                  </c:pt>
                  <c:pt idx="58">
                    <c:v>2011-2012</c:v>
                  </c:pt>
                  <c:pt idx="59">
                    <c:v>2012-2013</c:v>
                  </c:pt>
                  <c:pt idx="60">
                    <c:v>2010-2011</c:v>
                  </c:pt>
                  <c:pt idx="61">
                    <c:v>2011-2012</c:v>
                  </c:pt>
                  <c:pt idx="62">
                    <c:v>2012-2013</c:v>
                  </c:pt>
                  <c:pt idx="63">
                    <c:v>2010-2011</c:v>
                  </c:pt>
                  <c:pt idx="64">
                    <c:v>2011-2012</c:v>
                  </c:pt>
                  <c:pt idx="65">
                    <c:v>2012-2013</c:v>
                  </c:pt>
                  <c:pt idx="66">
                    <c:v>2010-2011</c:v>
                  </c:pt>
                  <c:pt idx="67">
                    <c:v>2011-2012</c:v>
                  </c:pt>
                  <c:pt idx="68">
                    <c:v>2012-2013</c:v>
                  </c:pt>
                </c:lvl>
                <c:lvl>
                  <c:pt idx="0">
                    <c:v>востоковедения</c:v>
                  </c:pt>
                  <c:pt idx="3">
                    <c:v>ОИК (рекл.)</c:v>
                  </c:pt>
                  <c:pt idx="6">
                    <c:v>культурологии</c:v>
                  </c:pt>
                  <c:pt idx="9">
                    <c:v>прикл. матем. и информат.</c:v>
                  </c:pt>
                  <c:pt idx="12">
                    <c:v>Отд. ПИ</c:v>
                  </c:pt>
                  <c:pt idx="15">
                    <c:v>Статистика</c:v>
                  </c:pt>
                  <c:pt idx="18">
                    <c:v>БИ</c:v>
                  </c:pt>
                  <c:pt idx="21">
                    <c:v>ГиМУ</c:v>
                  </c:pt>
                  <c:pt idx="24">
                    <c:v>логистики</c:v>
                  </c:pt>
                  <c:pt idx="27">
                    <c:v>медиакомм.</c:v>
                  </c:pt>
                  <c:pt idx="30">
                    <c:v>менеджмента</c:v>
                  </c:pt>
                  <c:pt idx="33">
                    <c:v>МЭ и МП</c:v>
                  </c:pt>
                  <c:pt idx="36">
                    <c:v>права</c:v>
                  </c:pt>
                  <c:pt idx="39">
                    <c:v>прикл. политологии</c:v>
                  </c:pt>
                  <c:pt idx="42">
                    <c:v>психологии</c:v>
                  </c:pt>
                  <c:pt idx="45">
                    <c:v>социологии</c:v>
                  </c:pt>
                  <c:pt idx="48">
                    <c:v>философии</c:v>
                  </c:pt>
                  <c:pt idx="51">
                    <c:v>экономики</c:v>
                  </c:pt>
                  <c:pt idx="54">
                    <c:v>математики</c:v>
                  </c:pt>
                  <c:pt idx="57">
                    <c:v>истории</c:v>
                  </c:pt>
                  <c:pt idx="60">
                    <c:v>МИЭФ</c:v>
                  </c:pt>
                  <c:pt idx="63">
                    <c:v>филологии</c:v>
                  </c:pt>
                  <c:pt idx="66">
                    <c:v>ФЭТ</c:v>
                  </c:pt>
                </c:lvl>
              </c:multiLvlStrCache>
            </c:multiLvlStrRef>
          </c:cat>
          <c:val>
            <c:numRef>
              <c:f>диаграммы_москва!$C$3:$C$71</c:f>
              <c:numCache>
                <c:formatCode>General</c:formatCode>
                <c:ptCount val="69"/>
                <c:pt idx="0">
                  <c:v>0</c:v>
                </c:pt>
                <c:pt idx="1">
                  <c:v>1</c:v>
                </c:pt>
                <c:pt idx="3">
                  <c:v>7</c:v>
                </c:pt>
                <c:pt idx="4">
                  <c:v>5</c:v>
                </c:pt>
                <c:pt idx="5">
                  <c:v>18</c:v>
                </c:pt>
                <c:pt idx="6">
                  <c:v>0</c:v>
                </c:pt>
                <c:pt idx="7">
                  <c:v>2</c:v>
                </c:pt>
                <c:pt idx="9">
                  <c:v>6</c:v>
                </c:pt>
                <c:pt idx="10">
                  <c:v>8</c:v>
                </c:pt>
                <c:pt idx="11">
                  <c:v>2</c:v>
                </c:pt>
                <c:pt idx="12">
                  <c:v>3</c:v>
                </c:pt>
                <c:pt idx="13">
                  <c:v>9</c:v>
                </c:pt>
                <c:pt idx="14">
                  <c:v>2</c:v>
                </c:pt>
                <c:pt idx="15">
                  <c:v>11</c:v>
                </c:pt>
                <c:pt idx="16">
                  <c:v>6</c:v>
                </c:pt>
                <c:pt idx="17">
                  <c:v>3</c:v>
                </c:pt>
                <c:pt idx="18">
                  <c:v>37</c:v>
                </c:pt>
                <c:pt idx="19">
                  <c:v>14</c:v>
                </c:pt>
                <c:pt idx="20">
                  <c:v>7</c:v>
                </c:pt>
                <c:pt idx="21">
                  <c:v>5</c:v>
                </c:pt>
                <c:pt idx="22">
                  <c:v>18</c:v>
                </c:pt>
                <c:pt idx="23">
                  <c:v>10</c:v>
                </c:pt>
                <c:pt idx="24">
                  <c:v>30</c:v>
                </c:pt>
                <c:pt idx="25">
                  <c:v>5</c:v>
                </c:pt>
                <c:pt idx="27">
                  <c:v>2</c:v>
                </c:pt>
                <c:pt idx="28">
                  <c:v>3</c:v>
                </c:pt>
                <c:pt idx="30">
                  <c:v>47</c:v>
                </c:pt>
                <c:pt idx="31">
                  <c:v>39</c:v>
                </c:pt>
                <c:pt idx="32">
                  <c:v>6</c:v>
                </c:pt>
                <c:pt idx="33">
                  <c:v>21</c:v>
                </c:pt>
                <c:pt idx="34">
                  <c:v>25</c:v>
                </c:pt>
                <c:pt idx="35">
                  <c:v>7</c:v>
                </c:pt>
                <c:pt idx="36">
                  <c:v>57</c:v>
                </c:pt>
                <c:pt idx="37">
                  <c:v>13</c:v>
                </c:pt>
                <c:pt idx="39">
                  <c:v>10</c:v>
                </c:pt>
                <c:pt idx="40">
                  <c:v>7</c:v>
                </c:pt>
                <c:pt idx="41">
                  <c:v>8</c:v>
                </c:pt>
                <c:pt idx="42">
                  <c:v>14</c:v>
                </c:pt>
                <c:pt idx="43">
                  <c:v>1</c:v>
                </c:pt>
                <c:pt idx="45">
                  <c:v>31</c:v>
                </c:pt>
                <c:pt idx="46">
                  <c:v>14</c:v>
                </c:pt>
                <c:pt idx="47">
                  <c:v>6</c:v>
                </c:pt>
                <c:pt idx="48">
                  <c:v>0</c:v>
                </c:pt>
                <c:pt idx="49">
                  <c:v>1</c:v>
                </c:pt>
                <c:pt idx="51">
                  <c:v>51</c:v>
                </c:pt>
                <c:pt idx="52">
                  <c:v>37</c:v>
                </c:pt>
                <c:pt idx="53">
                  <c:v>13</c:v>
                </c:pt>
                <c:pt idx="54">
                  <c:v>2</c:v>
                </c:pt>
                <c:pt idx="55">
                  <c:v>0</c:v>
                </c:pt>
                <c:pt idx="57">
                  <c:v>1</c:v>
                </c:pt>
                <c:pt idx="58">
                  <c:v>0</c:v>
                </c:pt>
                <c:pt idx="60">
                  <c:v>56</c:v>
                </c:pt>
                <c:pt idx="61">
                  <c:v>0</c:v>
                </c:pt>
                <c:pt idx="65">
                  <c:v>1</c:v>
                </c:pt>
              </c:numCache>
            </c:numRef>
          </c:val>
        </c:ser>
        <c:ser>
          <c:idx val="1"/>
          <c:order val="1"/>
          <c:tx>
            <c:strRef>
              <c:f>диаграммы_москва!$D$2</c:f>
              <c:strCache>
                <c:ptCount val="1"/>
                <c:pt idx="0">
                  <c:v>Отчисленные по ИУП</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invertIfNegative val="0"/>
          <c:dLbls>
            <c:dLbl>
              <c:idx val="4"/>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54"/>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диаграммы_москва!$A$3:$B$71</c:f>
              <c:multiLvlStrCache>
                <c:ptCount val="69"/>
                <c:lvl>
                  <c:pt idx="0">
                    <c:v>2010-2011</c:v>
                  </c:pt>
                  <c:pt idx="1">
                    <c:v>2011-2012</c:v>
                  </c:pt>
                  <c:pt idx="2">
                    <c:v>2012-2013</c:v>
                  </c:pt>
                  <c:pt idx="3">
                    <c:v>2010-2011</c:v>
                  </c:pt>
                  <c:pt idx="4">
                    <c:v>2011-2012</c:v>
                  </c:pt>
                  <c:pt idx="5">
                    <c:v>2012-2013</c:v>
                  </c:pt>
                  <c:pt idx="6">
                    <c:v>2010-2011</c:v>
                  </c:pt>
                  <c:pt idx="7">
                    <c:v>2011-2012</c:v>
                  </c:pt>
                  <c:pt idx="8">
                    <c:v>2012-2013</c:v>
                  </c:pt>
                  <c:pt idx="9">
                    <c:v>2010-2011</c:v>
                  </c:pt>
                  <c:pt idx="10">
                    <c:v>2011-2012</c:v>
                  </c:pt>
                  <c:pt idx="11">
                    <c:v>2012-2013</c:v>
                  </c:pt>
                  <c:pt idx="12">
                    <c:v>2010-2011</c:v>
                  </c:pt>
                  <c:pt idx="13">
                    <c:v>2011-2012</c:v>
                  </c:pt>
                  <c:pt idx="14">
                    <c:v>2012-2013</c:v>
                  </c:pt>
                  <c:pt idx="15">
                    <c:v>2010-2011</c:v>
                  </c:pt>
                  <c:pt idx="16">
                    <c:v>2011-2012</c:v>
                  </c:pt>
                  <c:pt idx="17">
                    <c:v>2012-2013</c:v>
                  </c:pt>
                  <c:pt idx="18">
                    <c:v>2010-2011</c:v>
                  </c:pt>
                  <c:pt idx="19">
                    <c:v>2011-2012</c:v>
                  </c:pt>
                  <c:pt idx="20">
                    <c:v>2012-2013</c:v>
                  </c:pt>
                  <c:pt idx="21">
                    <c:v>2010-2011</c:v>
                  </c:pt>
                  <c:pt idx="22">
                    <c:v>2011-2012</c:v>
                  </c:pt>
                  <c:pt idx="23">
                    <c:v>2012-2013</c:v>
                  </c:pt>
                  <c:pt idx="24">
                    <c:v>2010-2011</c:v>
                  </c:pt>
                  <c:pt idx="25">
                    <c:v>2011-2012</c:v>
                  </c:pt>
                  <c:pt idx="26">
                    <c:v>2012-2013</c:v>
                  </c:pt>
                  <c:pt idx="27">
                    <c:v>2010-2011</c:v>
                  </c:pt>
                  <c:pt idx="28">
                    <c:v>2011-2012</c:v>
                  </c:pt>
                  <c:pt idx="29">
                    <c:v>2012-2013</c:v>
                  </c:pt>
                  <c:pt idx="30">
                    <c:v>2010-2011</c:v>
                  </c:pt>
                  <c:pt idx="31">
                    <c:v>2011-2012</c:v>
                  </c:pt>
                  <c:pt idx="32">
                    <c:v>2012-2013</c:v>
                  </c:pt>
                  <c:pt idx="33">
                    <c:v>2010-2011</c:v>
                  </c:pt>
                  <c:pt idx="34">
                    <c:v>2011-2012</c:v>
                  </c:pt>
                  <c:pt idx="35">
                    <c:v>2012-2013</c:v>
                  </c:pt>
                  <c:pt idx="36">
                    <c:v>2010-2011</c:v>
                  </c:pt>
                  <c:pt idx="37">
                    <c:v>2011-2012</c:v>
                  </c:pt>
                  <c:pt idx="38">
                    <c:v>2012-2013</c:v>
                  </c:pt>
                  <c:pt idx="39">
                    <c:v>2010-2011</c:v>
                  </c:pt>
                  <c:pt idx="40">
                    <c:v>2011-2012</c:v>
                  </c:pt>
                  <c:pt idx="41">
                    <c:v>2012-2013</c:v>
                  </c:pt>
                  <c:pt idx="42">
                    <c:v>2010-2011</c:v>
                  </c:pt>
                  <c:pt idx="43">
                    <c:v>2011-2012</c:v>
                  </c:pt>
                  <c:pt idx="44">
                    <c:v>2012-2013</c:v>
                  </c:pt>
                  <c:pt idx="45">
                    <c:v>2010-2011</c:v>
                  </c:pt>
                  <c:pt idx="46">
                    <c:v>2011-2012</c:v>
                  </c:pt>
                  <c:pt idx="47">
                    <c:v>2012-2013</c:v>
                  </c:pt>
                  <c:pt idx="48">
                    <c:v>2010-2011</c:v>
                  </c:pt>
                  <c:pt idx="49">
                    <c:v>2011-2012</c:v>
                  </c:pt>
                  <c:pt idx="50">
                    <c:v>2012-2013</c:v>
                  </c:pt>
                  <c:pt idx="51">
                    <c:v>2010-2011</c:v>
                  </c:pt>
                  <c:pt idx="52">
                    <c:v>2011-2012</c:v>
                  </c:pt>
                  <c:pt idx="53">
                    <c:v>2012-2013</c:v>
                  </c:pt>
                  <c:pt idx="54">
                    <c:v>2010-2011</c:v>
                  </c:pt>
                  <c:pt idx="55">
                    <c:v>2011-2012</c:v>
                  </c:pt>
                  <c:pt idx="56">
                    <c:v>2012-2013</c:v>
                  </c:pt>
                  <c:pt idx="57">
                    <c:v>2010-2011</c:v>
                  </c:pt>
                  <c:pt idx="58">
                    <c:v>2011-2012</c:v>
                  </c:pt>
                  <c:pt idx="59">
                    <c:v>2012-2013</c:v>
                  </c:pt>
                  <c:pt idx="60">
                    <c:v>2010-2011</c:v>
                  </c:pt>
                  <c:pt idx="61">
                    <c:v>2011-2012</c:v>
                  </c:pt>
                  <c:pt idx="62">
                    <c:v>2012-2013</c:v>
                  </c:pt>
                  <c:pt idx="63">
                    <c:v>2010-2011</c:v>
                  </c:pt>
                  <c:pt idx="64">
                    <c:v>2011-2012</c:v>
                  </c:pt>
                  <c:pt idx="65">
                    <c:v>2012-2013</c:v>
                  </c:pt>
                  <c:pt idx="66">
                    <c:v>2010-2011</c:v>
                  </c:pt>
                  <c:pt idx="67">
                    <c:v>2011-2012</c:v>
                  </c:pt>
                  <c:pt idx="68">
                    <c:v>2012-2013</c:v>
                  </c:pt>
                </c:lvl>
                <c:lvl>
                  <c:pt idx="0">
                    <c:v>востоковедения</c:v>
                  </c:pt>
                  <c:pt idx="3">
                    <c:v>ОИК (рекл.)</c:v>
                  </c:pt>
                  <c:pt idx="6">
                    <c:v>культурологии</c:v>
                  </c:pt>
                  <c:pt idx="9">
                    <c:v>прикл. матем. и информат.</c:v>
                  </c:pt>
                  <c:pt idx="12">
                    <c:v>Отд. ПИ</c:v>
                  </c:pt>
                  <c:pt idx="15">
                    <c:v>Статистика</c:v>
                  </c:pt>
                  <c:pt idx="18">
                    <c:v>БИ</c:v>
                  </c:pt>
                  <c:pt idx="21">
                    <c:v>ГиМУ</c:v>
                  </c:pt>
                  <c:pt idx="24">
                    <c:v>логистики</c:v>
                  </c:pt>
                  <c:pt idx="27">
                    <c:v>медиакомм.</c:v>
                  </c:pt>
                  <c:pt idx="30">
                    <c:v>менеджмента</c:v>
                  </c:pt>
                  <c:pt idx="33">
                    <c:v>МЭ и МП</c:v>
                  </c:pt>
                  <c:pt idx="36">
                    <c:v>права</c:v>
                  </c:pt>
                  <c:pt idx="39">
                    <c:v>прикл. политологии</c:v>
                  </c:pt>
                  <c:pt idx="42">
                    <c:v>психологии</c:v>
                  </c:pt>
                  <c:pt idx="45">
                    <c:v>социологии</c:v>
                  </c:pt>
                  <c:pt idx="48">
                    <c:v>философии</c:v>
                  </c:pt>
                  <c:pt idx="51">
                    <c:v>экономики</c:v>
                  </c:pt>
                  <c:pt idx="54">
                    <c:v>математики</c:v>
                  </c:pt>
                  <c:pt idx="57">
                    <c:v>истории</c:v>
                  </c:pt>
                  <c:pt idx="60">
                    <c:v>МИЭФ</c:v>
                  </c:pt>
                  <c:pt idx="63">
                    <c:v>филологии</c:v>
                  </c:pt>
                  <c:pt idx="66">
                    <c:v>ФЭТ</c:v>
                  </c:pt>
                </c:lvl>
              </c:multiLvlStrCache>
            </c:multiLvlStrRef>
          </c:cat>
          <c:val>
            <c:numRef>
              <c:f>диаграммы_москва!$D$3:$D$71</c:f>
              <c:numCache>
                <c:formatCode>General</c:formatCode>
                <c:ptCount val="69"/>
                <c:pt idx="0">
                  <c:v>0</c:v>
                </c:pt>
                <c:pt idx="1">
                  <c:v>1</c:v>
                </c:pt>
                <c:pt idx="3">
                  <c:v>3</c:v>
                </c:pt>
                <c:pt idx="4">
                  <c:v>0</c:v>
                </c:pt>
                <c:pt idx="5">
                  <c:v>6</c:v>
                </c:pt>
                <c:pt idx="6">
                  <c:v>0</c:v>
                </c:pt>
                <c:pt idx="7">
                  <c:v>1</c:v>
                </c:pt>
                <c:pt idx="9">
                  <c:v>0</c:v>
                </c:pt>
                <c:pt idx="10">
                  <c:v>6</c:v>
                </c:pt>
                <c:pt idx="11">
                  <c:v>4</c:v>
                </c:pt>
                <c:pt idx="12">
                  <c:v>7</c:v>
                </c:pt>
                <c:pt idx="13">
                  <c:v>8</c:v>
                </c:pt>
                <c:pt idx="14">
                  <c:v>3</c:v>
                </c:pt>
                <c:pt idx="15">
                  <c:v>5</c:v>
                </c:pt>
                <c:pt idx="16">
                  <c:v>5</c:v>
                </c:pt>
                <c:pt idx="17">
                  <c:v>2</c:v>
                </c:pt>
                <c:pt idx="18">
                  <c:v>10</c:v>
                </c:pt>
                <c:pt idx="19">
                  <c:v>7</c:v>
                </c:pt>
                <c:pt idx="20">
                  <c:v>8</c:v>
                </c:pt>
                <c:pt idx="21">
                  <c:v>25</c:v>
                </c:pt>
                <c:pt idx="22">
                  <c:v>26</c:v>
                </c:pt>
                <c:pt idx="23">
                  <c:v>14</c:v>
                </c:pt>
                <c:pt idx="24">
                  <c:v>1</c:v>
                </c:pt>
                <c:pt idx="25">
                  <c:v>10</c:v>
                </c:pt>
                <c:pt idx="26">
                  <c:v>3</c:v>
                </c:pt>
                <c:pt idx="27">
                  <c:v>5</c:v>
                </c:pt>
                <c:pt idx="28">
                  <c:v>7</c:v>
                </c:pt>
                <c:pt idx="29">
                  <c:v>3</c:v>
                </c:pt>
                <c:pt idx="30">
                  <c:v>11</c:v>
                </c:pt>
                <c:pt idx="31">
                  <c:v>48</c:v>
                </c:pt>
                <c:pt idx="32">
                  <c:v>22</c:v>
                </c:pt>
                <c:pt idx="33">
                  <c:v>4</c:v>
                </c:pt>
                <c:pt idx="34">
                  <c:v>5</c:v>
                </c:pt>
                <c:pt idx="35">
                  <c:v>5</c:v>
                </c:pt>
                <c:pt idx="36">
                  <c:v>4</c:v>
                </c:pt>
                <c:pt idx="37">
                  <c:v>12</c:v>
                </c:pt>
                <c:pt idx="38">
                  <c:v>11</c:v>
                </c:pt>
                <c:pt idx="39">
                  <c:v>8</c:v>
                </c:pt>
                <c:pt idx="40">
                  <c:v>10</c:v>
                </c:pt>
                <c:pt idx="41">
                  <c:v>9</c:v>
                </c:pt>
                <c:pt idx="42">
                  <c:v>11</c:v>
                </c:pt>
                <c:pt idx="43">
                  <c:v>5</c:v>
                </c:pt>
                <c:pt idx="44">
                  <c:v>1</c:v>
                </c:pt>
                <c:pt idx="45">
                  <c:v>9</c:v>
                </c:pt>
                <c:pt idx="46">
                  <c:v>6</c:v>
                </c:pt>
                <c:pt idx="47">
                  <c:v>7</c:v>
                </c:pt>
                <c:pt idx="48">
                  <c:v>8</c:v>
                </c:pt>
                <c:pt idx="49">
                  <c:v>1</c:v>
                </c:pt>
                <c:pt idx="51">
                  <c:v>24</c:v>
                </c:pt>
                <c:pt idx="52">
                  <c:v>33</c:v>
                </c:pt>
                <c:pt idx="53">
                  <c:v>13</c:v>
                </c:pt>
                <c:pt idx="54">
                  <c:v>0</c:v>
                </c:pt>
                <c:pt idx="55">
                  <c:v>0</c:v>
                </c:pt>
                <c:pt idx="57">
                  <c:v>0</c:v>
                </c:pt>
                <c:pt idx="58">
                  <c:v>0</c:v>
                </c:pt>
                <c:pt idx="60">
                  <c:v>17</c:v>
                </c:pt>
                <c:pt idx="61">
                  <c:v>0</c:v>
                </c:pt>
                <c:pt idx="62">
                  <c:v>1</c:v>
                </c:pt>
                <c:pt idx="68">
                  <c:v>1</c:v>
                </c:pt>
              </c:numCache>
            </c:numRef>
          </c:val>
        </c:ser>
        <c:dLbls>
          <c:showLegendKey val="0"/>
          <c:showVal val="0"/>
          <c:showCatName val="0"/>
          <c:showSerName val="0"/>
          <c:showPercent val="0"/>
          <c:showBubbleSize val="0"/>
        </c:dLbls>
        <c:gapWidth val="51"/>
        <c:overlap val="100"/>
        <c:axId val="553334656"/>
        <c:axId val="553336192"/>
      </c:barChart>
      <c:catAx>
        <c:axId val="553334656"/>
        <c:scaling>
          <c:orientation val="minMax"/>
        </c:scaling>
        <c:delete val="0"/>
        <c:axPos val="l"/>
        <c:numFmt formatCode="General" sourceLinked="0"/>
        <c:majorTickMark val="out"/>
        <c:minorTickMark val="none"/>
        <c:tickLblPos val="nextTo"/>
        <c:txPr>
          <a:bodyPr/>
          <a:lstStyle/>
          <a:p>
            <a:pPr>
              <a:defRPr sz="700"/>
            </a:pPr>
            <a:endParaRPr lang="ru-RU"/>
          </a:p>
        </c:txPr>
        <c:crossAx val="553336192"/>
        <c:crosses val="autoZero"/>
        <c:auto val="1"/>
        <c:lblAlgn val="ctr"/>
        <c:lblOffset val="100"/>
        <c:noMultiLvlLbl val="0"/>
      </c:catAx>
      <c:valAx>
        <c:axId val="553336192"/>
        <c:scaling>
          <c:orientation val="minMax"/>
        </c:scaling>
        <c:delete val="0"/>
        <c:axPos val="b"/>
        <c:majorGridlines/>
        <c:numFmt formatCode="General" sourceLinked="1"/>
        <c:majorTickMark val="out"/>
        <c:minorTickMark val="none"/>
        <c:tickLblPos val="nextTo"/>
        <c:crossAx val="553334656"/>
        <c:crosses val="autoZero"/>
        <c:crossBetween val="between"/>
      </c:valAx>
    </c:plotArea>
    <c:legend>
      <c:legendPos val="b"/>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baseline="0"/>
              <a:t>Динамика отчислений студентов, обучающихся по ИУП,</a:t>
            </a:r>
            <a:br>
              <a:rPr lang="ru-RU" sz="1400" b="1" i="0" baseline="0"/>
            </a:br>
            <a:r>
              <a:rPr lang="ru-RU" sz="1400" b="1" i="0" baseline="0"/>
              <a:t> за три года (филиалы)</a:t>
            </a:r>
          </a:p>
        </c:rich>
      </c:tx>
      <c:overlay val="0"/>
    </c:title>
    <c:autoTitleDeleted val="0"/>
    <c:plotArea>
      <c:layout/>
      <c:barChart>
        <c:barDir val="bar"/>
        <c:grouping val="stacked"/>
        <c:varyColors val="0"/>
        <c:ser>
          <c:idx val="0"/>
          <c:order val="0"/>
          <c:tx>
            <c:strRef>
              <c:f>диаграммы_филиалы!$C$2</c:f>
              <c:strCache>
                <c:ptCount val="1"/>
                <c:pt idx="0">
                  <c:v>Кол-во студентов, успешно сдавших ИУП</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диаграммы_филиалы!$A$3:$B$38</c:f>
              <c:multiLvlStrCache>
                <c:ptCount val="36"/>
                <c:lvl>
                  <c:pt idx="0">
                    <c:v>2010-2011</c:v>
                  </c:pt>
                  <c:pt idx="1">
                    <c:v>2011-2012</c:v>
                  </c:pt>
                  <c:pt idx="2">
                    <c:v>2012-2013</c:v>
                  </c:pt>
                  <c:pt idx="3">
                    <c:v>2010-2011</c:v>
                  </c:pt>
                  <c:pt idx="4">
                    <c:v>2011-2012</c:v>
                  </c:pt>
                  <c:pt idx="5">
                    <c:v>2012-2013</c:v>
                  </c:pt>
                  <c:pt idx="6">
                    <c:v>2010-2011</c:v>
                  </c:pt>
                  <c:pt idx="7">
                    <c:v>2011-2012</c:v>
                  </c:pt>
                  <c:pt idx="8">
                    <c:v>2012-2013</c:v>
                  </c:pt>
                  <c:pt idx="9">
                    <c:v>2010-2011</c:v>
                  </c:pt>
                  <c:pt idx="10">
                    <c:v>2011-2012</c:v>
                  </c:pt>
                  <c:pt idx="11">
                    <c:v>2012-2013</c:v>
                  </c:pt>
                  <c:pt idx="12">
                    <c:v>2010-2011</c:v>
                  </c:pt>
                  <c:pt idx="13">
                    <c:v>2011-2012</c:v>
                  </c:pt>
                  <c:pt idx="14">
                    <c:v>2012-2013</c:v>
                  </c:pt>
                  <c:pt idx="15">
                    <c:v>2010-2011</c:v>
                  </c:pt>
                  <c:pt idx="16">
                    <c:v>2011-2012</c:v>
                  </c:pt>
                  <c:pt idx="17">
                    <c:v>2012-2013</c:v>
                  </c:pt>
                  <c:pt idx="18">
                    <c:v>2010-2011</c:v>
                  </c:pt>
                  <c:pt idx="19">
                    <c:v>2011-2012</c:v>
                  </c:pt>
                  <c:pt idx="20">
                    <c:v>2012-2013</c:v>
                  </c:pt>
                  <c:pt idx="21">
                    <c:v>2010-2011</c:v>
                  </c:pt>
                  <c:pt idx="22">
                    <c:v>2011-2012</c:v>
                  </c:pt>
                  <c:pt idx="23">
                    <c:v>2012-2013</c:v>
                  </c:pt>
                  <c:pt idx="24">
                    <c:v>2010-2011</c:v>
                  </c:pt>
                  <c:pt idx="25">
                    <c:v>2011-2012</c:v>
                  </c:pt>
                  <c:pt idx="26">
                    <c:v>2012-2013</c:v>
                  </c:pt>
                  <c:pt idx="27">
                    <c:v>2010-2011</c:v>
                  </c:pt>
                  <c:pt idx="28">
                    <c:v>2011-2012</c:v>
                  </c:pt>
                  <c:pt idx="29">
                    <c:v>2012-2013</c:v>
                  </c:pt>
                  <c:pt idx="30">
                    <c:v>2010-2011</c:v>
                  </c:pt>
                  <c:pt idx="31">
                    <c:v>2011-2012</c:v>
                  </c:pt>
                  <c:pt idx="32">
                    <c:v>2012-2013</c:v>
                  </c:pt>
                  <c:pt idx="33">
                    <c:v>2010-2011</c:v>
                  </c:pt>
                  <c:pt idx="34">
                    <c:v>2011-2012</c:v>
                  </c:pt>
                  <c:pt idx="35">
                    <c:v>2012-2013</c:v>
                  </c:pt>
                </c:lvl>
                <c:lvl>
                  <c:pt idx="0">
                    <c:v>Экономики ПФ</c:v>
                  </c:pt>
                  <c:pt idx="3">
                    <c:v>Менеджмента ПФ</c:v>
                  </c:pt>
                  <c:pt idx="6">
                    <c:v>БИ ПФ</c:v>
                  </c:pt>
                  <c:pt idx="9">
                    <c:v>Экономики СПбФ</c:v>
                  </c:pt>
                  <c:pt idx="12">
                    <c:v>Менеджмента СПбФ</c:v>
                  </c:pt>
                  <c:pt idx="15">
                    <c:v>Юридический СПбФ</c:v>
                  </c:pt>
                  <c:pt idx="18">
                    <c:v>Политологии СПбФ</c:v>
                  </c:pt>
                  <c:pt idx="21">
                    <c:v>Социологии СПбФ</c:v>
                  </c:pt>
                  <c:pt idx="24">
                    <c:v>Экономики НФ</c:v>
                  </c:pt>
                  <c:pt idx="27">
                    <c:v>Менеджмента НФ</c:v>
                  </c:pt>
                  <c:pt idx="30">
                    <c:v>Права НФ</c:v>
                  </c:pt>
                  <c:pt idx="33">
                    <c:v>БИ и ПМ НФ</c:v>
                  </c:pt>
                </c:lvl>
              </c:multiLvlStrCache>
            </c:multiLvlStrRef>
          </c:cat>
          <c:val>
            <c:numRef>
              <c:f>диаграммы_филиалы!$C$3:$C$38</c:f>
              <c:numCache>
                <c:formatCode>General</c:formatCode>
                <c:ptCount val="36"/>
                <c:pt idx="0">
                  <c:v>6</c:v>
                </c:pt>
                <c:pt idx="1">
                  <c:v>6</c:v>
                </c:pt>
                <c:pt idx="2">
                  <c:v>5</c:v>
                </c:pt>
                <c:pt idx="3">
                  <c:v>4</c:v>
                </c:pt>
                <c:pt idx="4">
                  <c:v>0</c:v>
                </c:pt>
                <c:pt idx="5">
                  <c:v>2</c:v>
                </c:pt>
                <c:pt idx="6">
                  <c:v>0</c:v>
                </c:pt>
                <c:pt idx="7">
                  <c:v>0</c:v>
                </c:pt>
                <c:pt idx="8">
                  <c:v>1</c:v>
                </c:pt>
                <c:pt idx="9">
                  <c:v>2</c:v>
                </c:pt>
                <c:pt idx="10">
                  <c:v>8</c:v>
                </c:pt>
                <c:pt idx="11">
                  <c:v>2</c:v>
                </c:pt>
                <c:pt idx="12">
                  <c:v>0</c:v>
                </c:pt>
                <c:pt idx="13">
                  <c:v>11</c:v>
                </c:pt>
                <c:pt idx="14">
                  <c:v>2</c:v>
                </c:pt>
                <c:pt idx="15">
                  <c:v>0</c:v>
                </c:pt>
                <c:pt idx="16">
                  <c:v>3</c:v>
                </c:pt>
                <c:pt idx="18">
                  <c:v>0</c:v>
                </c:pt>
                <c:pt idx="19">
                  <c:v>1</c:v>
                </c:pt>
                <c:pt idx="21">
                  <c:v>2</c:v>
                </c:pt>
                <c:pt idx="22">
                  <c:v>0</c:v>
                </c:pt>
                <c:pt idx="24">
                  <c:v>2</c:v>
                </c:pt>
                <c:pt idx="25">
                  <c:v>9</c:v>
                </c:pt>
                <c:pt idx="27">
                  <c:v>1</c:v>
                </c:pt>
                <c:pt idx="28">
                  <c:v>3</c:v>
                </c:pt>
                <c:pt idx="30">
                  <c:v>0</c:v>
                </c:pt>
                <c:pt idx="31">
                  <c:v>1</c:v>
                </c:pt>
                <c:pt idx="33">
                  <c:v>0</c:v>
                </c:pt>
                <c:pt idx="34">
                  <c:v>6</c:v>
                </c:pt>
              </c:numCache>
            </c:numRef>
          </c:val>
        </c:ser>
        <c:ser>
          <c:idx val="1"/>
          <c:order val="1"/>
          <c:tx>
            <c:strRef>
              <c:f>диаграммы_филиалы!$D$2</c:f>
              <c:strCache>
                <c:ptCount val="1"/>
                <c:pt idx="0">
                  <c:v>Отчисленные по ИУП</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invertIfNegative val="0"/>
          <c:dLbls>
            <c:dLbl>
              <c:idx val="21"/>
              <c:delete val="1"/>
              <c:extLst>
                <c:ext xmlns:c15="http://schemas.microsoft.com/office/drawing/2012/chart" uri="{CE6537A1-D6FC-4f65-9D91-7224C49458BB}"/>
              </c:extLst>
            </c:dLbl>
            <c:dLbl>
              <c:idx val="34"/>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диаграммы_филиалы!$A$3:$B$38</c:f>
              <c:multiLvlStrCache>
                <c:ptCount val="36"/>
                <c:lvl>
                  <c:pt idx="0">
                    <c:v>2010-2011</c:v>
                  </c:pt>
                  <c:pt idx="1">
                    <c:v>2011-2012</c:v>
                  </c:pt>
                  <c:pt idx="2">
                    <c:v>2012-2013</c:v>
                  </c:pt>
                  <c:pt idx="3">
                    <c:v>2010-2011</c:v>
                  </c:pt>
                  <c:pt idx="4">
                    <c:v>2011-2012</c:v>
                  </c:pt>
                  <c:pt idx="5">
                    <c:v>2012-2013</c:v>
                  </c:pt>
                  <c:pt idx="6">
                    <c:v>2010-2011</c:v>
                  </c:pt>
                  <c:pt idx="7">
                    <c:v>2011-2012</c:v>
                  </c:pt>
                  <c:pt idx="8">
                    <c:v>2012-2013</c:v>
                  </c:pt>
                  <c:pt idx="9">
                    <c:v>2010-2011</c:v>
                  </c:pt>
                  <c:pt idx="10">
                    <c:v>2011-2012</c:v>
                  </c:pt>
                  <c:pt idx="11">
                    <c:v>2012-2013</c:v>
                  </c:pt>
                  <c:pt idx="12">
                    <c:v>2010-2011</c:v>
                  </c:pt>
                  <c:pt idx="13">
                    <c:v>2011-2012</c:v>
                  </c:pt>
                  <c:pt idx="14">
                    <c:v>2012-2013</c:v>
                  </c:pt>
                  <c:pt idx="15">
                    <c:v>2010-2011</c:v>
                  </c:pt>
                  <c:pt idx="16">
                    <c:v>2011-2012</c:v>
                  </c:pt>
                  <c:pt idx="17">
                    <c:v>2012-2013</c:v>
                  </c:pt>
                  <c:pt idx="18">
                    <c:v>2010-2011</c:v>
                  </c:pt>
                  <c:pt idx="19">
                    <c:v>2011-2012</c:v>
                  </c:pt>
                  <c:pt idx="20">
                    <c:v>2012-2013</c:v>
                  </c:pt>
                  <c:pt idx="21">
                    <c:v>2010-2011</c:v>
                  </c:pt>
                  <c:pt idx="22">
                    <c:v>2011-2012</c:v>
                  </c:pt>
                  <c:pt idx="23">
                    <c:v>2012-2013</c:v>
                  </c:pt>
                  <c:pt idx="24">
                    <c:v>2010-2011</c:v>
                  </c:pt>
                  <c:pt idx="25">
                    <c:v>2011-2012</c:v>
                  </c:pt>
                  <c:pt idx="26">
                    <c:v>2012-2013</c:v>
                  </c:pt>
                  <c:pt idx="27">
                    <c:v>2010-2011</c:v>
                  </c:pt>
                  <c:pt idx="28">
                    <c:v>2011-2012</c:v>
                  </c:pt>
                  <c:pt idx="29">
                    <c:v>2012-2013</c:v>
                  </c:pt>
                  <c:pt idx="30">
                    <c:v>2010-2011</c:v>
                  </c:pt>
                  <c:pt idx="31">
                    <c:v>2011-2012</c:v>
                  </c:pt>
                  <c:pt idx="32">
                    <c:v>2012-2013</c:v>
                  </c:pt>
                  <c:pt idx="33">
                    <c:v>2010-2011</c:v>
                  </c:pt>
                  <c:pt idx="34">
                    <c:v>2011-2012</c:v>
                  </c:pt>
                  <c:pt idx="35">
                    <c:v>2012-2013</c:v>
                  </c:pt>
                </c:lvl>
                <c:lvl>
                  <c:pt idx="0">
                    <c:v>Экономики ПФ</c:v>
                  </c:pt>
                  <c:pt idx="3">
                    <c:v>Менеджмента ПФ</c:v>
                  </c:pt>
                  <c:pt idx="6">
                    <c:v>БИ ПФ</c:v>
                  </c:pt>
                  <c:pt idx="9">
                    <c:v>Экономики СПбФ</c:v>
                  </c:pt>
                  <c:pt idx="12">
                    <c:v>Менеджмента СПбФ</c:v>
                  </c:pt>
                  <c:pt idx="15">
                    <c:v>Юридический СПбФ</c:v>
                  </c:pt>
                  <c:pt idx="18">
                    <c:v>Политологии СПбФ</c:v>
                  </c:pt>
                  <c:pt idx="21">
                    <c:v>Социологии СПбФ</c:v>
                  </c:pt>
                  <c:pt idx="24">
                    <c:v>Экономики НФ</c:v>
                  </c:pt>
                  <c:pt idx="27">
                    <c:v>Менеджмента НФ</c:v>
                  </c:pt>
                  <c:pt idx="30">
                    <c:v>Права НФ</c:v>
                  </c:pt>
                  <c:pt idx="33">
                    <c:v>БИ и ПМ НФ</c:v>
                  </c:pt>
                </c:lvl>
              </c:multiLvlStrCache>
            </c:multiLvlStrRef>
          </c:cat>
          <c:val>
            <c:numRef>
              <c:f>диаграммы_филиалы!$D$3:$D$38</c:f>
              <c:numCache>
                <c:formatCode>General</c:formatCode>
                <c:ptCount val="36"/>
                <c:pt idx="0">
                  <c:v>6</c:v>
                </c:pt>
                <c:pt idx="1">
                  <c:v>1</c:v>
                </c:pt>
                <c:pt idx="2">
                  <c:v>3</c:v>
                </c:pt>
                <c:pt idx="3">
                  <c:v>1</c:v>
                </c:pt>
                <c:pt idx="4">
                  <c:v>3</c:v>
                </c:pt>
                <c:pt idx="5">
                  <c:v>7</c:v>
                </c:pt>
                <c:pt idx="6">
                  <c:v>1</c:v>
                </c:pt>
                <c:pt idx="7">
                  <c:v>1</c:v>
                </c:pt>
                <c:pt idx="8">
                  <c:v>2</c:v>
                </c:pt>
                <c:pt idx="9">
                  <c:v>1</c:v>
                </c:pt>
                <c:pt idx="10">
                  <c:v>1</c:v>
                </c:pt>
                <c:pt idx="11">
                  <c:v>1</c:v>
                </c:pt>
                <c:pt idx="12">
                  <c:v>0</c:v>
                </c:pt>
                <c:pt idx="13">
                  <c:v>4</c:v>
                </c:pt>
                <c:pt idx="14">
                  <c:v>4</c:v>
                </c:pt>
                <c:pt idx="15">
                  <c:v>0</c:v>
                </c:pt>
                <c:pt idx="16">
                  <c:v>3</c:v>
                </c:pt>
                <c:pt idx="17">
                  <c:v>1</c:v>
                </c:pt>
                <c:pt idx="18">
                  <c:v>0</c:v>
                </c:pt>
                <c:pt idx="19">
                  <c:v>1</c:v>
                </c:pt>
                <c:pt idx="21">
                  <c:v>0</c:v>
                </c:pt>
                <c:pt idx="22">
                  <c:v>1</c:v>
                </c:pt>
                <c:pt idx="23">
                  <c:v>1</c:v>
                </c:pt>
                <c:pt idx="24">
                  <c:v>6</c:v>
                </c:pt>
                <c:pt idx="25">
                  <c:v>4</c:v>
                </c:pt>
                <c:pt idx="27">
                  <c:v>6</c:v>
                </c:pt>
                <c:pt idx="28">
                  <c:v>8</c:v>
                </c:pt>
                <c:pt idx="30">
                  <c:v>4</c:v>
                </c:pt>
                <c:pt idx="31">
                  <c:v>1</c:v>
                </c:pt>
                <c:pt idx="33">
                  <c:v>1</c:v>
                </c:pt>
                <c:pt idx="34">
                  <c:v>0</c:v>
                </c:pt>
                <c:pt idx="35">
                  <c:v>4</c:v>
                </c:pt>
              </c:numCache>
            </c:numRef>
          </c:val>
        </c:ser>
        <c:dLbls>
          <c:showLegendKey val="0"/>
          <c:showVal val="0"/>
          <c:showCatName val="0"/>
          <c:showSerName val="0"/>
          <c:showPercent val="0"/>
          <c:showBubbleSize val="0"/>
        </c:dLbls>
        <c:gapWidth val="80"/>
        <c:overlap val="100"/>
        <c:axId val="553387136"/>
        <c:axId val="553388672"/>
      </c:barChart>
      <c:catAx>
        <c:axId val="553387136"/>
        <c:scaling>
          <c:orientation val="minMax"/>
        </c:scaling>
        <c:delete val="0"/>
        <c:axPos val="l"/>
        <c:numFmt formatCode="General" sourceLinked="0"/>
        <c:majorTickMark val="out"/>
        <c:minorTickMark val="none"/>
        <c:tickLblPos val="nextTo"/>
        <c:crossAx val="553388672"/>
        <c:crosses val="autoZero"/>
        <c:auto val="1"/>
        <c:lblAlgn val="ctr"/>
        <c:lblOffset val="100"/>
        <c:noMultiLvlLbl val="0"/>
      </c:catAx>
      <c:valAx>
        <c:axId val="553388672"/>
        <c:scaling>
          <c:orientation val="minMax"/>
        </c:scaling>
        <c:delete val="0"/>
        <c:axPos val="b"/>
        <c:majorGridlines/>
        <c:numFmt formatCode="General" sourceLinked="1"/>
        <c:majorTickMark val="out"/>
        <c:minorTickMark val="none"/>
        <c:tickLblPos val="nextTo"/>
        <c:crossAx val="553387136"/>
        <c:crosses val="autoZero"/>
        <c:crossBetween val="between"/>
      </c:valAx>
    </c:plotArea>
    <c:legend>
      <c:legendPos val="b"/>
      <c:overlay val="0"/>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Распределение студентов </a:t>
            </a:r>
            <a:r>
              <a:rPr lang="ru-RU" sz="1400" baseline="0"/>
              <a:t> НИУ ВШЭ</a:t>
            </a:r>
            <a:r>
              <a:rPr lang="ru-RU" sz="1400"/>
              <a:t>, получивших право на бесплатное обучение,</a:t>
            </a:r>
            <a:r>
              <a:rPr lang="ru-RU" sz="1400" baseline="0"/>
              <a:t> по уровням обучения </a:t>
            </a:r>
          </a:p>
          <a:p>
            <a:pPr>
              <a:defRPr/>
            </a:pPr>
            <a:r>
              <a:rPr lang="ru-RU" sz="1400" baseline="0"/>
              <a:t>(в </a:t>
            </a:r>
            <a:r>
              <a:rPr lang="en-US" sz="1400" baseline="0"/>
              <a:t>%  </a:t>
            </a:r>
            <a:r>
              <a:rPr lang="ru-RU" sz="1400" baseline="0"/>
              <a:t>от общего количества)</a:t>
            </a:r>
            <a:endParaRPr lang="ru-RU" sz="1400"/>
          </a:p>
        </c:rich>
      </c:tx>
      <c:layout>
        <c:manualLayout>
          <c:xMode val="edge"/>
          <c:yMode val="edge"/>
          <c:x val="0.24392585301837338"/>
          <c:y val="6.4814814814815006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txPr>
              <a:bodyPr/>
              <a:lstStyle/>
              <a:p>
                <a:pPr>
                  <a:defRPr sz="1200" b="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'По уровням обучения'!$B$8:$B$10</c:f>
              <c:strCache>
                <c:ptCount val="3"/>
                <c:pt idx="0">
                  <c:v>Бакалавры </c:v>
                </c:pt>
                <c:pt idx="1">
                  <c:v>Магистры</c:v>
                </c:pt>
                <c:pt idx="2">
                  <c:v>Специалисты</c:v>
                </c:pt>
              </c:strCache>
            </c:strRef>
          </c:cat>
          <c:val>
            <c:numRef>
              <c:f>'По уровням обучения'!$C$8:$C$10</c:f>
              <c:numCache>
                <c:formatCode>0.0</c:formatCode>
                <c:ptCount val="3"/>
                <c:pt idx="0">
                  <c:v>85.106382978722948</c:v>
                </c:pt>
                <c:pt idx="1">
                  <c:v>12.76595744680851</c:v>
                </c:pt>
                <c:pt idx="2">
                  <c:v>2.1276595744680837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200"/>
            </a:pPr>
            <a:r>
              <a:rPr lang="ru-RU" sz="1200"/>
              <a:t>Перевед студентов московского кампуса на бесплатное обучение (по факультетам 2013 год)</a:t>
            </a:r>
          </a:p>
        </c:rich>
      </c:tx>
      <c:overlay val="0"/>
    </c:title>
    <c:autoTitleDeleted val="0"/>
    <c:plotArea>
      <c:layout>
        <c:manualLayout>
          <c:layoutTarget val="inner"/>
          <c:xMode val="edge"/>
          <c:yMode val="edge"/>
          <c:x val="0.39082174103237344"/>
          <c:y val="0.18076265794684901"/>
          <c:w val="0.42136723534558296"/>
          <c:h val="0.76824150931562463"/>
        </c:manualLayout>
      </c:layout>
      <c:barChart>
        <c:barDir val="bar"/>
        <c:grouping val="clustered"/>
        <c:varyColors val="0"/>
        <c:ser>
          <c:idx val="0"/>
          <c:order val="0"/>
          <c:tx>
            <c:strRef>
              <c:f>Москва_все!$B$1</c:f>
              <c:strCache>
                <c:ptCount val="1"/>
                <c:pt idx="0">
                  <c:v>Студентов</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Москва_все!$A$2:$A$22</c:f>
              <c:strCache>
                <c:ptCount val="21"/>
                <c:pt idx="0">
                  <c:v>Математики</c:v>
                </c:pt>
                <c:pt idx="1">
                  <c:v>ГиМУ</c:v>
                </c:pt>
                <c:pt idx="2">
                  <c:v>Программной инженерии</c:v>
                </c:pt>
                <c:pt idx="3">
                  <c:v>Кафедра публичной политики</c:v>
                </c:pt>
                <c:pt idx="4">
                  <c:v>Прикладной политологии</c:v>
                </c:pt>
                <c:pt idx="5">
                  <c:v>Высшая школа урбанистики</c:v>
                </c:pt>
                <c:pt idx="6">
                  <c:v>"Совместный бакалавриат ВШЭ и РЭШ"</c:v>
                </c:pt>
                <c:pt idx="7">
                  <c:v>Экономики</c:v>
                </c:pt>
                <c:pt idx="8">
                  <c:v>Логистики</c:v>
                </c:pt>
                <c:pt idx="9">
                  <c:v>Бизнес-информатики</c:v>
                </c:pt>
                <c:pt idx="10">
                  <c:v>Прикладной математики и кибернетики</c:v>
                </c:pt>
                <c:pt idx="11">
                  <c:v>Факультет ГиМУ</c:v>
                </c:pt>
                <c:pt idx="12">
                  <c:v>Электроники и телекоммуникаций</c:v>
                </c:pt>
                <c:pt idx="13">
                  <c:v>Психологии</c:v>
                </c:pt>
                <c:pt idx="14">
                  <c:v>Философии</c:v>
                </c:pt>
                <c:pt idx="15">
                  <c:v>Статистики, анализа данных и демографии</c:v>
                </c:pt>
                <c:pt idx="16">
                  <c:v>Интегрированных коммуникаций</c:v>
                </c:pt>
                <c:pt idx="17">
                  <c:v>Менеджмента</c:v>
                </c:pt>
                <c:pt idx="18">
                  <c:v>Филологии</c:v>
                </c:pt>
                <c:pt idx="19">
                  <c:v>МэиМП</c:v>
                </c:pt>
                <c:pt idx="20">
                  <c:v>Востоковедения</c:v>
                </c:pt>
              </c:strCache>
            </c:strRef>
          </c:cat>
          <c:val>
            <c:numRef>
              <c:f>Москва_все!$B$2:$B$22</c:f>
              <c:numCache>
                <c:formatCode>General</c:formatCode>
                <c:ptCount val="21"/>
                <c:pt idx="0">
                  <c:v>0</c:v>
                </c:pt>
                <c:pt idx="1">
                  <c:v>0</c:v>
                </c:pt>
                <c:pt idx="2">
                  <c:v>0</c:v>
                </c:pt>
                <c:pt idx="3">
                  <c:v>0</c:v>
                </c:pt>
                <c:pt idx="4">
                  <c:v>0</c:v>
                </c:pt>
                <c:pt idx="5">
                  <c:v>0</c:v>
                </c:pt>
                <c:pt idx="6">
                  <c:v>0</c:v>
                </c:pt>
                <c:pt idx="7">
                  <c:v>1</c:v>
                </c:pt>
                <c:pt idx="8">
                  <c:v>1</c:v>
                </c:pt>
                <c:pt idx="9">
                  <c:v>1</c:v>
                </c:pt>
                <c:pt idx="10">
                  <c:v>1</c:v>
                </c:pt>
                <c:pt idx="11">
                  <c:v>1</c:v>
                </c:pt>
                <c:pt idx="12">
                  <c:v>1</c:v>
                </c:pt>
                <c:pt idx="13">
                  <c:v>2</c:v>
                </c:pt>
                <c:pt idx="14">
                  <c:v>2</c:v>
                </c:pt>
                <c:pt idx="15">
                  <c:v>3</c:v>
                </c:pt>
                <c:pt idx="16">
                  <c:v>4</c:v>
                </c:pt>
                <c:pt idx="17">
                  <c:v>4</c:v>
                </c:pt>
                <c:pt idx="18">
                  <c:v>4</c:v>
                </c:pt>
                <c:pt idx="19">
                  <c:v>8</c:v>
                </c:pt>
                <c:pt idx="20">
                  <c:v>9</c:v>
                </c:pt>
              </c:numCache>
            </c:numRef>
          </c:val>
        </c:ser>
        <c:dLbls>
          <c:showLegendKey val="0"/>
          <c:showVal val="0"/>
          <c:showCatName val="0"/>
          <c:showSerName val="0"/>
          <c:showPercent val="0"/>
          <c:showBubbleSize val="0"/>
        </c:dLbls>
        <c:gapWidth val="150"/>
        <c:axId val="553449344"/>
        <c:axId val="553450880"/>
      </c:barChart>
      <c:catAx>
        <c:axId val="553449344"/>
        <c:scaling>
          <c:orientation val="minMax"/>
        </c:scaling>
        <c:delete val="0"/>
        <c:axPos val="l"/>
        <c:numFmt formatCode="General" sourceLinked="0"/>
        <c:majorTickMark val="out"/>
        <c:minorTickMark val="none"/>
        <c:tickLblPos val="nextTo"/>
        <c:txPr>
          <a:bodyPr/>
          <a:lstStyle/>
          <a:p>
            <a:pPr>
              <a:defRPr sz="800"/>
            </a:pPr>
            <a:endParaRPr lang="ru-RU"/>
          </a:p>
        </c:txPr>
        <c:crossAx val="553450880"/>
        <c:crosses val="autoZero"/>
        <c:auto val="1"/>
        <c:lblAlgn val="ctr"/>
        <c:lblOffset val="100"/>
        <c:noMultiLvlLbl val="0"/>
      </c:catAx>
      <c:valAx>
        <c:axId val="553450880"/>
        <c:scaling>
          <c:orientation val="minMax"/>
        </c:scaling>
        <c:delete val="0"/>
        <c:axPos val="b"/>
        <c:majorGridlines/>
        <c:numFmt formatCode="General" sourceLinked="1"/>
        <c:majorTickMark val="out"/>
        <c:minorTickMark val="none"/>
        <c:tickLblPos val="nextTo"/>
        <c:crossAx val="553449344"/>
        <c:crosses val="autoZero"/>
        <c:crossBetween val="between"/>
      </c:valAx>
    </c:plotArea>
    <c:legend>
      <c:legendPos val="r"/>
      <c:overlay val="0"/>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a:t>Распределение студентов НИУ ВШЭ, обучающихся бесплатно, в зависимости от основания (бюджет/скидка)</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txPr>
              <a:bodyPr/>
              <a:lstStyle/>
              <a:p>
                <a:pPr>
                  <a:defRPr sz="12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'НА БЕСПЛАТНОЕ'!$H$44:$H$45</c:f>
              <c:strCache>
                <c:ptCount val="2"/>
                <c:pt idx="0">
                  <c:v>Перевод на бюджет</c:v>
                </c:pt>
                <c:pt idx="1">
                  <c:v>Скидка 100 %</c:v>
                </c:pt>
              </c:strCache>
            </c:strRef>
          </c:cat>
          <c:val>
            <c:numRef>
              <c:f>'НА БЕСПЛАТНОЕ'!$I$44:$I$45</c:f>
              <c:numCache>
                <c:formatCode>0.00</c:formatCode>
                <c:ptCount val="2"/>
                <c:pt idx="0">
                  <c:v>40.425531914893611</c:v>
                </c:pt>
                <c:pt idx="1">
                  <c:v>59.57446808510619</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100"/>
          </a:pPr>
          <a:endParaRPr lang="ru-RU"/>
        </a:p>
      </c:txPr>
    </c:legend>
    <c:plotVisOnly val="1"/>
    <c:dispBlanksAs val="zero"/>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400"/>
              <a:t>Распределение студентов московского кампуса, обучающихся бесплатно, по основаниям (бюджет/скидка)в %</a:t>
            </a:r>
          </a:p>
        </c:rich>
      </c:tx>
      <c:overlay val="0"/>
    </c:title>
    <c:autoTitleDeleted val="0"/>
    <c:plotArea>
      <c:layout>
        <c:manualLayout>
          <c:layoutTarget val="inner"/>
          <c:xMode val="edge"/>
          <c:yMode val="edge"/>
          <c:x val="0.36026986490677237"/>
          <c:y val="0.19773260457050004"/>
          <c:w val="0.39745998150739176"/>
          <c:h val="0.71608228616351921"/>
        </c:manualLayout>
      </c:layout>
      <c:barChart>
        <c:barDir val="bar"/>
        <c:grouping val="percentStacked"/>
        <c:varyColors val="0"/>
        <c:ser>
          <c:idx val="0"/>
          <c:order val="0"/>
          <c:tx>
            <c:strRef>
              <c:f>'В % по факультетам'!$D$1</c:f>
              <c:strCache>
                <c:ptCount val="1"/>
                <c:pt idx="0">
                  <c:v>Бюджет</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 % по факультетам'!$A$2:$C$16</c:f>
              <c:strCache>
                <c:ptCount val="15"/>
                <c:pt idx="0">
                  <c:v>Бизнес-информатики</c:v>
                </c:pt>
                <c:pt idx="1">
                  <c:v>Прикладной математики и кибернетики</c:v>
                </c:pt>
                <c:pt idx="2">
                  <c:v>Менеджмента</c:v>
                </c:pt>
                <c:pt idx="3">
                  <c:v>Менеджмента</c:v>
                </c:pt>
                <c:pt idx="4">
                  <c:v>Экономики</c:v>
                </c:pt>
                <c:pt idx="5">
                  <c:v>ГиМУ</c:v>
                </c:pt>
                <c:pt idx="6">
                  <c:v>Электроники и телекоммуникаций</c:v>
                </c:pt>
                <c:pt idx="7">
                  <c:v>Логистики</c:v>
                </c:pt>
                <c:pt idx="8">
                  <c:v>Статистики, анализа данных и демографии</c:v>
                </c:pt>
                <c:pt idx="9">
                  <c:v>Психологии</c:v>
                </c:pt>
                <c:pt idx="10">
                  <c:v>Интегрированных коммуникаций</c:v>
                </c:pt>
                <c:pt idx="11">
                  <c:v>Философии</c:v>
                </c:pt>
                <c:pt idx="12">
                  <c:v>Филологии</c:v>
                </c:pt>
                <c:pt idx="13">
                  <c:v>МэиМП</c:v>
                </c:pt>
                <c:pt idx="14">
                  <c:v>Востоковедения</c:v>
                </c:pt>
              </c:strCache>
            </c:strRef>
          </c:cat>
          <c:val>
            <c:numRef>
              <c:f>'В % по факультетам'!$D$2:$D$16</c:f>
              <c:numCache>
                <c:formatCode>General</c:formatCode>
                <c:ptCount val="15"/>
                <c:pt idx="0">
                  <c:v>0</c:v>
                </c:pt>
                <c:pt idx="1">
                  <c:v>0</c:v>
                </c:pt>
                <c:pt idx="2">
                  <c:v>0</c:v>
                </c:pt>
                <c:pt idx="3">
                  <c:v>0</c:v>
                </c:pt>
                <c:pt idx="4">
                  <c:v>0</c:v>
                </c:pt>
                <c:pt idx="5">
                  <c:v>0</c:v>
                </c:pt>
                <c:pt idx="6">
                  <c:v>0</c:v>
                </c:pt>
                <c:pt idx="7">
                  <c:v>100</c:v>
                </c:pt>
                <c:pt idx="8" formatCode="0.0">
                  <c:v>33.333333333333329</c:v>
                </c:pt>
                <c:pt idx="9">
                  <c:v>50</c:v>
                </c:pt>
                <c:pt idx="10">
                  <c:v>25</c:v>
                </c:pt>
                <c:pt idx="11">
                  <c:v>50</c:v>
                </c:pt>
                <c:pt idx="12">
                  <c:v>50</c:v>
                </c:pt>
                <c:pt idx="13">
                  <c:v>50</c:v>
                </c:pt>
                <c:pt idx="14" formatCode="0.0">
                  <c:v>66.666666666666643</c:v>
                </c:pt>
              </c:numCache>
            </c:numRef>
          </c:val>
        </c:ser>
        <c:ser>
          <c:idx val="1"/>
          <c:order val="1"/>
          <c:tx>
            <c:strRef>
              <c:f>'В % по факультетам'!$E$1</c:f>
              <c:strCache>
                <c:ptCount val="1"/>
                <c:pt idx="0">
                  <c:v>Скидка 100%</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 % по факультетам'!$A$2:$C$16</c:f>
              <c:strCache>
                <c:ptCount val="15"/>
                <c:pt idx="0">
                  <c:v>Бизнес-информатики</c:v>
                </c:pt>
                <c:pt idx="1">
                  <c:v>Прикладной математики и кибернетики</c:v>
                </c:pt>
                <c:pt idx="2">
                  <c:v>Менеджмента</c:v>
                </c:pt>
                <c:pt idx="3">
                  <c:v>Менеджмента</c:v>
                </c:pt>
                <c:pt idx="4">
                  <c:v>Экономики</c:v>
                </c:pt>
                <c:pt idx="5">
                  <c:v>ГиМУ</c:v>
                </c:pt>
                <c:pt idx="6">
                  <c:v>Электроники и телекоммуникаций</c:v>
                </c:pt>
                <c:pt idx="7">
                  <c:v>Логистики</c:v>
                </c:pt>
                <c:pt idx="8">
                  <c:v>Статистики, анализа данных и демографии</c:v>
                </c:pt>
                <c:pt idx="9">
                  <c:v>Психологии</c:v>
                </c:pt>
                <c:pt idx="10">
                  <c:v>Интегрированных коммуникаций</c:v>
                </c:pt>
                <c:pt idx="11">
                  <c:v>Философии</c:v>
                </c:pt>
                <c:pt idx="12">
                  <c:v>Филологии</c:v>
                </c:pt>
                <c:pt idx="13">
                  <c:v>МэиМП</c:v>
                </c:pt>
                <c:pt idx="14">
                  <c:v>Востоковедения</c:v>
                </c:pt>
              </c:strCache>
            </c:strRef>
          </c:cat>
          <c:val>
            <c:numRef>
              <c:f>'В % по факультетам'!$E$2:$E$16</c:f>
              <c:numCache>
                <c:formatCode>General</c:formatCode>
                <c:ptCount val="15"/>
                <c:pt idx="0">
                  <c:v>100</c:v>
                </c:pt>
                <c:pt idx="1">
                  <c:v>100</c:v>
                </c:pt>
                <c:pt idx="2">
                  <c:v>100</c:v>
                </c:pt>
                <c:pt idx="3">
                  <c:v>100</c:v>
                </c:pt>
                <c:pt idx="4">
                  <c:v>100</c:v>
                </c:pt>
                <c:pt idx="5">
                  <c:v>100</c:v>
                </c:pt>
                <c:pt idx="6">
                  <c:v>100</c:v>
                </c:pt>
                <c:pt idx="7">
                  <c:v>0</c:v>
                </c:pt>
                <c:pt idx="8" formatCode="0.0">
                  <c:v>66.666666666666643</c:v>
                </c:pt>
                <c:pt idx="9">
                  <c:v>50</c:v>
                </c:pt>
                <c:pt idx="10">
                  <c:v>75</c:v>
                </c:pt>
                <c:pt idx="11">
                  <c:v>50</c:v>
                </c:pt>
                <c:pt idx="12">
                  <c:v>50</c:v>
                </c:pt>
                <c:pt idx="13">
                  <c:v>50</c:v>
                </c:pt>
                <c:pt idx="14" formatCode="0.0">
                  <c:v>33.333333333333329</c:v>
                </c:pt>
              </c:numCache>
            </c:numRef>
          </c:val>
        </c:ser>
        <c:dLbls>
          <c:showLegendKey val="0"/>
          <c:showVal val="0"/>
          <c:showCatName val="0"/>
          <c:showSerName val="0"/>
          <c:showPercent val="0"/>
          <c:showBubbleSize val="0"/>
        </c:dLbls>
        <c:gapWidth val="150"/>
        <c:overlap val="100"/>
        <c:axId val="553643392"/>
        <c:axId val="553985152"/>
      </c:barChart>
      <c:catAx>
        <c:axId val="553643392"/>
        <c:scaling>
          <c:orientation val="minMax"/>
        </c:scaling>
        <c:delete val="0"/>
        <c:axPos val="l"/>
        <c:numFmt formatCode="General" sourceLinked="0"/>
        <c:majorTickMark val="out"/>
        <c:minorTickMark val="none"/>
        <c:tickLblPos val="nextTo"/>
        <c:txPr>
          <a:bodyPr/>
          <a:lstStyle/>
          <a:p>
            <a:pPr>
              <a:defRPr sz="900"/>
            </a:pPr>
            <a:endParaRPr lang="ru-RU"/>
          </a:p>
        </c:txPr>
        <c:crossAx val="553985152"/>
        <c:crosses val="autoZero"/>
        <c:auto val="1"/>
        <c:lblAlgn val="ctr"/>
        <c:lblOffset val="100"/>
        <c:noMultiLvlLbl val="0"/>
      </c:catAx>
      <c:valAx>
        <c:axId val="553985152"/>
        <c:scaling>
          <c:orientation val="minMax"/>
        </c:scaling>
        <c:delete val="0"/>
        <c:axPos val="b"/>
        <c:majorGridlines/>
        <c:numFmt formatCode="0%" sourceLinked="1"/>
        <c:majorTickMark val="out"/>
        <c:minorTickMark val="none"/>
        <c:tickLblPos val="nextTo"/>
        <c:crossAx val="553643392"/>
        <c:crosses val="autoZero"/>
        <c:crossBetween val="between"/>
      </c:valAx>
    </c:plotArea>
    <c:legend>
      <c:legendPos val="r"/>
      <c:overlay val="0"/>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400"/>
              <a:t>Сколько студентов НИУ ВШЭ переведено</a:t>
            </a:r>
            <a:r>
              <a:rPr lang="ru-RU" sz="1400" baseline="0"/>
              <a:t> на бесплатное обучение за последние три года               (по кампусам)</a:t>
            </a:r>
            <a:endParaRPr lang="ru-RU" sz="1400"/>
          </a:p>
        </c:rich>
      </c:tx>
      <c:overlay val="0"/>
    </c:title>
    <c:autoTitleDeleted val="0"/>
    <c:plotArea>
      <c:layout>
        <c:manualLayout>
          <c:layoutTarget val="inner"/>
          <c:xMode val="edge"/>
          <c:yMode val="edge"/>
          <c:x val="0.26069663167104101"/>
          <c:y val="0.20702972751908988"/>
          <c:w val="0.61338123359580499"/>
          <c:h val="0.72019860127320279"/>
        </c:manualLayout>
      </c:layout>
      <c:barChart>
        <c:barDir val="bar"/>
        <c:grouping val="clustered"/>
        <c:varyColors val="0"/>
        <c:ser>
          <c:idx val="0"/>
          <c:order val="0"/>
          <c:tx>
            <c:strRef>
              <c:f>'Динамика за три года'!$A$10</c:f>
              <c:strCache>
                <c:ptCount val="1"/>
                <c:pt idx="0">
                  <c:v>2010</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'Динамика за три года'!$B$9:$E$9</c:f>
              <c:strCache>
                <c:ptCount val="4"/>
                <c:pt idx="0">
                  <c:v>Санкт-Петербург</c:v>
                </c:pt>
                <c:pt idx="1">
                  <c:v>Пермь</c:v>
                </c:pt>
                <c:pt idx="2">
                  <c:v>Нижний Новгород</c:v>
                </c:pt>
                <c:pt idx="3">
                  <c:v>Москва (с МИЭМ)</c:v>
                </c:pt>
              </c:strCache>
            </c:strRef>
          </c:cat>
          <c:val>
            <c:numRef>
              <c:f>'Динамика за три года'!$B$10:$E$10</c:f>
              <c:numCache>
                <c:formatCode>General</c:formatCode>
                <c:ptCount val="4"/>
                <c:pt idx="0">
                  <c:v>4</c:v>
                </c:pt>
                <c:pt idx="1">
                  <c:v>3</c:v>
                </c:pt>
                <c:pt idx="2">
                  <c:v>7</c:v>
                </c:pt>
                <c:pt idx="3">
                  <c:v>28</c:v>
                </c:pt>
              </c:numCache>
            </c:numRef>
          </c:val>
        </c:ser>
        <c:ser>
          <c:idx val="1"/>
          <c:order val="1"/>
          <c:tx>
            <c:strRef>
              <c:f>'Динамика за три года'!$A$11</c:f>
              <c:strCache>
                <c:ptCount val="1"/>
                <c:pt idx="0">
                  <c:v>2011</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'Динамика за три года'!$B$9:$E$9</c:f>
              <c:strCache>
                <c:ptCount val="4"/>
                <c:pt idx="0">
                  <c:v>Санкт-Петербург</c:v>
                </c:pt>
                <c:pt idx="1">
                  <c:v>Пермь</c:v>
                </c:pt>
                <c:pt idx="2">
                  <c:v>Нижний Новгород</c:v>
                </c:pt>
                <c:pt idx="3">
                  <c:v>Москва (с МИЭМ)</c:v>
                </c:pt>
              </c:strCache>
            </c:strRef>
          </c:cat>
          <c:val>
            <c:numRef>
              <c:f>'Динамика за три года'!$B$11:$E$11</c:f>
              <c:numCache>
                <c:formatCode>General</c:formatCode>
                <c:ptCount val="4"/>
                <c:pt idx="0">
                  <c:v>2</c:v>
                </c:pt>
                <c:pt idx="1">
                  <c:v>1</c:v>
                </c:pt>
                <c:pt idx="2">
                  <c:v>4</c:v>
                </c:pt>
                <c:pt idx="3">
                  <c:v>15</c:v>
                </c:pt>
              </c:numCache>
            </c:numRef>
          </c:val>
        </c:ser>
        <c:ser>
          <c:idx val="2"/>
          <c:order val="2"/>
          <c:tx>
            <c:strRef>
              <c:f>'Динамика за три года'!$A$12</c:f>
              <c:strCache>
                <c:ptCount val="1"/>
                <c:pt idx="0">
                  <c:v>2012</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'Динамика за три года'!$B$9:$E$9</c:f>
              <c:strCache>
                <c:ptCount val="4"/>
                <c:pt idx="0">
                  <c:v>Санкт-Петербург</c:v>
                </c:pt>
                <c:pt idx="1">
                  <c:v>Пермь</c:v>
                </c:pt>
                <c:pt idx="2">
                  <c:v>Нижний Новгород</c:v>
                </c:pt>
                <c:pt idx="3">
                  <c:v>Москва (с МИЭМ)</c:v>
                </c:pt>
              </c:strCache>
            </c:strRef>
          </c:cat>
          <c:val>
            <c:numRef>
              <c:f>'Динамика за три года'!$B$12:$E$12</c:f>
              <c:numCache>
                <c:formatCode>General</c:formatCode>
                <c:ptCount val="4"/>
                <c:pt idx="0">
                  <c:v>0</c:v>
                </c:pt>
                <c:pt idx="1">
                  <c:v>1</c:v>
                </c:pt>
                <c:pt idx="2">
                  <c:v>1</c:v>
                </c:pt>
                <c:pt idx="3">
                  <c:v>36</c:v>
                </c:pt>
              </c:numCache>
            </c:numRef>
          </c:val>
        </c:ser>
        <c:ser>
          <c:idx val="3"/>
          <c:order val="3"/>
          <c:tx>
            <c:strRef>
              <c:f>'Динамика за три года'!$A$13</c:f>
              <c:strCache>
                <c:ptCount val="1"/>
                <c:pt idx="0">
                  <c:v>2013</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'Динамика за три года'!$B$9:$E$9</c:f>
              <c:strCache>
                <c:ptCount val="4"/>
                <c:pt idx="0">
                  <c:v>Санкт-Петербург</c:v>
                </c:pt>
                <c:pt idx="1">
                  <c:v>Пермь</c:v>
                </c:pt>
                <c:pt idx="2">
                  <c:v>Нижний Новгород</c:v>
                </c:pt>
                <c:pt idx="3">
                  <c:v>Москва (с МИЭМ)</c:v>
                </c:pt>
              </c:strCache>
            </c:strRef>
          </c:cat>
          <c:val>
            <c:numRef>
              <c:f>'Динамика за три года'!$B$13:$E$13</c:f>
              <c:numCache>
                <c:formatCode>General</c:formatCode>
                <c:ptCount val="4"/>
                <c:pt idx="0">
                  <c:v>3</c:v>
                </c:pt>
                <c:pt idx="1">
                  <c:v>1</c:v>
                </c:pt>
                <c:pt idx="2">
                  <c:v>1</c:v>
                </c:pt>
                <c:pt idx="3">
                  <c:v>42</c:v>
                </c:pt>
              </c:numCache>
            </c:numRef>
          </c:val>
        </c:ser>
        <c:dLbls>
          <c:showLegendKey val="0"/>
          <c:showVal val="0"/>
          <c:showCatName val="0"/>
          <c:showSerName val="0"/>
          <c:showPercent val="0"/>
          <c:showBubbleSize val="0"/>
        </c:dLbls>
        <c:gapWidth val="150"/>
        <c:axId val="554038400"/>
        <c:axId val="554039936"/>
      </c:barChart>
      <c:catAx>
        <c:axId val="554038400"/>
        <c:scaling>
          <c:orientation val="minMax"/>
        </c:scaling>
        <c:delete val="0"/>
        <c:axPos val="l"/>
        <c:numFmt formatCode="General" sourceLinked="0"/>
        <c:majorTickMark val="out"/>
        <c:minorTickMark val="none"/>
        <c:tickLblPos val="nextTo"/>
        <c:crossAx val="554039936"/>
        <c:crosses val="autoZero"/>
        <c:auto val="1"/>
        <c:lblAlgn val="ctr"/>
        <c:lblOffset val="100"/>
        <c:noMultiLvlLbl val="0"/>
      </c:catAx>
      <c:valAx>
        <c:axId val="554039936"/>
        <c:scaling>
          <c:orientation val="minMax"/>
        </c:scaling>
        <c:delete val="0"/>
        <c:axPos val="b"/>
        <c:majorGridlines/>
        <c:numFmt formatCode="General" sourceLinked="1"/>
        <c:majorTickMark val="out"/>
        <c:minorTickMark val="none"/>
        <c:tickLblPos val="nextTo"/>
        <c:crossAx val="554038400"/>
        <c:crosses val="autoZero"/>
        <c:crossBetween val="between"/>
      </c:valAx>
    </c:plotArea>
    <c:legend>
      <c:legendPos val="r"/>
      <c:overlay val="0"/>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r>
              <a:rPr lang="ru-RU"/>
              <a:t>Сравнение количества студентов, </a:t>
            </a:r>
          </a:p>
          <a:p>
            <a:pPr>
              <a:defRPr/>
            </a:pPr>
            <a:r>
              <a:rPr lang="ru-RU"/>
              <a:t>переведенных внутри НИУ ВШЭ  по кампусам</a:t>
            </a:r>
          </a:p>
          <a:p>
            <a:pPr>
              <a:defRPr/>
            </a:pPr>
            <a:r>
              <a:rPr lang="ru-RU"/>
              <a:t>в 2012-2013 учебном году </a:t>
            </a:r>
          </a:p>
        </c:rich>
      </c:tx>
      <c:layout>
        <c:manualLayout>
          <c:xMode val="edge"/>
          <c:yMode val="edge"/>
          <c:x val="0.20861039664631151"/>
          <c:y val="2.4390243902439025E-2"/>
        </c:manualLayout>
      </c:layout>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Лист1!$A$6:$A$10</c:f>
              <c:strCache>
                <c:ptCount val="5"/>
                <c:pt idx="0">
                  <c:v>Москва</c:v>
                </c:pt>
                <c:pt idx="1">
                  <c:v>МИЭМ</c:v>
                </c:pt>
                <c:pt idx="2">
                  <c:v>Н-Новгород</c:v>
                </c:pt>
                <c:pt idx="3">
                  <c:v>Пермь</c:v>
                </c:pt>
                <c:pt idx="4">
                  <c:v>С-Петербург</c:v>
                </c:pt>
              </c:strCache>
            </c:strRef>
          </c:cat>
          <c:val>
            <c:numRef>
              <c:f>Лист1!$B$6:$B$10</c:f>
              <c:numCache>
                <c:formatCode>General</c:formatCode>
                <c:ptCount val="5"/>
                <c:pt idx="0" formatCode="0">
                  <c:v>136</c:v>
                </c:pt>
                <c:pt idx="1">
                  <c:v>67</c:v>
                </c:pt>
                <c:pt idx="2">
                  <c:v>7</c:v>
                </c:pt>
                <c:pt idx="3">
                  <c:v>11</c:v>
                </c:pt>
                <c:pt idx="4">
                  <c:v>18</c:v>
                </c:pt>
              </c:numCache>
            </c:numRef>
          </c:val>
        </c:ser>
        <c:dLbls>
          <c:showLegendKey val="0"/>
          <c:showVal val="0"/>
          <c:showCatName val="0"/>
          <c:showSerName val="0"/>
          <c:showPercent val="0"/>
          <c:showBubbleSize val="0"/>
        </c:dLbls>
        <c:gapWidth val="150"/>
        <c:axId val="554335232"/>
        <c:axId val="554361600"/>
      </c:barChart>
      <c:catAx>
        <c:axId val="554335232"/>
        <c:scaling>
          <c:orientation val="minMax"/>
        </c:scaling>
        <c:delete val="0"/>
        <c:axPos val="l"/>
        <c:numFmt formatCode="General" sourceLinked="0"/>
        <c:majorTickMark val="out"/>
        <c:minorTickMark val="none"/>
        <c:tickLblPos val="nextTo"/>
        <c:crossAx val="554361600"/>
        <c:crosses val="autoZero"/>
        <c:auto val="1"/>
        <c:lblAlgn val="ctr"/>
        <c:lblOffset val="100"/>
        <c:noMultiLvlLbl val="0"/>
      </c:catAx>
      <c:valAx>
        <c:axId val="554361600"/>
        <c:scaling>
          <c:orientation val="minMax"/>
        </c:scaling>
        <c:delete val="0"/>
        <c:axPos val="b"/>
        <c:majorGridlines/>
        <c:numFmt formatCode="0" sourceLinked="1"/>
        <c:majorTickMark val="out"/>
        <c:minorTickMark val="none"/>
        <c:tickLblPos val="nextTo"/>
        <c:crossAx val="554335232"/>
        <c:crosses val="autoZero"/>
        <c:crossBetween val="between"/>
      </c:valAx>
    </c:plotArea>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ru-RU" sz="1200"/>
              <a:t>Соотношение пришедших и ушедших с факультета студентов в 2012/13 учебном году, очная форма, Москва </a:t>
            </a:r>
          </a:p>
          <a:p>
            <a:pPr>
              <a:defRPr sz="1200"/>
            </a:pPr>
            <a:r>
              <a:rPr lang="ru-RU" sz="1200" b="0" i="1"/>
              <a:t>(зеленая полоса - приобрели студентов;</a:t>
            </a:r>
            <a:r>
              <a:rPr lang="ru-RU" sz="1200" b="0" i="1" baseline="0"/>
              <a:t> желтая полоса - потеряли студентов</a:t>
            </a:r>
            <a:r>
              <a:rPr lang="ru-RU" sz="1200" b="0" i="1"/>
              <a:t>)</a:t>
            </a:r>
          </a:p>
        </c:rich>
      </c:tx>
      <c:overlay val="0"/>
    </c:title>
    <c:autoTitleDeleted val="0"/>
    <c:plotArea>
      <c:layout>
        <c:manualLayout>
          <c:layoutTarget val="inner"/>
          <c:xMode val="edge"/>
          <c:yMode val="edge"/>
          <c:x val="7.655692680087893E-2"/>
          <c:y val="8.8791740627797225E-2"/>
          <c:w val="0.914910938304067"/>
          <c:h val="0.54405428367696751"/>
        </c:manualLayout>
      </c:layout>
      <c:lineChart>
        <c:grouping val="standard"/>
        <c:varyColors val="0"/>
        <c:ser>
          <c:idx val="0"/>
          <c:order val="0"/>
          <c:tx>
            <c:strRef>
              <c:f>'ПРИШЛИ-УШЛИ'!$B$1</c:f>
              <c:strCache>
                <c:ptCount val="1"/>
                <c:pt idx="0">
                  <c:v>ПРИШЛИ</c:v>
                </c:pt>
              </c:strCache>
            </c:strRef>
          </c:tx>
          <c:cat>
            <c:strRef>
              <c:f>'ПРИШЛИ-УШЛИ'!$A$2:$A$31</c:f>
              <c:strCache>
                <c:ptCount val="30"/>
                <c:pt idx="0">
                  <c:v>Информационных технологий и вычислительной техники</c:v>
                </c:pt>
                <c:pt idx="1">
                  <c:v>Менеджмента</c:v>
                </c:pt>
                <c:pt idx="2">
                  <c:v>Государственного и муниципального управления</c:v>
                </c:pt>
                <c:pt idx="3">
                  <c:v>Мировой экономики и мировой политики</c:v>
                </c:pt>
                <c:pt idx="4">
                  <c:v>Прикладной политологии</c:v>
                </c:pt>
                <c:pt idx="5">
                  <c:v>Бизнес-информатики</c:v>
                </c:pt>
                <c:pt idx="6">
                  <c:v>Логистики</c:v>
                </c:pt>
                <c:pt idx="7">
                  <c:v>Экономики</c:v>
                </c:pt>
                <c:pt idx="8">
                  <c:v>Социологии</c:v>
                </c:pt>
                <c:pt idx="9">
                  <c:v>Статистики,анализа данных и демографии</c:v>
                </c:pt>
                <c:pt idx="10">
                  <c:v>Философии</c:v>
                </c:pt>
                <c:pt idx="11">
                  <c:v>Истории</c:v>
                </c:pt>
                <c:pt idx="12">
                  <c:v>Культурологии</c:v>
                </c:pt>
                <c:pt idx="13">
                  <c:v>Медиакоммуникаций</c:v>
                </c:pt>
                <c:pt idx="14">
                  <c:v>Интегрированных коммуникаций</c:v>
                </c:pt>
                <c:pt idx="15">
                  <c:v>Прикладной математики и информатики</c:v>
                </c:pt>
                <c:pt idx="16">
                  <c:v>Международный институт экономики и финансов</c:v>
                </c:pt>
                <c:pt idx="17">
                  <c:v>Дизайна</c:v>
                </c:pt>
                <c:pt idx="18">
                  <c:v>Математики</c:v>
                </c:pt>
                <c:pt idx="19">
                  <c:v>Права</c:v>
                </c:pt>
                <c:pt idx="20">
                  <c:v>Прикладной математики и кибернетики</c:v>
                </c:pt>
                <c:pt idx="21">
                  <c:v>Психологии</c:v>
                </c:pt>
                <c:pt idx="22">
                  <c:v>Востоковедения</c:v>
                </c:pt>
                <c:pt idx="23">
                  <c:v>Институт образования</c:v>
                </c:pt>
                <c:pt idx="24">
                  <c:v>Программной инженерии</c:v>
                </c:pt>
                <c:pt idx="25">
                  <c:v>Публичной политики</c:v>
                </c:pt>
                <c:pt idx="26">
                  <c:v>"Совместный бакалавриат ВШЭ и РЭШ"</c:v>
                </c:pt>
                <c:pt idx="27">
                  <c:v>Высшая школа урбанистики</c:v>
                </c:pt>
                <c:pt idx="28">
                  <c:v>Филологии</c:v>
                </c:pt>
                <c:pt idx="29">
                  <c:v>Электроники и телекоммуникаций</c:v>
                </c:pt>
              </c:strCache>
            </c:strRef>
          </c:cat>
          <c:val>
            <c:numRef>
              <c:f>'ПРИШЛИ-УШЛИ'!$B$2:$B$31</c:f>
              <c:numCache>
                <c:formatCode>General</c:formatCode>
                <c:ptCount val="30"/>
                <c:pt idx="0">
                  <c:v>65</c:v>
                </c:pt>
                <c:pt idx="1">
                  <c:v>20</c:v>
                </c:pt>
                <c:pt idx="2">
                  <c:v>19</c:v>
                </c:pt>
                <c:pt idx="3">
                  <c:v>9</c:v>
                </c:pt>
                <c:pt idx="4">
                  <c:v>9</c:v>
                </c:pt>
                <c:pt idx="5">
                  <c:v>8</c:v>
                </c:pt>
                <c:pt idx="6">
                  <c:v>8</c:v>
                </c:pt>
                <c:pt idx="7">
                  <c:v>7</c:v>
                </c:pt>
                <c:pt idx="8">
                  <c:v>6</c:v>
                </c:pt>
                <c:pt idx="9">
                  <c:v>6</c:v>
                </c:pt>
                <c:pt idx="10">
                  <c:v>6</c:v>
                </c:pt>
                <c:pt idx="11">
                  <c:v>5</c:v>
                </c:pt>
                <c:pt idx="12">
                  <c:v>5</c:v>
                </c:pt>
                <c:pt idx="13">
                  <c:v>5</c:v>
                </c:pt>
                <c:pt idx="14">
                  <c:v>4</c:v>
                </c:pt>
                <c:pt idx="15">
                  <c:v>4</c:v>
                </c:pt>
                <c:pt idx="16">
                  <c:v>3</c:v>
                </c:pt>
                <c:pt idx="17">
                  <c:v>2</c:v>
                </c:pt>
                <c:pt idx="18">
                  <c:v>2</c:v>
                </c:pt>
                <c:pt idx="19">
                  <c:v>2</c:v>
                </c:pt>
                <c:pt idx="20">
                  <c:v>2</c:v>
                </c:pt>
                <c:pt idx="21">
                  <c:v>2</c:v>
                </c:pt>
                <c:pt idx="22">
                  <c:v>1</c:v>
                </c:pt>
                <c:pt idx="23">
                  <c:v>1</c:v>
                </c:pt>
                <c:pt idx="24">
                  <c:v>1</c:v>
                </c:pt>
                <c:pt idx="25">
                  <c:v>1</c:v>
                </c:pt>
                <c:pt idx="26">
                  <c:v>0</c:v>
                </c:pt>
                <c:pt idx="27">
                  <c:v>0</c:v>
                </c:pt>
                <c:pt idx="28">
                  <c:v>0</c:v>
                </c:pt>
                <c:pt idx="29">
                  <c:v>0</c:v>
                </c:pt>
              </c:numCache>
            </c:numRef>
          </c:val>
          <c:smooth val="0"/>
        </c:ser>
        <c:ser>
          <c:idx val="1"/>
          <c:order val="1"/>
          <c:tx>
            <c:strRef>
              <c:f>'ПРИШЛИ-УШЛИ'!$C$1</c:f>
              <c:strCache>
                <c:ptCount val="1"/>
                <c:pt idx="0">
                  <c:v>УШЛИ</c:v>
                </c:pt>
              </c:strCache>
            </c:strRef>
          </c:tx>
          <c:cat>
            <c:strRef>
              <c:f>'ПРИШЛИ-УШЛИ'!$A$2:$A$31</c:f>
              <c:strCache>
                <c:ptCount val="30"/>
                <c:pt idx="0">
                  <c:v>Информационных технологий и вычислительной техники</c:v>
                </c:pt>
                <c:pt idx="1">
                  <c:v>Менеджмента</c:v>
                </c:pt>
                <c:pt idx="2">
                  <c:v>Государственного и муниципального управления</c:v>
                </c:pt>
                <c:pt idx="3">
                  <c:v>Мировой экономики и мировой политики</c:v>
                </c:pt>
                <c:pt idx="4">
                  <c:v>Прикладной политологии</c:v>
                </c:pt>
                <c:pt idx="5">
                  <c:v>Бизнес-информатики</c:v>
                </c:pt>
                <c:pt idx="6">
                  <c:v>Логистики</c:v>
                </c:pt>
                <c:pt idx="7">
                  <c:v>Экономики</c:v>
                </c:pt>
                <c:pt idx="8">
                  <c:v>Социологии</c:v>
                </c:pt>
                <c:pt idx="9">
                  <c:v>Статистики,анализа данных и демографии</c:v>
                </c:pt>
                <c:pt idx="10">
                  <c:v>Философии</c:v>
                </c:pt>
                <c:pt idx="11">
                  <c:v>Истории</c:v>
                </c:pt>
                <c:pt idx="12">
                  <c:v>Культурологии</c:v>
                </c:pt>
                <c:pt idx="13">
                  <c:v>Медиакоммуникаций</c:v>
                </c:pt>
                <c:pt idx="14">
                  <c:v>Интегрированных коммуникаций</c:v>
                </c:pt>
                <c:pt idx="15">
                  <c:v>Прикладной математики и информатики</c:v>
                </c:pt>
                <c:pt idx="16">
                  <c:v>Международный институт экономики и финансов</c:v>
                </c:pt>
                <c:pt idx="17">
                  <c:v>Дизайна</c:v>
                </c:pt>
                <c:pt idx="18">
                  <c:v>Математики</c:v>
                </c:pt>
                <c:pt idx="19">
                  <c:v>Права</c:v>
                </c:pt>
                <c:pt idx="20">
                  <c:v>Прикладной математики и кибернетики</c:v>
                </c:pt>
                <c:pt idx="21">
                  <c:v>Психологии</c:v>
                </c:pt>
                <c:pt idx="22">
                  <c:v>Востоковедения</c:v>
                </c:pt>
                <c:pt idx="23">
                  <c:v>Институт образования</c:v>
                </c:pt>
                <c:pt idx="24">
                  <c:v>Программной инженерии</c:v>
                </c:pt>
                <c:pt idx="25">
                  <c:v>Публичной политики</c:v>
                </c:pt>
                <c:pt idx="26">
                  <c:v>"Совместный бакалавриат ВШЭ и РЭШ"</c:v>
                </c:pt>
                <c:pt idx="27">
                  <c:v>Высшая школа урбанистики</c:v>
                </c:pt>
                <c:pt idx="28">
                  <c:v>Филологии</c:v>
                </c:pt>
                <c:pt idx="29">
                  <c:v>Электроники и телекоммуникаций</c:v>
                </c:pt>
              </c:strCache>
            </c:strRef>
          </c:cat>
          <c:val>
            <c:numRef>
              <c:f>'ПРИШЛИ-УШЛИ'!$C$2:$C$31</c:f>
              <c:numCache>
                <c:formatCode>General</c:formatCode>
                <c:ptCount val="30"/>
                <c:pt idx="0">
                  <c:v>1</c:v>
                </c:pt>
                <c:pt idx="1">
                  <c:v>1</c:v>
                </c:pt>
                <c:pt idx="2">
                  <c:v>2</c:v>
                </c:pt>
                <c:pt idx="3">
                  <c:v>18</c:v>
                </c:pt>
                <c:pt idx="4">
                  <c:v>7</c:v>
                </c:pt>
                <c:pt idx="5">
                  <c:v>5</c:v>
                </c:pt>
                <c:pt idx="6">
                  <c:v>2</c:v>
                </c:pt>
                <c:pt idx="7">
                  <c:v>26</c:v>
                </c:pt>
                <c:pt idx="8">
                  <c:v>8</c:v>
                </c:pt>
                <c:pt idx="9">
                  <c:v>5</c:v>
                </c:pt>
                <c:pt idx="10">
                  <c:v>5</c:v>
                </c:pt>
                <c:pt idx="11">
                  <c:v>4</c:v>
                </c:pt>
                <c:pt idx="12">
                  <c:v>1</c:v>
                </c:pt>
                <c:pt idx="13">
                  <c:v>1</c:v>
                </c:pt>
                <c:pt idx="14">
                  <c:v>1</c:v>
                </c:pt>
                <c:pt idx="15">
                  <c:v>6</c:v>
                </c:pt>
                <c:pt idx="16">
                  <c:v>16</c:v>
                </c:pt>
                <c:pt idx="17">
                  <c:v>0</c:v>
                </c:pt>
                <c:pt idx="18">
                  <c:v>7</c:v>
                </c:pt>
                <c:pt idx="19">
                  <c:v>2</c:v>
                </c:pt>
                <c:pt idx="20">
                  <c:v>1</c:v>
                </c:pt>
                <c:pt idx="21">
                  <c:v>0</c:v>
                </c:pt>
                <c:pt idx="22">
                  <c:v>3</c:v>
                </c:pt>
                <c:pt idx="23">
                  <c:v>1</c:v>
                </c:pt>
                <c:pt idx="24">
                  <c:v>9</c:v>
                </c:pt>
                <c:pt idx="25">
                  <c:v>0</c:v>
                </c:pt>
                <c:pt idx="26">
                  <c:v>0</c:v>
                </c:pt>
                <c:pt idx="27">
                  <c:v>1</c:v>
                </c:pt>
                <c:pt idx="28">
                  <c:v>6</c:v>
                </c:pt>
                <c:pt idx="29">
                  <c:v>64</c:v>
                </c:pt>
              </c:numCache>
            </c:numRef>
          </c:val>
          <c:smooth val="0"/>
        </c:ser>
        <c:dLbls>
          <c:showLegendKey val="0"/>
          <c:showVal val="0"/>
          <c:showCatName val="0"/>
          <c:showSerName val="0"/>
          <c:showPercent val="0"/>
          <c:showBubbleSize val="0"/>
        </c:dLbls>
        <c:hiLowLines/>
        <c:upDownBars>
          <c:gapWidth val="150"/>
          <c:upBars>
            <c:spPr>
              <a:solidFill>
                <a:srgbClr val="FFFF00"/>
              </a:solidFill>
            </c:spPr>
          </c:upBars>
          <c:downBars>
            <c:spPr>
              <a:solidFill>
                <a:srgbClr val="008000"/>
              </a:solidFill>
            </c:spPr>
          </c:downBars>
        </c:upDownBars>
        <c:marker val="1"/>
        <c:smooth val="0"/>
        <c:axId val="554388480"/>
        <c:axId val="554390272"/>
      </c:lineChart>
      <c:catAx>
        <c:axId val="554388480"/>
        <c:scaling>
          <c:orientation val="minMax"/>
        </c:scaling>
        <c:delete val="0"/>
        <c:axPos val="b"/>
        <c:majorGridlines/>
        <c:numFmt formatCode="General" sourceLinked="0"/>
        <c:majorTickMark val="out"/>
        <c:minorTickMark val="none"/>
        <c:tickLblPos val="nextTo"/>
        <c:txPr>
          <a:bodyPr rot="-5400000" vert="horz" anchor="ctr" anchorCtr="0"/>
          <a:lstStyle/>
          <a:p>
            <a:pPr>
              <a:defRPr/>
            </a:pPr>
            <a:endParaRPr lang="ru-RU"/>
          </a:p>
        </c:txPr>
        <c:crossAx val="554390272"/>
        <c:crosses val="autoZero"/>
        <c:auto val="1"/>
        <c:lblAlgn val="ctr"/>
        <c:lblOffset val="100"/>
        <c:noMultiLvlLbl val="0"/>
      </c:catAx>
      <c:valAx>
        <c:axId val="554390272"/>
        <c:scaling>
          <c:orientation val="minMax"/>
        </c:scaling>
        <c:delete val="0"/>
        <c:axPos val="l"/>
        <c:majorGridlines/>
        <c:title>
          <c:tx>
            <c:rich>
              <a:bodyPr rot="-5400000" vert="horz"/>
              <a:lstStyle/>
              <a:p>
                <a:pPr>
                  <a:defRPr/>
                </a:pPr>
                <a:r>
                  <a:rPr lang="ru-RU"/>
                  <a:t>число студентов</a:t>
                </a:r>
              </a:p>
            </c:rich>
          </c:tx>
          <c:overlay val="0"/>
        </c:title>
        <c:numFmt formatCode="General" sourceLinked="1"/>
        <c:majorTickMark val="cross"/>
        <c:minorTickMark val="none"/>
        <c:tickLblPos val="nextTo"/>
        <c:crossAx val="554388480"/>
        <c:crosses val="autoZero"/>
        <c:crossBetween val="between"/>
      </c:valAx>
    </c:plotArea>
    <c:legend>
      <c:legendPos val="t"/>
      <c:layout>
        <c:manualLayout>
          <c:xMode val="edge"/>
          <c:yMode val="edge"/>
          <c:x val="0.30665370754209298"/>
          <c:y val="0.17178227145569899"/>
          <c:w val="0.45844188986484879"/>
          <c:h val="4.8004187337854387E-2"/>
        </c:manualLayout>
      </c:layout>
      <c:overlay val="0"/>
      <c:txPr>
        <a:bodyPr/>
        <a:lstStyle/>
        <a:p>
          <a:pPr>
            <a:defRPr sz="1200"/>
          </a:pPr>
          <a:endParaRPr lang="ru-RU"/>
        </a:p>
      </c:txPr>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r>
              <a:rPr lang="ru-RU" sz="1400"/>
              <a:t>Коэффициент выживаемости бакалавров              </a:t>
            </a:r>
          </a:p>
          <a:p>
            <a:pPr>
              <a:defRPr/>
            </a:pPr>
            <a:r>
              <a:rPr lang="ru-RU" sz="1200"/>
              <a:t> (Отчет о наборе 2009 года и выпуске 2013 года)</a:t>
            </a:r>
          </a:p>
        </c:rich>
      </c:tx>
      <c:layout>
        <c:manualLayout>
          <c:xMode val="edge"/>
          <c:yMode val="edge"/>
          <c:x val="0.23516996089774544"/>
          <c:y val="1.390958550373987E-2"/>
        </c:manualLayout>
      </c:layout>
      <c:overlay val="0"/>
    </c:title>
    <c:autoTitleDeleted val="0"/>
    <c:plotArea>
      <c:layout>
        <c:manualLayout>
          <c:layoutTarget val="inner"/>
          <c:xMode val="edge"/>
          <c:yMode val="edge"/>
          <c:x val="0.4085872837323925"/>
          <c:y val="0.15440256462245591"/>
          <c:w val="0.33136515078472517"/>
          <c:h val="0.80058099333135258"/>
        </c:manualLayout>
      </c:layout>
      <c:barChart>
        <c:barDir val="bar"/>
        <c:grouping val="clustered"/>
        <c:varyColors val="0"/>
        <c:ser>
          <c:idx val="0"/>
          <c:order val="0"/>
          <c:tx>
            <c:strRef>
              <c:f>Диаграмма_бак!$B$1</c:f>
              <c:strCache>
                <c:ptCount val="1"/>
                <c:pt idx="0">
                  <c:v>% выпускников, завершивших обучение в нормативный срок.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Диаграмма_бак!$A$2:$A$18</c:f>
              <c:strCache>
                <c:ptCount val="17"/>
                <c:pt idx="0">
                  <c:v>Прикл.мат-ка и инф. (ОПМиИ)</c:v>
                </c:pt>
                <c:pt idx="1">
                  <c:v>Бизнес-информатика (ОПИ)</c:v>
                </c:pt>
                <c:pt idx="2">
                  <c:v>Менеджмент (ФГМУ)</c:v>
                </c:pt>
                <c:pt idx="3">
                  <c:v>Экономика (МИЭФ)</c:v>
                </c:pt>
                <c:pt idx="4">
                  <c:v>Экономика (ФЭ)</c:v>
                </c:pt>
                <c:pt idx="5">
                  <c:v>Экономика (ОСД)</c:v>
                </c:pt>
                <c:pt idx="6">
                  <c:v>Межд.отн. (ФМЭИМП)</c:v>
                </c:pt>
                <c:pt idx="7">
                  <c:v>Математика (ФМ)</c:v>
                </c:pt>
                <c:pt idx="8">
                  <c:v>Экономика (ФМЭИМП)</c:v>
                </c:pt>
                <c:pt idx="9">
                  <c:v>Бизнес-информатика (ФБИ)</c:v>
                </c:pt>
                <c:pt idx="10">
                  <c:v>Психология (ФПС)</c:v>
                </c:pt>
                <c:pt idx="11">
                  <c:v>Социология (ФС)</c:v>
                </c:pt>
                <c:pt idx="12">
                  <c:v>Политология (ФПП)</c:v>
                </c:pt>
                <c:pt idx="13">
                  <c:v>Философия (ФФ)</c:v>
                </c:pt>
                <c:pt idx="14">
                  <c:v>Менеджмент (ФМ)</c:v>
                </c:pt>
                <c:pt idx="15">
                  <c:v>Менеджмент (ФЛ)</c:v>
                </c:pt>
                <c:pt idx="16">
                  <c:v>Журналистика (ОДиПЖ)</c:v>
                </c:pt>
              </c:strCache>
            </c:strRef>
          </c:cat>
          <c:val>
            <c:numRef>
              <c:f>Диаграмма_бак!$B$2:$B$18</c:f>
              <c:numCache>
                <c:formatCode>0.00</c:formatCode>
                <c:ptCount val="17"/>
                <c:pt idx="0">
                  <c:v>31.03448275862069</c:v>
                </c:pt>
                <c:pt idx="1">
                  <c:v>42.5</c:v>
                </c:pt>
                <c:pt idx="2">
                  <c:v>53.913043478260697</c:v>
                </c:pt>
                <c:pt idx="3">
                  <c:v>57.74647887323944</c:v>
                </c:pt>
                <c:pt idx="4">
                  <c:v>59.294871794871938</c:v>
                </c:pt>
                <c:pt idx="5">
                  <c:v>59.322033898305193</c:v>
                </c:pt>
                <c:pt idx="6">
                  <c:v>60.256410256410255</c:v>
                </c:pt>
                <c:pt idx="7">
                  <c:v>62.857142857142705</c:v>
                </c:pt>
                <c:pt idx="8">
                  <c:v>63.255813953488371</c:v>
                </c:pt>
                <c:pt idx="9">
                  <c:v>63.513513513513495</c:v>
                </c:pt>
                <c:pt idx="10">
                  <c:v>64.197530864197532</c:v>
                </c:pt>
                <c:pt idx="11">
                  <c:v>64.545454545454518</c:v>
                </c:pt>
                <c:pt idx="12">
                  <c:v>65.116279069767685</c:v>
                </c:pt>
                <c:pt idx="13">
                  <c:v>65.555555555555458</c:v>
                </c:pt>
                <c:pt idx="14">
                  <c:v>67.379679144385008</c:v>
                </c:pt>
                <c:pt idx="15">
                  <c:v>67.592592592592254</c:v>
                </c:pt>
                <c:pt idx="16">
                  <c:v>67.857142857142819</c:v>
                </c:pt>
              </c:numCache>
            </c:numRef>
          </c:val>
        </c:ser>
        <c:dLbls>
          <c:showLegendKey val="0"/>
          <c:showVal val="0"/>
          <c:showCatName val="0"/>
          <c:showSerName val="0"/>
          <c:showPercent val="0"/>
          <c:showBubbleSize val="0"/>
        </c:dLbls>
        <c:gapWidth val="150"/>
        <c:axId val="554415232"/>
        <c:axId val="554416768"/>
      </c:barChart>
      <c:catAx>
        <c:axId val="554415232"/>
        <c:scaling>
          <c:orientation val="minMax"/>
        </c:scaling>
        <c:delete val="0"/>
        <c:axPos val="l"/>
        <c:numFmt formatCode="General" sourceLinked="0"/>
        <c:majorTickMark val="out"/>
        <c:minorTickMark val="none"/>
        <c:tickLblPos val="nextTo"/>
        <c:crossAx val="554416768"/>
        <c:crosses val="autoZero"/>
        <c:auto val="1"/>
        <c:lblAlgn val="ctr"/>
        <c:lblOffset val="100"/>
        <c:noMultiLvlLbl val="0"/>
      </c:catAx>
      <c:valAx>
        <c:axId val="554416768"/>
        <c:scaling>
          <c:orientation val="minMax"/>
        </c:scaling>
        <c:delete val="0"/>
        <c:axPos val="b"/>
        <c:majorGridlines/>
        <c:numFmt formatCode="0.00" sourceLinked="1"/>
        <c:majorTickMark val="out"/>
        <c:minorTickMark val="none"/>
        <c:tickLblPos val="nextTo"/>
        <c:crossAx val="554415232"/>
        <c:crosses val="autoZero"/>
        <c:crossBetween val="between"/>
      </c:valAx>
    </c:plotArea>
    <c:legend>
      <c:legendPos val="r"/>
      <c:layout>
        <c:manualLayout>
          <c:xMode val="edge"/>
          <c:yMode val="edge"/>
          <c:x val="0.72925170068027589"/>
          <c:y val="0.31262098523049647"/>
          <c:w val="0.2544217687074849"/>
          <c:h val="0.16960275225166305"/>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11678832116788E-2"/>
          <c:y val="3.4108322740000974E-2"/>
          <c:w val="0.89233576642335799"/>
          <c:h val="0.69403930080587439"/>
        </c:manualLayout>
      </c:layout>
      <c:barChart>
        <c:barDir val="col"/>
        <c:grouping val="clustered"/>
        <c:varyColors val="0"/>
        <c:ser>
          <c:idx val="0"/>
          <c:order val="0"/>
          <c:spPr>
            <a:solidFill>
              <a:srgbClr val="9999FF"/>
            </a:solidFill>
            <a:ln w="12700">
              <a:solidFill>
                <a:srgbClr val="000000"/>
              </a:solidFill>
              <a:prstDash val="solid"/>
            </a:ln>
            <a:effectLst>
              <a:outerShdw dist="35921" dir="2700000" algn="br">
                <a:srgbClr val="000000"/>
              </a:outerShdw>
            </a:effectLst>
          </c:spPr>
          <c:invertIfNegative val="0"/>
          <c:dPt>
            <c:idx val="0"/>
            <c:invertIfNegative val="0"/>
            <c:bubble3D val="0"/>
            <c:spPr>
              <a:solidFill>
                <a:schemeClr val="tx2">
                  <a:lumMod val="60000"/>
                  <a:lumOff val="40000"/>
                </a:schemeClr>
              </a:solidFill>
              <a:ln w="12700">
                <a:solidFill>
                  <a:srgbClr val="000000"/>
                </a:solidFill>
                <a:prstDash val="solid"/>
              </a:ln>
              <a:effectLst>
                <a:outerShdw dist="35921" dir="2700000" algn="br">
                  <a:srgbClr val="000000"/>
                </a:outerShdw>
              </a:effectLst>
            </c:spPr>
          </c:dPt>
          <c:dPt>
            <c:idx val="1"/>
            <c:invertIfNegative val="0"/>
            <c:bubble3D val="0"/>
            <c:spPr>
              <a:solidFill>
                <a:schemeClr val="tx2">
                  <a:lumMod val="60000"/>
                  <a:lumOff val="40000"/>
                </a:schemeClr>
              </a:solidFill>
              <a:ln w="12700">
                <a:solidFill>
                  <a:srgbClr val="000000"/>
                </a:solidFill>
                <a:prstDash val="solid"/>
              </a:ln>
              <a:effectLst>
                <a:outerShdw dist="35921" dir="2700000" algn="br">
                  <a:srgbClr val="000000"/>
                </a:outerShdw>
              </a:effectLst>
            </c:spPr>
          </c:dPt>
          <c:dPt>
            <c:idx val="2"/>
            <c:invertIfNegative val="0"/>
            <c:bubble3D val="0"/>
            <c:spPr>
              <a:solidFill>
                <a:schemeClr val="tx2">
                  <a:lumMod val="60000"/>
                  <a:lumOff val="40000"/>
                </a:schemeClr>
              </a:solidFill>
              <a:ln w="12700">
                <a:solidFill>
                  <a:srgbClr val="000000"/>
                </a:solidFill>
                <a:prstDash val="solid"/>
              </a:ln>
              <a:effectLst>
                <a:outerShdw dist="35921" dir="2700000" algn="br">
                  <a:srgbClr val="000000"/>
                </a:outerShdw>
              </a:effectLst>
            </c:spPr>
          </c:dPt>
          <c:dPt>
            <c:idx val="3"/>
            <c:invertIfNegative val="0"/>
            <c:bubble3D val="0"/>
            <c:spPr>
              <a:solidFill>
                <a:srgbClr val="99CC00"/>
              </a:solidFill>
              <a:ln w="12700">
                <a:solidFill>
                  <a:srgbClr val="000000"/>
                </a:solidFill>
                <a:prstDash val="solid"/>
              </a:ln>
              <a:effectLst>
                <a:outerShdw dist="35921" dir="2700000" algn="br">
                  <a:srgbClr val="000000"/>
                </a:outerShdw>
              </a:effectLst>
            </c:spPr>
          </c:dPt>
          <c:dPt>
            <c:idx val="4"/>
            <c:invertIfNegative val="0"/>
            <c:bubble3D val="0"/>
            <c:spPr>
              <a:solidFill>
                <a:srgbClr val="99CC00"/>
              </a:solidFill>
              <a:ln w="12700">
                <a:solidFill>
                  <a:srgbClr val="000000"/>
                </a:solidFill>
                <a:prstDash val="solid"/>
              </a:ln>
              <a:effectLst>
                <a:outerShdw dist="35921" dir="2700000" algn="br">
                  <a:srgbClr val="000000"/>
                </a:outerShdw>
              </a:effectLst>
            </c:spPr>
          </c:dPt>
          <c:dPt>
            <c:idx val="5"/>
            <c:invertIfNegative val="0"/>
            <c:bubble3D val="0"/>
            <c:spPr>
              <a:solidFill>
                <a:srgbClr val="99CC00"/>
              </a:solidFill>
              <a:ln w="12700">
                <a:solidFill>
                  <a:srgbClr val="000000"/>
                </a:solidFill>
                <a:prstDash val="solid"/>
              </a:ln>
              <a:effectLst>
                <a:outerShdw dist="35921" dir="2700000" algn="br">
                  <a:srgbClr val="000000"/>
                </a:outerShdw>
              </a:effectLst>
            </c:spPr>
          </c:dPt>
          <c:dPt>
            <c:idx val="6"/>
            <c:invertIfNegative val="0"/>
            <c:bubble3D val="0"/>
            <c:spPr>
              <a:solidFill>
                <a:schemeClr val="accent6">
                  <a:lumMod val="75000"/>
                </a:schemeClr>
              </a:solidFill>
              <a:ln w="12700">
                <a:solidFill>
                  <a:srgbClr val="000000"/>
                </a:solidFill>
                <a:prstDash val="solid"/>
              </a:ln>
              <a:effectLst>
                <a:outerShdw dist="35921" dir="2700000" algn="br">
                  <a:srgbClr val="000000"/>
                </a:outerShdw>
              </a:effectLst>
            </c:spPr>
          </c:dPt>
          <c:dPt>
            <c:idx val="7"/>
            <c:invertIfNegative val="0"/>
            <c:bubble3D val="0"/>
            <c:spPr>
              <a:solidFill>
                <a:schemeClr val="accent6">
                  <a:lumMod val="75000"/>
                </a:schemeClr>
              </a:solidFill>
              <a:ln w="12700">
                <a:solidFill>
                  <a:srgbClr val="000000"/>
                </a:solidFill>
                <a:prstDash val="solid"/>
              </a:ln>
              <a:effectLst>
                <a:outerShdw dist="35921" dir="2700000" algn="br">
                  <a:srgbClr val="000000"/>
                </a:outerShdw>
              </a:effectLst>
            </c:spPr>
          </c:dPt>
          <c:dPt>
            <c:idx val="8"/>
            <c:invertIfNegative val="0"/>
            <c:bubble3D val="0"/>
            <c:spPr>
              <a:solidFill>
                <a:schemeClr val="accent6">
                  <a:lumMod val="75000"/>
                </a:schemeClr>
              </a:solidFill>
              <a:ln w="12700">
                <a:solidFill>
                  <a:srgbClr val="000000"/>
                </a:solidFill>
                <a:prstDash val="solid"/>
              </a:ln>
              <a:effectLst>
                <a:outerShdw dist="35921" dir="2700000" algn="br">
                  <a:srgbClr val="000000"/>
                </a:outerShdw>
              </a:effectLst>
            </c:spPr>
          </c:dPt>
          <c:dPt>
            <c:idx val="9"/>
            <c:invertIfNegative val="0"/>
            <c:bubble3D val="0"/>
            <c:spPr>
              <a:solidFill>
                <a:srgbClr val="FF99CC"/>
              </a:solidFill>
              <a:ln w="12700">
                <a:solidFill>
                  <a:srgbClr val="000000"/>
                </a:solidFill>
                <a:prstDash val="solid"/>
              </a:ln>
              <a:effectLst>
                <a:outerShdw dist="35921" dir="2700000" algn="br">
                  <a:srgbClr val="000000"/>
                </a:outerShdw>
              </a:effectLst>
            </c:spPr>
          </c:dPt>
          <c:dPt>
            <c:idx val="10"/>
            <c:invertIfNegative val="0"/>
            <c:bubble3D val="0"/>
            <c:spPr>
              <a:solidFill>
                <a:srgbClr val="FF99CC"/>
              </a:solidFill>
              <a:ln w="12700">
                <a:solidFill>
                  <a:srgbClr val="000000"/>
                </a:solidFill>
                <a:prstDash val="solid"/>
              </a:ln>
              <a:effectLst>
                <a:outerShdw dist="35921" dir="2700000" algn="br">
                  <a:srgbClr val="000000"/>
                </a:outerShdw>
              </a:effectLst>
            </c:spPr>
          </c:dPt>
          <c:dPt>
            <c:idx val="11"/>
            <c:invertIfNegative val="0"/>
            <c:bubble3D val="0"/>
            <c:spPr>
              <a:solidFill>
                <a:srgbClr val="FF99CC"/>
              </a:solidFill>
              <a:ln w="12700">
                <a:solidFill>
                  <a:srgbClr val="000000"/>
                </a:solidFill>
                <a:prstDash val="solid"/>
              </a:ln>
              <a:effectLst>
                <a:outerShdw dist="35921" dir="2700000" algn="br">
                  <a:srgbClr val="000000"/>
                </a:outerShdw>
              </a:effectLst>
            </c:spPr>
          </c:dPt>
          <c:dLbls>
            <c:dLbl>
              <c:idx val="1"/>
              <c:tx>
                <c:rich>
                  <a:bodyPr/>
                  <a:lstStyle/>
                  <a:p>
                    <a:r>
                      <a:rPr lang="en-US"/>
                      <a:t>23,9</a:t>
                    </a:r>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21,9</a:t>
                    </a:r>
                  </a:p>
                </c:rich>
              </c:tx>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1" i="0" u="none" strike="noStrike" baseline="0">
                    <a:solidFill>
                      <a:srgbClr val="000000"/>
                    </a:solidFill>
                    <a:latin typeface="Times New Roman" pitchFamily="18" charset="0"/>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ауд!$C$5:$N$6</c:f>
              <c:multiLvlStrCache>
                <c:ptCount val="12"/>
                <c:lvl>
                  <c:pt idx="0">
                    <c:v>2010/2011</c:v>
                  </c:pt>
                  <c:pt idx="1">
                    <c:v>2011/2012</c:v>
                  </c:pt>
                  <c:pt idx="2">
                    <c:v>2012/2013</c:v>
                  </c:pt>
                  <c:pt idx="3">
                    <c:v>2010/2011</c:v>
                  </c:pt>
                  <c:pt idx="4">
                    <c:v>2011/2012</c:v>
                  </c:pt>
                  <c:pt idx="5">
                    <c:v>2012/2013</c:v>
                  </c:pt>
                  <c:pt idx="6">
                    <c:v>2010/2011</c:v>
                  </c:pt>
                  <c:pt idx="7">
                    <c:v>2011/2012</c:v>
                  </c:pt>
                  <c:pt idx="8">
                    <c:v>2012/2013</c:v>
                  </c:pt>
                  <c:pt idx="9">
                    <c:v>2010/2011</c:v>
                  </c:pt>
                  <c:pt idx="10">
                    <c:v>2011/2012</c:v>
                  </c:pt>
                  <c:pt idx="11">
                    <c:v>2012/2013</c:v>
                  </c:pt>
                </c:lvl>
                <c:lvl>
                  <c:pt idx="0">
                    <c:v>Москва</c:v>
                  </c:pt>
                  <c:pt idx="3">
                    <c:v>Нижний Новгород</c:v>
                  </c:pt>
                  <c:pt idx="6">
                    <c:v>Санкт-Петербург</c:v>
                  </c:pt>
                  <c:pt idx="9">
                    <c:v>Пермь</c:v>
                  </c:pt>
                </c:lvl>
              </c:multiLvlStrCache>
            </c:multiLvlStrRef>
          </c:cat>
          <c:val>
            <c:numRef>
              <c:f>ауд!$C$7:$N$7</c:f>
              <c:numCache>
                <c:formatCode>General</c:formatCode>
                <c:ptCount val="12"/>
                <c:pt idx="0">
                  <c:v>22.7</c:v>
                </c:pt>
                <c:pt idx="1">
                  <c:v>23.8</c:v>
                </c:pt>
                <c:pt idx="2">
                  <c:v>22.7</c:v>
                </c:pt>
                <c:pt idx="3">
                  <c:v>22</c:v>
                </c:pt>
                <c:pt idx="4">
                  <c:v>20.399999999999999</c:v>
                </c:pt>
                <c:pt idx="5">
                  <c:v>22.4</c:v>
                </c:pt>
                <c:pt idx="6">
                  <c:v>21.4</c:v>
                </c:pt>
                <c:pt idx="7">
                  <c:v>21.8</c:v>
                </c:pt>
                <c:pt idx="8">
                  <c:v>22.5</c:v>
                </c:pt>
                <c:pt idx="9">
                  <c:v>21.8</c:v>
                </c:pt>
                <c:pt idx="10">
                  <c:v>22</c:v>
                </c:pt>
                <c:pt idx="11">
                  <c:v>23.3</c:v>
                </c:pt>
              </c:numCache>
            </c:numRef>
          </c:val>
        </c:ser>
        <c:dLbls>
          <c:showLegendKey val="0"/>
          <c:showVal val="0"/>
          <c:showCatName val="0"/>
          <c:showSerName val="0"/>
          <c:showPercent val="0"/>
          <c:showBubbleSize val="0"/>
        </c:dLbls>
        <c:gapWidth val="150"/>
        <c:axId val="358972416"/>
        <c:axId val="358978304"/>
      </c:barChart>
      <c:catAx>
        <c:axId val="35897241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Times New Roman" pitchFamily="18" charset="0"/>
                <a:ea typeface="Arial Cyr"/>
                <a:cs typeface="Arial Cyr"/>
              </a:defRPr>
            </a:pPr>
            <a:endParaRPr lang="ru-RU"/>
          </a:p>
        </c:txPr>
        <c:crossAx val="358978304"/>
        <c:crosses val="autoZero"/>
        <c:auto val="1"/>
        <c:lblAlgn val="ctr"/>
        <c:lblOffset val="100"/>
        <c:tickLblSkip val="1"/>
        <c:tickMarkSkip val="1"/>
        <c:noMultiLvlLbl val="0"/>
      </c:catAx>
      <c:valAx>
        <c:axId val="358978304"/>
        <c:scaling>
          <c:orientation val="minMax"/>
          <c:max val="25"/>
          <c:min val="0"/>
        </c:scaling>
        <c:delete val="0"/>
        <c:axPos val="l"/>
        <c:majorGridlines>
          <c:spPr>
            <a:ln w="3175">
              <a:solidFill>
                <a:srgbClr val="FFFFFF"/>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pitchFamily="18" charset="0"/>
                <a:ea typeface="Arial Cyr"/>
                <a:cs typeface="Arial Cyr"/>
              </a:defRPr>
            </a:pPr>
            <a:endParaRPr lang="ru-RU"/>
          </a:p>
        </c:txPr>
        <c:crossAx val="358972416"/>
        <c:crosses val="autoZero"/>
        <c:crossBetween val="between"/>
        <c:majorUnit val="5"/>
        <c:minorUnit val="0.1"/>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12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ru-RU" sz="1200"/>
              <a:t>Динамика коэффициента "выживаемости" выпускников бакалавриата за три года </a:t>
            </a:r>
          </a:p>
          <a:p>
            <a:pPr>
              <a:defRPr sz="1200"/>
            </a:pPr>
            <a:r>
              <a:rPr lang="ru-RU" sz="1200"/>
              <a:t>(по направлениям подготовки)</a:t>
            </a:r>
          </a:p>
        </c:rich>
      </c:tx>
      <c:overlay val="0"/>
    </c:title>
    <c:autoTitleDeleted val="0"/>
    <c:plotArea>
      <c:layout/>
      <c:barChart>
        <c:barDir val="bar"/>
        <c:grouping val="clustered"/>
        <c:varyColors val="0"/>
        <c:ser>
          <c:idx val="0"/>
          <c:order val="0"/>
          <c:tx>
            <c:strRef>
              <c:f>Диаграмма_сравн!$B$2</c:f>
              <c:strCache>
                <c:ptCount val="1"/>
                <c:pt idx="0">
                  <c:v>Выпуск 2013 года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Диаграмма_сравн!$A$3:$A$19</c:f>
              <c:strCache>
                <c:ptCount val="16"/>
                <c:pt idx="0">
                  <c:v>Философия (ФФ)</c:v>
                </c:pt>
                <c:pt idx="1">
                  <c:v>Прикл.мат-ка и инф. (ОПМиИ)</c:v>
                </c:pt>
                <c:pt idx="2">
                  <c:v>Бизнес-информатика (ОПИ)</c:v>
                </c:pt>
                <c:pt idx="3">
                  <c:v>Менеджмент (ФГМУ)</c:v>
                </c:pt>
                <c:pt idx="4">
                  <c:v>Экономика (МИЭФ)</c:v>
                </c:pt>
                <c:pt idx="5">
                  <c:v>Экономика (ФЭ)</c:v>
                </c:pt>
                <c:pt idx="6">
                  <c:v>Экономика (ОСД)</c:v>
                </c:pt>
                <c:pt idx="7">
                  <c:v>Математика (ФМ)</c:v>
                </c:pt>
                <c:pt idx="8">
                  <c:v>Экономика (ФМЭИМП)</c:v>
                </c:pt>
                <c:pt idx="9">
                  <c:v>Бизнес-информатика (ФБИ)</c:v>
                </c:pt>
                <c:pt idx="10">
                  <c:v>Психология (ФПС)</c:v>
                </c:pt>
                <c:pt idx="11">
                  <c:v>Социология (ФС)</c:v>
                </c:pt>
                <c:pt idx="12">
                  <c:v>Политология (ФПП)</c:v>
                </c:pt>
                <c:pt idx="13">
                  <c:v>Менеджмент (ФМ)</c:v>
                </c:pt>
                <c:pt idx="14">
                  <c:v>Менеджмент (ФЛ)</c:v>
                </c:pt>
                <c:pt idx="15">
                  <c:v>Журналистика (ОДиПЖ)</c:v>
                </c:pt>
              </c:strCache>
            </c:strRef>
          </c:cat>
          <c:val>
            <c:numRef>
              <c:f>Диаграмма_сравн!$B$3:$B$19</c:f>
              <c:numCache>
                <c:formatCode>0.00</c:formatCode>
                <c:ptCount val="16"/>
                <c:pt idx="0">
                  <c:v>65.555555555555458</c:v>
                </c:pt>
                <c:pt idx="1">
                  <c:v>31.03448275862069</c:v>
                </c:pt>
                <c:pt idx="2">
                  <c:v>42.5</c:v>
                </c:pt>
                <c:pt idx="3">
                  <c:v>53.913043478260697</c:v>
                </c:pt>
                <c:pt idx="4">
                  <c:v>57.74647887323944</c:v>
                </c:pt>
                <c:pt idx="5">
                  <c:v>59.294871794871938</c:v>
                </c:pt>
                <c:pt idx="6">
                  <c:v>59.322033898305193</c:v>
                </c:pt>
                <c:pt idx="7">
                  <c:v>62.857142857142705</c:v>
                </c:pt>
                <c:pt idx="8">
                  <c:v>63.255813953488371</c:v>
                </c:pt>
                <c:pt idx="9">
                  <c:v>63.513513513513495</c:v>
                </c:pt>
                <c:pt idx="10">
                  <c:v>64.197530864197532</c:v>
                </c:pt>
                <c:pt idx="11">
                  <c:v>64.545454545454518</c:v>
                </c:pt>
                <c:pt idx="12">
                  <c:v>65.116279069767685</c:v>
                </c:pt>
                <c:pt idx="13">
                  <c:v>67.379679144385008</c:v>
                </c:pt>
                <c:pt idx="14">
                  <c:v>67.592592592592254</c:v>
                </c:pt>
                <c:pt idx="15">
                  <c:v>67.857142857142819</c:v>
                </c:pt>
              </c:numCache>
            </c:numRef>
          </c:val>
        </c:ser>
        <c:ser>
          <c:idx val="1"/>
          <c:order val="1"/>
          <c:tx>
            <c:strRef>
              <c:f>Диаграмма_сравн!$C$2</c:f>
              <c:strCache>
                <c:ptCount val="1"/>
                <c:pt idx="0">
                  <c:v>Выпуск 2012 года</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Диаграмма_сравн!$A$3:$A$19</c:f>
              <c:strCache>
                <c:ptCount val="16"/>
                <c:pt idx="0">
                  <c:v>Философия (ФФ)</c:v>
                </c:pt>
                <c:pt idx="1">
                  <c:v>Прикл.мат-ка и инф. (ОПМиИ)</c:v>
                </c:pt>
                <c:pt idx="2">
                  <c:v>Бизнес-информатика (ОПИ)</c:v>
                </c:pt>
                <c:pt idx="3">
                  <c:v>Менеджмент (ФГМУ)</c:v>
                </c:pt>
                <c:pt idx="4">
                  <c:v>Экономика (МИЭФ)</c:v>
                </c:pt>
                <c:pt idx="5">
                  <c:v>Экономика (ФЭ)</c:v>
                </c:pt>
                <c:pt idx="6">
                  <c:v>Экономика (ОСД)</c:v>
                </c:pt>
                <c:pt idx="7">
                  <c:v>Математика (ФМ)</c:v>
                </c:pt>
                <c:pt idx="8">
                  <c:v>Экономика (ФМЭИМП)</c:v>
                </c:pt>
                <c:pt idx="9">
                  <c:v>Бизнес-информатика (ФБИ)</c:v>
                </c:pt>
                <c:pt idx="10">
                  <c:v>Психология (ФПС)</c:v>
                </c:pt>
                <c:pt idx="11">
                  <c:v>Социология (ФС)</c:v>
                </c:pt>
                <c:pt idx="12">
                  <c:v>Политология (ФПП)</c:v>
                </c:pt>
                <c:pt idx="13">
                  <c:v>Менеджмент (ФМ)</c:v>
                </c:pt>
                <c:pt idx="14">
                  <c:v>Менеджмент (ФЛ)</c:v>
                </c:pt>
                <c:pt idx="15">
                  <c:v>Журналистика (ОДиПЖ)</c:v>
                </c:pt>
              </c:strCache>
            </c:strRef>
          </c:cat>
          <c:val>
            <c:numRef>
              <c:f>Диаграмма_сравн!$C$3:$C$19</c:f>
              <c:numCache>
                <c:formatCode>General</c:formatCode>
                <c:ptCount val="16"/>
                <c:pt idx="0">
                  <c:v>49</c:v>
                </c:pt>
                <c:pt idx="1">
                  <c:v>59.1</c:v>
                </c:pt>
                <c:pt idx="2">
                  <c:v>51.8</c:v>
                </c:pt>
                <c:pt idx="4">
                  <c:v>54</c:v>
                </c:pt>
                <c:pt idx="5">
                  <c:v>56.9</c:v>
                </c:pt>
                <c:pt idx="6">
                  <c:v>50</c:v>
                </c:pt>
                <c:pt idx="7">
                  <c:v>62.160000000000011</c:v>
                </c:pt>
                <c:pt idx="8">
                  <c:v>54.720000000000013</c:v>
                </c:pt>
                <c:pt idx="9">
                  <c:v>73.5</c:v>
                </c:pt>
                <c:pt idx="10">
                  <c:v>69.900000000000006</c:v>
                </c:pt>
                <c:pt idx="11">
                  <c:v>62.7</c:v>
                </c:pt>
                <c:pt idx="12">
                  <c:v>50.5</c:v>
                </c:pt>
                <c:pt idx="13">
                  <c:v>73.3</c:v>
                </c:pt>
                <c:pt idx="15">
                  <c:v>74.099999999999994</c:v>
                </c:pt>
              </c:numCache>
            </c:numRef>
          </c:val>
        </c:ser>
        <c:ser>
          <c:idx val="2"/>
          <c:order val="2"/>
          <c:tx>
            <c:strRef>
              <c:f>Диаграмма_сравн!$D$2</c:f>
              <c:strCache>
                <c:ptCount val="1"/>
                <c:pt idx="0">
                  <c:v>Выпуск 2011 года</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Диаграмма_сравн!$A$3:$A$19</c:f>
              <c:strCache>
                <c:ptCount val="16"/>
                <c:pt idx="0">
                  <c:v>Философия (ФФ)</c:v>
                </c:pt>
                <c:pt idx="1">
                  <c:v>Прикл.мат-ка и инф. (ОПМиИ)</c:v>
                </c:pt>
                <c:pt idx="2">
                  <c:v>Бизнес-информатика (ОПИ)</c:v>
                </c:pt>
                <c:pt idx="3">
                  <c:v>Менеджмент (ФГМУ)</c:v>
                </c:pt>
                <c:pt idx="4">
                  <c:v>Экономика (МИЭФ)</c:v>
                </c:pt>
                <c:pt idx="5">
                  <c:v>Экономика (ФЭ)</c:v>
                </c:pt>
                <c:pt idx="6">
                  <c:v>Экономика (ОСД)</c:v>
                </c:pt>
                <c:pt idx="7">
                  <c:v>Математика (ФМ)</c:v>
                </c:pt>
                <c:pt idx="8">
                  <c:v>Экономика (ФМЭИМП)</c:v>
                </c:pt>
                <c:pt idx="9">
                  <c:v>Бизнес-информатика (ФБИ)</c:v>
                </c:pt>
                <c:pt idx="10">
                  <c:v>Психология (ФПС)</c:v>
                </c:pt>
                <c:pt idx="11">
                  <c:v>Социология (ФС)</c:v>
                </c:pt>
                <c:pt idx="12">
                  <c:v>Политология (ФПП)</c:v>
                </c:pt>
                <c:pt idx="13">
                  <c:v>Менеджмент (ФМ)</c:v>
                </c:pt>
                <c:pt idx="14">
                  <c:v>Менеджмент (ФЛ)</c:v>
                </c:pt>
                <c:pt idx="15">
                  <c:v>Журналистика (ОДиПЖ)</c:v>
                </c:pt>
              </c:strCache>
            </c:strRef>
          </c:cat>
          <c:val>
            <c:numRef>
              <c:f>Диаграмма_сравн!$D$3:$D$19</c:f>
              <c:numCache>
                <c:formatCode>General</c:formatCode>
                <c:ptCount val="16"/>
                <c:pt idx="0">
                  <c:v>39.4</c:v>
                </c:pt>
                <c:pt idx="1">
                  <c:v>49.1</c:v>
                </c:pt>
                <c:pt idx="2">
                  <c:v>56.1</c:v>
                </c:pt>
                <c:pt idx="4">
                  <c:v>47.5</c:v>
                </c:pt>
                <c:pt idx="5">
                  <c:v>50.2</c:v>
                </c:pt>
                <c:pt idx="9">
                  <c:v>75</c:v>
                </c:pt>
                <c:pt idx="10">
                  <c:v>60.3</c:v>
                </c:pt>
                <c:pt idx="11">
                  <c:v>60.5</c:v>
                </c:pt>
                <c:pt idx="12">
                  <c:v>61.7</c:v>
                </c:pt>
                <c:pt idx="13">
                  <c:v>63.9</c:v>
                </c:pt>
                <c:pt idx="15">
                  <c:v>68.599999999999994</c:v>
                </c:pt>
              </c:numCache>
            </c:numRef>
          </c:val>
        </c:ser>
        <c:dLbls>
          <c:showLegendKey val="0"/>
          <c:showVal val="0"/>
          <c:showCatName val="0"/>
          <c:showSerName val="0"/>
          <c:showPercent val="0"/>
          <c:showBubbleSize val="0"/>
        </c:dLbls>
        <c:gapWidth val="150"/>
        <c:axId val="554472960"/>
        <c:axId val="554474496"/>
      </c:barChart>
      <c:catAx>
        <c:axId val="554472960"/>
        <c:scaling>
          <c:orientation val="minMax"/>
        </c:scaling>
        <c:delete val="0"/>
        <c:axPos val="l"/>
        <c:numFmt formatCode="General" sourceLinked="0"/>
        <c:majorTickMark val="out"/>
        <c:minorTickMark val="none"/>
        <c:tickLblPos val="nextTo"/>
        <c:crossAx val="554474496"/>
        <c:crosses val="autoZero"/>
        <c:auto val="1"/>
        <c:lblAlgn val="ctr"/>
        <c:lblOffset val="100"/>
        <c:noMultiLvlLbl val="0"/>
      </c:catAx>
      <c:valAx>
        <c:axId val="554474496"/>
        <c:scaling>
          <c:orientation val="minMax"/>
        </c:scaling>
        <c:delete val="0"/>
        <c:axPos val="b"/>
        <c:majorGridlines/>
        <c:numFmt formatCode="0.00" sourceLinked="1"/>
        <c:majorTickMark val="out"/>
        <c:minorTickMark val="none"/>
        <c:tickLblPos val="nextTo"/>
        <c:crossAx val="554472960"/>
        <c:crosses val="autoZero"/>
        <c:crossBetween val="between"/>
      </c:valAx>
    </c:plotArea>
    <c:legend>
      <c:legendPos val="r"/>
      <c:overlay val="0"/>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200"/>
            </a:pPr>
            <a:r>
              <a:rPr lang="ru-RU" sz="1200"/>
              <a:t>Коэффициент "выживаемости" магистров          </a:t>
            </a:r>
          </a:p>
          <a:p>
            <a:pPr>
              <a:defRPr sz="1200"/>
            </a:pPr>
            <a:r>
              <a:rPr lang="ru-RU" sz="1200"/>
              <a:t> (Отчет о наборе 2011 года и выпуске года)</a:t>
            </a:r>
          </a:p>
        </c:rich>
      </c:tx>
      <c:overlay val="0"/>
    </c:title>
    <c:autoTitleDeleted val="0"/>
    <c:plotArea>
      <c:layout>
        <c:manualLayout>
          <c:layoutTarget val="inner"/>
          <c:xMode val="edge"/>
          <c:yMode val="edge"/>
          <c:x val="0.26990383860123479"/>
          <c:y val="0.11915778609950201"/>
          <c:w val="0.45493197951752701"/>
          <c:h val="0.83438573323050103"/>
        </c:manualLayout>
      </c:layout>
      <c:barChart>
        <c:barDir val="bar"/>
        <c:grouping val="clustered"/>
        <c:varyColors val="0"/>
        <c:ser>
          <c:idx val="0"/>
          <c:order val="0"/>
          <c:tx>
            <c:strRef>
              <c:f>Москва!$D$1</c:f>
              <c:strCache>
                <c:ptCount val="1"/>
                <c:pt idx="0">
                  <c:v>% выпускников, завершивших обучение в нормативный срок.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Москва!$C$2:$C$24</c:f>
              <c:strCache>
                <c:ptCount val="23"/>
                <c:pt idx="0">
                  <c:v>Экономика (МИЭФ)</c:v>
                </c:pt>
                <c:pt idx="1">
                  <c:v>Психология (ИО)</c:v>
                </c:pt>
                <c:pt idx="2">
                  <c:v>Политология (КПП)</c:v>
                </c:pt>
                <c:pt idx="3">
                  <c:v>Менеджмент (ФЛ)</c:v>
                </c:pt>
                <c:pt idx="4">
                  <c:v>Экономика (ФЭ)</c:v>
                </c:pt>
                <c:pt idx="5">
                  <c:v>Экономика (ОСДИИ)</c:v>
                </c:pt>
                <c:pt idx="6">
                  <c:v>Политология (ФПП)</c:v>
                </c:pt>
                <c:pt idx="7">
                  <c:v>Прогр.инж. (ОПИ)</c:v>
                </c:pt>
                <c:pt idx="8">
                  <c:v>Экономика (ФМЭиМП)</c:v>
                </c:pt>
                <c:pt idx="9">
                  <c:v>ГМУ (ФГиМУ)</c:v>
                </c:pt>
                <c:pt idx="10">
                  <c:v>Культурология (ОК)</c:v>
                </c:pt>
                <c:pt idx="11">
                  <c:v>ГМУ (ВШУ)</c:v>
                </c:pt>
                <c:pt idx="12">
                  <c:v>Менеджмент (ФМ)</c:v>
                </c:pt>
                <c:pt idx="13">
                  <c:v>Юриспруденция (ФП)</c:v>
                </c:pt>
                <c:pt idx="14">
                  <c:v>Математика (ФМ)</c:v>
                </c:pt>
                <c:pt idx="15">
                  <c:v>Журналистика (ФМ)</c:v>
                </c:pt>
                <c:pt idx="16">
                  <c:v>История (ФИ)</c:v>
                </c:pt>
                <c:pt idx="17">
                  <c:v>Социология (ФС)</c:v>
                </c:pt>
                <c:pt idx="18">
                  <c:v>Бизнес-информатика (ФБИ)</c:v>
                </c:pt>
                <c:pt idx="19">
                  <c:v>Межд.отн.(ММЭиМП)</c:v>
                </c:pt>
                <c:pt idx="20">
                  <c:v>Психология (ФПС)</c:v>
                </c:pt>
                <c:pt idx="21">
                  <c:v>Философия (ФФ)</c:v>
                </c:pt>
                <c:pt idx="22">
                  <c:v>Прикл.мат-ка и информ.(ОПМмИ)</c:v>
                </c:pt>
              </c:strCache>
            </c:strRef>
          </c:cat>
          <c:val>
            <c:numRef>
              <c:f>Москва!$D$2:$D$24</c:f>
              <c:numCache>
                <c:formatCode>0.00</c:formatCode>
                <c:ptCount val="23"/>
                <c:pt idx="0">
                  <c:v>50</c:v>
                </c:pt>
                <c:pt idx="1">
                  <c:v>50</c:v>
                </c:pt>
                <c:pt idx="2">
                  <c:v>52</c:v>
                </c:pt>
                <c:pt idx="3">
                  <c:v>55.172413793103452</c:v>
                </c:pt>
                <c:pt idx="4">
                  <c:v>55.882352941176563</c:v>
                </c:pt>
                <c:pt idx="5">
                  <c:v>56.25</c:v>
                </c:pt>
                <c:pt idx="6">
                  <c:v>57.142857142857153</c:v>
                </c:pt>
                <c:pt idx="7">
                  <c:v>58.333333333333343</c:v>
                </c:pt>
                <c:pt idx="8">
                  <c:v>61.111111111111107</c:v>
                </c:pt>
                <c:pt idx="9">
                  <c:v>62.068965517241345</c:v>
                </c:pt>
                <c:pt idx="10">
                  <c:v>64.705882352940606</c:v>
                </c:pt>
                <c:pt idx="11">
                  <c:v>65.384615384615657</c:v>
                </c:pt>
                <c:pt idx="12">
                  <c:v>66.046511627907378</c:v>
                </c:pt>
                <c:pt idx="13">
                  <c:v>66.176470588235219</c:v>
                </c:pt>
                <c:pt idx="14">
                  <c:v>66.666666666666643</c:v>
                </c:pt>
                <c:pt idx="15">
                  <c:v>72.58064516129032</c:v>
                </c:pt>
                <c:pt idx="16">
                  <c:v>73.333333333333158</c:v>
                </c:pt>
                <c:pt idx="17">
                  <c:v>75</c:v>
                </c:pt>
                <c:pt idx="18">
                  <c:v>77.16535433070824</c:v>
                </c:pt>
                <c:pt idx="19">
                  <c:v>78.26086956521803</c:v>
                </c:pt>
                <c:pt idx="20">
                  <c:v>78.947368421052957</c:v>
                </c:pt>
                <c:pt idx="21">
                  <c:v>82.352941176469812</c:v>
                </c:pt>
                <c:pt idx="22">
                  <c:v>90</c:v>
                </c:pt>
              </c:numCache>
            </c:numRef>
          </c:val>
        </c:ser>
        <c:dLbls>
          <c:showLegendKey val="0"/>
          <c:showVal val="0"/>
          <c:showCatName val="0"/>
          <c:showSerName val="0"/>
          <c:showPercent val="0"/>
          <c:showBubbleSize val="0"/>
        </c:dLbls>
        <c:gapWidth val="150"/>
        <c:axId val="554708992"/>
        <c:axId val="554710528"/>
      </c:barChart>
      <c:catAx>
        <c:axId val="554708992"/>
        <c:scaling>
          <c:orientation val="minMax"/>
        </c:scaling>
        <c:delete val="0"/>
        <c:axPos val="l"/>
        <c:numFmt formatCode="General" sourceLinked="0"/>
        <c:majorTickMark val="out"/>
        <c:minorTickMark val="none"/>
        <c:tickLblPos val="nextTo"/>
        <c:crossAx val="554710528"/>
        <c:crosses val="autoZero"/>
        <c:auto val="1"/>
        <c:lblAlgn val="ctr"/>
        <c:lblOffset val="100"/>
        <c:noMultiLvlLbl val="0"/>
      </c:catAx>
      <c:valAx>
        <c:axId val="554710528"/>
        <c:scaling>
          <c:orientation val="minMax"/>
        </c:scaling>
        <c:delete val="0"/>
        <c:axPos val="b"/>
        <c:majorGridlines/>
        <c:numFmt formatCode="0.00" sourceLinked="1"/>
        <c:majorTickMark val="out"/>
        <c:minorTickMark val="none"/>
        <c:tickLblPos val="nextTo"/>
        <c:crossAx val="554708992"/>
        <c:crosses val="autoZero"/>
        <c:crossBetween val="between"/>
      </c:valAx>
    </c:plotArea>
    <c:legend>
      <c:legendPos val="r"/>
      <c:layout>
        <c:manualLayout>
          <c:xMode val="edge"/>
          <c:yMode val="edge"/>
          <c:x val="0.76630022265320041"/>
          <c:y val="0.22248606039827301"/>
          <c:w val="0.21899389783196499"/>
          <c:h val="0.18404961455647087"/>
        </c:manualLayout>
      </c:layout>
      <c:overlay val="0"/>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ru-RU" sz="1200"/>
              <a:t>Динамика коэффициента "выживаемости" выпускников магистратуры за три года</a:t>
            </a:r>
          </a:p>
          <a:p>
            <a:pPr>
              <a:defRPr sz="1100"/>
            </a:pPr>
            <a:r>
              <a:rPr lang="ru-RU" sz="1600"/>
              <a:t> </a:t>
            </a:r>
            <a:r>
              <a:rPr lang="ru-RU" sz="1100"/>
              <a:t>(по направлениям подготовки)</a:t>
            </a:r>
          </a:p>
        </c:rich>
      </c:tx>
      <c:overlay val="0"/>
    </c:title>
    <c:autoTitleDeleted val="0"/>
    <c:plotArea>
      <c:layout>
        <c:manualLayout>
          <c:layoutTarget val="inner"/>
          <c:xMode val="edge"/>
          <c:yMode val="edge"/>
          <c:x val="0.25577335019261555"/>
          <c:y val="0.20368465437143601"/>
          <c:w val="0.69827053597600852"/>
          <c:h val="0.74913708337219764"/>
        </c:manualLayout>
      </c:layout>
      <c:barChart>
        <c:barDir val="bar"/>
        <c:grouping val="clustered"/>
        <c:varyColors val="0"/>
        <c:ser>
          <c:idx val="0"/>
          <c:order val="0"/>
          <c:tx>
            <c:strRef>
              <c:f>Диагр_Сравнение!$B$2</c:f>
              <c:strCache>
                <c:ptCount val="1"/>
                <c:pt idx="0">
                  <c:v>Выпуск 2013 года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Диагр_Сравнение!$A$3:$A$25</c:f>
              <c:strCache>
                <c:ptCount val="23"/>
                <c:pt idx="0">
                  <c:v>Экономика (МИЭФ)</c:v>
                </c:pt>
                <c:pt idx="1">
                  <c:v>Психология (ИО)</c:v>
                </c:pt>
                <c:pt idx="2">
                  <c:v>Политология (КПП)</c:v>
                </c:pt>
                <c:pt idx="3">
                  <c:v>Менеджмент (ФЛ)</c:v>
                </c:pt>
                <c:pt idx="4">
                  <c:v>Экономика (ФЭ)</c:v>
                </c:pt>
                <c:pt idx="5">
                  <c:v>Экономика (ОСДИИ)</c:v>
                </c:pt>
                <c:pt idx="6">
                  <c:v>Политология (ФПП)</c:v>
                </c:pt>
                <c:pt idx="7">
                  <c:v>Прогр.инж. (ОПИ)</c:v>
                </c:pt>
                <c:pt idx="8">
                  <c:v>Экономика (ФМЭиМП)</c:v>
                </c:pt>
                <c:pt idx="9">
                  <c:v>ГМУ (ФГиМУ)</c:v>
                </c:pt>
                <c:pt idx="10">
                  <c:v>Культурология (ОК)</c:v>
                </c:pt>
                <c:pt idx="11">
                  <c:v>ГМУ (ВШУ)</c:v>
                </c:pt>
                <c:pt idx="12">
                  <c:v>Менеджмент (ФМ)</c:v>
                </c:pt>
                <c:pt idx="13">
                  <c:v>Юриспруденция (ФП)</c:v>
                </c:pt>
                <c:pt idx="14">
                  <c:v>Математика (ФМ)</c:v>
                </c:pt>
                <c:pt idx="15">
                  <c:v>Журналистика (ФМ)</c:v>
                </c:pt>
                <c:pt idx="16">
                  <c:v>История (ФИ)</c:v>
                </c:pt>
                <c:pt idx="17">
                  <c:v>Социология (ФС)</c:v>
                </c:pt>
                <c:pt idx="18">
                  <c:v>Бизнес-информатика (ФБИ)</c:v>
                </c:pt>
                <c:pt idx="19">
                  <c:v>Межд.отн.(ММЭиМП)</c:v>
                </c:pt>
                <c:pt idx="20">
                  <c:v>Психология (ФПС)</c:v>
                </c:pt>
                <c:pt idx="21">
                  <c:v>Философия (ФФ)</c:v>
                </c:pt>
                <c:pt idx="22">
                  <c:v>Прикл.мат-ка и информ.(ОПМмИ)</c:v>
                </c:pt>
              </c:strCache>
            </c:strRef>
          </c:cat>
          <c:val>
            <c:numRef>
              <c:f>Диагр_Сравнение!$B$3:$B$25</c:f>
              <c:numCache>
                <c:formatCode>0.00</c:formatCode>
                <c:ptCount val="23"/>
                <c:pt idx="0">
                  <c:v>50</c:v>
                </c:pt>
                <c:pt idx="1">
                  <c:v>50</c:v>
                </c:pt>
                <c:pt idx="2">
                  <c:v>52</c:v>
                </c:pt>
                <c:pt idx="3">
                  <c:v>55.172413793103452</c:v>
                </c:pt>
                <c:pt idx="4">
                  <c:v>55.882352941176563</c:v>
                </c:pt>
                <c:pt idx="5">
                  <c:v>56.25</c:v>
                </c:pt>
                <c:pt idx="6">
                  <c:v>57.142857142857153</c:v>
                </c:pt>
                <c:pt idx="7">
                  <c:v>58.333333333333343</c:v>
                </c:pt>
                <c:pt idx="8">
                  <c:v>61.111111111111107</c:v>
                </c:pt>
                <c:pt idx="9">
                  <c:v>62.068965517241345</c:v>
                </c:pt>
                <c:pt idx="10">
                  <c:v>64.705882352940634</c:v>
                </c:pt>
                <c:pt idx="11">
                  <c:v>65.384615384615657</c:v>
                </c:pt>
                <c:pt idx="12">
                  <c:v>66.046511627907378</c:v>
                </c:pt>
                <c:pt idx="13">
                  <c:v>66.176470588235219</c:v>
                </c:pt>
                <c:pt idx="14">
                  <c:v>66.666666666666643</c:v>
                </c:pt>
                <c:pt idx="15">
                  <c:v>72.58064516129032</c:v>
                </c:pt>
                <c:pt idx="16">
                  <c:v>73.333333333333258</c:v>
                </c:pt>
                <c:pt idx="17">
                  <c:v>75</c:v>
                </c:pt>
                <c:pt idx="18">
                  <c:v>77.16535433070824</c:v>
                </c:pt>
                <c:pt idx="19">
                  <c:v>78.26086956521803</c:v>
                </c:pt>
                <c:pt idx="20">
                  <c:v>78.947368421052929</c:v>
                </c:pt>
                <c:pt idx="21">
                  <c:v>82.352941176469855</c:v>
                </c:pt>
                <c:pt idx="22">
                  <c:v>90</c:v>
                </c:pt>
              </c:numCache>
            </c:numRef>
          </c:val>
        </c:ser>
        <c:ser>
          <c:idx val="1"/>
          <c:order val="1"/>
          <c:tx>
            <c:strRef>
              <c:f>Диагр_Сравнение!$C$2</c:f>
              <c:strCache>
                <c:ptCount val="1"/>
                <c:pt idx="0">
                  <c:v>Выпуск 2012 года</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Диагр_Сравнение!$A$3:$A$25</c:f>
              <c:strCache>
                <c:ptCount val="23"/>
                <c:pt idx="0">
                  <c:v>Экономика (МИЭФ)</c:v>
                </c:pt>
                <c:pt idx="1">
                  <c:v>Психология (ИО)</c:v>
                </c:pt>
                <c:pt idx="2">
                  <c:v>Политология (КПП)</c:v>
                </c:pt>
                <c:pt idx="3">
                  <c:v>Менеджмент (ФЛ)</c:v>
                </c:pt>
                <c:pt idx="4">
                  <c:v>Экономика (ФЭ)</c:v>
                </c:pt>
                <c:pt idx="5">
                  <c:v>Экономика (ОСДИИ)</c:v>
                </c:pt>
                <c:pt idx="6">
                  <c:v>Политология (ФПП)</c:v>
                </c:pt>
                <c:pt idx="7">
                  <c:v>Прогр.инж. (ОПИ)</c:v>
                </c:pt>
                <c:pt idx="8">
                  <c:v>Экономика (ФМЭиМП)</c:v>
                </c:pt>
                <c:pt idx="9">
                  <c:v>ГМУ (ФГиМУ)</c:v>
                </c:pt>
                <c:pt idx="10">
                  <c:v>Культурология (ОК)</c:v>
                </c:pt>
                <c:pt idx="11">
                  <c:v>ГМУ (ВШУ)</c:v>
                </c:pt>
                <c:pt idx="12">
                  <c:v>Менеджмент (ФМ)</c:v>
                </c:pt>
                <c:pt idx="13">
                  <c:v>Юриспруденция (ФП)</c:v>
                </c:pt>
                <c:pt idx="14">
                  <c:v>Математика (ФМ)</c:v>
                </c:pt>
                <c:pt idx="15">
                  <c:v>Журналистика (ФМ)</c:v>
                </c:pt>
                <c:pt idx="16">
                  <c:v>История (ФИ)</c:v>
                </c:pt>
                <c:pt idx="17">
                  <c:v>Социология (ФС)</c:v>
                </c:pt>
                <c:pt idx="18">
                  <c:v>Бизнес-информатика (ФБИ)</c:v>
                </c:pt>
                <c:pt idx="19">
                  <c:v>Межд.отн.(ММЭиМП)</c:v>
                </c:pt>
                <c:pt idx="20">
                  <c:v>Психология (ФПС)</c:v>
                </c:pt>
                <c:pt idx="21">
                  <c:v>Философия (ФФ)</c:v>
                </c:pt>
                <c:pt idx="22">
                  <c:v>Прикл.мат-ка и информ.(ОПМмИ)</c:v>
                </c:pt>
              </c:strCache>
            </c:strRef>
          </c:cat>
          <c:val>
            <c:numRef>
              <c:f>Диагр_Сравнение!$C$3:$C$25</c:f>
              <c:numCache>
                <c:formatCode>0.00</c:formatCode>
                <c:ptCount val="23"/>
                <c:pt idx="0">
                  <c:v>73</c:v>
                </c:pt>
                <c:pt idx="1">
                  <c:v>65</c:v>
                </c:pt>
                <c:pt idx="2">
                  <c:v>45</c:v>
                </c:pt>
                <c:pt idx="3">
                  <c:v>52</c:v>
                </c:pt>
                <c:pt idx="4">
                  <c:v>63</c:v>
                </c:pt>
                <c:pt idx="5">
                  <c:v>24</c:v>
                </c:pt>
                <c:pt idx="6">
                  <c:v>45</c:v>
                </c:pt>
                <c:pt idx="7">
                  <c:v>60</c:v>
                </c:pt>
                <c:pt idx="8">
                  <c:v>69</c:v>
                </c:pt>
                <c:pt idx="9">
                  <c:v>72</c:v>
                </c:pt>
                <c:pt idx="12">
                  <c:v>65</c:v>
                </c:pt>
                <c:pt idx="13">
                  <c:v>72</c:v>
                </c:pt>
                <c:pt idx="14">
                  <c:v>43</c:v>
                </c:pt>
                <c:pt idx="17">
                  <c:v>69</c:v>
                </c:pt>
                <c:pt idx="18">
                  <c:v>79</c:v>
                </c:pt>
                <c:pt idx="20">
                  <c:v>74</c:v>
                </c:pt>
                <c:pt idx="21">
                  <c:v>48</c:v>
                </c:pt>
                <c:pt idx="22">
                  <c:v>72</c:v>
                </c:pt>
              </c:numCache>
            </c:numRef>
          </c:val>
        </c:ser>
        <c:ser>
          <c:idx val="2"/>
          <c:order val="2"/>
          <c:tx>
            <c:strRef>
              <c:f>Диагр_Сравнение!$D$2</c:f>
              <c:strCache>
                <c:ptCount val="1"/>
                <c:pt idx="0">
                  <c:v>Выпуск 2011 года</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Диагр_Сравнение!$A$3:$A$25</c:f>
              <c:strCache>
                <c:ptCount val="23"/>
                <c:pt idx="0">
                  <c:v>Экономика (МИЭФ)</c:v>
                </c:pt>
                <c:pt idx="1">
                  <c:v>Психология (ИО)</c:v>
                </c:pt>
                <c:pt idx="2">
                  <c:v>Политология (КПП)</c:v>
                </c:pt>
                <c:pt idx="3">
                  <c:v>Менеджмент (ФЛ)</c:v>
                </c:pt>
                <c:pt idx="4">
                  <c:v>Экономика (ФЭ)</c:v>
                </c:pt>
                <c:pt idx="5">
                  <c:v>Экономика (ОСДИИ)</c:v>
                </c:pt>
                <c:pt idx="6">
                  <c:v>Политология (ФПП)</c:v>
                </c:pt>
                <c:pt idx="7">
                  <c:v>Прогр.инж. (ОПИ)</c:v>
                </c:pt>
                <c:pt idx="8">
                  <c:v>Экономика (ФМЭиМП)</c:v>
                </c:pt>
                <c:pt idx="9">
                  <c:v>ГМУ (ФГиМУ)</c:v>
                </c:pt>
                <c:pt idx="10">
                  <c:v>Культурология (ОК)</c:v>
                </c:pt>
                <c:pt idx="11">
                  <c:v>ГМУ (ВШУ)</c:v>
                </c:pt>
                <c:pt idx="12">
                  <c:v>Менеджмент (ФМ)</c:v>
                </c:pt>
                <c:pt idx="13">
                  <c:v>Юриспруденция (ФП)</c:v>
                </c:pt>
                <c:pt idx="14">
                  <c:v>Математика (ФМ)</c:v>
                </c:pt>
                <c:pt idx="15">
                  <c:v>Журналистика (ФМ)</c:v>
                </c:pt>
                <c:pt idx="16">
                  <c:v>История (ФИ)</c:v>
                </c:pt>
                <c:pt idx="17">
                  <c:v>Социология (ФС)</c:v>
                </c:pt>
                <c:pt idx="18">
                  <c:v>Бизнес-информатика (ФБИ)</c:v>
                </c:pt>
                <c:pt idx="19">
                  <c:v>Межд.отн.(ММЭиМП)</c:v>
                </c:pt>
                <c:pt idx="20">
                  <c:v>Психология (ФПС)</c:v>
                </c:pt>
                <c:pt idx="21">
                  <c:v>Философия (ФФ)</c:v>
                </c:pt>
                <c:pt idx="22">
                  <c:v>Прикл.мат-ка и информ.(ОПМмИ)</c:v>
                </c:pt>
              </c:strCache>
            </c:strRef>
          </c:cat>
          <c:val>
            <c:numRef>
              <c:f>Диагр_Сравнение!$D$3:$D$25</c:f>
              <c:numCache>
                <c:formatCode>General</c:formatCode>
                <c:ptCount val="23"/>
                <c:pt idx="0" formatCode="0.00">
                  <c:v>56</c:v>
                </c:pt>
                <c:pt idx="2" formatCode="0.00">
                  <c:v>74</c:v>
                </c:pt>
                <c:pt idx="3" formatCode="0.00">
                  <c:v>13</c:v>
                </c:pt>
                <c:pt idx="4" formatCode="0.00">
                  <c:v>70</c:v>
                </c:pt>
                <c:pt idx="5" formatCode="0.00">
                  <c:v>68</c:v>
                </c:pt>
                <c:pt idx="6" formatCode="0.00">
                  <c:v>74</c:v>
                </c:pt>
                <c:pt idx="7" formatCode="0.00">
                  <c:v>51</c:v>
                </c:pt>
                <c:pt idx="8" formatCode="0.00">
                  <c:v>71</c:v>
                </c:pt>
                <c:pt idx="9" formatCode="0.00">
                  <c:v>63</c:v>
                </c:pt>
                <c:pt idx="12" formatCode="0.00">
                  <c:v>72</c:v>
                </c:pt>
                <c:pt idx="13" formatCode="0.00">
                  <c:v>36</c:v>
                </c:pt>
                <c:pt idx="14" formatCode="0.00">
                  <c:v>79</c:v>
                </c:pt>
                <c:pt idx="17" formatCode="0.00">
                  <c:v>58</c:v>
                </c:pt>
                <c:pt idx="18" formatCode="0.00">
                  <c:v>88</c:v>
                </c:pt>
                <c:pt idx="20" formatCode="0.00">
                  <c:v>76</c:v>
                </c:pt>
                <c:pt idx="21" formatCode="0.00">
                  <c:v>72</c:v>
                </c:pt>
                <c:pt idx="22" formatCode="0.00">
                  <c:v>81</c:v>
                </c:pt>
              </c:numCache>
            </c:numRef>
          </c:val>
        </c:ser>
        <c:dLbls>
          <c:showLegendKey val="0"/>
          <c:showVal val="0"/>
          <c:showCatName val="0"/>
          <c:showSerName val="0"/>
          <c:showPercent val="0"/>
          <c:showBubbleSize val="0"/>
        </c:dLbls>
        <c:gapWidth val="150"/>
        <c:axId val="554751104"/>
        <c:axId val="554752640"/>
      </c:barChart>
      <c:catAx>
        <c:axId val="554751104"/>
        <c:scaling>
          <c:orientation val="minMax"/>
        </c:scaling>
        <c:delete val="0"/>
        <c:axPos val="l"/>
        <c:numFmt formatCode="General" sourceLinked="0"/>
        <c:majorTickMark val="out"/>
        <c:minorTickMark val="none"/>
        <c:tickLblPos val="nextTo"/>
        <c:crossAx val="554752640"/>
        <c:crosses val="autoZero"/>
        <c:auto val="1"/>
        <c:lblAlgn val="ctr"/>
        <c:lblOffset val="100"/>
        <c:noMultiLvlLbl val="0"/>
      </c:catAx>
      <c:valAx>
        <c:axId val="554752640"/>
        <c:scaling>
          <c:orientation val="minMax"/>
        </c:scaling>
        <c:delete val="0"/>
        <c:axPos val="b"/>
        <c:majorGridlines/>
        <c:numFmt formatCode="0.00" sourceLinked="1"/>
        <c:majorTickMark val="out"/>
        <c:minorTickMark val="none"/>
        <c:tickLblPos val="nextTo"/>
        <c:crossAx val="554751104"/>
        <c:crosses val="autoZero"/>
        <c:crossBetween val="between"/>
      </c:valAx>
    </c:plotArea>
    <c:legend>
      <c:legendPos val="t"/>
      <c:overlay val="0"/>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ru-RU" sz="1200"/>
              <a:t>Динамика коэффициента "выживаемости" в сравнении за три года(по уровням подготовки)</a:t>
            </a:r>
          </a:p>
        </c:rich>
      </c:tx>
      <c:overlay val="0"/>
    </c:title>
    <c:autoTitleDeleted val="0"/>
    <c:plotArea>
      <c:layout/>
      <c:barChart>
        <c:barDir val="col"/>
        <c:grouping val="clustered"/>
        <c:varyColors val="0"/>
        <c:ser>
          <c:idx val="0"/>
          <c:order val="0"/>
          <c:tx>
            <c:strRef>
              <c:f>'Динамика Маг+бак'!$A$4</c:f>
              <c:strCache>
                <c:ptCount val="1"/>
                <c:pt idx="0">
                  <c:v>Бакалавриат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'Динамика Маг+бак'!$B$3:$D$3</c:f>
              <c:strCache>
                <c:ptCount val="3"/>
                <c:pt idx="0">
                  <c:v>2011 год</c:v>
                </c:pt>
                <c:pt idx="1">
                  <c:v>2012 год</c:v>
                </c:pt>
                <c:pt idx="2">
                  <c:v>2013 год</c:v>
                </c:pt>
              </c:strCache>
            </c:strRef>
          </c:cat>
          <c:val>
            <c:numRef>
              <c:f>'Динамика Маг+бак'!$B$4:$D$4</c:f>
              <c:numCache>
                <c:formatCode>0.00%</c:formatCode>
                <c:ptCount val="3"/>
                <c:pt idx="0">
                  <c:v>0.57500000000000062</c:v>
                </c:pt>
                <c:pt idx="1">
                  <c:v>0.60100000000000064</c:v>
                </c:pt>
                <c:pt idx="2">
                  <c:v>0.60397479398933662</c:v>
                </c:pt>
              </c:numCache>
            </c:numRef>
          </c:val>
        </c:ser>
        <c:ser>
          <c:idx val="1"/>
          <c:order val="1"/>
          <c:tx>
            <c:strRef>
              <c:f>'Динамика Маг+бак'!$A$5</c:f>
              <c:strCache>
                <c:ptCount val="1"/>
                <c:pt idx="0">
                  <c:v>Магистратура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'Динамика Маг+бак'!$B$3:$D$3</c:f>
              <c:strCache>
                <c:ptCount val="3"/>
                <c:pt idx="0">
                  <c:v>2011 год</c:v>
                </c:pt>
                <c:pt idx="1">
                  <c:v>2012 год</c:v>
                </c:pt>
                <c:pt idx="2">
                  <c:v>2013 год</c:v>
                </c:pt>
              </c:strCache>
            </c:strRef>
          </c:cat>
          <c:val>
            <c:numRef>
              <c:f>'Динамика Маг+бак'!$B$5:$D$5</c:f>
              <c:numCache>
                <c:formatCode>0.00%</c:formatCode>
                <c:ptCount val="3"/>
                <c:pt idx="0">
                  <c:v>0.70000000000000062</c:v>
                </c:pt>
                <c:pt idx="1">
                  <c:v>0.63000000000000156</c:v>
                </c:pt>
                <c:pt idx="2">
                  <c:v>0.65618986529826862</c:v>
                </c:pt>
              </c:numCache>
            </c:numRef>
          </c:val>
        </c:ser>
        <c:dLbls>
          <c:showLegendKey val="0"/>
          <c:showVal val="0"/>
          <c:showCatName val="0"/>
          <c:showSerName val="0"/>
          <c:showPercent val="0"/>
          <c:showBubbleSize val="0"/>
        </c:dLbls>
        <c:gapWidth val="150"/>
        <c:axId val="555125760"/>
        <c:axId val="555131648"/>
      </c:barChart>
      <c:catAx>
        <c:axId val="555125760"/>
        <c:scaling>
          <c:orientation val="minMax"/>
        </c:scaling>
        <c:delete val="0"/>
        <c:axPos val="b"/>
        <c:numFmt formatCode="General" sourceLinked="0"/>
        <c:majorTickMark val="out"/>
        <c:minorTickMark val="none"/>
        <c:tickLblPos val="nextTo"/>
        <c:crossAx val="555131648"/>
        <c:crosses val="autoZero"/>
        <c:auto val="1"/>
        <c:lblAlgn val="ctr"/>
        <c:lblOffset val="100"/>
        <c:noMultiLvlLbl val="0"/>
      </c:catAx>
      <c:valAx>
        <c:axId val="555131648"/>
        <c:scaling>
          <c:orientation val="minMax"/>
          <c:max val="1"/>
        </c:scaling>
        <c:delete val="0"/>
        <c:axPos val="l"/>
        <c:majorGridlines/>
        <c:numFmt formatCode="0.00%" sourceLinked="1"/>
        <c:majorTickMark val="out"/>
        <c:minorTickMark val="none"/>
        <c:tickLblPos val="nextTo"/>
        <c:crossAx val="555125760"/>
        <c:crosses val="autoZero"/>
        <c:crossBetween val="between"/>
      </c:valAx>
    </c:plotArea>
    <c:legend>
      <c:legendPos val="r"/>
      <c:overlay val="0"/>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50"/>
            </a:pPr>
            <a:r>
              <a:rPr lang="ru-RU" sz="1100"/>
              <a:t>"Статус" студентов, поступавших с выпускниками 2013, но не завершивших обучение в нормативный срок </a:t>
            </a:r>
          </a:p>
          <a:p>
            <a:pPr>
              <a:defRPr sz="1050"/>
            </a:pPr>
            <a:r>
              <a:rPr lang="ru-RU" sz="1050"/>
              <a:t>(на 10.10.2013)</a:t>
            </a:r>
          </a:p>
        </c:rich>
      </c:tx>
      <c:layout>
        <c:manualLayout>
          <c:xMode val="edge"/>
          <c:yMode val="edge"/>
          <c:x val="0.10139588801399824"/>
          <c:y val="2.3121380267510122E-2"/>
        </c:manualLayout>
      </c:layout>
      <c:overlay val="0"/>
    </c:title>
    <c:autoTitleDeleted val="0"/>
    <c:plotArea>
      <c:layout/>
      <c:barChart>
        <c:barDir val="bar"/>
        <c:grouping val="clustered"/>
        <c:varyColors val="0"/>
        <c:ser>
          <c:idx val="0"/>
          <c:order val="0"/>
          <c:tx>
            <c:strRef>
              <c:f>Судьба!$G$21</c:f>
              <c:strCache>
                <c:ptCount val="1"/>
                <c:pt idx="0">
                  <c:v>Бакалавры</c:v>
                </c:pt>
              </c:strCache>
            </c:strRef>
          </c:tx>
          <c:invertIfNegative val="0"/>
          <c:dLbls>
            <c:dLbl>
              <c:idx val="0"/>
              <c:tx>
                <c:rich>
                  <a:bodyPr/>
                  <a:lstStyle/>
                  <a:p>
                    <a:r>
                      <a:rPr lang="en-US"/>
                      <a:t>7,63</a:t>
                    </a:r>
                    <a:r>
                      <a:rPr lang="ru-RU"/>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15,61</a:t>
                    </a:r>
                    <a:r>
                      <a:rPr lang="ru-RU"/>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12,32</a:t>
                    </a:r>
                    <a:r>
                      <a:rPr lang="ru-RU"/>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48,59</a:t>
                    </a:r>
                    <a:r>
                      <a:rPr lang="ru-RU"/>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14,32</a:t>
                    </a:r>
                    <a:r>
                      <a:rPr lang="ru-RU"/>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1,53</a:t>
                    </a:r>
                    <a:r>
                      <a:rPr lang="ru-RU"/>
                      <a:t> %</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Судьба!$F$22:$F$26</c:f>
              <c:strCache>
                <c:ptCount val="5"/>
                <c:pt idx="0">
                  <c:v>Получили диплом в срок на другом факультете</c:v>
                </c:pt>
                <c:pt idx="1">
                  <c:v>Еще учатся</c:v>
                </c:pt>
                <c:pt idx="2">
                  <c:v>Перешли на другой факультет</c:v>
                </c:pt>
                <c:pt idx="3">
                  <c:v>Отчислены из университета</c:v>
                </c:pt>
                <c:pt idx="4">
                  <c:v>Перевелись в другой вуз</c:v>
                </c:pt>
              </c:strCache>
            </c:strRef>
          </c:cat>
          <c:val>
            <c:numRef>
              <c:f>Судьба!$G$22:$G$26</c:f>
              <c:numCache>
                <c:formatCode>0.00</c:formatCode>
                <c:ptCount val="5"/>
                <c:pt idx="0">
                  <c:v>5.8394160583941614</c:v>
                </c:pt>
                <c:pt idx="1">
                  <c:v>16.180048661800491</c:v>
                </c:pt>
                <c:pt idx="2">
                  <c:v>12.773722627737227</c:v>
                </c:pt>
                <c:pt idx="3">
                  <c:v>50.364963503649427</c:v>
                </c:pt>
                <c:pt idx="4">
                  <c:v>14.841849148418493</c:v>
                </c:pt>
              </c:numCache>
            </c:numRef>
          </c:val>
        </c:ser>
        <c:ser>
          <c:idx val="1"/>
          <c:order val="1"/>
          <c:tx>
            <c:strRef>
              <c:f>Судьба!$H$21</c:f>
              <c:strCache>
                <c:ptCount val="1"/>
                <c:pt idx="0">
                  <c:v>Магистры</c:v>
                </c:pt>
              </c:strCache>
            </c:strRef>
          </c:tx>
          <c:invertIfNegative val="0"/>
          <c:dLbls>
            <c:dLbl>
              <c:idx val="2"/>
              <c:tx>
                <c:rich>
                  <a:bodyPr/>
                  <a:lstStyle/>
                  <a:p>
                    <a:r>
                      <a:rPr lang="en-US"/>
                      <a:t>4,46</a:t>
                    </a:r>
                    <a:r>
                      <a:rPr lang="ru-RU"/>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62,08</a:t>
                    </a:r>
                    <a:r>
                      <a:rPr lang="ru-RU"/>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0,37</a:t>
                    </a:r>
                    <a:r>
                      <a:rPr lang="ru-RU"/>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0,00</a:t>
                    </a:r>
                    <a:r>
                      <a:rPr lang="ru-RU"/>
                      <a:t> %</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Судьба!$F$22:$F$26</c:f>
              <c:strCache>
                <c:ptCount val="5"/>
                <c:pt idx="0">
                  <c:v>Получили диплом в срок на другом факультете</c:v>
                </c:pt>
                <c:pt idx="1">
                  <c:v>Еще учатся</c:v>
                </c:pt>
                <c:pt idx="2">
                  <c:v>Перешли на другой факультет</c:v>
                </c:pt>
                <c:pt idx="3">
                  <c:v>Отчислены из университета</c:v>
                </c:pt>
                <c:pt idx="4">
                  <c:v>Перевелись в другой вуз</c:v>
                </c:pt>
              </c:strCache>
            </c:strRef>
          </c:cat>
          <c:val>
            <c:numRef>
              <c:f>Судьба!$H$22:$H$26</c:f>
              <c:numCache>
                <c:formatCode>0.00</c:formatCode>
                <c:ptCount val="5"/>
                <c:pt idx="0">
                  <c:v>5.3903345724906915</c:v>
                </c:pt>
                <c:pt idx="1">
                  <c:v>27.695167286245329</c:v>
                </c:pt>
                <c:pt idx="2">
                  <c:v>4.4609665427509295</c:v>
                </c:pt>
                <c:pt idx="3">
                  <c:v>62.081784386616938</c:v>
                </c:pt>
                <c:pt idx="4">
                  <c:v>0.37174721189591081</c:v>
                </c:pt>
              </c:numCache>
            </c:numRef>
          </c:val>
        </c:ser>
        <c:dLbls>
          <c:showLegendKey val="0"/>
          <c:showVal val="0"/>
          <c:showCatName val="0"/>
          <c:showSerName val="0"/>
          <c:showPercent val="0"/>
          <c:showBubbleSize val="0"/>
        </c:dLbls>
        <c:gapWidth val="150"/>
        <c:axId val="555170048"/>
        <c:axId val="555196416"/>
      </c:barChart>
      <c:catAx>
        <c:axId val="555170048"/>
        <c:scaling>
          <c:orientation val="minMax"/>
        </c:scaling>
        <c:delete val="0"/>
        <c:axPos val="l"/>
        <c:numFmt formatCode="General" sourceLinked="0"/>
        <c:majorTickMark val="out"/>
        <c:minorTickMark val="none"/>
        <c:tickLblPos val="nextTo"/>
        <c:crossAx val="555196416"/>
        <c:crosses val="autoZero"/>
        <c:auto val="1"/>
        <c:lblAlgn val="ctr"/>
        <c:lblOffset val="100"/>
        <c:noMultiLvlLbl val="0"/>
      </c:catAx>
      <c:valAx>
        <c:axId val="555196416"/>
        <c:scaling>
          <c:orientation val="minMax"/>
          <c:max val="100"/>
          <c:min val="0"/>
        </c:scaling>
        <c:delete val="0"/>
        <c:axPos val="b"/>
        <c:majorGridlines/>
        <c:numFmt formatCode="0.00" sourceLinked="1"/>
        <c:majorTickMark val="out"/>
        <c:minorTickMark val="none"/>
        <c:tickLblPos val="nextTo"/>
        <c:crossAx val="555170048"/>
        <c:crosses val="autoZero"/>
        <c:crossBetween val="between"/>
      </c:valAx>
    </c:plotArea>
    <c:legend>
      <c:legendPos val="r"/>
      <c:overlay val="0"/>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ru-RU" sz="1200"/>
              <a:t>Сравнение значения коэффициента выпуска </a:t>
            </a:r>
            <a:endParaRPr lang="en-US" sz="1200"/>
          </a:p>
          <a:p>
            <a:pPr>
              <a:defRPr sz="1200"/>
            </a:pPr>
            <a:r>
              <a:rPr lang="en-US" sz="1200"/>
              <a:t>(</a:t>
            </a:r>
            <a:r>
              <a:rPr lang="ru-RU" sz="1200"/>
              <a:t>бакалавриат</a:t>
            </a:r>
            <a:r>
              <a:rPr lang="en-US" sz="1200"/>
              <a:t>,</a:t>
            </a:r>
            <a:r>
              <a:rPr lang="ru-RU" sz="1200" baseline="0"/>
              <a:t> 2007 год набора</a:t>
            </a:r>
            <a:r>
              <a:rPr lang="en-US" sz="1200" baseline="0"/>
              <a:t>)</a:t>
            </a:r>
            <a:endParaRPr lang="ru-RU" sz="1200" baseline="0"/>
          </a:p>
        </c:rich>
      </c:tx>
      <c:overlay val="0"/>
    </c:title>
    <c:autoTitleDeleted val="0"/>
    <c:plotArea>
      <c:layout/>
      <c:barChart>
        <c:barDir val="bar"/>
        <c:grouping val="clustered"/>
        <c:varyColors val="0"/>
        <c:ser>
          <c:idx val="0"/>
          <c:order val="0"/>
          <c:tx>
            <c:strRef>
              <c:f>'Сравнение за три года'!$C$2</c:f>
              <c:strCache>
                <c:ptCount val="1"/>
                <c:pt idx="0">
                  <c:v>2011   (норм.срок)</c:v>
                </c:pt>
              </c:strCache>
            </c:strRef>
          </c:tx>
          <c:invertIfNegative val="0"/>
          <c:dLbls>
            <c:showLegendKey val="0"/>
            <c:showVal val="1"/>
            <c:showCatName val="0"/>
            <c:showSerName val="0"/>
            <c:showPercent val="0"/>
            <c:showBubbleSize val="0"/>
            <c:showLeaderLines val="0"/>
          </c:dLbls>
          <c:cat>
            <c:strRef>
              <c:f>'Сравнение за три года'!$B$3:$B$13</c:f>
              <c:strCache>
                <c:ptCount val="11"/>
                <c:pt idx="0">
                  <c:v>Экономика (МИЭФ)</c:v>
                </c:pt>
                <c:pt idx="1">
                  <c:v>Журналистика (ОДиПЖ)</c:v>
                </c:pt>
                <c:pt idx="2">
                  <c:v>Прикл.мат-ика и информ. (ОПМиИ)</c:v>
                </c:pt>
                <c:pt idx="3">
                  <c:v>Бизнес-информатика (ОПИ)</c:v>
                </c:pt>
                <c:pt idx="4">
                  <c:v>Бизнес-информатика (ФБИ)</c:v>
                </c:pt>
                <c:pt idx="5">
                  <c:v>Менеджмент (ФМ)</c:v>
                </c:pt>
                <c:pt idx="6">
                  <c:v>Политология (ФПП)</c:v>
                </c:pt>
                <c:pt idx="7">
                  <c:v>Психология (ФП)</c:v>
                </c:pt>
                <c:pt idx="8">
                  <c:v>Социология (ФС)</c:v>
                </c:pt>
                <c:pt idx="9">
                  <c:v>Философия (ФФ)</c:v>
                </c:pt>
                <c:pt idx="10">
                  <c:v>Экономика (ФЭ)</c:v>
                </c:pt>
              </c:strCache>
            </c:strRef>
          </c:cat>
          <c:val>
            <c:numRef>
              <c:f>'Сравнение за три года'!$C$3:$C$13</c:f>
              <c:numCache>
                <c:formatCode>0.00</c:formatCode>
                <c:ptCount val="11"/>
                <c:pt idx="0">
                  <c:v>47.787610619469028</c:v>
                </c:pt>
                <c:pt idx="1">
                  <c:v>68.656716417910417</c:v>
                </c:pt>
                <c:pt idx="2">
                  <c:v>50.877192982456151</c:v>
                </c:pt>
                <c:pt idx="3">
                  <c:v>66.037735849056588</c:v>
                </c:pt>
                <c:pt idx="4">
                  <c:v>74.809160305343525</c:v>
                </c:pt>
                <c:pt idx="5">
                  <c:v>65.178571428571374</c:v>
                </c:pt>
                <c:pt idx="6">
                  <c:v>59.574468085106353</c:v>
                </c:pt>
                <c:pt idx="7">
                  <c:v>61.111111111111114</c:v>
                </c:pt>
                <c:pt idx="8">
                  <c:v>62.121212121212125</c:v>
                </c:pt>
                <c:pt idx="9">
                  <c:v>43.243243243243228</c:v>
                </c:pt>
                <c:pt idx="10">
                  <c:v>52.145214521452147</c:v>
                </c:pt>
              </c:numCache>
            </c:numRef>
          </c:val>
        </c:ser>
        <c:ser>
          <c:idx val="1"/>
          <c:order val="1"/>
          <c:tx>
            <c:strRef>
              <c:f>'Сравнение за три года'!$D$2</c:f>
              <c:strCache>
                <c:ptCount val="1"/>
                <c:pt idx="0">
                  <c:v>2012 (норм+1)</c:v>
                </c:pt>
              </c:strCache>
            </c:strRef>
          </c:tx>
          <c:invertIfNegative val="0"/>
          <c:dLbls>
            <c:txPr>
              <a:bodyPr/>
              <a:lstStyle/>
              <a:p>
                <a:pPr>
                  <a:defRPr>
                    <a:solidFill>
                      <a:sysClr val="windowText" lastClr="000000"/>
                    </a:solidFill>
                  </a:defRPr>
                </a:pPr>
                <a:endParaRPr lang="ru-RU"/>
              </a:p>
            </c:txPr>
            <c:dLblPos val="ctr"/>
            <c:showLegendKey val="0"/>
            <c:showVal val="1"/>
            <c:showCatName val="0"/>
            <c:showSerName val="0"/>
            <c:showPercent val="0"/>
            <c:showBubbleSize val="0"/>
            <c:showLeaderLines val="0"/>
          </c:dLbls>
          <c:cat>
            <c:strRef>
              <c:f>'Сравнение за три года'!$B$3:$B$13</c:f>
              <c:strCache>
                <c:ptCount val="11"/>
                <c:pt idx="0">
                  <c:v>Экономика (МИЭФ)</c:v>
                </c:pt>
                <c:pt idx="1">
                  <c:v>Журналистика (ОДиПЖ)</c:v>
                </c:pt>
                <c:pt idx="2">
                  <c:v>Прикл.мат-ика и информ. (ОПМиИ)</c:v>
                </c:pt>
                <c:pt idx="3">
                  <c:v>Бизнес-информатика (ОПИ)</c:v>
                </c:pt>
                <c:pt idx="4">
                  <c:v>Бизнес-информатика (ФБИ)</c:v>
                </c:pt>
                <c:pt idx="5">
                  <c:v>Менеджмент (ФМ)</c:v>
                </c:pt>
                <c:pt idx="6">
                  <c:v>Политология (ФПП)</c:v>
                </c:pt>
                <c:pt idx="7">
                  <c:v>Психология (ФП)</c:v>
                </c:pt>
                <c:pt idx="8">
                  <c:v>Социология (ФС)</c:v>
                </c:pt>
                <c:pt idx="9">
                  <c:v>Философия (ФФ)</c:v>
                </c:pt>
                <c:pt idx="10">
                  <c:v>Экономика (ФЭ)</c:v>
                </c:pt>
              </c:strCache>
            </c:strRef>
          </c:cat>
          <c:val>
            <c:numRef>
              <c:f>'Сравнение за три года'!$D$3:$D$13</c:f>
              <c:numCache>
                <c:formatCode>0.00</c:formatCode>
                <c:ptCount val="11"/>
                <c:pt idx="0">
                  <c:v>63.716814159292007</c:v>
                </c:pt>
                <c:pt idx="1">
                  <c:v>68.656716417910417</c:v>
                </c:pt>
                <c:pt idx="2">
                  <c:v>59.649122807017541</c:v>
                </c:pt>
                <c:pt idx="3">
                  <c:v>73.58490566037743</c:v>
                </c:pt>
                <c:pt idx="4">
                  <c:v>80.152671755725137</c:v>
                </c:pt>
                <c:pt idx="5">
                  <c:v>74.553571428571402</c:v>
                </c:pt>
                <c:pt idx="6">
                  <c:v>67.021276595744681</c:v>
                </c:pt>
                <c:pt idx="7">
                  <c:v>66.666666666666657</c:v>
                </c:pt>
                <c:pt idx="8">
                  <c:v>73.484848484848513</c:v>
                </c:pt>
                <c:pt idx="9">
                  <c:v>51.351351351351333</c:v>
                </c:pt>
                <c:pt idx="10">
                  <c:v>58.085808580858092</c:v>
                </c:pt>
              </c:numCache>
            </c:numRef>
          </c:val>
        </c:ser>
        <c:ser>
          <c:idx val="2"/>
          <c:order val="2"/>
          <c:tx>
            <c:strRef>
              <c:f>'Сравнение за три года'!$E$2</c:f>
              <c:strCache>
                <c:ptCount val="1"/>
                <c:pt idx="0">
                  <c:v>2013 (норм+2)</c:v>
                </c:pt>
              </c:strCache>
            </c:strRef>
          </c:tx>
          <c:invertIfNegative val="0"/>
          <c:dLbls>
            <c:showLegendKey val="0"/>
            <c:showVal val="1"/>
            <c:showCatName val="0"/>
            <c:showSerName val="0"/>
            <c:showPercent val="0"/>
            <c:showBubbleSize val="0"/>
            <c:showLeaderLines val="0"/>
          </c:dLbls>
          <c:cat>
            <c:strRef>
              <c:f>'Сравнение за три года'!$B$3:$B$13</c:f>
              <c:strCache>
                <c:ptCount val="11"/>
                <c:pt idx="0">
                  <c:v>Экономика (МИЭФ)</c:v>
                </c:pt>
                <c:pt idx="1">
                  <c:v>Журналистика (ОДиПЖ)</c:v>
                </c:pt>
                <c:pt idx="2">
                  <c:v>Прикл.мат-ика и информ. (ОПМиИ)</c:v>
                </c:pt>
                <c:pt idx="3">
                  <c:v>Бизнес-информатика (ОПИ)</c:v>
                </c:pt>
                <c:pt idx="4">
                  <c:v>Бизнес-информатика (ФБИ)</c:v>
                </c:pt>
                <c:pt idx="5">
                  <c:v>Менеджмент (ФМ)</c:v>
                </c:pt>
                <c:pt idx="6">
                  <c:v>Политология (ФПП)</c:v>
                </c:pt>
                <c:pt idx="7">
                  <c:v>Психология (ФП)</c:v>
                </c:pt>
                <c:pt idx="8">
                  <c:v>Социология (ФС)</c:v>
                </c:pt>
                <c:pt idx="9">
                  <c:v>Философия (ФФ)</c:v>
                </c:pt>
                <c:pt idx="10">
                  <c:v>Экономика (ФЭ)</c:v>
                </c:pt>
              </c:strCache>
            </c:strRef>
          </c:cat>
          <c:val>
            <c:numRef>
              <c:f>'Сравнение за три года'!$E$3:$E$13</c:f>
              <c:numCache>
                <c:formatCode>0.00</c:formatCode>
                <c:ptCount val="11"/>
                <c:pt idx="0">
                  <c:v>67.25663716814158</c:v>
                </c:pt>
                <c:pt idx="1">
                  <c:v>68.656716417910417</c:v>
                </c:pt>
                <c:pt idx="2">
                  <c:v>59.649122807017541</c:v>
                </c:pt>
                <c:pt idx="3">
                  <c:v>73.58490566037743</c:v>
                </c:pt>
                <c:pt idx="4">
                  <c:v>80.152671755725137</c:v>
                </c:pt>
                <c:pt idx="5">
                  <c:v>76.785714285714292</c:v>
                </c:pt>
                <c:pt idx="6">
                  <c:v>68.085106382978708</c:v>
                </c:pt>
                <c:pt idx="7">
                  <c:v>68.055555555555529</c:v>
                </c:pt>
                <c:pt idx="8">
                  <c:v>74.242424242424249</c:v>
                </c:pt>
                <c:pt idx="9">
                  <c:v>51.351351351351333</c:v>
                </c:pt>
                <c:pt idx="10">
                  <c:v>59.735973597359759</c:v>
                </c:pt>
              </c:numCache>
            </c:numRef>
          </c:val>
        </c:ser>
        <c:dLbls>
          <c:showLegendKey val="0"/>
          <c:showVal val="0"/>
          <c:showCatName val="0"/>
          <c:showSerName val="0"/>
          <c:showPercent val="0"/>
          <c:showBubbleSize val="0"/>
        </c:dLbls>
        <c:gapWidth val="150"/>
        <c:axId val="555313792"/>
        <c:axId val="555327872"/>
      </c:barChart>
      <c:catAx>
        <c:axId val="555313792"/>
        <c:scaling>
          <c:orientation val="minMax"/>
        </c:scaling>
        <c:delete val="0"/>
        <c:axPos val="l"/>
        <c:majorTickMark val="out"/>
        <c:minorTickMark val="none"/>
        <c:tickLblPos val="nextTo"/>
        <c:crossAx val="555327872"/>
        <c:crosses val="autoZero"/>
        <c:auto val="1"/>
        <c:lblAlgn val="ctr"/>
        <c:lblOffset val="100"/>
        <c:noMultiLvlLbl val="0"/>
      </c:catAx>
      <c:valAx>
        <c:axId val="555327872"/>
        <c:scaling>
          <c:orientation val="minMax"/>
        </c:scaling>
        <c:delete val="0"/>
        <c:axPos val="b"/>
        <c:majorGridlines/>
        <c:numFmt formatCode="0.00" sourceLinked="1"/>
        <c:majorTickMark val="out"/>
        <c:minorTickMark val="none"/>
        <c:tickLblPos val="nextTo"/>
        <c:crossAx val="555313792"/>
        <c:crosses val="autoZero"/>
        <c:crossBetween val="between"/>
      </c:valAx>
    </c:plotArea>
    <c:legend>
      <c:legendPos val="r"/>
      <c:overlay val="0"/>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ru-RU" sz="1200"/>
              <a:t>Сравнение значения коэффициента выпуска (магистры 2009 год набора)</a:t>
            </a:r>
          </a:p>
        </c:rich>
      </c:tx>
      <c:overlay val="0"/>
    </c:title>
    <c:autoTitleDeleted val="0"/>
    <c:plotArea>
      <c:layout/>
      <c:barChart>
        <c:barDir val="bar"/>
        <c:grouping val="clustered"/>
        <c:varyColors val="0"/>
        <c:ser>
          <c:idx val="0"/>
          <c:order val="0"/>
          <c:tx>
            <c:strRef>
              <c:f>'Сравнение за три года'!$C$2</c:f>
              <c:strCache>
                <c:ptCount val="1"/>
                <c:pt idx="0">
                  <c:v>2011  (норм.срок)</c:v>
                </c:pt>
              </c:strCache>
            </c:strRef>
          </c:tx>
          <c:invertIfNegative val="0"/>
          <c:dLbls>
            <c:showLegendKey val="0"/>
            <c:showVal val="1"/>
            <c:showCatName val="0"/>
            <c:showSerName val="0"/>
            <c:showPercent val="0"/>
            <c:showBubbleSize val="0"/>
            <c:showLeaderLines val="0"/>
          </c:dLbls>
          <c:cat>
            <c:strRef>
              <c:f>'Сравнение за три года'!$B$3:$B$17</c:f>
              <c:strCache>
                <c:ptCount val="15"/>
                <c:pt idx="0">
                  <c:v>Экономика (МИЭФ)</c:v>
                </c:pt>
                <c:pt idx="1">
                  <c:v>Журналистика (ОДПЖ)</c:v>
                </c:pt>
                <c:pt idx="2">
                  <c:v>Прикл.матем.и информ. (ОПМИ)</c:v>
                </c:pt>
                <c:pt idx="3">
                  <c:v>Бизнес-информатика (ОПИ)</c:v>
                </c:pt>
                <c:pt idx="4">
                  <c:v>Бизнес-информатика (ФБИ)</c:v>
                </c:pt>
                <c:pt idx="5">
                  <c:v>Менеджмент (ФГМУ)</c:v>
                </c:pt>
                <c:pt idx="6">
                  <c:v>Менеджмент (ФМ)</c:v>
                </c:pt>
                <c:pt idx="7">
                  <c:v>Международные отношения (МЭиМП)</c:v>
                </c:pt>
                <c:pt idx="8">
                  <c:v>Экономика (ФМЭиМП)</c:v>
                </c:pt>
                <c:pt idx="9">
                  <c:v>Юриспруденция (ФП)</c:v>
                </c:pt>
                <c:pt idx="10">
                  <c:v>Политология (ФПП)</c:v>
                </c:pt>
                <c:pt idx="11">
                  <c:v>Психология (ФП)</c:v>
                </c:pt>
                <c:pt idx="12">
                  <c:v>Социология</c:v>
                </c:pt>
                <c:pt idx="13">
                  <c:v>Философия</c:v>
                </c:pt>
                <c:pt idx="14">
                  <c:v>Экономика</c:v>
                </c:pt>
              </c:strCache>
            </c:strRef>
          </c:cat>
          <c:val>
            <c:numRef>
              <c:f>'Сравнение за три года'!$C$3:$C$17</c:f>
              <c:numCache>
                <c:formatCode>0.00</c:formatCode>
                <c:ptCount val="15"/>
                <c:pt idx="0">
                  <c:v>56.25</c:v>
                </c:pt>
                <c:pt idx="1">
                  <c:v>81.081081081081081</c:v>
                </c:pt>
                <c:pt idx="2">
                  <c:v>51.351351351351333</c:v>
                </c:pt>
                <c:pt idx="3">
                  <c:v>68</c:v>
                </c:pt>
                <c:pt idx="4">
                  <c:v>87.704918032786836</c:v>
                </c:pt>
                <c:pt idx="5">
                  <c:v>62.962962962962962</c:v>
                </c:pt>
                <c:pt idx="6">
                  <c:v>79.227053140096615</c:v>
                </c:pt>
                <c:pt idx="7">
                  <c:v>75.862068965517267</c:v>
                </c:pt>
                <c:pt idx="8">
                  <c:v>70.212765957446777</c:v>
                </c:pt>
                <c:pt idx="9">
                  <c:v>71.153846153846104</c:v>
                </c:pt>
                <c:pt idx="10">
                  <c:v>35.820895522388057</c:v>
                </c:pt>
                <c:pt idx="11">
                  <c:v>73.75</c:v>
                </c:pt>
                <c:pt idx="12">
                  <c:v>75.510204081632708</c:v>
                </c:pt>
                <c:pt idx="13">
                  <c:v>57.894736842105289</c:v>
                </c:pt>
                <c:pt idx="14">
                  <c:v>71.686746987951764</c:v>
                </c:pt>
              </c:numCache>
            </c:numRef>
          </c:val>
        </c:ser>
        <c:ser>
          <c:idx val="1"/>
          <c:order val="1"/>
          <c:tx>
            <c:strRef>
              <c:f>'Сравнение за три года'!$D$2</c:f>
              <c:strCache>
                <c:ptCount val="1"/>
                <c:pt idx="0">
                  <c:v>2012 (норм+1)</c:v>
                </c:pt>
              </c:strCache>
            </c:strRef>
          </c:tx>
          <c:invertIfNegative val="0"/>
          <c:dLbls>
            <c:dLblPos val="ctr"/>
            <c:showLegendKey val="0"/>
            <c:showVal val="1"/>
            <c:showCatName val="0"/>
            <c:showSerName val="0"/>
            <c:showPercent val="0"/>
            <c:showBubbleSize val="0"/>
            <c:showLeaderLines val="0"/>
          </c:dLbls>
          <c:cat>
            <c:strRef>
              <c:f>'Сравнение за три года'!$B$3:$B$17</c:f>
              <c:strCache>
                <c:ptCount val="15"/>
                <c:pt idx="0">
                  <c:v>Экономика (МИЭФ)</c:v>
                </c:pt>
                <c:pt idx="1">
                  <c:v>Журналистика (ОДПЖ)</c:v>
                </c:pt>
                <c:pt idx="2">
                  <c:v>Прикл.матем.и информ. (ОПМИ)</c:v>
                </c:pt>
                <c:pt idx="3">
                  <c:v>Бизнес-информатика (ОПИ)</c:v>
                </c:pt>
                <c:pt idx="4">
                  <c:v>Бизнес-информатика (ФБИ)</c:v>
                </c:pt>
                <c:pt idx="5">
                  <c:v>Менеджмент (ФГМУ)</c:v>
                </c:pt>
                <c:pt idx="6">
                  <c:v>Менеджмент (ФМ)</c:v>
                </c:pt>
                <c:pt idx="7">
                  <c:v>Международные отношения (МЭиМП)</c:v>
                </c:pt>
                <c:pt idx="8">
                  <c:v>Экономика (ФМЭиМП)</c:v>
                </c:pt>
                <c:pt idx="9">
                  <c:v>Юриспруденция (ФП)</c:v>
                </c:pt>
                <c:pt idx="10">
                  <c:v>Политология (ФПП)</c:v>
                </c:pt>
                <c:pt idx="11">
                  <c:v>Психология (ФП)</c:v>
                </c:pt>
                <c:pt idx="12">
                  <c:v>Социология</c:v>
                </c:pt>
                <c:pt idx="13">
                  <c:v>Философия</c:v>
                </c:pt>
                <c:pt idx="14">
                  <c:v>Экономика</c:v>
                </c:pt>
              </c:strCache>
            </c:strRef>
          </c:cat>
          <c:val>
            <c:numRef>
              <c:f>'Сравнение за три года'!$D$3:$D$17</c:f>
              <c:numCache>
                <c:formatCode>0.00</c:formatCode>
                <c:ptCount val="15"/>
                <c:pt idx="0">
                  <c:v>56.25</c:v>
                </c:pt>
                <c:pt idx="1">
                  <c:v>81.081081081081081</c:v>
                </c:pt>
                <c:pt idx="2">
                  <c:v>59.459459459459438</c:v>
                </c:pt>
                <c:pt idx="3">
                  <c:v>68</c:v>
                </c:pt>
                <c:pt idx="4">
                  <c:v>89.344262295081961</c:v>
                </c:pt>
                <c:pt idx="5">
                  <c:v>66.666666666666657</c:v>
                </c:pt>
                <c:pt idx="6">
                  <c:v>84.057971014492708</c:v>
                </c:pt>
                <c:pt idx="7">
                  <c:v>79.310344827586164</c:v>
                </c:pt>
                <c:pt idx="8">
                  <c:v>74.468085106382958</c:v>
                </c:pt>
                <c:pt idx="9">
                  <c:v>73.076923076923052</c:v>
                </c:pt>
                <c:pt idx="10">
                  <c:v>38.805970149253731</c:v>
                </c:pt>
                <c:pt idx="11">
                  <c:v>75</c:v>
                </c:pt>
                <c:pt idx="12">
                  <c:v>77.551020408163296</c:v>
                </c:pt>
                <c:pt idx="13">
                  <c:v>68.421052631578945</c:v>
                </c:pt>
                <c:pt idx="14">
                  <c:v>73.795180722891558</c:v>
                </c:pt>
              </c:numCache>
            </c:numRef>
          </c:val>
        </c:ser>
        <c:ser>
          <c:idx val="2"/>
          <c:order val="2"/>
          <c:tx>
            <c:strRef>
              <c:f>'Сравнение за три года'!$E$2</c:f>
              <c:strCache>
                <c:ptCount val="1"/>
                <c:pt idx="0">
                  <c:v>2013 (норм+2)</c:v>
                </c:pt>
              </c:strCache>
            </c:strRef>
          </c:tx>
          <c:invertIfNegative val="0"/>
          <c:dLbls>
            <c:showLegendKey val="0"/>
            <c:showVal val="1"/>
            <c:showCatName val="0"/>
            <c:showSerName val="0"/>
            <c:showPercent val="0"/>
            <c:showBubbleSize val="0"/>
            <c:showLeaderLines val="0"/>
          </c:dLbls>
          <c:cat>
            <c:strRef>
              <c:f>'Сравнение за три года'!$B$3:$B$17</c:f>
              <c:strCache>
                <c:ptCount val="15"/>
                <c:pt idx="0">
                  <c:v>Экономика (МИЭФ)</c:v>
                </c:pt>
                <c:pt idx="1">
                  <c:v>Журналистика (ОДПЖ)</c:v>
                </c:pt>
                <c:pt idx="2">
                  <c:v>Прикл.матем.и информ. (ОПМИ)</c:v>
                </c:pt>
                <c:pt idx="3">
                  <c:v>Бизнес-информатика (ОПИ)</c:v>
                </c:pt>
                <c:pt idx="4">
                  <c:v>Бизнес-информатика (ФБИ)</c:v>
                </c:pt>
                <c:pt idx="5">
                  <c:v>Менеджмент (ФГМУ)</c:v>
                </c:pt>
                <c:pt idx="6">
                  <c:v>Менеджмент (ФМ)</c:v>
                </c:pt>
                <c:pt idx="7">
                  <c:v>Международные отношения (МЭиМП)</c:v>
                </c:pt>
                <c:pt idx="8">
                  <c:v>Экономика (ФМЭиМП)</c:v>
                </c:pt>
                <c:pt idx="9">
                  <c:v>Юриспруденция (ФП)</c:v>
                </c:pt>
                <c:pt idx="10">
                  <c:v>Политология (ФПП)</c:v>
                </c:pt>
                <c:pt idx="11">
                  <c:v>Психология (ФП)</c:v>
                </c:pt>
                <c:pt idx="12">
                  <c:v>Социология</c:v>
                </c:pt>
                <c:pt idx="13">
                  <c:v>Философия</c:v>
                </c:pt>
                <c:pt idx="14">
                  <c:v>Экономика</c:v>
                </c:pt>
              </c:strCache>
            </c:strRef>
          </c:cat>
          <c:val>
            <c:numRef>
              <c:f>'Сравнение за три года'!$E$3:$E$17</c:f>
              <c:numCache>
                <c:formatCode>0.00</c:formatCode>
                <c:ptCount val="15"/>
                <c:pt idx="0">
                  <c:v>56.25</c:v>
                </c:pt>
                <c:pt idx="1">
                  <c:v>81.081081081081081</c:v>
                </c:pt>
                <c:pt idx="2">
                  <c:v>59.459459459459438</c:v>
                </c:pt>
                <c:pt idx="3">
                  <c:v>68</c:v>
                </c:pt>
                <c:pt idx="4">
                  <c:v>89.344262295081961</c:v>
                </c:pt>
                <c:pt idx="5">
                  <c:v>66.666666666666657</c:v>
                </c:pt>
                <c:pt idx="6">
                  <c:v>85.024154589372017</c:v>
                </c:pt>
                <c:pt idx="7">
                  <c:v>79.310344827586164</c:v>
                </c:pt>
                <c:pt idx="8">
                  <c:v>80.851063829787222</c:v>
                </c:pt>
                <c:pt idx="9">
                  <c:v>73.076923076923052</c:v>
                </c:pt>
                <c:pt idx="10">
                  <c:v>38.805970149253731</c:v>
                </c:pt>
                <c:pt idx="11">
                  <c:v>78.75</c:v>
                </c:pt>
                <c:pt idx="12">
                  <c:v>78.571428571428541</c:v>
                </c:pt>
                <c:pt idx="13">
                  <c:v>68.421052631578945</c:v>
                </c:pt>
                <c:pt idx="14">
                  <c:v>75.903614457831324</c:v>
                </c:pt>
              </c:numCache>
            </c:numRef>
          </c:val>
        </c:ser>
        <c:dLbls>
          <c:showLegendKey val="0"/>
          <c:showVal val="0"/>
          <c:showCatName val="0"/>
          <c:showSerName val="0"/>
          <c:showPercent val="0"/>
          <c:showBubbleSize val="0"/>
        </c:dLbls>
        <c:gapWidth val="150"/>
        <c:axId val="555346944"/>
        <c:axId val="555352832"/>
      </c:barChart>
      <c:catAx>
        <c:axId val="555346944"/>
        <c:scaling>
          <c:orientation val="minMax"/>
        </c:scaling>
        <c:delete val="0"/>
        <c:axPos val="l"/>
        <c:majorTickMark val="out"/>
        <c:minorTickMark val="none"/>
        <c:tickLblPos val="nextTo"/>
        <c:crossAx val="555352832"/>
        <c:crosses val="autoZero"/>
        <c:auto val="1"/>
        <c:lblAlgn val="ctr"/>
        <c:lblOffset val="100"/>
        <c:noMultiLvlLbl val="0"/>
      </c:catAx>
      <c:valAx>
        <c:axId val="555352832"/>
        <c:scaling>
          <c:orientation val="minMax"/>
        </c:scaling>
        <c:delete val="0"/>
        <c:axPos val="b"/>
        <c:majorGridlines/>
        <c:numFmt formatCode="0.00" sourceLinked="1"/>
        <c:majorTickMark val="out"/>
        <c:minorTickMark val="none"/>
        <c:tickLblPos val="nextTo"/>
        <c:crossAx val="555346944"/>
        <c:crosses val="autoZero"/>
        <c:crossBetween val="between"/>
      </c:valAx>
    </c:plotArea>
    <c:legend>
      <c:legendPos val="r"/>
      <c:overlay val="0"/>
    </c:legend>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200"/>
              <a:t>Распределение по пятибальной шкале НИУ ВШЭ_2013_МЭиМП</a:t>
            </a:r>
          </a:p>
        </c:rich>
      </c:tx>
      <c:overlay val="0"/>
      <c:spPr>
        <a:noFill/>
        <a:ln w="25400">
          <a:noFill/>
        </a:ln>
      </c:spPr>
    </c:title>
    <c:autoTitleDeleted val="0"/>
    <c:plotArea>
      <c:layout/>
      <c:pieChart>
        <c:varyColors val="1"/>
        <c:ser>
          <c:idx val="0"/>
          <c:order val="0"/>
          <c:spPr>
            <a:gradFill rotWithShape="0">
              <a:gsLst>
                <a:gs pos="0">
                  <a:srgbClr val="9BC1FF"/>
                </a:gs>
                <a:gs pos="100000">
                  <a:srgbClr val="3F80CD"/>
                </a:gs>
              </a:gsLst>
              <a:lin ang="5400000"/>
            </a:gradFill>
            <a:ln w="25400">
              <a:noFill/>
            </a:ln>
            <a:effectLst>
              <a:outerShdw dist="35921" dir="2700000" algn="br">
                <a:srgbClr val="000000"/>
              </a:outerShdw>
            </a:effectLst>
          </c:spPr>
          <c:dPt>
            <c:idx val="1"/>
            <c:bubble3D val="0"/>
            <c:spPr>
              <a:gradFill rotWithShape="0">
                <a:gsLst>
                  <a:gs pos="0">
                    <a:srgbClr val="FF9A99"/>
                  </a:gs>
                  <a:gs pos="100000">
                    <a:srgbClr val="D1403C"/>
                  </a:gs>
                </a:gsLst>
                <a:lin ang="5400000"/>
              </a:gradFill>
              <a:ln w="25400">
                <a:noFill/>
              </a:ln>
              <a:effectLst>
                <a:outerShdw dist="35921" dir="2700000" algn="br">
                  <a:srgbClr val="000000"/>
                </a:outerShdw>
              </a:effectLst>
            </c:spPr>
          </c:dPt>
          <c:dPt>
            <c:idx val="2"/>
            <c:bubble3D val="0"/>
            <c:spPr>
              <a:gradFill rotWithShape="0">
                <a:gsLst>
                  <a:gs pos="0">
                    <a:srgbClr val="DCFFA0"/>
                  </a:gs>
                  <a:gs pos="100000">
                    <a:srgbClr val="A0CA4A"/>
                  </a:gs>
                </a:gsLst>
                <a:lin ang="5400000"/>
              </a:gradFill>
              <a:ln w="25400">
                <a:noFill/>
              </a:ln>
              <a:effectLst>
                <a:outerShdw dist="35921" dir="2700000" algn="br">
                  <a:srgbClr val="000000"/>
                </a:outerShdw>
              </a:effectLst>
            </c:spPr>
          </c:dPt>
          <c:dPt>
            <c:idx val="3"/>
            <c:bubble3D val="0"/>
            <c:spPr>
              <a:gradFill rotWithShape="0">
                <a:gsLst>
                  <a:gs pos="0">
                    <a:srgbClr val="C8B0ED"/>
                  </a:gs>
                  <a:gs pos="100000">
                    <a:srgbClr val="7F5BAB"/>
                  </a:gs>
                </a:gsLst>
                <a:lin ang="5400000"/>
              </a:gradFill>
              <a:ln w="25400">
                <a:noFill/>
              </a:ln>
              <a:effectLst>
                <a:outerShdw dist="35921" dir="2700000" algn="br">
                  <a:srgbClr val="000000"/>
                </a:outerShdw>
              </a:effectLst>
            </c:spPr>
          </c:dPt>
          <c:dPt>
            <c:idx val="4"/>
            <c:bubble3D val="0"/>
            <c:spPr>
              <a:gradFill rotWithShape="0">
                <a:gsLst>
                  <a:gs pos="0">
                    <a:srgbClr val="95EEFF"/>
                  </a:gs>
                  <a:gs pos="100000">
                    <a:srgbClr val="39B7D8"/>
                  </a:gs>
                </a:gsLst>
                <a:lin ang="5400000"/>
              </a:gradFill>
              <a:ln w="25400">
                <a:noFill/>
              </a:ln>
              <a:effectLst>
                <a:outerShdw dist="35921" dir="2700000" algn="br">
                  <a:srgbClr val="000000"/>
                </a:outerShdw>
              </a:effectLst>
            </c:spPr>
          </c:dPt>
          <c:dLbls>
            <c:spPr>
              <a:noFill/>
              <a:ln w="25400">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МЭиМП!$R$2:$R$6</c:f>
              <c:strCache>
                <c:ptCount val="5"/>
                <c:pt idx="0">
                  <c:v>Количество отличников</c:v>
                </c:pt>
                <c:pt idx="1">
                  <c:v>Количество хорошистов</c:v>
                </c:pt>
                <c:pt idx="2">
                  <c:v>Количество троечников</c:v>
                </c:pt>
                <c:pt idx="3">
                  <c:v>Количество имеющих неявки</c:v>
                </c:pt>
                <c:pt idx="4">
                  <c:v>Количество несдавших по другим причинам</c:v>
                </c:pt>
              </c:strCache>
            </c:strRef>
          </c:cat>
          <c:val>
            <c:numRef>
              <c:f>МЭиМП!$S$2:$S$6</c:f>
              <c:numCache>
                <c:formatCode>General</c:formatCode>
                <c:ptCount val="5"/>
                <c:pt idx="0">
                  <c:v>11</c:v>
                </c:pt>
                <c:pt idx="1">
                  <c:v>130</c:v>
                </c:pt>
                <c:pt idx="2">
                  <c:v>82</c:v>
                </c:pt>
                <c:pt idx="3">
                  <c:v>2</c:v>
                </c:pt>
                <c:pt idx="4">
                  <c:v>2</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2869333493925195"/>
          <c:y val="0.26650029768643102"/>
          <c:w val="0.3628697751213239"/>
          <c:h val="0.60339915976956604"/>
        </c:manualLayout>
      </c:layout>
      <c:overlay val="0"/>
      <c:spPr>
        <a:noFill/>
        <a:ln w="25400">
          <a:noFill/>
        </a:ln>
      </c:spPr>
      <c:txPr>
        <a:bodyPr/>
        <a:lstStyle/>
        <a:p>
          <a:pPr>
            <a:defRPr sz="1100"/>
          </a:pPr>
          <a:endParaRPr lang="ru-RU"/>
        </a:p>
      </c:txPr>
    </c:legend>
    <c:plotVisOnly val="1"/>
    <c:dispBlanksAs val="zero"/>
    <c:showDLblsOverMax val="0"/>
  </c:chart>
  <c:spPr>
    <a:solidFill>
      <a:srgbClr val="FFFFFF"/>
    </a:solidFill>
    <a:ln w="3175">
      <a:solidFill>
        <a:srgbClr val="969696"/>
      </a:solidFill>
      <a:prstDash val="solid"/>
    </a:ln>
  </c:sp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ru-RU" sz="1200"/>
              <a:t>Распределение по пятибальной шкале НИУ ВШЭ_2012_МЭиМП</a:t>
            </a:r>
          </a:p>
        </c:rich>
      </c:tx>
      <c:layout>
        <c:manualLayout>
          <c:xMode val="edge"/>
          <c:yMode val="edge"/>
          <c:x val="0.22977135684126454"/>
          <c:y val="6.6905615292712106E-2"/>
        </c:manualLayout>
      </c:layout>
      <c:overlay val="0"/>
      <c:spPr>
        <a:noFill/>
        <a:ln w="25400">
          <a:noFill/>
        </a:ln>
      </c:spPr>
    </c:title>
    <c:autoTitleDeleted val="0"/>
    <c:plotArea>
      <c:layout/>
      <c:pieChart>
        <c:varyColors val="1"/>
        <c:ser>
          <c:idx val="0"/>
          <c:order val="0"/>
          <c:spPr>
            <a:gradFill rotWithShape="0">
              <a:gsLst>
                <a:gs pos="0">
                  <a:srgbClr val="9BC1FF"/>
                </a:gs>
                <a:gs pos="100000">
                  <a:srgbClr val="3F80CD"/>
                </a:gs>
              </a:gsLst>
              <a:lin ang="5400000"/>
            </a:gradFill>
            <a:ln w="25400">
              <a:noFill/>
            </a:ln>
            <a:effectLst>
              <a:outerShdw dist="35921" dir="2700000" algn="br">
                <a:srgbClr val="000000"/>
              </a:outerShdw>
            </a:effectLst>
          </c:spPr>
          <c:dPt>
            <c:idx val="1"/>
            <c:bubble3D val="0"/>
            <c:spPr>
              <a:gradFill rotWithShape="0">
                <a:gsLst>
                  <a:gs pos="0">
                    <a:srgbClr val="FF9A99"/>
                  </a:gs>
                  <a:gs pos="100000">
                    <a:srgbClr val="D1403C"/>
                  </a:gs>
                </a:gsLst>
                <a:lin ang="5400000"/>
              </a:gradFill>
              <a:ln w="25400">
                <a:noFill/>
              </a:ln>
              <a:effectLst>
                <a:outerShdw dist="35921" dir="2700000" algn="br">
                  <a:srgbClr val="000000"/>
                </a:outerShdw>
              </a:effectLst>
            </c:spPr>
          </c:dPt>
          <c:dPt>
            <c:idx val="2"/>
            <c:bubble3D val="0"/>
            <c:spPr>
              <a:gradFill rotWithShape="0">
                <a:gsLst>
                  <a:gs pos="0">
                    <a:srgbClr val="DCFFA0"/>
                  </a:gs>
                  <a:gs pos="100000">
                    <a:srgbClr val="A0CA4A"/>
                  </a:gs>
                </a:gsLst>
                <a:lin ang="5400000"/>
              </a:gradFill>
              <a:ln w="25400">
                <a:noFill/>
              </a:ln>
              <a:effectLst>
                <a:outerShdw dist="35921" dir="2700000" algn="br">
                  <a:srgbClr val="000000"/>
                </a:outerShdw>
              </a:effectLst>
            </c:spPr>
          </c:dPt>
          <c:dPt>
            <c:idx val="3"/>
            <c:bubble3D val="0"/>
            <c:spPr>
              <a:gradFill rotWithShape="0">
                <a:gsLst>
                  <a:gs pos="0">
                    <a:srgbClr val="C8B0ED"/>
                  </a:gs>
                  <a:gs pos="100000">
                    <a:srgbClr val="7F5BAB"/>
                  </a:gs>
                </a:gsLst>
                <a:lin ang="5400000"/>
              </a:gradFill>
              <a:ln w="25400">
                <a:noFill/>
              </a:ln>
              <a:effectLst>
                <a:outerShdw dist="35921" dir="2700000" algn="br">
                  <a:srgbClr val="000000"/>
                </a:outerShdw>
              </a:effectLst>
            </c:spPr>
          </c:dPt>
          <c:dPt>
            <c:idx val="4"/>
            <c:bubble3D val="0"/>
            <c:spPr>
              <a:gradFill rotWithShape="0">
                <a:gsLst>
                  <a:gs pos="0">
                    <a:srgbClr val="95EEFF"/>
                  </a:gs>
                  <a:gs pos="100000">
                    <a:srgbClr val="39B7D8"/>
                  </a:gs>
                </a:gsLst>
                <a:lin ang="5400000"/>
              </a:gradFill>
              <a:ln w="25400">
                <a:noFill/>
              </a:ln>
              <a:effectLst>
                <a:outerShdw dist="35921" dir="2700000" algn="br">
                  <a:srgbClr val="000000"/>
                </a:outerShdw>
              </a:effectLst>
            </c:spPr>
          </c:dPt>
          <c:dLbls>
            <c:spPr>
              <a:noFill/>
              <a:ln w="25400">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МЭиМП!$R$2:$R$6</c:f>
              <c:strCache>
                <c:ptCount val="5"/>
                <c:pt idx="0">
                  <c:v>Количество отличников</c:v>
                </c:pt>
                <c:pt idx="1">
                  <c:v>Количество хорошистов</c:v>
                </c:pt>
                <c:pt idx="2">
                  <c:v>Количество троечников</c:v>
                </c:pt>
                <c:pt idx="3">
                  <c:v>Количество имеющих неявки</c:v>
                </c:pt>
                <c:pt idx="4">
                  <c:v>Количество несдавших по другим причинам</c:v>
                </c:pt>
              </c:strCache>
            </c:strRef>
          </c:cat>
          <c:val>
            <c:numRef>
              <c:f>МЭиМП!$S$2:$S$6</c:f>
              <c:numCache>
                <c:formatCode>General</c:formatCode>
                <c:ptCount val="5"/>
                <c:pt idx="0">
                  <c:v>37</c:v>
                </c:pt>
                <c:pt idx="1">
                  <c:v>49</c:v>
                </c:pt>
                <c:pt idx="2">
                  <c:v>8</c:v>
                </c:pt>
                <c:pt idx="3">
                  <c:v>0</c:v>
                </c:pt>
                <c:pt idx="4">
                  <c:v>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3713029784320463"/>
          <c:y val="0.23782650824560858"/>
          <c:w val="0.36286977746459137"/>
          <c:h val="0.60339915976956604"/>
        </c:manualLayout>
      </c:layout>
      <c:overlay val="0"/>
      <c:spPr>
        <a:noFill/>
        <a:ln w="25400">
          <a:noFill/>
        </a:ln>
      </c:spPr>
      <c:txPr>
        <a:bodyPr/>
        <a:lstStyle/>
        <a:p>
          <a:pPr>
            <a:defRPr sz="1100"/>
          </a:pPr>
          <a:endParaRPr lang="ru-RU"/>
        </a:p>
      </c:txPr>
    </c:legend>
    <c:plotVisOnly val="1"/>
    <c:dispBlanksAs val="zero"/>
    <c:showDLblsOverMax val="0"/>
  </c:chart>
  <c:spPr>
    <a:solidFill>
      <a:srgbClr val="FFFFFF"/>
    </a:solidFill>
    <a:ln w="3175">
      <a:solidFill>
        <a:srgbClr val="969696"/>
      </a:solidFill>
      <a:prstDash val="solid"/>
    </a:ln>
  </c:sp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Частоты по шкале ВЕС, Факультет Мировой экономики и мировой экономики, 2013 год</a:t>
            </a:r>
          </a:p>
        </c:rich>
      </c:tx>
      <c:overlay val="0"/>
    </c:title>
    <c:autoTitleDeleted val="0"/>
    <c:plotArea>
      <c:layout/>
      <c:scatterChart>
        <c:scatterStyle val="smoothMarker"/>
        <c:varyColors val="0"/>
        <c:ser>
          <c:idx val="0"/>
          <c:order val="0"/>
          <c:tx>
            <c:strRef>
              <c:f>МЭиМП!$N$6</c:f>
              <c:strCache>
                <c:ptCount val="1"/>
                <c:pt idx="0">
                  <c:v>аудирование</c:v>
                </c:pt>
              </c:strCache>
            </c:strRef>
          </c:tx>
          <c:xVal>
            <c:numRef>
              <c:f>МЭиМП!$M$7:$M$21</c:f>
              <c:numCache>
                <c:formatCode>General</c:formatCode>
                <c:ptCount val="15"/>
                <c:pt idx="0">
                  <c:v>3</c:v>
                </c:pt>
                <c:pt idx="1">
                  <c:v>5</c:v>
                </c:pt>
                <c:pt idx="2">
                  <c:v>7</c:v>
                </c:pt>
                <c:pt idx="3">
                  <c:v>9</c:v>
                </c:pt>
                <c:pt idx="4">
                  <c:v>11</c:v>
                </c:pt>
                <c:pt idx="5">
                  <c:v>13</c:v>
                </c:pt>
                <c:pt idx="6">
                  <c:v>15</c:v>
                </c:pt>
                <c:pt idx="7">
                  <c:v>17</c:v>
                </c:pt>
                <c:pt idx="8">
                  <c:v>19</c:v>
                </c:pt>
                <c:pt idx="9">
                  <c:v>21</c:v>
                </c:pt>
                <c:pt idx="10">
                  <c:v>23</c:v>
                </c:pt>
                <c:pt idx="11">
                  <c:v>25</c:v>
                </c:pt>
                <c:pt idx="12">
                  <c:v>27</c:v>
                </c:pt>
                <c:pt idx="13">
                  <c:v>29</c:v>
                </c:pt>
                <c:pt idx="14">
                  <c:v>31</c:v>
                </c:pt>
              </c:numCache>
            </c:numRef>
          </c:xVal>
          <c:yVal>
            <c:numRef>
              <c:f>МЭиМП!$N$7:$N$21</c:f>
              <c:numCache>
                <c:formatCode>General</c:formatCode>
                <c:ptCount val="15"/>
                <c:pt idx="0">
                  <c:v>2</c:v>
                </c:pt>
                <c:pt idx="1">
                  <c:v>0</c:v>
                </c:pt>
                <c:pt idx="2">
                  <c:v>2</c:v>
                </c:pt>
                <c:pt idx="3">
                  <c:v>2</c:v>
                </c:pt>
                <c:pt idx="4">
                  <c:v>3</c:v>
                </c:pt>
                <c:pt idx="5">
                  <c:v>12</c:v>
                </c:pt>
                <c:pt idx="6">
                  <c:v>20</c:v>
                </c:pt>
                <c:pt idx="7">
                  <c:v>28</c:v>
                </c:pt>
                <c:pt idx="8">
                  <c:v>31</c:v>
                </c:pt>
                <c:pt idx="9">
                  <c:v>45</c:v>
                </c:pt>
                <c:pt idx="10">
                  <c:v>41</c:v>
                </c:pt>
                <c:pt idx="11">
                  <c:v>15</c:v>
                </c:pt>
                <c:pt idx="12">
                  <c:v>20</c:v>
                </c:pt>
                <c:pt idx="13">
                  <c:v>6</c:v>
                </c:pt>
                <c:pt idx="14">
                  <c:v>0</c:v>
                </c:pt>
              </c:numCache>
            </c:numRef>
          </c:yVal>
          <c:smooth val="1"/>
        </c:ser>
        <c:ser>
          <c:idx val="1"/>
          <c:order val="1"/>
          <c:tx>
            <c:strRef>
              <c:f>МЭиМП!$O$6</c:f>
              <c:strCache>
                <c:ptCount val="1"/>
                <c:pt idx="0">
                  <c:v>чтение</c:v>
                </c:pt>
              </c:strCache>
            </c:strRef>
          </c:tx>
          <c:xVal>
            <c:numRef>
              <c:f>МЭиМП!$M$7:$M$21</c:f>
              <c:numCache>
                <c:formatCode>General</c:formatCode>
                <c:ptCount val="15"/>
                <c:pt idx="0">
                  <c:v>3</c:v>
                </c:pt>
                <c:pt idx="1">
                  <c:v>5</c:v>
                </c:pt>
                <c:pt idx="2">
                  <c:v>7</c:v>
                </c:pt>
                <c:pt idx="3">
                  <c:v>9</c:v>
                </c:pt>
                <c:pt idx="4">
                  <c:v>11</c:v>
                </c:pt>
                <c:pt idx="5">
                  <c:v>13</c:v>
                </c:pt>
                <c:pt idx="6">
                  <c:v>15</c:v>
                </c:pt>
                <c:pt idx="7">
                  <c:v>17</c:v>
                </c:pt>
                <c:pt idx="8">
                  <c:v>19</c:v>
                </c:pt>
                <c:pt idx="9">
                  <c:v>21</c:v>
                </c:pt>
                <c:pt idx="10">
                  <c:v>23</c:v>
                </c:pt>
                <c:pt idx="11">
                  <c:v>25</c:v>
                </c:pt>
                <c:pt idx="12">
                  <c:v>27</c:v>
                </c:pt>
                <c:pt idx="13">
                  <c:v>29</c:v>
                </c:pt>
                <c:pt idx="14">
                  <c:v>31</c:v>
                </c:pt>
              </c:numCache>
            </c:numRef>
          </c:xVal>
          <c:yVal>
            <c:numRef>
              <c:f>МЭиМП!$O$7:$O$21</c:f>
              <c:numCache>
                <c:formatCode>General</c:formatCode>
                <c:ptCount val="15"/>
                <c:pt idx="0">
                  <c:v>2</c:v>
                </c:pt>
                <c:pt idx="1">
                  <c:v>0</c:v>
                </c:pt>
                <c:pt idx="2">
                  <c:v>0</c:v>
                </c:pt>
                <c:pt idx="3">
                  <c:v>0</c:v>
                </c:pt>
                <c:pt idx="4">
                  <c:v>2</c:v>
                </c:pt>
                <c:pt idx="5">
                  <c:v>0</c:v>
                </c:pt>
                <c:pt idx="6">
                  <c:v>3</c:v>
                </c:pt>
                <c:pt idx="7">
                  <c:v>8</c:v>
                </c:pt>
                <c:pt idx="8">
                  <c:v>12</c:v>
                </c:pt>
                <c:pt idx="9">
                  <c:v>44</c:v>
                </c:pt>
                <c:pt idx="10">
                  <c:v>42</c:v>
                </c:pt>
                <c:pt idx="11">
                  <c:v>65</c:v>
                </c:pt>
                <c:pt idx="12">
                  <c:v>32</c:v>
                </c:pt>
                <c:pt idx="13">
                  <c:v>17</c:v>
                </c:pt>
                <c:pt idx="14">
                  <c:v>0</c:v>
                </c:pt>
              </c:numCache>
            </c:numRef>
          </c:yVal>
          <c:smooth val="1"/>
        </c:ser>
        <c:ser>
          <c:idx val="2"/>
          <c:order val="2"/>
          <c:tx>
            <c:strRef>
              <c:f>МЭиМП!$P$6</c:f>
              <c:strCache>
                <c:ptCount val="1"/>
                <c:pt idx="0">
                  <c:v>письмо</c:v>
                </c:pt>
              </c:strCache>
            </c:strRef>
          </c:tx>
          <c:xVal>
            <c:numRef>
              <c:f>МЭиМП!$M$7:$M$21</c:f>
              <c:numCache>
                <c:formatCode>General</c:formatCode>
                <c:ptCount val="15"/>
                <c:pt idx="0">
                  <c:v>3</c:v>
                </c:pt>
                <c:pt idx="1">
                  <c:v>5</c:v>
                </c:pt>
                <c:pt idx="2">
                  <c:v>7</c:v>
                </c:pt>
                <c:pt idx="3">
                  <c:v>9</c:v>
                </c:pt>
                <c:pt idx="4">
                  <c:v>11</c:v>
                </c:pt>
                <c:pt idx="5">
                  <c:v>13</c:v>
                </c:pt>
                <c:pt idx="6">
                  <c:v>15</c:v>
                </c:pt>
                <c:pt idx="7">
                  <c:v>17</c:v>
                </c:pt>
                <c:pt idx="8">
                  <c:v>19</c:v>
                </c:pt>
                <c:pt idx="9">
                  <c:v>21</c:v>
                </c:pt>
                <c:pt idx="10">
                  <c:v>23</c:v>
                </c:pt>
                <c:pt idx="11">
                  <c:v>25</c:v>
                </c:pt>
                <c:pt idx="12">
                  <c:v>27</c:v>
                </c:pt>
                <c:pt idx="13">
                  <c:v>29</c:v>
                </c:pt>
                <c:pt idx="14">
                  <c:v>31</c:v>
                </c:pt>
              </c:numCache>
            </c:numRef>
          </c:xVal>
          <c:yVal>
            <c:numRef>
              <c:f>МЭиМП!$P$7:$P$21</c:f>
              <c:numCache>
                <c:formatCode>General</c:formatCode>
                <c:ptCount val="15"/>
                <c:pt idx="0">
                  <c:v>2</c:v>
                </c:pt>
                <c:pt idx="1">
                  <c:v>0</c:v>
                </c:pt>
                <c:pt idx="2">
                  <c:v>0</c:v>
                </c:pt>
                <c:pt idx="3">
                  <c:v>0</c:v>
                </c:pt>
                <c:pt idx="4">
                  <c:v>0</c:v>
                </c:pt>
                <c:pt idx="5">
                  <c:v>0</c:v>
                </c:pt>
                <c:pt idx="6">
                  <c:v>14</c:v>
                </c:pt>
                <c:pt idx="7">
                  <c:v>20</c:v>
                </c:pt>
                <c:pt idx="8">
                  <c:v>30</c:v>
                </c:pt>
                <c:pt idx="9">
                  <c:v>109</c:v>
                </c:pt>
                <c:pt idx="10">
                  <c:v>29</c:v>
                </c:pt>
                <c:pt idx="11">
                  <c:v>14</c:v>
                </c:pt>
                <c:pt idx="12">
                  <c:v>9</c:v>
                </c:pt>
                <c:pt idx="13">
                  <c:v>0</c:v>
                </c:pt>
                <c:pt idx="14">
                  <c:v>0</c:v>
                </c:pt>
              </c:numCache>
            </c:numRef>
          </c:yVal>
          <c:smooth val="1"/>
        </c:ser>
        <c:ser>
          <c:idx val="3"/>
          <c:order val="3"/>
          <c:tx>
            <c:strRef>
              <c:f>МЭиМП!$Q$6</c:f>
              <c:strCache>
                <c:ptCount val="1"/>
                <c:pt idx="0">
                  <c:v>интервью</c:v>
                </c:pt>
              </c:strCache>
            </c:strRef>
          </c:tx>
          <c:xVal>
            <c:numRef>
              <c:f>МЭиМП!$M$7:$M$21</c:f>
              <c:numCache>
                <c:formatCode>General</c:formatCode>
                <c:ptCount val="15"/>
                <c:pt idx="0">
                  <c:v>3</c:v>
                </c:pt>
                <c:pt idx="1">
                  <c:v>5</c:v>
                </c:pt>
                <c:pt idx="2">
                  <c:v>7</c:v>
                </c:pt>
                <c:pt idx="3">
                  <c:v>9</c:v>
                </c:pt>
                <c:pt idx="4">
                  <c:v>11</c:v>
                </c:pt>
                <c:pt idx="5">
                  <c:v>13</c:v>
                </c:pt>
                <c:pt idx="6">
                  <c:v>15</c:v>
                </c:pt>
                <c:pt idx="7">
                  <c:v>17</c:v>
                </c:pt>
                <c:pt idx="8">
                  <c:v>19</c:v>
                </c:pt>
                <c:pt idx="9">
                  <c:v>21</c:v>
                </c:pt>
                <c:pt idx="10">
                  <c:v>23</c:v>
                </c:pt>
                <c:pt idx="11">
                  <c:v>25</c:v>
                </c:pt>
                <c:pt idx="12">
                  <c:v>27</c:v>
                </c:pt>
                <c:pt idx="13">
                  <c:v>29</c:v>
                </c:pt>
                <c:pt idx="14">
                  <c:v>31</c:v>
                </c:pt>
              </c:numCache>
            </c:numRef>
          </c:xVal>
          <c:yVal>
            <c:numRef>
              <c:f>МЭиМП!$Q$7:$Q$21</c:f>
              <c:numCache>
                <c:formatCode>General</c:formatCode>
                <c:ptCount val="15"/>
                <c:pt idx="0">
                  <c:v>3</c:v>
                </c:pt>
                <c:pt idx="1">
                  <c:v>0</c:v>
                </c:pt>
                <c:pt idx="2">
                  <c:v>0</c:v>
                </c:pt>
                <c:pt idx="3">
                  <c:v>0</c:v>
                </c:pt>
                <c:pt idx="4">
                  <c:v>0</c:v>
                </c:pt>
                <c:pt idx="5">
                  <c:v>0</c:v>
                </c:pt>
                <c:pt idx="6">
                  <c:v>4</c:v>
                </c:pt>
                <c:pt idx="7">
                  <c:v>16</c:v>
                </c:pt>
                <c:pt idx="8">
                  <c:v>18</c:v>
                </c:pt>
                <c:pt idx="9">
                  <c:v>57</c:v>
                </c:pt>
                <c:pt idx="10">
                  <c:v>45</c:v>
                </c:pt>
                <c:pt idx="11">
                  <c:v>39</c:v>
                </c:pt>
                <c:pt idx="12">
                  <c:v>44</c:v>
                </c:pt>
                <c:pt idx="13">
                  <c:v>1</c:v>
                </c:pt>
                <c:pt idx="14">
                  <c:v>0</c:v>
                </c:pt>
              </c:numCache>
            </c:numRef>
          </c:yVal>
          <c:smooth val="1"/>
        </c:ser>
        <c:dLbls>
          <c:showLegendKey val="0"/>
          <c:showVal val="0"/>
          <c:showCatName val="0"/>
          <c:showSerName val="0"/>
          <c:showPercent val="0"/>
          <c:showBubbleSize val="0"/>
        </c:dLbls>
        <c:axId val="555470848"/>
        <c:axId val="555472384"/>
      </c:scatterChart>
      <c:valAx>
        <c:axId val="555470848"/>
        <c:scaling>
          <c:orientation val="minMax"/>
          <c:max val="30"/>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55472384"/>
        <c:crosses val="autoZero"/>
        <c:crossBetween val="midCat"/>
      </c:valAx>
      <c:valAx>
        <c:axId val="555472384"/>
        <c:scaling>
          <c:orientation val="minMax"/>
          <c:min val="0"/>
        </c:scaling>
        <c:delete val="0"/>
        <c:axPos val="l"/>
        <c:majorGridlines/>
        <c:numFmt formatCode="General" sourceLinked="1"/>
        <c:majorTickMark val="out"/>
        <c:minorTickMark val="none"/>
        <c:tickLblPos val="nextTo"/>
        <c:crossAx val="555470848"/>
        <c:crosses val="autoZero"/>
        <c:crossBetween val="midCat"/>
      </c:valAx>
    </c:plotArea>
    <c:legend>
      <c:legendPos val="r"/>
      <c:layout>
        <c:manualLayout>
          <c:xMode val="edge"/>
          <c:yMode val="edge"/>
          <c:x val="0.76134241354321275"/>
          <c:y val="0.47520704540031522"/>
          <c:w val="0.22908172270223301"/>
          <c:h val="0.419703573686181"/>
        </c:manualLayout>
      </c:layout>
      <c:overlay val="0"/>
      <c:txPr>
        <a:bodyPr/>
        <a:lstStyle/>
        <a:p>
          <a:pPr>
            <a:defRPr sz="1100"/>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568807339450268E-2"/>
          <c:y val="0.111512330258087"/>
          <c:w val="0.89174311926605498"/>
          <c:h val="0.46689387175399238"/>
        </c:manualLayout>
      </c:layout>
      <c:barChart>
        <c:barDir val="col"/>
        <c:grouping val="clustered"/>
        <c:varyColors val="0"/>
        <c:ser>
          <c:idx val="0"/>
          <c:order val="0"/>
          <c:spPr>
            <a:solidFill>
              <a:srgbClr val="9999FF"/>
            </a:solidFill>
            <a:ln w="12700">
              <a:solidFill>
                <a:srgbClr val="000000"/>
              </a:solidFill>
              <a:prstDash val="solid"/>
            </a:ln>
            <a:effectLst>
              <a:outerShdw dist="35921" dir="2700000" algn="br">
                <a:srgbClr val="000000"/>
              </a:outerShdw>
            </a:effectLst>
          </c:spPr>
          <c:invertIfNegative val="0"/>
          <c:dPt>
            <c:idx val="0"/>
            <c:invertIfNegative val="0"/>
            <c:bubble3D val="0"/>
            <c:spPr>
              <a:solidFill>
                <a:schemeClr val="tx2">
                  <a:lumMod val="60000"/>
                  <a:lumOff val="40000"/>
                </a:schemeClr>
              </a:solidFill>
              <a:ln w="12700">
                <a:solidFill>
                  <a:srgbClr val="000000"/>
                </a:solidFill>
                <a:prstDash val="solid"/>
              </a:ln>
              <a:effectLst>
                <a:outerShdw dist="35921" dir="2700000" algn="br">
                  <a:srgbClr val="000000"/>
                </a:outerShdw>
              </a:effectLst>
            </c:spPr>
          </c:dPt>
          <c:dPt>
            <c:idx val="1"/>
            <c:invertIfNegative val="0"/>
            <c:bubble3D val="0"/>
            <c:spPr>
              <a:solidFill>
                <a:schemeClr val="tx2">
                  <a:lumMod val="60000"/>
                  <a:lumOff val="40000"/>
                </a:schemeClr>
              </a:solidFill>
              <a:ln w="12700">
                <a:solidFill>
                  <a:srgbClr val="000000"/>
                </a:solidFill>
                <a:prstDash val="solid"/>
              </a:ln>
              <a:effectLst>
                <a:outerShdw dist="35921" dir="2700000" algn="br">
                  <a:srgbClr val="000000"/>
                </a:outerShdw>
              </a:effectLst>
            </c:spPr>
          </c:dPt>
          <c:dPt>
            <c:idx val="2"/>
            <c:invertIfNegative val="0"/>
            <c:bubble3D val="0"/>
            <c:spPr>
              <a:solidFill>
                <a:schemeClr val="tx2">
                  <a:lumMod val="60000"/>
                  <a:lumOff val="40000"/>
                </a:schemeClr>
              </a:solidFill>
              <a:ln w="12700">
                <a:solidFill>
                  <a:srgbClr val="000000"/>
                </a:solidFill>
                <a:prstDash val="solid"/>
              </a:ln>
              <a:effectLst>
                <a:outerShdw dist="35921" dir="2700000" algn="br">
                  <a:srgbClr val="000000"/>
                </a:outerShdw>
              </a:effectLst>
            </c:spPr>
          </c:dPt>
          <c:dPt>
            <c:idx val="3"/>
            <c:invertIfNegative val="0"/>
            <c:bubble3D val="0"/>
            <c:spPr>
              <a:solidFill>
                <a:srgbClr val="99CC00"/>
              </a:solidFill>
              <a:ln w="12700">
                <a:solidFill>
                  <a:srgbClr val="000000"/>
                </a:solidFill>
                <a:prstDash val="solid"/>
              </a:ln>
              <a:effectLst>
                <a:outerShdw dist="35921" dir="2700000" algn="br">
                  <a:srgbClr val="000000"/>
                </a:outerShdw>
              </a:effectLst>
            </c:spPr>
          </c:dPt>
          <c:dPt>
            <c:idx val="4"/>
            <c:invertIfNegative val="0"/>
            <c:bubble3D val="0"/>
            <c:spPr>
              <a:solidFill>
                <a:srgbClr val="99CC00"/>
              </a:solidFill>
              <a:ln w="12700">
                <a:solidFill>
                  <a:srgbClr val="000000"/>
                </a:solidFill>
                <a:prstDash val="solid"/>
              </a:ln>
              <a:effectLst>
                <a:outerShdw dist="35921" dir="2700000" algn="br">
                  <a:srgbClr val="000000"/>
                </a:outerShdw>
              </a:effectLst>
            </c:spPr>
          </c:dPt>
          <c:dPt>
            <c:idx val="5"/>
            <c:invertIfNegative val="0"/>
            <c:bubble3D val="0"/>
            <c:spPr>
              <a:solidFill>
                <a:srgbClr val="99CC00"/>
              </a:solidFill>
              <a:ln w="12700">
                <a:solidFill>
                  <a:srgbClr val="000000"/>
                </a:solidFill>
                <a:prstDash val="solid"/>
              </a:ln>
              <a:effectLst>
                <a:outerShdw dist="35921" dir="2700000" algn="br">
                  <a:srgbClr val="000000"/>
                </a:outerShdw>
              </a:effectLst>
            </c:spPr>
          </c:dPt>
          <c:dPt>
            <c:idx val="6"/>
            <c:invertIfNegative val="0"/>
            <c:bubble3D val="0"/>
            <c:spPr>
              <a:solidFill>
                <a:schemeClr val="accent6">
                  <a:lumMod val="75000"/>
                </a:schemeClr>
              </a:solidFill>
              <a:ln w="12700">
                <a:solidFill>
                  <a:srgbClr val="000000"/>
                </a:solidFill>
                <a:prstDash val="solid"/>
              </a:ln>
              <a:effectLst>
                <a:outerShdw dist="35921" dir="2700000" algn="br">
                  <a:srgbClr val="000000"/>
                </a:outerShdw>
              </a:effectLst>
            </c:spPr>
          </c:dPt>
          <c:dPt>
            <c:idx val="7"/>
            <c:invertIfNegative val="0"/>
            <c:bubble3D val="0"/>
            <c:spPr>
              <a:solidFill>
                <a:schemeClr val="accent6">
                  <a:lumMod val="75000"/>
                </a:schemeClr>
              </a:solidFill>
              <a:ln w="12700">
                <a:solidFill>
                  <a:srgbClr val="000000"/>
                </a:solidFill>
                <a:prstDash val="solid"/>
              </a:ln>
              <a:effectLst>
                <a:outerShdw dist="35921" dir="2700000" algn="br">
                  <a:srgbClr val="000000"/>
                </a:outerShdw>
              </a:effectLst>
            </c:spPr>
          </c:dPt>
          <c:dPt>
            <c:idx val="8"/>
            <c:invertIfNegative val="0"/>
            <c:bubble3D val="0"/>
            <c:spPr>
              <a:solidFill>
                <a:schemeClr val="accent6">
                  <a:lumMod val="75000"/>
                </a:schemeClr>
              </a:solidFill>
              <a:ln w="12700">
                <a:solidFill>
                  <a:srgbClr val="000000"/>
                </a:solidFill>
                <a:prstDash val="solid"/>
              </a:ln>
              <a:effectLst>
                <a:outerShdw dist="35921" dir="2700000" algn="br">
                  <a:srgbClr val="000000"/>
                </a:outerShdw>
              </a:effectLst>
            </c:spPr>
          </c:dPt>
          <c:dPt>
            <c:idx val="9"/>
            <c:invertIfNegative val="0"/>
            <c:bubble3D val="0"/>
            <c:spPr>
              <a:solidFill>
                <a:srgbClr val="FA86EC"/>
              </a:solidFill>
              <a:ln w="12700">
                <a:solidFill>
                  <a:srgbClr val="000000"/>
                </a:solidFill>
                <a:prstDash val="solid"/>
              </a:ln>
              <a:effectLst>
                <a:outerShdw dist="35921" dir="2700000" algn="br">
                  <a:srgbClr val="000000"/>
                </a:outerShdw>
              </a:effectLst>
            </c:spPr>
          </c:dPt>
          <c:dPt>
            <c:idx val="10"/>
            <c:invertIfNegative val="0"/>
            <c:bubble3D val="0"/>
            <c:spPr>
              <a:solidFill>
                <a:srgbClr val="FA86EC"/>
              </a:solidFill>
              <a:ln w="12700">
                <a:solidFill>
                  <a:srgbClr val="000000"/>
                </a:solidFill>
                <a:prstDash val="solid"/>
              </a:ln>
              <a:effectLst>
                <a:outerShdw dist="35921" dir="2700000" algn="br">
                  <a:srgbClr val="000000"/>
                </a:outerShdw>
              </a:effectLst>
            </c:spPr>
          </c:dPt>
          <c:dPt>
            <c:idx val="11"/>
            <c:invertIfNegative val="0"/>
            <c:bubble3D val="0"/>
            <c:spPr>
              <a:solidFill>
                <a:srgbClr val="FA86EC"/>
              </a:solidFill>
              <a:ln w="12700">
                <a:solidFill>
                  <a:srgbClr val="000000"/>
                </a:solidFill>
                <a:prstDash val="solid"/>
              </a:ln>
              <a:effectLst>
                <a:outerShdw dist="35921" dir="2700000" algn="br">
                  <a:srgbClr val="000000"/>
                </a:outerShdw>
              </a:effectLst>
            </c:spPr>
          </c:dPt>
          <c:dLbls>
            <c:spPr>
              <a:noFill/>
              <a:ln w="25400">
                <a:noFill/>
              </a:ln>
            </c:spPr>
            <c:txPr>
              <a:bodyPr/>
              <a:lstStyle/>
              <a:p>
                <a:pPr>
                  <a:defRPr sz="1000" b="1" i="0" u="none" strike="noStrike" baseline="0">
                    <a:solidFill>
                      <a:srgbClr val="000000"/>
                    </a:solidFill>
                    <a:latin typeface="Times New Roman" pitchFamily="18" charset="0"/>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ауд!$C$13:$N$14</c:f>
              <c:multiLvlStrCache>
                <c:ptCount val="12"/>
                <c:lvl>
                  <c:pt idx="0">
                    <c:v>2010/2011</c:v>
                  </c:pt>
                  <c:pt idx="1">
                    <c:v>2011/2012</c:v>
                  </c:pt>
                  <c:pt idx="2">
                    <c:v>2012/2013</c:v>
                  </c:pt>
                  <c:pt idx="3">
                    <c:v>2010/2011</c:v>
                  </c:pt>
                  <c:pt idx="4">
                    <c:v>2011/2012</c:v>
                  </c:pt>
                  <c:pt idx="5">
                    <c:v>2012/2013</c:v>
                  </c:pt>
                  <c:pt idx="6">
                    <c:v>2010/2011</c:v>
                  </c:pt>
                  <c:pt idx="7">
                    <c:v>2011/2012</c:v>
                  </c:pt>
                  <c:pt idx="8">
                    <c:v>2012/2013</c:v>
                  </c:pt>
                  <c:pt idx="9">
                    <c:v>2010/2011</c:v>
                  </c:pt>
                  <c:pt idx="10">
                    <c:v>2011/2012</c:v>
                  </c:pt>
                  <c:pt idx="11">
                    <c:v>2012/2013</c:v>
                  </c:pt>
                </c:lvl>
                <c:lvl>
                  <c:pt idx="0">
                    <c:v>Москва</c:v>
                  </c:pt>
                  <c:pt idx="3">
                    <c:v>Нижний Новгород</c:v>
                  </c:pt>
                  <c:pt idx="6">
                    <c:v>Санкт-Петербург</c:v>
                  </c:pt>
                  <c:pt idx="9">
                    <c:v>Пермь</c:v>
                  </c:pt>
                </c:lvl>
              </c:multiLvlStrCache>
            </c:multiLvlStrRef>
          </c:cat>
          <c:val>
            <c:numRef>
              <c:f>ауд!$C$15:$N$15</c:f>
              <c:numCache>
                <c:formatCode>General</c:formatCode>
                <c:ptCount val="12"/>
                <c:pt idx="0">
                  <c:v>15.1</c:v>
                </c:pt>
                <c:pt idx="1">
                  <c:v>15.3</c:v>
                </c:pt>
                <c:pt idx="2">
                  <c:v>13.4</c:v>
                </c:pt>
                <c:pt idx="3">
                  <c:v>15.9</c:v>
                </c:pt>
                <c:pt idx="4">
                  <c:v>12.8</c:v>
                </c:pt>
                <c:pt idx="5">
                  <c:v>14.9</c:v>
                </c:pt>
                <c:pt idx="6">
                  <c:v>14.8</c:v>
                </c:pt>
                <c:pt idx="7">
                  <c:v>13.9</c:v>
                </c:pt>
                <c:pt idx="8">
                  <c:v>12.6</c:v>
                </c:pt>
                <c:pt idx="9">
                  <c:v>15.9</c:v>
                </c:pt>
                <c:pt idx="10">
                  <c:v>16</c:v>
                </c:pt>
                <c:pt idx="11">
                  <c:v>15.8</c:v>
                </c:pt>
              </c:numCache>
            </c:numRef>
          </c:val>
        </c:ser>
        <c:dLbls>
          <c:showLegendKey val="0"/>
          <c:showVal val="0"/>
          <c:showCatName val="0"/>
          <c:showSerName val="0"/>
          <c:showPercent val="0"/>
          <c:showBubbleSize val="0"/>
        </c:dLbls>
        <c:gapWidth val="150"/>
        <c:axId val="359003648"/>
        <c:axId val="359005184"/>
      </c:barChart>
      <c:catAx>
        <c:axId val="359003648"/>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0" i="0" u="none" strike="noStrike" baseline="0">
                <a:solidFill>
                  <a:srgbClr val="000000"/>
                </a:solidFill>
                <a:latin typeface="Times New Roman" pitchFamily="18" charset="0"/>
                <a:ea typeface="Arial Cyr"/>
                <a:cs typeface="Arial Cyr"/>
              </a:defRPr>
            </a:pPr>
            <a:endParaRPr lang="ru-RU"/>
          </a:p>
        </c:txPr>
        <c:crossAx val="359005184"/>
        <c:crosses val="autoZero"/>
        <c:auto val="1"/>
        <c:lblAlgn val="ctr"/>
        <c:lblOffset val="100"/>
        <c:tickLblSkip val="1"/>
        <c:tickMarkSkip val="1"/>
        <c:noMultiLvlLbl val="0"/>
      </c:catAx>
      <c:valAx>
        <c:axId val="359005184"/>
        <c:scaling>
          <c:orientation val="minMax"/>
          <c:min val="0"/>
        </c:scaling>
        <c:delete val="0"/>
        <c:axPos val="l"/>
        <c:majorGridlines>
          <c:spPr>
            <a:ln>
              <a:solidFill>
                <a:sysClr val="window" lastClr="FFFFFF">
                  <a:alpha val="0"/>
                </a:sysClr>
              </a:solidFill>
            </a:ln>
          </c:spPr>
        </c:majorGridlines>
        <c:numFmt formatCode="General" sourceLinked="1"/>
        <c:majorTickMark val="out"/>
        <c:minorTickMark val="none"/>
        <c:tickLblPos val="nextTo"/>
        <c:spPr>
          <a:noFill/>
          <a:ln w="3175">
            <a:solidFill>
              <a:srgbClr val="808080"/>
            </a:solidFill>
            <a:prstDash val="solid"/>
          </a:ln>
        </c:spPr>
        <c:txPr>
          <a:bodyPr rot="0" vert="horz"/>
          <a:lstStyle/>
          <a:p>
            <a:pPr>
              <a:defRPr sz="1000" b="0" i="0" u="none" strike="noStrike" baseline="0">
                <a:solidFill>
                  <a:srgbClr val="000000"/>
                </a:solidFill>
                <a:latin typeface="Times New Roman" pitchFamily="18" charset="0"/>
                <a:ea typeface="Arial Cyr"/>
                <a:cs typeface="Arial Cyr"/>
              </a:defRPr>
            </a:pPr>
            <a:endParaRPr lang="ru-RU"/>
          </a:p>
        </c:txPr>
        <c:crossAx val="359003648"/>
        <c:crosses val="autoZero"/>
        <c:crossBetween val="between"/>
        <c:majorUnit val="5"/>
      </c:valAx>
      <c:spPr>
        <a:noFill/>
        <a:ln w="12700">
          <a:noFill/>
          <a:prstDash val="solid"/>
        </a:ln>
      </c:spPr>
    </c:plotArea>
    <c:plotVisOnly val="1"/>
    <c:dispBlanksAs val="gap"/>
    <c:showDLblsOverMax val="0"/>
  </c:chart>
  <c:spPr>
    <a:solidFill>
      <a:srgbClr val="FFFFFF"/>
    </a:solidFill>
    <a:ln w="9525">
      <a:noFill/>
    </a:ln>
  </c:spPr>
  <c:txPr>
    <a:bodyPr/>
    <a:lstStyle/>
    <a:p>
      <a:pPr>
        <a:defRPr sz="112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200"/>
              <a:t>Распределение результатов 2013 года по пятибальной шкале НИУ ВШЭ</a:t>
            </a:r>
          </a:p>
        </c:rich>
      </c:tx>
      <c:layout>
        <c:manualLayout>
          <c:xMode val="edge"/>
          <c:yMode val="edge"/>
          <c:x val="0.130065225363313"/>
          <c:y val="1.67189132706374E-2"/>
        </c:manualLayout>
      </c:layout>
      <c:overlay val="0"/>
      <c:spPr>
        <a:noFill/>
        <a:ln w="25400">
          <a:noFill/>
        </a:ln>
      </c:spPr>
    </c:title>
    <c:autoTitleDeleted val="0"/>
    <c:plotArea>
      <c:layout/>
      <c:pieChart>
        <c:varyColors val="1"/>
        <c:ser>
          <c:idx val="0"/>
          <c:order val="0"/>
          <c:spPr>
            <a:gradFill rotWithShape="0">
              <a:gsLst>
                <a:gs pos="0">
                  <a:srgbClr val="9BC1FF"/>
                </a:gs>
                <a:gs pos="100000">
                  <a:srgbClr val="3F80CD"/>
                </a:gs>
              </a:gsLst>
              <a:lin ang="5400000"/>
            </a:gradFill>
            <a:ln w="25400">
              <a:noFill/>
            </a:ln>
            <a:effectLst>
              <a:outerShdw dist="35921" dir="2700000" algn="br">
                <a:srgbClr val="000000"/>
              </a:outerShdw>
            </a:effectLst>
          </c:spPr>
          <c:dPt>
            <c:idx val="1"/>
            <c:bubble3D val="0"/>
            <c:spPr>
              <a:gradFill rotWithShape="0">
                <a:gsLst>
                  <a:gs pos="0">
                    <a:srgbClr val="FF9A99"/>
                  </a:gs>
                  <a:gs pos="100000">
                    <a:srgbClr val="D1403C"/>
                  </a:gs>
                </a:gsLst>
                <a:lin ang="5400000"/>
              </a:gradFill>
              <a:ln w="25400">
                <a:noFill/>
              </a:ln>
              <a:effectLst>
                <a:outerShdw dist="35921" dir="2700000" algn="br">
                  <a:srgbClr val="000000"/>
                </a:outerShdw>
              </a:effectLst>
            </c:spPr>
          </c:dPt>
          <c:dPt>
            <c:idx val="2"/>
            <c:bubble3D val="0"/>
            <c:spPr>
              <a:gradFill rotWithShape="0">
                <a:gsLst>
                  <a:gs pos="0">
                    <a:srgbClr val="DCFFA0"/>
                  </a:gs>
                  <a:gs pos="100000">
                    <a:srgbClr val="A0CA4A"/>
                  </a:gs>
                </a:gsLst>
                <a:lin ang="5400000"/>
              </a:gradFill>
              <a:ln w="25400">
                <a:noFill/>
              </a:ln>
              <a:effectLst>
                <a:outerShdw dist="35921" dir="2700000" algn="br">
                  <a:srgbClr val="000000"/>
                </a:outerShdw>
              </a:effectLst>
            </c:spPr>
          </c:dPt>
          <c:dPt>
            <c:idx val="3"/>
            <c:bubble3D val="0"/>
            <c:spPr>
              <a:gradFill rotWithShape="0">
                <a:gsLst>
                  <a:gs pos="0">
                    <a:srgbClr val="C8B0ED"/>
                  </a:gs>
                  <a:gs pos="100000">
                    <a:srgbClr val="7F5BAB"/>
                  </a:gs>
                </a:gsLst>
                <a:lin ang="5400000"/>
              </a:gradFill>
              <a:ln w="25400">
                <a:noFill/>
              </a:ln>
              <a:effectLst>
                <a:outerShdw dist="35921" dir="2700000" algn="br">
                  <a:srgbClr val="000000"/>
                </a:outerShdw>
              </a:effectLst>
            </c:spPr>
          </c:dPt>
          <c:dPt>
            <c:idx val="4"/>
            <c:bubble3D val="0"/>
            <c:spPr>
              <a:gradFill rotWithShape="0">
                <a:gsLst>
                  <a:gs pos="0">
                    <a:srgbClr val="95EEFF"/>
                  </a:gs>
                  <a:gs pos="100000">
                    <a:srgbClr val="39B7D8"/>
                  </a:gs>
                </a:gsLst>
                <a:lin ang="5400000"/>
              </a:gradFill>
              <a:ln w="25400">
                <a:noFill/>
              </a:ln>
              <a:effectLst>
                <a:outerShdw dist="35921" dir="2700000" algn="br">
                  <a:srgbClr val="000000"/>
                </a:outerShdw>
              </a:effectLst>
            </c:spPr>
          </c:dPt>
          <c:dLbls>
            <c:spPr>
              <a:noFill/>
              <a:ln w="25400">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Итоги!$P$2:$P$6</c:f>
              <c:strCache>
                <c:ptCount val="5"/>
                <c:pt idx="0">
                  <c:v>Количество отличников</c:v>
                </c:pt>
                <c:pt idx="1">
                  <c:v>Количество хорошистов</c:v>
                </c:pt>
                <c:pt idx="2">
                  <c:v>Количество троечников</c:v>
                </c:pt>
                <c:pt idx="3">
                  <c:v>Количество имеющих неявки</c:v>
                </c:pt>
                <c:pt idx="4">
                  <c:v>Количество двоечников</c:v>
                </c:pt>
              </c:strCache>
            </c:strRef>
          </c:cat>
          <c:val>
            <c:numRef>
              <c:f>Итоги!$Q$2:$Q$6</c:f>
              <c:numCache>
                <c:formatCode>General</c:formatCode>
                <c:ptCount val="5"/>
                <c:pt idx="0">
                  <c:v>157</c:v>
                </c:pt>
                <c:pt idx="1">
                  <c:v>504</c:v>
                </c:pt>
                <c:pt idx="2">
                  <c:v>238</c:v>
                </c:pt>
                <c:pt idx="3">
                  <c:v>24</c:v>
                </c:pt>
                <c:pt idx="4">
                  <c:v>16</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5794400699912472"/>
          <c:y val="0.35320157827953602"/>
          <c:w val="0.35981357470503278"/>
          <c:h val="0.60265039717718005"/>
        </c:manualLayout>
      </c:layout>
      <c:overlay val="0"/>
      <c:spPr>
        <a:noFill/>
        <a:ln w="25400">
          <a:noFill/>
        </a:ln>
      </c:spPr>
      <c:txPr>
        <a:bodyPr/>
        <a:lstStyle/>
        <a:p>
          <a:pPr>
            <a:defRPr sz="1100"/>
          </a:pPr>
          <a:endParaRPr lang="ru-RU"/>
        </a:p>
      </c:txPr>
    </c:legend>
    <c:plotVisOnly val="1"/>
    <c:dispBlanksAs val="zero"/>
    <c:showDLblsOverMax val="0"/>
  </c:chart>
  <c:spPr>
    <a:solidFill>
      <a:srgbClr val="FFFFFF"/>
    </a:solidFill>
    <a:ln w="3175">
      <a:solidFill>
        <a:srgbClr val="969696"/>
      </a:solidFill>
      <a:prstDash val="solid"/>
    </a:ln>
  </c:sp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ru-RU" sz="1200"/>
              <a:t>Распределение результатов 2012 года по пятибальной шкале НИУ ВШЭ</a:t>
            </a:r>
          </a:p>
        </c:rich>
      </c:tx>
      <c:layout>
        <c:manualLayout>
          <c:xMode val="edge"/>
          <c:yMode val="edge"/>
          <c:x val="0.13740480839895"/>
          <c:y val="3.3589379309237701E-3"/>
        </c:manualLayout>
      </c:layout>
      <c:overlay val="0"/>
      <c:spPr>
        <a:noFill/>
        <a:ln w="25400">
          <a:noFill/>
        </a:ln>
      </c:spPr>
    </c:title>
    <c:autoTitleDeleted val="0"/>
    <c:plotArea>
      <c:layout>
        <c:manualLayout>
          <c:layoutTarget val="inner"/>
          <c:xMode val="edge"/>
          <c:yMode val="edge"/>
          <c:x val="0.17334169261231042"/>
          <c:y val="0.12020497437820339"/>
          <c:w val="0.37732053307839314"/>
          <c:h val="0.87979502562180534"/>
        </c:manualLayout>
      </c:layout>
      <c:pieChart>
        <c:varyColors val="1"/>
        <c:ser>
          <c:idx val="0"/>
          <c:order val="0"/>
          <c:spPr>
            <a:gradFill rotWithShape="0">
              <a:gsLst>
                <a:gs pos="0">
                  <a:srgbClr val="9BC1FF"/>
                </a:gs>
                <a:gs pos="100000">
                  <a:srgbClr val="3F80CD"/>
                </a:gs>
              </a:gsLst>
              <a:lin ang="5400000"/>
            </a:gradFill>
            <a:ln w="25400">
              <a:noFill/>
            </a:ln>
            <a:effectLst>
              <a:outerShdw dist="35921" dir="2700000" algn="br">
                <a:srgbClr val="000000"/>
              </a:outerShdw>
            </a:effectLst>
          </c:spPr>
          <c:dPt>
            <c:idx val="1"/>
            <c:bubble3D val="0"/>
            <c:spPr>
              <a:gradFill rotWithShape="0">
                <a:gsLst>
                  <a:gs pos="0">
                    <a:srgbClr val="FF9A99"/>
                  </a:gs>
                  <a:gs pos="100000">
                    <a:srgbClr val="D1403C"/>
                  </a:gs>
                </a:gsLst>
                <a:lin ang="5400000"/>
              </a:gradFill>
              <a:ln w="25400">
                <a:noFill/>
              </a:ln>
              <a:effectLst>
                <a:outerShdw dist="35921" dir="2700000" algn="br">
                  <a:srgbClr val="000000"/>
                </a:outerShdw>
              </a:effectLst>
            </c:spPr>
          </c:dPt>
          <c:dPt>
            <c:idx val="2"/>
            <c:bubble3D val="0"/>
            <c:spPr>
              <a:gradFill rotWithShape="0">
                <a:gsLst>
                  <a:gs pos="0">
                    <a:srgbClr val="DCFFA0"/>
                  </a:gs>
                  <a:gs pos="100000">
                    <a:srgbClr val="A0CA4A"/>
                  </a:gs>
                </a:gsLst>
                <a:lin ang="5400000"/>
              </a:gradFill>
              <a:ln w="25400">
                <a:noFill/>
              </a:ln>
              <a:effectLst>
                <a:outerShdw dist="35921" dir="2700000" algn="br">
                  <a:srgbClr val="000000"/>
                </a:outerShdw>
              </a:effectLst>
            </c:spPr>
          </c:dPt>
          <c:dPt>
            <c:idx val="3"/>
            <c:bubble3D val="0"/>
            <c:spPr>
              <a:gradFill rotWithShape="0">
                <a:gsLst>
                  <a:gs pos="0">
                    <a:srgbClr val="C8B0ED"/>
                  </a:gs>
                  <a:gs pos="100000">
                    <a:srgbClr val="7F5BAB"/>
                  </a:gs>
                </a:gsLst>
                <a:lin ang="5400000"/>
              </a:gradFill>
              <a:ln w="25400">
                <a:noFill/>
              </a:ln>
              <a:effectLst>
                <a:outerShdw dist="35921" dir="2700000" algn="br">
                  <a:srgbClr val="000000"/>
                </a:outerShdw>
              </a:effectLst>
            </c:spPr>
          </c:dPt>
          <c:dPt>
            <c:idx val="4"/>
            <c:bubble3D val="0"/>
            <c:spPr>
              <a:gradFill rotWithShape="0">
                <a:gsLst>
                  <a:gs pos="0">
                    <a:srgbClr val="95EEFF"/>
                  </a:gs>
                  <a:gs pos="100000">
                    <a:srgbClr val="39B7D8"/>
                  </a:gs>
                </a:gsLst>
                <a:lin ang="5400000"/>
              </a:gradFill>
              <a:ln w="25400">
                <a:noFill/>
              </a:ln>
              <a:effectLst>
                <a:outerShdw dist="35921" dir="2700000" algn="br">
                  <a:srgbClr val="000000"/>
                </a:outerShdw>
              </a:effectLst>
            </c:spPr>
          </c:dPt>
          <c:dLbls>
            <c:spPr>
              <a:noFill/>
              <a:ln w="25400">
                <a:noFill/>
              </a:ln>
            </c:spPr>
            <c:txPr>
              <a:bodyPr/>
              <a:lstStyle/>
              <a:p>
                <a:pPr>
                  <a:defRPr sz="1050"/>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итог!$P$2:$P$6</c:f>
              <c:strCache>
                <c:ptCount val="5"/>
                <c:pt idx="0">
                  <c:v>Количество отличников</c:v>
                </c:pt>
                <c:pt idx="1">
                  <c:v>Количество хорошистов</c:v>
                </c:pt>
                <c:pt idx="2">
                  <c:v>Количество троечников</c:v>
                </c:pt>
                <c:pt idx="3">
                  <c:v>Количество имеющих неявки</c:v>
                </c:pt>
                <c:pt idx="4">
                  <c:v>Количество двоечников</c:v>
                </c:pt>
              </c:strCache>
            </c:strRef>
          </c:cat>
          <c:val>
            <c:numRef>
              <c:f>итог!$Q$2:$Q$6</c:f>
              <c:numCache>
                <c:formatCode>General</c:formatCode>
                <c:ptCount val="5"/>
                <c:pt idx="0">
                  <c:v>478</c:v>
                </c:pt>
                <c:pt idx="1">
                  <c:v>385</c:v>
                </c:pt>
                <c:pt idx="2">
                  <c:v>62</c:v>
                </c:pt>
                <c:pt idx="3">
                  <c:v>44</c:v>
                </c:pt>
                <c:pt idx="4">
                  <c:v>25</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2869345375946528"/>
          <c:y val="0.266500106405618"/>
          <c:w val="0.36286996294581469"/>
          <c:h val="0.60339930481662696"/>
        </c:manualLayout>
      </c:layout>
      <c:overlay val="0"/>
      <c:spPr>
        <a:noFill/>
        <a:ln w="25400">
          <a:noFill/>
        </a:ln>
      </c:spPr>
      <c:txPr>
        <a:bodyPr/>
        <a:lstStyle/>
        <a:p>
          <a:pPr>
            <a:defRPr sz="1100"/>
          </a:pPr>
          <a:endParaRPr lang="ru-RU"/>
        </a:p>
      </c:txPr>
    </c:legend>
    <c:plotVisOnly val="1"/>
    <c:dispBlanksAs val="zero"/>
    <c:showDLblsOverMax val="0"/>
  </c:chart>
  <c:spPr>
    <a:noFill/>
    <a:ln w="3175">
      <a:solidFill>
        <a:schemeClr val="bg1">
          <a:lumMod val="65000"/>
        </a:schemeClr>
      </a:solidFill>
      <a:prstDash val="solid"/>
    </a:ln>
  </c:sp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Распределение по пятибальной шкале по факультетам _2013</a:t>
            </a:r>
          </a:p>
        </c:rich>
      </c:tx>
      <c:overlay val="0"/>
      <c:spPr>
        <a:noFill/>
        <a:ln w="25400">
          <a:noFill/>
        </a:ln>
      </c:spPr>
    </c:title>
    <c:autoTitleDeleted val="0"/>
    <c:plotArea>
      <c:layout>
        <c:manualLayout>
          <c:layoutTarget val="inner"/>
          <c:xMode val="edge"/>
          <c:yMode val="edge"/>
          <c:x val="0.13928097899896397"/>
          <c:y val="0.13613770671304087"/>
          <c:w val="0.77690895304753804"/>
          <c:h val="0.66738048081413204"/>
        </c:manualLayout>
      </c:layout>
      <c:barChart>
        <c:barDir val="bar"/>
        <c:grouping val="percentStacked"/>
        <c:varyColors val="0"/>
        <c:ser>
          <c:idx val="0"/>
          <c:order val="0"/>
          <c:tx>
            <c:strRef>
              <c:f>'шкала ВШЭ'!$A$2</c:f>
              <c:strCache>
                <c:ptCount val="1"/>
                <c:pt idx="0">
                  <c:v>Количество отличников</c:v>
                </c:pt>
              </c:strCache>
            </c:strRef>
          </c:tx>
          <c:spPr>
            <a:solidFill>
              <a:srgbClr val="4F81BD"/>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'шкала ВШЭ'!$B$1:$O$1</c:f>
              <c:strCache>
                <c:ptCount val="14"/>
                <c:pt idx="0">
                  <c:v>экономика</c:v>
                </c:pt>
                <c:pt idx="1">
                  <c:v>востоковед</c:v>
                </c:pt>
                <c:pt idx="2">
                  <c:v>культурология</c:v>
                </c:pt>
                <c:pt idx="3">
                  <c:v>философия</c:v>
                </c:pt>
                <c:pt idx="4">
                  <c:v>БИ</c:v>
                </c:pt>
                <c:pt idx="5">
                  <c:v>социология</c:v>
                </c:pt>
                <c:pt idx="6">
                  <c:v>медиаком</c:v>
                </c:pt>
                <c:pt idx="7">
                  <c:v>ПМИ</c:v>
                </c:pt>
                <c:pt idx="8">
                  <c:v>ПИ</c:v>
                </c:pt>
                <c:pt idx="9">
                  <c:v>ГМУ</c:v>
                </c:pt>
                <c:pt idx="10">
                  <c:v>математика</c:v>
                </c:pt>
                <c:pt idx="11">
                  <c:v>статистика</c:v>
                </c:pt>
                <c:pt idx="12">
                  <c:v>ВШЭ-РЭШ</c:v>
                </c:pt>
                <c:pt idx="13">
                  <c:v>все</c:v>
                </c:pt>
              </c:strCache>
            </c:strRef>
          </c:cat>
          <c:val>
            <c:numRef>
              <c:f>'шкала ВШЭ'!$B$2:$O$2</c:f>
              <c:numCache>
                <c:formatCode>General</c:formatCode>
                <c:ptCount val="14"/>
                <c:pt idx="0">
                  <c:v>54</c:v>
                </c:pt>
                <c:pt idx="1">
                  <c:v>7</c:v>
                </c:pt>
                <c:pt idx="2">
                  <c:v>4</c:v>
                </c:pt>
                <c:pt idx="3">
                  <c:v>1</c:v>
                </c:pt>
                <c:pt idx="4">
                  <c:v>20</c:v>
                </c:pt>
                <c:pt idx="5">
                  <c:v>11</c:v>
                </c:pt>
                <c:pt idx="6">
                  <c:v>2</c:v>
                </c:pt>
                <c:pt idx="7">
                  <c:v>8</c:v>
                </c:pt>
                <c:pt idx="8">
                  <c:v>7</c:v>
                </c:pt>
                <c:pt idx="9">
                  <c:v>6</c:v>
                </c:pt>
                <c:pt idx="10">
                  <c:v>7</c:v>
                </c:pt>
                <c:pt idx="11">
                  <c:v>15</c:v>
                </c:pt>
                <c:pt idx="12">
                  <c:v>15</c:v>
                </c:pt>
                <c:pt idx="13">
                  <c:v>157</c:v>
                </c:pt>
              </c:numCache>
            </c:numRef>
          </c:val>
        </c:ser>
        <c:ser>
          <c:idx val="1"/>
          <c:order val="1"/>
          <c:tx>
            <c:strRef>
              <c:f>'шкала ВШЭ'!$A$3</c:f>
              <c:strCache>
                <c:ptCount val="1"/>
                <c:pt idx="0">
                  <c:v>Количество хорошистов</c:v>
                </c:pt>
              </c:strCache>
            </c:strRef>
          </c:tx>
          <c:spPr>
            <a:solidFill>
              <a:srgbClr val="C0504D"/>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'шкала ВШЭ'!$B$1:$O$1</c:f>
              <c:strCache>
                <c:ptCount val="14"/>
                <c:pt idx="0">
                  <c:v>экономика</c:v>
                </c:pt>
                <c:pt idx="1">
                  <c:v>востоковед</c:v>
                </c:pt>
                <c:pt idx="2">
                  <c:v>культурология</c:v>
                </c:pt>
                <c:pt idx="3">
                  <c:v>философия</c:v>
                </c:pt>
                <c:pt idx="4">
                  <c:v>БИ</c:v>
                </c:pt>
                <c:pt idx="5">
                  <c:v>социология</c:v>
                </c:pt>
                <c:pt idx="6">
                  <c:v>медиаком</c:v>
                </c:pt>
                <c:pt idx="7">
                  <c:v>ПМИ</c:v>
                </c:pt>
                <c:pt idx="8">
                  <c:v>ПИ</c:v>
                </c:pt>
                <c:pt idx="9">
                  <c:v>ГМУ</c:v>
                </c:pt>
                <c:pt idx="10">
                  <c:v>математика</c:v>
                </c:pt>
                <c:pt idx="11">
                  <c:v>статистика</c:v>
                </c:pt>
                <c:pt idx="12">
                  <c:v>ВШЭ-РЭШ</c:v>
                </c:pt>
                <c:pt idx="13">
                  <c:v>все</c:v>
                </c:pt>
              </c:strCache>
            </c:strRef>
          </c:cat>
          <c:val>
            <c:numRef>
              <c:f>'шкала ВШЭ'!$B$3:$O$3</c:f>
              <c:numCache>
                <c:formatCode>General</c:formatCode>
                <c:ptCount val="14"/>
                <c:pt idx="0">
                  <c:v>94</c:v>
                </c:pt>
                <c:pt idx="1">
                  <c:v>46</c:v>
                </c:pt>
                <c:pt idx="2">
                  <c:v>9</c:v>
                </c:pt>
                <c:pt idx="3">
                  <c:v>10</c:v>
                </c:pt>
                <c:pt idx="4">
                  <c:v>50</c:v>
                </c:pt>
                <c:pt idx="5">
                  <c:v>60</c:v>
                </c:pt>
                <c:pt idx="6">
                  <c:v>24</c:v>
                </c:pt>
                <c:pt idx="7">
                  <c:v>23</c:v>
                </c:pt>
                <c:pt idx="8">
                  <c:v>24</c:v>
                </c:pt>
                <c:pt idx="9">
                  <c:v>68</c:v>
                </c:pt>
                <c:pt idx="10">
                  <c:v>30</c:v>
                </c:pt>
                <c:pt idx="11">
                  <c:v>48</c:v>
                </c:pt>
                <c:pt idx="12">
                  <c:v>18</c:v>
                </c:pt>
                <c:pt idx="13">
                  <c:v>504</c:v>
                </c:pt>
              </c:numCache>
            </c:numRef>
          </c:val>
        </c:ser>
        <c:ser>
          <c:idx val="2"/>
          <c:order val="2"/>
          <c:tx>
            <c:strRef>
              <c:f>'шкала ВШЭ'!$A$4</c:f>
              <c:strCache>
                <c:ptCount val="1"/>
                <c:pt idx="0">
                  <c:v>Количество троечников</c:v>
                </c:pt>
              </c:strCache>
            </c:strRef>
          </c:tx>
          <c:spPr>
            <a:solidFill>
              <a:srgbClr val="9BBB59"/>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'шкала ВШЭ'!$B$1:$O$1</c:f>
              <c:strCache>
                <c:ptCount val="14"/>
                <c:pt idx="0">
                  <c:v>экономика</c:v>
                </c:pt>
                <c:pt idx="1">
                  <c:v>востоковед</c:v>
                </c:pt>
                <c:pt idx="2">
                  <c:v>культурология</c:v>
                </c:pt>
                <c:pt idx="3">
                  <c:v>философия</c:v>
                </c:pt>
                <c:pt idx="4">
                  <c:v>БИ</c:v>
                </c:pt>
                <c:pt idx="5">
                  <c:v>социология</c:v>
                </c:pt>
                <c:pt idx="6">
                  <c:v>медиаком</c:v>
                </c:pt>
                <c:pt idx="7">
                  <c:v>ПМИ</c:v>
                </c:pt>
                <c:pt idx="8">
                  <c:v>ПИ</c:v>
                </c:pt>
                <c:pt idx="9">
                  <c:v>ГМУ</c:v>
                </c:pt>
                <c:pt idx="10">
                  <c:v>математика</c:v>
                </c:pt>
                <c:pt idx="11">
                  <c:v>статистика</c:v>
                </c:pt>
                <c:pt idx="12">
                  <c:v>ВШЭ-РЭШ</c:v>
                </c:pt>
                <c:pt idx="13">
                  <c:v>все</c:v>
                </c:pt>
              </c:strCache>
            </c:strRef>
          </c:cat>
          <c:val>
            <c:numRef>
              <c:f>'шкала ВШЭ'!$B$4:$O$4</c:f>
              <c:numCache>
                <c:formatCode>General</c:formatCode>
                <c:ptCount val="14"/>
                <c:pt idx="0">
                  <c:v>13</c:v>
                </c:pt>
                <c:pt idx="1">
                  <c:v>16</c:v>
                </c:pt>
                <c:pt idx="2">
                  <c:v>12</c:v>
                </c:pt>
                <c:pt idx="3">
                  <c:v>16</c:v>
                </c:pt>
                <c:pt idx="4">
                  <c:v>18</c:v>
                </c:pt>
                <c:pt idx="5">
                  <c:v>62</c:v>
                </c:pt>
                <c:pt idx="6">
                  <c:v>34</c:v>
                </c:pt>
                <c:pt idx="7">
                  <c:v>27</c:v>
                </c:pt>
                <c:pt idx="8">
                  <c:v>6</c:v>
                </c:pt>
                <c:pt idx="9">
                  <c:v>22</c:v>
                </c:pt>
                <c:pt idx="10">
                  <c:v>5</c:v>
                </c:pt>
                <c:pt idx="11">
                  <c:v>4</c:v>
                </c:pt>
                <c:pt idx="12">
                  <c:v>3</c:v>
                </c:pt>
                <c:pt idx="13">
                  <c:v>238</c:v>
                </c:pt>
              </c:numCache>
            </c:numRef>
          </c:val>
        </c:ser>
        <c:ser>
          <c:idx val="3"/>
          <c:order val="3"/>
          <c:tx>
            <c:strRef>
              <c:f>'шкала ВШЭ'!$A$6</c:f>
              <c:strCache>
                <c:ptCount val="1"/>
                <c:pt idx="0">
                  <c:v>Количество двоечников</c:v>
                </c:pt>
              </c:strCache>
            </c:strRef>
          </c:tx>
          <c:spPr>
            <a:solidFill>
              <a:srgbClr val="8064A2"/>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'шкала ВШЭ'!$B$1:$O$1</c:f>
              <c:strCache>
                <c:ptCount val="14"/>
                <c:pt idx="0">
                  <c:v>экономика</c:v>
                </c:pt>
                <c:pt idx="1">
                  <c:v>востоковед</c:v>
                </c:pt>
                <c:pt idx="2">
                  <c:v>культурология</c:v>
                </c:pt>
                <c:pt idx="3">
                  <c:v>философия</c:v>
                </c:pt>
                <c:pt idx="4">
                  <c:v>БИ</c:v>
                </c:pt>
                <c:pt idx="5">
                  <c:v>социология</c:v>
                </c:pt>
                <c:pt idx="6">
                  <c:v>медиаком</c:v>
                </c:pt>
                <c:pt idx="7">
                  <c:v>ПМИ</c:v>
                </c:pt>
                <c:pt idx="8">
                  <c:v>ПИ</c:v>
                </c:pt>
                <c:pt idx="9">
                  <c:v>ГМУ</c:v>
                </c:pt>
                <c:pt idx="10">
                  <c:v>математика</c:v>
                </c:pt>
                <c:pt idx="11">
                  <c:v>статистика</c:v>
                </c:pt>
                <c:pt idx="12">
                  <c:v>ВШЭ-РЭШ</c:v>
                </c:pt>
                <c:pt idx="13">
                  <c:v>все</c:v>
                </c:pt>
              </c:strCache>
            </c:strRef>
          </c:cat>
          <c:val>
            <c:numRef>
              <c:f>'шкала ВШЭ'!$B$6:$O$6</c:f>
              <c:numCache>
                <c:formatCode>General</c:formatCode>
                <c:ptCount val="14"/>
                <c:pt idx="0">
                  <c:v>3</c:v>
                </c:pt>
                <c:pt idx="1">
                  <c:v>0</c:v>
                </c:pt>
                <c:pt idx="2">
                  <c:v>4</c:v>
                </c:pt>
                <c:pt idx="3">
                  <c:v>0</c:v>
                </c:pt>
                <c:pt idx="4">
                  <c:v>0</c:v>
                </c:pt>
                <c:pt idx="5">
                  <c:v>1</c:v>
                </c:pt>
                <c:pt idx="6">
                  <c:v>8</c:v>
                </c:pt>
                <c:pt idx="7">
                  <c:v>1</c:v>
                </c:pt>
                <c:pt idx="8">
                  <c:v>1</c:v>
                </c:pt>
                <c:pt idx="9">
                  <c:v>1</c:v>
                </c:pt>
                <c:pt idx="10">
                  <c:v>0</c:v>
                </c:pt>
                <c:pt idx="11">
                  <c:v>0</c:v>
                </c:pt>
                <c:pt idx="12">
                  <c:v>0</c:v>
                </c:pt>
                <c:pt idx="13">
                  <c:v>16</c:v>
                </c:pt>
              </c:numCache>
            </c:numRef>
          </c:val>
        </c:ser>
        <c:ser>
          <c:idx val="4"/>
          <c:order val="4"/>
          <c:tx>
            <c:strRef>
              <c:f>'шкала ВШЭ'!$A$5</c:f>
              <c:strCache>
                <c:ptCount val="1"/>
                <c:pt idx="0">
                  <c:v>Количество имеющих неявки</c:v>
                </c:pt>
              </c:strCache>
            </c:strRef>
          </c:tx>
          <c:spPr>
            <a:solidFill>
              <a:srgbClr val="4BACC6"/>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'шкала ВШЭ'!$B$1:$O$1</c:f>
              <c:strCache>
                <c:ptCount val="14"/>
                <c:pt idx="0">
                  <c:v>экономика</c:v>
                </c:pt>
                <c:pt idx="1">
                  <c:v>востоковед</c:v>
                </c:pt>
                <c:pt idx="2">
                  <c:v>культурология</c:v>
                </c:pt>
                <c:pt idx="3">
                  <c:v>философия</c:v>
                </c:pt>
                <c:pt idx="4">
                  <c:v>БИ</c:v>
                </c:pt>
                <c:pt idx="5">
                  <c:v>социология</c:v>
                </c:pt>
                <c:pt idx="6">
                  <c:v>медиаком</c:v>
                </c:pt>
                <c:pt idx="7">
                  <c:v>ПМИ</c:v>
                </c:pt>
                <c:pt idx="8">
                  <c:v>ПИ</c:v>
                </c:pt>
                <c:pt idx="9">
                  <c:v>ГМУ</c:v>
                </c:pt>
                <c:pt idx="10">
                  <c:v>математика</c:v>
                </c:pt>
                <c:pt idx="11">
                  <c:v>статистика</c:v>
                </c:pt>
                <c:pt idx="12">
                  <c:v>ВШЭ-РЭШ</c:v>
                </c:pt>
                <c:pt idx="13">
                  <c:v>все</c:v>
                </c:pt>
              </c:strCache>
            </c:strRef>
          </c:cat>
          <c:val>
            <c:numRef>
              <c:f>'шкала ВШЭ'!$B$5:$O$5</c:f>
              <c:numCache>
                <c:formatCode>General</c:formatCode>
                <c:ptCount val="14"/>
                <c:pt idx="0">
                  <c:v>6</c:v>
                </c:pt>
                <c:pt idx="1">
                  <c:v>1</c:v>
                </c:pt>
                <c:pt idx="2">
                  <c:v>0</c:v>
                </c:pt>
                <c:pt idx="3">
                  <c:v>1</c:v>
                </c:pt>
                <c:pt idx="4">
                  <c:v>2</c:v>
                </c:pt>
                <c:pt idx="5">
                  <c:v>3</c:v>
                </c:pt>
                <c:pt idx="6">
                  <c:v>2</c:v>
                </c:pt>
                <c:pt idx="7">
                  <c:v>1</c:v>
                </c:pt>
                <c:pt idx="8">
                  <c:v>0</c:v>
                </c:pt>
                <c:pt idx="9">
                  <c:v>3</c:v>
                </c:pt>
                <c:pt idx="10">
                  <c:v>1</c:v>
                </c:pt>
                <c:pt idx="11">
                  <c:v>1</c:v>
                </c:pt>
                <c:pt idx="12">
                  <c:v>0</c:v>
                </c:pt>
                <c:pt idx="13">
                  <c:v>24</c:v>
                </c:pt>
              </c:numCache>
            </c:numRef>
          </c:val>
        </c:ser>
        <c:dLbls>
          <c:showLegendKey val="0"/>
          <c:showVal val="0"/>
          <c:showCatName val="0"/>
          <c:showSerName val="0"/>
          <c:showPercent val="0"/>
          <c:showBubbleSize val="0"/>
        </c:dLbls>
        <c:gapWidth val="75"/>
        <c:overlap val="100"/>
        <c:axId val="555605376"/>
        <c:axId val="555689088"/>
      </c:barChart>
      <c:catAx>
        <c:axId val="555605376"/>
        <c:scaling>
          <c:orientation val="minMax"/>
        </c:scaling>
        <c:delete val="0"/>
        <c:axPos val="l"/>
        <c:numFmt formatCode="General" sourceLinked="1"/>
        <c:majorTickMark val="none"/>
        <c:minorTickMark val="none"/>
        <c:tickLblPos val="nextTo"/>
        <c:spPr>
          <a:ln w="3175">
            <a:solidFill>
              <a:srgbClr val="969696"/>
            </a:solidFill>
            <a:prstDash val="solid"/>
          </a:ln>
        </c:spPr>
        <c:crossAx val="555689088"/>
        <c:crosses val="autoZero"/>
        <c:auto val="1"/>
        <c:lblAlgn val="ctr"/>
        <c:lblOffset val="100"/>
        <c:noMultiLvlLbl val="0"/>
      </c:catAx>
      <c:valAx>
        <c:axId val="555689088"/>
        <c:scaling>
          <c:orientation val="minMax"/>
        </c:scaling>
        <c:delete val="0"/>
        <c:axPos val="b"/>
        <c:majorGridlines>
          <c:spPr>
            <a:ln w="3175">
              <a:solidFill>
                <a:srgbClr val="969696"/>
              </a:solidFill>
              <a:prstDash val="solid"/>
            </a:ln>
          </c:spPr>
        </c:majorGridlines>
        <c:numFmt formatCode="0%" sourceLinked="1"/>
        <c:majorTickMark val="none"/>
        <c:minorTickMark val="none"/>
        <c:tickLblPos val="nextTo"/>
        <c:spPr>
          <a:ln w="9525">
            <a:noFill/>
          </a:ln>
        </c:spPr>
        <c:crossAx val="555605376"/>
        <c:crosses val="autoZero"/>
        <c:crossBetween val="between"/>
      </c:valAx>
      <c:spPr>
        <a:solidFill>
          <a:srgbClr val="FFFFFF"/>
        </a:solidFill>
        <a:ln w="25400">
          <a:noFill/>
        </a:ln>
      </c:spPr>
    </c:plotArea>
    <c:legend>
      <c:legendPos val="b"/>
      <c:layout>
        <c:manualLayout>
          <c:xMode val="edge"/>
          <c:yMode val="edge"/>
          <c:x val="0.12654319882461795"/>
          <c:y val="0.85483145696139495"/>
          <c:w val="0.72546118401866244"/>
          <c:h val="0.10487881697714595"/>
        </c:manualLayout>
      </c:layout>
      <c:overlay val="0"/>
      <c:spPr>
        <a:noFill/>
        <a:ln w="25400">
          <a:noFill/>
        </a:ln>
      </c:spPr>
      <c:txPr>
        <a:bodyPr/>
        <a:lstStyle/>
        <a:p>
          <a:pPr>
            <a:defRPr sz="900"/>
          </a:pPr>
          <a:endParaRPr lang="ru-RU"/>
        </a:p>
      </c:txPr>
    </c:legend>
    <c:plotVisOnly val="1"/>
    <c:dispBlanksAs val="gap"/>
    <c:showDLblsOverMax val="0"/>
  </c:chart>
  <c:spPr>
    <a:solidFill>
      <a:srgbClr val="FFFFFF"/>
    </a:solidFill>
    <a:ln w="3175">
      <a:noFill/>
      <a:prstDash val="solid"/>
    </a:ln>
  </c:sp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Распределение по пятибальной шкале по факультетам _2012</a:t>
            </a:r>
          </a:p>
        </c:rich>
      </c:tx>
      <c:overlay val="0"/>
    </c:title>
    <c:autoTitleDeleted val="0"/>
    <c:plotArea>
      <c:layout/>
      <c:barChart>
        <c:barDir val="bar"/>
        <c:grouping val="percentStacked"/>
        <c:varyColors val="0"/>
        <c:ser>
          <c:idx val="0"/>
          <c:order val="0"/>
          <c:tx>
            <c:strRef>
              <c:f>'шкала ВШЭ'!$A$2</c:f>
              <c:strCache>
                <c:ptCount val="1"/>
                <c:pt idx="0">
                  <c:v>Количество отличников</c:v>
                </c:pt>
              </c:strCache>
            </c:strRef>
          </c:tx>
          <c:spPr>
            <a:ln>
              <a:solidFill>
                <a:sysClr val="window" lastClr="FFFFFF">
                  <a:lumMod val="65000"/>
                </a:sysClr>
              </a:solidFill>
            </a:ln>
          </c:spPr>
          <c:invertIfNegative val="0"/>
          <c:dLbls>
            <c:spPr>
              <a:noFill/>
              <a:ln>
                <a:noFill/>
              </a:ln>
              <a:effectLst/>
            </c:spPr>
            <c:txPr>
              <a:bodyPr/>
              <a:lstStyle/>
              <a:p>
                <a:pPr>
                  <a:defRPr sz="105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'шкала ВШЭ'!$B$1:$M$1</c:f>
              <c:strCache>
                <c:ptCount val="12"/>
                <c:pt idx="0">
                  <c:v>экономика</c:v>
                </c:pt>
                <c:pt idx="1">
                  <c:v>восточные</c:v>
                </c:pt>
                <c:pt idx="2">
                  <c:v>философия</c:v>
                </c:pt>
                <c:pt idx="3">
                  <c:v>БИ</c:v>
                </c:pt>
                <c:pt idx="4">
                  <c:v>социология</c:v>
                </c:pt>
                <c:pt idx="5">
                  <c:v>медиаком</c:v>
                </c:pt>
                <c:pt idx="6">
                  <c:v>ПМИ</c:v>
                </c:pt>
                <c:pt idx="7">
                  <c:v>ПИ</c:v>
                </c:pt>
                <c:pt idx="8">
                  <c:v>ГМУ</c:v>
                </c:pt>
                <c:pt idx="9">
                  <c:v>математика</c:v>
                </c:pt>
                <c:pt idx="10">
                  <c:v>статистика</c:v>
                </c:pt>
                <c:pt idx="11">
                  <c:v>все</c:v>
                </c:pt>
              </c:strCache>
            </c:strRef>
          </c:cat>
          <c:val>
            <c:numRef>
              <c:f>'шкала ВШЭ'!$B$2:$M$2</c:f>
              <c:numCache>
                <c:formatCode>General</c:formatCode>
                <c:ptCount val="12"/>
                <c:pt idx="0">
                  <c:v>139</c:v>
                </c:pt>
                <c:pt idx="1">
                  <c:v>74</c:v>
                </c:pt>
                <c:pt idx="2">
                  <c:v>18</c:v>
                </c:pt>
                <c:pt idx="3">
                  <c:v>58</c:v>
                </c:pt>
                <c:pt idx="4">
                  <c:v>57</c:v>
                </c:pt>
                <c:pt idx="5">
                  <c:v>14</c:v>
                </c:pt>
                <c:pt idx="6">
                  <c:v>13</c:v>
                </c:pt>
                <c:pt idx="7">
                  <c:v>18</c:v>
                </c:pt>
                <c:pt idx="8">
                  <c:v>53</c:v>
                </c:pt>
                <c:pt idx="9">
                  <c:v>13</c:v>
                </c:pt>
                <c:pt idx="10">
                  <c:v>21</c:v>
                </c:pt>
                <c:pt idx="11">
                  <c:v>478</c:v>
                </c:pt>
              </c:numCache>
            </c:numRef>
          </c:val>
        </c:ser>
        <c:ser>
          <c:idx val="1"/>
          <c:order val="1"/>
          <c:tx>
            <c:strRef>
              <c:f>'шкала ВШЭ'!$A$3</c:f>
              <c:strCache>
                <c:ptCount val="1"/>
                <c:pt idx="0">
                  <c:v>Количество хорошистов</c:v>
                </c:pt>
              </c:strCache>
            </c:strRef>
          </c:tx>
          <c:invertIfNegative val="0"/>
          <c:dLbls>
            <c:spPr>
              <a:noFill/>
              <a:ln>
                <a:noFill/>
              </a:ln>
              <a:effectLst/>
            </c:spPr>
            <c:txPr>
              <a:bodyPr/>
              <a:lstStyle/>
              <a:p>
                <a:pPr>
                  <a:defRPr sz="105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'шкала ВШЭ'!$B$1:$M$1</c:f>
              <c:strCache>
                <c:ptCount val="12"/>
                <c:pt idx="0">
                  <c:v>экономика</c:v>
                </c:pt>
                <c:pt idx="1">
                  <c:v>восточные</c:v>
                </c:pt>
                <c:pt idx="2">
                  <c:v>философия</c:v>
                </c:pt>
                <c:pt idx="3">
                  <c:v>БИ</c:v>
                </c:pt>
                <c:pt idx="4">
                  <c:v>социология</c:v>
                </c:pt>
                <c:pt idx="5">
                  <c:v>медиаком</c:v>
                </c:pt>
                <c:pt idx="6">
                  <c:v>ПМИ</c:v>
                </c:pt>
                <c:pt idx="7">
                  <c:v>ПИ</c:v>
                </c:pt>
                <c:pt idx="8">
                  <c:v>ГМУ</c:v>
                </c:pt>
                <c:pt idx="9">
                  <c:v>математика</c:v>
                </c:pt>
                <c:pt idx="10">
                  <c:v>статистика</c:v>
                </c:pt>
                <c:pt idx="11">
                  <c:v>все</c:v>
                </c:pt>
              </c:strCache>
            </c:strRef>
          </c:cat>
          <c:val>
            <c:numRef>
              <c:f>'шкала ВШЭ'!$B$3:$M$3</c:f>
              <c:numCache>
                <c:formatCode>General</c:formatCode>
                <c:ptCount val="12"/>
                <c:pt idx="0">
                  <c:v>58</c:v>
                </c:pt>
                <c:pt idx="1">
                  <c:v>44</c:v>
                </c:pt>
                <c:pt idx="2">
                  <c:v>29</c:v>
                </c:pt>
                <c:pt idx="3">
                  <c:v>62</c:v>
                </c:pt>
                <c:pt idx="4">
                  <c:v>44</c:v>
                </c:pt>
                <c:pt idx="5">
                  <c:v>20</c:v>
                </c:pt>
                <c:pt idx="6">
                  <c:v>26</c:v>
                </c:pt>
                <c:pt idx="7">
                  <c:v>19</c:v>
                </c:pt>
                <c:pt idx="8">
                  <c:v>54</c:v>
                </c:pt>
                <c:pt idx="9">
                  <c:v>10</c:v>
                </c:pt>
                <c:pt idx="10">
                  <c:v>19</c:v>
                </c:pt>
                <c:pt idx="11">
                  <c:v>385</c:v>
                </c:pt>
              </c:numCache>
            </c:numRef>
          </c:val>
        </c:ser>
        <c:ser>
          <c:idx val="2"/>
          <c:order val="2"/>
          <c:tx>
            <c:strRef>
              <c:f>'шкала ВШЭ'!$A$4</c:f>
              <c:strCache>
                <c:ptCount val="1"/>
                <c:pt idx="0">
                  <c:v>Количество троечников</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'шкала ВШЭ'!$B$1:$M$1</c:f>
              <c:strCache>
                <c:ptCount val="12"/>
                <c:pt idx="0">
                  <c:v>экономика</c:v>
                </c:pt>
                <c:pt idx="1">
                  <c:v>восточные</c:v>
                </c:pt>
                <c:pt idx="2">
                  <c:v>философия</c:v>
                </c:pt>
                <c:pt idx="3">
                  <c:v>БИ</c:v>
                </c:pt>
                <c:pt idx="4">
                  <c:v>социология</c:v>
                </c:pt>
                <c:pt idx="5">
                  <c:v>медиаком</c:v>
                </c:pt>
                <c:pt idx="6">
                  <c:v>ПМИ</c:v>
                </c:pt>
                <c:pt idx="7">
                  <c:v>ПИ</c:v>
                </c:pt>
                <c:pt idx="8">
                  <c:v>ГМУ</c:v>
                </c:pt>
                <c:pt idx="9">
                  <c:v>математика</c:v>
                </c:pt>
                <c:pt idx="10">
                  <c:v>статистика</c:v>
                </c:pt>
                <c:pt idx="11">
                  <c:v>все</c:v>
                </c:pt>
              </c:strCache>
            </c:strRef>
          </c:cat>
          <c:val>
            <c:numRef>
              <c:f>'шкала ВШЭ'!$B$4:$M$4</c:f>
              <c:numCache>
                <c:formatCode>General</c:formatCode>
                <c:ptCount val="12"/>
                <c:pt idx="0">
                  <c:v>4</c:v>
                </c:pt>
                <c:pt idx="1">
                  <c:v>2</c:v>
                </c:pt>
                <c:pt idx="2">
                  <c:v>6</c:v>
                </c:pt>
                <c:pt idx="3">
                  <c:v>13</c:v>
                </c:pt>
                <c:pt idx="4">
                  <c:v>6</c:v>
                </c:pt>
                <c:pt idx="5">
                  <c:v>3</c:v>
                </c:pt>
                <c:pt idx="6">
                  <c:v>8</c:v>
                </c:pt>
                <c:pt idx="7">
                  <c:v>6</c:v>
                </c:pt>
                <c:pt idx="8">
                  <c:v>6</c:v>
                </c:pt>
                <c:pt idx="9">
                  <c:v>5</c:v>
                </c:pt>
                <c:pt idx="10">
                  <c:v>3</c:v>
                </c:pt>
                <c:pt idx="11">
                  <c:v>62</c:v>
                </c:pt>
              </c:numCache>
            </c:numRef>
          </c:val>
        </c:ser>
        <c:ser>
          <c:idx val="3"/>
          <c:order val="3"/>
          <c:tx>
            <c:strRef>
              <c:f>'шкала ВШЭ'!$A$6</c:f>
              <c:strCache>
                <c:ptCount val="1"/>
                <c:pt idx="0">
                  <c:v>Количество двоечников</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'шкала ВШЭ'!$B$1:$M$1</c:f>
              <c:strCache>
                <c:ptCount val="12"/>
                <c:pt idx="0">
                  <c:v>экономика</c:v>
                </c:pt>
                <c:pt idx="1">
                  <c:v>восточные</c:v>
                </c:pt>
                <c:pt idx="2">
                  <c:v>философия</c:v>
                </c:pt>
                <c:pt idx="3">
                  <c:v>БИ</c:v>
                </c:pt>
                <c:pt idx="4">
                  <c:v>социология</c:v>
                </c:pt>
                <c:pt idx="5">
                  <c:v>медиаком</c:v>
                </c:pt>
                <c:pt idx="6">
                  <c:v>ПМИ</c:v>
                </c:pt>
                <c:pt idx="7">
                  <c:v>ПИ</c:v>
                </c:pt>
                <c:pt idx="8">
                  <c:v>ГМУ</c:v>
                </c:pt>
                <c:pt idx="9">
                  <c:v>математика</c:v>
                </c:pt>
                <c:pt idx="10">
                  <c:v>статистика</c:v>
                </c:pt>
                <c:pt idx="11">
                  <c:v>все</c:v>
                </c:pt>
              </c:strCache>
            </c:strRef>
          </c:cat>
          <c:val>
            <c:numRef>
              <c:f>'шкала ВШЭ'!$B$6:$M$6</c:f>
              <c:numCache>
                <c:formatCode>General</c:formatCode>
                <c:ptCount val="12"/>
                <c:pt idx="0">
                  <c:v>0</c:v>
                </c:pt>
                <c:pt idx="1">
                  <c:v>2</c:v>
                </c:pt>
                <c:pt idx="2">
                  <c:v>3</c:v>
                </c:pt>
                <c:pt idx="3">
                  <c:v>0</c:v>
                </c:pt>
                <c:pt idx="4">
                  <c:v>1</c:v>
                </c:pt>
                <c:pt idx="5">
                  <c:v>2</c:v>
                </c:pt>
                <c:pt idx="6">
                  <c:v>4</c:v>
                </c:pt>
                <c:pt idx="7">
                  <c:v>3</c:v>
                </c:pt>
                <c:pt idx="8">
                  <c:v>7</c:v>
                </c:pt>
                <c:pt idx="9">
                  <c:v>2</c:v>
                </c:pt>
                <c:pt idx="10">
                  <c:v>1</c:v>
                </c:pt>
                <c:pt idx="11">
                  <c:v>25</c:v>
                </c:pt>
              </c:numCache>
            </c:numRef>
          </c:val>
        </c:ser>
        <c:ser>
          <c:idx val="4"/>
          <c:order val="4"/>
          <c:tx>
            <c:strRef>
              <c:f>'шкала ВШЭ'!$A$5</c:f>
              <c:strCache>
                <c:ptCount val="1"/>
                <c:pt idx="0">
                  <c:v>Количество имеющих неявки</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'шкала ВШЭ'!$B$1:$M$1</c:f>
              <c:strCache>
                <c:ptCount val="12"/>
                <c:pt idx="0">
                  <c:v>экономика</c:v>
                </c:pt>
                <c:pt idx="1">
                  <c:v>восточные</c:v>
                </c:pt>
                <c:pt idx="2">
                  <c:v>философия</c:v>
                </c:pt>
                <c:pt idx="3">
                  <c:v>БИ</c:v>
                </c:pt>
                <c:pt idx="4">
                  <c:v>социология</c:v>
                </c:pt>
                <c:pt idx="5">
                  <c:v>медиаком</c:v>
                </c:pt>
                <c:pt idx="6">
                  <c:v>ПМИ</c:v>
                </c:pt>
                <c:pt idx="7">
                  <c:v>ПИ</c:v>
                </c:pt>
                <c:pt idx="8">
                  <c:v>ГМУ</c:v>
                </c:pt>
                <c:pt idx="9">
                  <c:v>математика</c:v>
                </c:pt>
                <c:pt idx="10">
                  <c:v>статистика</c:v>
                </c:pt>
                <c:pt idx="11">
                  <c:v>все</c:v>
                </c:pt>
              </c:strCache>
            </c:strRef>
          </c:cat>
          <c:val>
            <c:numRef>
              <c:f>'шкала ВШЭ'!$B$5:$M$5</c:f>
              <c:numCache>
                <c:formatCode>General</c:formatCode>
                <c:ptCount val="12"/>
                <c:pt idx="0">
                  <c:v>13</c:v>
                </c:pt>
                <c:pt idx="1">
                  <c:v>0</c:v>
                </c:pt>
                <c:pt idx="2">
                  <c:v>7</c:v>
                </c:pt>
                <c:pt idx="3">
                  <c:v>3</c:v>
                </c:pt>
                <c:pt idx="4">
                  <c:v>4</c:v>
                </c:pt>
                <c:pt idx="5">
                  <c:v>0</c:v>
                </c:pt>
                <c:pt idx="6">
                  <c:v>1</c:v>
                </c:pt>
                <c:pt idx="7">
                  <c:v>3</c:v>
                </c:pt>
                <c:pt idx="8">
                  <c:v>9</c:v>
                </c:pt>
                <c:pt idx="9">
                  <c:v>0</c:v>
                </c:pt>
                <c:pt idx="10">
                  <c:v>4</c:v>
                </c:pt>
                <c:pt idx="11">
                  <c:v>44</c:v>
                </c:pt>
              </c:numCache>
            </c:numRef>
          </c:val>
        </c:ser>
        <c:dLbls>
          <c:showLegendKey val="0"/>
          <c:showVal val="0"/>
          <c:showCatName val="0"/>
          <c:showSerName val="0"/>
          <c:showPercent val="0"/>
          <c:showBubbleSize val="0"/>
        </c:dLbls>
        <c:gapWidth val="75"/>
        <c:overlap val="100"/>
        <c:axId val="555727104"/>
        <c:axId val="555749376"/>
      </c:barChart>
      <c:catAx>
        <c:axId val="555727104"/>
        <c:scaling>
          <c:orientation val="minMax"/>
        </c:scaling>
        <c:delete val="0"/>
        <c:axPos val="l"/>
        <c:numFmt formatCode="General" sourceLinked="1"/>
        <c:majorTickMark val="none"/>
        <c:minorTickMark val="none"/>
        <c:tickLblPos val="nextTo"/>
        <c:crossAx val="555749376"/>
        <c:crosses val="autoZero"/>
        <c:auto val="1"/>
        <c:lblAlgn val="ctr"/>
        <c:lblOffset val="100"/>
        <c:noMultiLvlLbl val="0"/>
      </c:catAx>
      <c:valAx>
        <c:axId val="555749376"/>
        <c:scaling>
          <c:orientation val="minMax"/>
        </c:scaling>
        <c:delete val="0"/>
        <c:axPos val="b"/>
        <c:majorGridlines/>
        <c:numFmt formatCode="0%" sourceLinked="1"/>
        <c:majorTickMark val="none"/>
        <c:minorTickMark val="none"/>
        <c:tickLblPos val="nextTo"/>
        <c:spPr>
          <a:ln w="9525">
            <a:noFill/>
          </a:ln>
        </c:spPr>
        <c:txPr>
          <a:bodyPr/>
          <a:lstStyle/>
          <a:p>
            <a:pPr>
              <a:defRPr sz="900"/>
            </a:pPr>
            <a:endParaRPr lang="ru-RU"/>
          </a:p>
        </c:txPr>
        <c:crossAx val="55572710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Среднее значение оценки </a:t>
            </a:r>
            <a:r>
              <a:rPr lang="en-US"/>
              <a:t>IELTS</a:t>
            </a:r>
            <a:r>
              <a:rPr lang="ru-RU"/>
              <a:t> по испытаниям по факультетам_2013_</a:t>
            </a:r>
          </a:p>
        </c:rich>
      </c:tx>
      <c:layout>
        <c:manualLayout>
          <c:xMode val="edge"/>
          <c:yMode val="edge"/>
          <c:x val="0.19053231513244548"/>
          <c:y val="0"/>
        </c:manualLayout>
      </c:layout>
      <c:overlay val="0"/>
      <c:spPr>
        <a:noFill/>
        <a:ln w="25400">
          <a:noFill/>
        </a:ln>
      </c:spPr>
    </c:title>
    <c:autoTitleDeleted val="0"/>
    <c:plotArea>
      <c:layout/>
      <c:barChart>
        <c:barDir val="col"/>
        <c:grouping val="clustered"/>
        <c:varyColors val="0"/>
        <c:ser>
          <c:idx val="0"/>
          <c:order val="0"/>
          <c:tx>
            <c:strRef>
              <c:f>'Сравн.фак-ов'!$A$36</c:f>
              <c:strCache>
                <c:ptCount val="1"/>
                <c:pt idx="0">
                  <c:v>Экономики</c:v>
                </c:pt>
              </c:strCache>
            </c:strRef>
          </c:tx>
          <c:spPr>
            <a:solidFill>
              <a:srgbClr val="40699C"/>
            </a:solidFill>
            <a:ln w="25400">
              <a:noFill/>
            </a:ln>
          </c:spPr>
          <c:invertIfNegative val="0"/>
          <c:cat>
            <c:strRef>
              <c:f>'Сравн.фак-ов'!$B$35:$F$35</c:f>
              <c:strCache>
                <c:ptCount val="5"/>
                <c:pt idx="0">
                  <c:v>аудирование</c:v>
                </c:pt>
                <c:pt idx="1">
                  <c:v>чтение </c:v>
                </c:pt>
                <c:pt idx="2">
                  <c:v>письмо </c:v>
                </c:pt>
                <c:pt idx="3">
                  <c:v>интервью</c:v>
                </c:pt>
                <c:pt idx="4">
                  <c:v>Средняя оценка IELTS</c:v>
                </c:pt>
              </c:strCache>
            </c:strRef>
          </c:cat>
          <c:val>
            <c:numRef>
              <c:f>'Сравн.фак-ов'!$B$36:$F$36</c:f>
              <c:numCache>
                <c:formatCode>0.00</c:formatCode>
                <c:ptCount val="5"/>
                <c:pt idx="0">
                  <c:v>7.1818181818181834</c:v>
                </c:pt>
                <c:pt idx="1">
                  <c:v>7.3124999999999956</c:v>
                </c:pt>
                <c:pt idx="2">
                  <c:v>6.1339285714285685</c:v>
                </c:pt>
                <c:pt idx="3">
                  <c:v>6.1859756097560759</c:v>
                </c:pt>
                <c:pt idx="4">
                  <c:v>6.637202380952397</c:v>
                </c:pt>
              </c:numCache>
            </c:numRef>
          </c:val>
        </c:ser>
        <c:ser>
          <c:idx val="1"/>
          <c:order val="1"/>
          <c:tx>
            <c:strRef>
              <c:f>'Сравн.фак-ов'!$A$37</c:f>
              <c:strCache>
                <c:ptCount val="1"/>
                <c:pt idx="0">
                  <c:v>Статистики</c:v>
                </c:pt>
              </c:strCache>
            </c:strRef>
          </c:tx>
          <c:spPr>
            <a:solidFill>
              <a:srgbClr val="9E413E"/>
            </a:solidFill>
            <a:ln w="25400">
              <a:noFill/>
            </a:ln>
          </c:spPr>
          <c:invertIfNegative val="0"/>
          <c:cat>
            <c:strRef>
              <c:f>'Сравн.фак-ов'!$B$35:$F$35</c:f>
              <c:strCache>
                <c:ptCount val="5"/>
                <c:pt idx="0">
                  <c:v>аудирование</c:v>
                </c:pt>
                <c:pt idx="1">
                  <c:v>чтение </c:v>
                </c:pt>
                <c:pt idx="2">
                  <c:v>письмо </c:v>
                </c:pt>
                <c:pt idx="3">
                  <c:v>интервью</c:v>
                </c:pt>
                <c:pt idx="4">
                  <c:v>Средняя оценка IELTS</c:v>
                </c:pt>
              </c:strCache>
            </c:strRef>
          </c:cat>
          <c:val>
            <c:numRef>
              <c:f>'Сравн.фак-ов'!$B$37:$F$37</c:f>
              <c:numCache>
                <c:formatCode>0.00</c:formatCode>
                <c:ptCount val="5"/>
                <c:pt idx="0">
                  <c:v>6.8333333333333481</c:v>
                </c:pt>
                <c:pt idx="1">
                  <c:v>7.5820895522388057</c:v>
                </c:pt>
                <c:pt idx="2">
                  <c:v>6.0597014925373323</c:v>
                </c:pt>
                <c:pt idx="3">
                  <c:v>6.0522388059701502</c:v>
                </c:pt>
                <c:pt idx="4">
                  <c:v>6.6365671641791124</c:v>
                </c:pt>
              </c:numCache>
            </c:numRef>
          </c:val>
        </c:ser>
        <c:ser>
          <c:idx val="2"/>
          <c:order val="2"/>
          <c:tx>
            <c:strRef>
              <c:f>'Сравн.фак-ов'!$A$38</c:f>
              <c:strCache>
                <c:ptCount val="1"/>
                <c:pt idx="0">
                  <c:v>Математики</c:v>
                </c:pt>
              </c:strCache>
            </c:strRef>
          </c:tx>
          <c:spPr>
            <a:solidFill>
              <a:srgbClr val="7F9A48"/>
            </a:solidFill>
            <a:ln w="25400">
              <a:noFill/>
            </a:ln>
          </c:spPr>
          <c:invertIfNegative val="0"/>
          <c:cat>
            <c:strRef>
              <c:f>'Сравн.фак-ов'!$B$35:$F$35</c:f>
              <c:strCache>
                <c:ptCount val="5"/>
                <c:pt idx="0">
                  <c:v>аудирование</c:v>
                </c:pt>
                <c:pt idx="1">
                  <c:v>чтение </c:v>
                </c:pt>
                <c:pt idx="2">
                  <c:v>письмо </c:v>
                </c:pt>
                <c:pt idx="3">
                  <c:v>интервью</c:v>
                </c:pt>
                <c:pt idx="4">
                  <c:v>Средняя оценка IELTS</c:v>
                </c:pt>
              </c:strCache>
            </c:strRef>
          </c:cat>
          <c:val>
            <c:numRef>
              <c:f>'Сравн.фак-ов'!$B$38:$F$38</c:f>
              <c:numCache>
                <c:formatCode>0.00</c:formatCode>
                <c:ptCount val="5"/>
                <c:pt idx="0">
                  <c:v>6.8928571428571415</c:v>
                </c:pt>
                <c:pt idx="1">
                  <c:v>7.0595238095238102</c:v>
                </c:pt>
                <c:pt idx="2">
                  <c:v>5.8333333333333481</c:v>
                </c:pt>
                <c:pt idx="3">
                  <c:v>6.2976190476190466</c:v>
                </c:pt>
                <c:pt idx="4">
                  <c:v>6.5235714285714277</c:v>
                </c:pt>
              </c:numCache>
            </c:numRef>
          </c:val>
        </c:ser>
        <c:ser>
          <c:idx val="3"/>
          <c:order val="3"/>
          <c:tx>
            <c:strRef>
              <c:f>'Сравн.фак-ов'!$A$39</c:f>
              <c:strCache>
                <c:ptCount val="1"/>
                <c:pt idx="0">
                  <c:v>ПИ</c:v>
                </c:pt>
              </c:strCache>
            </c:strRef>
          </c:tx>
          <c:spPr>
            <a:solidFill>
              <a:srgbClr val="695185"/>
            </a:solidFill>
            <a:ln w="25400">
              <a:noFill/>
            </a:ln>
          </c:spPr>
          <c:invertIfNegative val="0"/>
          <c:cat>
            <c:strRef>
              <c:f>'Сравн.фак-ов'!$B$35:$F$35</c:f>
              <c:strCache>
                <c:ptCount val="5"/>
                <c:pt idx="0">
                  <c:v>аудирование</c:v>
                </c:pt>
                <c:pt idx="1">
                  <c:v>чтение </c:v>
                </c:pt>
                <c:pt idx="2">
                  <c:v>письмо </c:v>
                </c:pt>
                <c:pt idx="3">
                  <c:v>интервью</c:v>
                </c:pt>
                <c:pt idx="4">
                  <c:v>Средняя оценка IELTS</c:v>
                </c:pt>
              </c:strCache>
            </c:strRef>
          </c:cat>
          <c:val>
            <c:numRef>
              <c:f>'Сравн.фак-ов'!$B$39:$F$39</c:f>
              <c:numCache>
                <c:formatCode>0.00</c:formatCode>
                <c:ptCount val="5"/>
                <c:pt idx="0">
                  <c:v>6.2297297297297334</c:v>
                </c:pt>
                <c:pt idx="1">
                  <c:v>7.2105263157894726</c:v>
                </c:pt>
                <c:pt idx="2">
                  <c:v>6.1973684210526434</c:v>
                </c:pt>
                <c:pt idx="3">
                  <c:v>6.381578947368407</c:v>
                </c:pt>
                <c:pt idx="4">
                  <c:v>6.4663157894736933</c:v>
                </c:pt>
              </c:numCache>
            </c:numRef>
          </c:val>
        </c:ser>
        <c:ser>
          <c:idx val="4"/>
          <c:order val="4"/>
          <c:tx>
            <c:strRef>
              <c:f>'Сравн.фак-ов'!$A$40</c:f>
              <c:strCache>
                <c:ptCount val="1"/>
                <c:pt idx="0">
                  <c:v>БИ</c:v>
                </c:pt>
              </c:strCache>
            </c:strRef>
          </c:tx>
          <c:spPr>
            <a:solidFill>
              <a:srgbClr val="3C8DA3"/>
            </a:solidFill>
            <a:ln w="25400">
              <a:noFill/>
            </a:ln>
          </c:spPr>
          <c:invertIfNegative val="0"/>
          <c:cat>
            <c:strRef>
              <c:f>'Сравн.фак-ов'!$B$35:$F$35</c:f>
              <c:strCache>
                <c:ptCount val="5"/>
                <c:pt idx="0">
                  <c:v>аудирование</c:v>
                </c:pt>
                <c:pt idx="1">
                  <c:v>чтение </c:v>
                </c:pt>
                <c:pt idx="2">
                  <c:v>письмо </c:v>
                </c:pt>
                <c:pt idx="3">
                  <c:v>интервью</c:v>
                </c:pt>
                <c:pt idx="4">
                  <c:v>Средняя оценка IELTS</c:v>
                </c:pt>
              </c:strCache>
            </c:strRef>
          </c:cat>
          <c:val>
            <c:numRef>
              <c:f>'Сравн.фак-ов'!$B$40:$F$40</c:f>
              <c:numCache>
                <c:formatCode>0.00</c:formatCode>
                <c:ptCount val="5"/>
                <c:pt idx="0">
                  <c:v>6.6966292134831598</c:v>
                </c:pt>
                <c:pt idx="1">
                  <c:v>6.7528089887640474</c:v>
                </c:pt>
                <c:pt idx="2">
                  <c:v>6.1647727272727266</c:v>
                </c:pt>
                <c:pt idx="3">
                  <c:v>6.25</c:v>
                </c:pt>
                <c:pt idx="4">
                  <c:v>6.433932584269682</c:v>
                </c:pt>
              </c:numCache>
            </c:numRef>
          </c:val>
        </c:ser>
        <c:ser>
          <c:idx val="5"/>
          <c:order val="5"/>
          <c:tx>
            <c:strRef>
              <c:f>'Сравн.фак-ов'!$A$41</c:f>
              <c:strCache>
                <c:ptCount val="1"/>
                <c:pt idx="0">
                  <c:v>Востоковедения</c:v>
                </c:pt>
              </c:strCache>
            </c:strRef>
          </c:tx>
          <c:spPr>
            <a:solidFill>
              <a:srgbClr val="CC7B38"/>
            </a:solidFill>
            <a:ln w="25400">
              <a:noFill/>
            </a:ln>
          </c:spPr>
          <c:invertIfNegative val="0"/>
          <c:cat>
            <c:strRef>
              <c:f>'Сравн.фак-ов'!$B$35:$F$35</c:f>
              <c:strCache>
                <c:ptCount val="5"/>
                <c:pt idx="0">
                  <c:v>аудирование</c:v>
                </c:pt>
                <c:pt idx="1">
                  <c:v>чтение </c:v>
                </c:pt>
                <c:pt idx="2">
                  <c:v>письмо </c:v>
                </c:pt>
                <c:pt idx="3">
                  <c:v>интервью</c:v>
                </c:pt>
                <c:pt idx="4">
                  <c:v>Средняя оценка IELTS</c:v>
                </c:pt>
              </c:strCache>
            </c:strRef>
          </c:cat>
          <c:val>
            <c:numRef>
              <c:f>'Сравн.фак-ов'!$B$41:$F$41</c:f>
              <c:numCache>
                <c:formatCode>0.00</c:formatCode>
                <c:ptCount val="5"/>
                <c:pt idx="0">
                  <c:v>6.4855072463767973</c:v>
                </c:pt>
                <c:pt idx="1">
                  <c:v>6.3768115942028984</c:v>
                </c:pt>
                <c:pt idx="2">
                  <c:v>5.9710144927536506</c:v>
                </c:pt>
                <c:pt idx="3">
                  <c:v>6.3550724637681162</c:v>
                </c:pt>
                <c:pt idx="4">
                  <c:v>6.2997101449275394</c:v>
                </c:pt>
              </c:numCache>
            </c:numRef>
          </c:val>
        </c:ser>
        <c:ser>
          <c:idx val="6"/>
          <c:order val="6"/>
          <c:tx>
            <c:strRef>
              <c:f>'Сравн.фак-ов'!$A$42</c:f>
              <c:strCache>
                <c:ptCount val="1"/>
                <c:pt idx="0">
                  <c:v>ГМУ</c:v>
                </c:pt>
              </c:strCache>
            </c:strRef>
          </c:tx>
          <c:spPr>
            <a:solidFill>
              <a:srgbClr val="4F81BD"/>
            </a:solidFill>
            <a:ln w="25400">
              <a:noFill/>
            </a:ln>
          </c:spPr>
          <c:invertIfNegative val="0"/>
          <c:cat>
            <c:strRef>
              <c:f>'Сравн.фак-ов'!$B$35:$F$35</c:f>
              <c:strCache>
                <c:ptCount val="5"/>
                <c:pt idx="0">
                  <c:v>аудирование</c:v>
                </c:pt>
                <c:pt idx="1">
                  <c:v>чтение </c:v>
                </c:pt>
                <c:pt idx="2">
                  <c:v>письмо </c:v>
                </c:pt>
                <c:pt idx="3">
                  <c:v>интервью</c:v>
                </c:pt>
                <c:pt idx="4">
                  <c:v>Средняя оценка IELTS</c:v>
                </c:pt>
              </c:strCache>
            </c:strRef>
          </c:cat>
          <c:val>
            <c:numRef>
              <c:f>'Сравн.фак-ов'!$B$42:$F$42</c:f>
              <c:numCache>
                <c:formatCode>0.00</c:formatCode>
                <c:ptCount val="5"/>
                <c:pt idx="0">
                  <c:v>6.045918367346915</c:v>
                </c:pt>
                <c:pt idx="1">
                  <c:v>7.4285714285714288</c:v>
                </c:pt>
                <c:pt idx="2">
                  <c:v>5.695876288659778</c:v>
                </c:pt>
                <c:pt idx="3">
                  <c:v>6.0463917525773345</c:v>
                </c:pt>
                <c:pt idx="4">
                  <c:v>6.2771428571428558</c:v>
                </c:pt>
              </c:numCache>
            </c:numRef>
          </c:val>
        </c:ser>
        <c:ser>
          <c:idx val="7"/>
          <c:order val="7"/>
          <c:tx>
            <c:strRef>
              <c:f>'Сравн.фак-ов'!$A$43</c:f>
              <c:strCache>
                <c:ptCount val="1"/>
                <c:pt idx="0">
                  <c:v>Культурологии</c:v>
                </c:pt>
              </c:strCache>
            </c:strRef>
          </c:tx>
          <c:spPr>
            <a:solidFill>
              <a:srgbClr val="C0504D"/>
            </a:solidFill>
            <a:ln w="25400">
              <a:noFill/>
            </a:ln>
          </c:spPr>
          <c:invertIfNegative val="0"/>
          <c:cat>
            <c:strRef>
              <c:f>'Сравн.фак-ов'!$B$35:$F$35</c:f>
              <c:strCache>
                <c:ptCount val="5"/>
                <c:pt idx="0">
                  <c:v>аудирование</c:v>
                </c:pt>
                <c:pt idx="1">
                  <c:v>чтение </c:v>
                </c:pt>
                <c:pt idx="2">
                  <c:v>письмо </c:v>
                </c:pt>
                <c:pt idx="3">
                  <c:v>интервью</c:v>
                </c:pt>
                <c:pt idx="4">
                  <c:v>Средняя оценка IELTS</c:v>
                </c:pt>
              </c:strCache>
            </c:strRef>
          </c:cat>
          <c:val>
            <c:numRef>
              <c:f>'Сравн.фак-ов'!$B$43:$F$43</c:f>
              <c:numCache>
                <c:formatCode>0.00</c:formatCode>
                <c:ptCount val="5"/>
                <c:pt idx="0">
                  <c:v>6.0370370370370345</c:v>
                </c:pt>
                <c:pt idx="1">
                  <c:v>6.8518518518518485</c:v>
                </c:pt>
                <c:pt idx="2">
                  <c:v>5.9629629629629628</c:v>
                </c:pt>
                <c:pt idx="3">
                  <c:v>5.9</c:v>
                </c:pt>
                <c:pt idx="4">
                  <c:v>6.0814814814814824</c:v>
                </c:pt>
              </c:numCache>
            </c:numRef>
          </c:val>
        </c:ser>
        <c:ser>
          <c:idx val="8"/>
          <c:order val="8"/>
          <c:tx>
            <c:strRef>
              <c:f>'Сравн.фак-ов'!$A$44</c:f>
              <c:strCache>
                <c:ptCount val="1"/>
                <c:pt idx="0">
                  <c:v>Социологии</c:v>
                </c:pt>
              </c:strCache>
            </c:strRef>
          </c:tx>
          <c:spPr>
            <a:solidFill>
              <a:srgbClr val="9BBB59"/>
            </a:solidFill>
            <a:ln w="25400">
              <a:noFill/>
            </a:ln>
          </c:spPr>
          <c:invertIfNegative val="0"/>
          <c:cat>
            <c:strRef>
              <c:f>'Сравн.фак-ов'!$B$35:$F$35</c:f>
              <c:strCache>
                <c:ptCount val="5"/>
                <c:pt idx="0">
                  <c:v>аудирование</c:v>
                </c:pt>
                <c:pt idx="1">
                  <c:v>чтение </c:v>
                </c:pt>
                <c:pt idx="2">
                  <c:v>письмо </c:v>
                </c:pt>
                <c:pt idx="3">
                  <c:v>интервью</c:v>
                </c:pt>
                <c:pt idx="4">
                  <c:v>Средняя оценка IELTS</c:v>
                </c:pt>
              </c:strCache>
            </c:strRef>
          </c:cat>
          <c:val>
            <c:numRef>
              <c:f>'Сравн.фак-ов'!$B$44:$F$44</c:f>
              <c:numCache>
                <c:formatCode>0.00</c:formatCode>
                <c:ptCount val="5"/>
                <c:pt idx="0">
                  <c:v>5.5592592592592576</c:v>
                </c:pt>
                <c:pt idx="1">
                  <c:v>6.314814814814798</c:v>
                </c:pt>
                <c:pt idx="2">
                  <c:v>5.9925373134328384</c:v>
                </c:pt>
                <c:pt idx="3">
                  <c:v>6.4552238805970292</c:v>
                </c:pt>
                <c:pt idx="4">
                  <c:v>6.0594814814814804</c:v>
                </c:pt>
              </c:numCache>
            </c:numRef>
          </c:val>
        </c:ser>
        <c:ser>
          <c:idx val="9"/>
          <c:order val="9"/>
          <c:tx>
            <c:strRef>
              <c:f>'Сравн.фак-ов'!$A$45</c:f>
              <c:strCache>
                <c:ptCount val="1"/>
                <c:pt idx="0">
                  <c:v>ПМиИ</c:v>
                </c:pt>
              </c:strCache>
            </c:strRef>
          </c:tx>
          <c:spPr>
            <a:solidFill>
              <a:srgbClr val="8064A2"/>
            </a:solidFill>
            <a:ln w="25400">
              <a:noFill/>
            </a:ln>
          </c:spPr>
          <c:invertIfNegative val="0"/>
          <c:cat>
            <c:strRef>
              <c:f>'Сравн.фак-ов'!$B$35:$F$35</c:f>
              <c:strCache>
                <c:ptCount val="5"/>
                <c:pt idx="0">
                  <c:v>аудирование</c:v>
                </c:pt>
                <c:pt idx="1">
                  <c:v>чтение </c:v>
                </c:pt>
                <c:pt idx="2">
                  <c:v>письмо </c:v>
                </c:pt>
                <c:pt idx="3">
                  <c:v>интервью</c:v>
                </c:pt>
                <c:pt idx="4">
                  <c:v>Средняя оценка IELTS</c:v>
                </c:pt>
              </c:strCache>
            </c:strRef>
          </c:cat>
          <c:val>
            <c:numRef>
              <c:f>'Сравн.фак-ов'!$B$45:$F$45</c:f>
              <c:numCache>
                <c:formatCode>0.00</c:formatCode>
                <c:ptCount val="5"/>
                <c:pt idx="0">
                  <c:v>5.4406779661016964</c:v>
                </c:pt>
                <c:pt idx="1">
                  <c:v>6.2203389830508504</c:v>
                </c:pt>
                <c:pt idx="2">
                  <c:v>5.906779661016949</c:v>
                </c:pt>
                <c:pt idx="3">
                  <c:v>6.4406779661016964</c:v>
                </c:pt>
                <c:pt idx="4">
                  <c:v>6.0049152542372601</c:v>
                </c:pt>
              </c:numCache>
            </c:numRef>
          </c:val>
        </c:ser>
        <c:ser>
          <c:idx val="10"/>
          <c:order val="10"/>
          <c:tx>
            <c:strRef>
              <c:f>'Сравн.фак-ов'!$A$46</c:f>
              <c:strCache>
                <c:ptCount val="1"/>
                <c:pt idx="0">
                  <c:v>Философии</c:v>
                </c:pt>
              </c:strCache>
            </c:strRef>
          </c:tx>
          <c:spPr>
            <a:solidFill>
              <a:srgbClr val="4BACC6"/>
            </a:solidFill>
            <a:ln w="25400">
              <a:noFill/>
            </a:ln>
          </c:spPr>
          <c:invertIfNegative val="0"/>
          <c:cat>
            <c:strRef>
              <c:f>'Сравн.фак-ов'!$B$35:$F$35</c:f>
              <c:strCache>
                <c:ptCount val="5"/>
                <c:pt idx="0">
                  <c:v>аудирование</c:v>
                </c:pt>
                <c:pt idx="1">
                  <c:v>чтение </c:v>
                </c:pt>
                <c:pt idx="2">
                  <c:v>письмо </c:v>
                </c:pt>
                <c:pt idx="3">
                  <c:v>интервью</c:v>
                </c:pt>
                <c:pt idx="4">
                  <c:v>Средняя оценка IELTS</c:v>
                </c:pt>
              </c:strCache>
            </c:strRef>
          </c:cat>
          <c:val>
            <c:numRef>
              <c:f>'Сравн.фак-ов'!$B$46:$F$46</c:f>
              <c:numCache>
                <c:formatCode>0.00</c:formatCode>
                <c:ptCount val="5"/>
                <c:pt idx="0">
                  <c:v>5.166666666666667</c:v>
                </c:pt>
                <c:pt idx="1">
                  <c:v>5.7592592592592586</c:v>
                </c:pt>
                <c:pt idx="2">
                  <c:v>5.8333333333333481</c:v>
                </c:pt>
                <c:pt idx="3">
                  <c:v>6.5</c:v>
                </c:pt>
                <c:pt idx="4">
                  <c:v>5.8177777777777617</c:v>
                </c:pt>
              </c:numCache>
            </c:numRef>
          </c:val>
        </c:ser>
        <c:ser>
          <c:idx val="11"/>
          <c:order val="11"/>
          <c:tx>
            <c:strRef>
              <c:f>'Сравн.фак-ов'!$A$47</c:f>
              <c:strCache>
                <c:ptCount val="1"/>
                <c:pt idx="0">
                  <c:v>Медиакоммуникаций</c:v>
                </c:pt>
              </c:strCache>
            </c:strRef>
          </c:tx>
          <c:spPr>
            <a:solidFill>
              <a:srgbClr val="F79646"/>
            </a:solidFill>
            <a:ln w="25400">
              <a:noFill/>
            </a:ln>
          </c:spPr>
          <c:invertIfNegative val="0"/>
          <c:cat>
            <c:strRef>
              <c:f>'Сравн.фак-ов'!$B$35:$F$35</c:f>
              <c:strCache>
                <c:ptCount val="5"/>
                <c:pt idx="0">
                  <c:v>аудирование</c:v>
                </c:pt>
                <c:pt idx="1">
                  <c:v>чтение </c:v>
                </c:pt>
                <c:pt idx="2">
                  <c:v>письмо </c:v>
                </c:pt>
                <c:pt idx="3">
                  <c:v>интервью</c:v>
                </c:pt>
                <c:pt idx="4">
                  <c:v>Средняя оценка IELTS</c:v>
                </c:pt>
              </c:strCache>
            </c:strRef>
          </c:cat>
          <c:val>
            <c:numRef>
              <c:f>'Сравн.фак-ов'!$B$47:$F$47</c:f>
              <c:numCache>
                <c:formatCode>0.00</c:formatCode>
                <c:ptCount val="5"/>
                <c:pt idx="0">
                  <c:v>4.7753623188405934</c:v>
                </c:pt>
                <c:pt idx="1">
                  <c:v>5.7101449275362164</c:v>
                </c:pt>
                <c:pt idx="2">
                  <c:v>5.9130434782608834</c:v>
                </c:pt>
                <c:pt idx="3">
                  <c:v>6.1029411764705745</c:v>
                </c:pt>
                <c:pt idx="4">
                  <c:v>5.6053623188405783</c:v>
                </c:pt>
              </c:numCache>
            </c:numRef>
          </c:val>
        </c:ser>
        <c:ser>
          <c:idx val="13"/>
          <c:order val="12"/>
          <c:tx>
            <c:v>ВШЭ-РЭШ</c:v>
          </c:tx>
          <c:invertIfNegative val="0"/>
          <c:val>
            <c:numRef>
              <c:f>'ВШЭ-РЭШ'!$E$3:$I$3</c:f>
              <c:numCache>
                <c:formatCode>0.00</c:formatCode>
                <c:ptCount val="5"/>
                <c:pt idx="0">
                  <c:v>6.4027777777777777</c:v>
                </c:pt>
                <c:pt idx="1">
                  <c:v>6.7083333333333481</c:v>
                </c:pt>
                <c:pt idx="2">
                  <c:v>6.7916666666666714</c:v>
                </c:pt>
                <c:pt idx="3">
                  <c:v>7.0972222222222223</c:v>
                </c:pt>
                <c:pt idx="4">
                  <c:v>6.7519444444444439</c:v>
                </c:pt>
              </c:numCache>
            </c:numRef>
          </c:val>
        </c:ser>
        <c:ser>
          <c:idx val="12"/>
          <c:order val="13"/>
          <c:tx>
            <c:strRef>
              <c:f>'Сравн.фак-ов'!$A$49</c:f>
              <c:strCache>
                <c:ptCount val="1"/>
                <c:pt idx="0">
                  <c:v>Всего</c:v>
                </c:pt>
              </c:strCache>
            </c:strRef>
          </c:tx>
          <c:invertIfNegative val="0"/>
          <c:dLbls>
            <c:spPr>
              <a:solidFill>
                <a:srgbClr val="FFFF00"/>
              </a:solidFill>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'Сравн.фак-ов'!$B$35:$F$35</c:f>
              <c:strCache>
                <c:ptCount val="5"/>
                <c:pt idx="0">
                  <c:v>аудирование</c:v>
                </c:pt>
                <c:pt idx="1">
                  <c:v>чтение </c:v>
                </c:pt>
                <c:pt idx="2">
                  <c:v>письмо </c:v>
                </c:pt>
                <c:pt idx="3">
                  <c:v>интервью</c:v>
                </c:pt>
                <c:pt idx="4">
                  <c:v>Средняя оценка IELTS</c:v>
                </c:pt>
              </c:strCache>
            </c:strRef>
          </c:cat>
          <c:val>
            <c:numRef>
              <c:f>'Сравн.фак-ов'!$B$49:$F$49</c:f>
              <c:numCache>
                <c:formatCode>0.00</c:formatCode>
                <c:ptCount val="5"/>
                <c:pt idx="0">
                  <c:v>6.2306855277475455</c:v>
                </c:pt>
                <c:pt idx="1">
                  <c:v>6.787337662337662</c:v>
                </c:pt>
                <c:pt idx="2">
                  <c:v>6.0222584147665579</c:v>
                </c:pt>
                <c:pt idx="3">
                  <c:v>6.280634573304158</c:v>
                </c:pt>
                <c:pt idx="4">
                  <c:v>6.3044480519480945</c:v>
                </c:pt>
              </c:numCache>
            </c:numRef>
          </c:val>
        </c:ser>
        <c:dLbls>
          <c:showLegendKey val="0"/>
          <c:showVal val="0"/>
          <c:showCatName val="0"/>
          <c:showSerName val="0"/>
          <c:showPercent val="0"/>
          <c:showBubbleSize val="0"/>
        </c:dLbls>
        <c:gapWidth val="300"/>
        <c:axId val="555830272"/>
        <c:axId val="555840640"/>
      </c:barChart>
      <c:catAx>
        <c:axId val="555830272"/>
        <c:scaling>
          <c:orientation val="minMax"/>
        </c:scaling>
        <c:delete val="0"/>
        <c:axPos val="b"/>
        <c:title>
          <c:tx>
            <c:rich>
              <a:bodyPr/>
              <a:lstStyle/>
              <a:p>
                <a:pPr>
                  <a:defRPr/>
                </a:pPr>
                <a:r>
                  <a:rPr lang="ru-RU"/>
                  <a:t>Виды испытаний</a:t>
                </a:r>
              </a:p>
            </c:rich>
          </c:tx>
          <c:overlay val="0"/>
          <c:spPr>
            <a:noFill/>
            <a:ln w="25400">
              <a:noFill/>
            </a:ln>
          </c:spPr>
        </c:title>
        <c:numFmt formatCode="General" sourceLinked="1"/>
        <c:majorTickMark val="none"/>
        <c:minorTickMark val="none"/>
        <c:tickLblPos val="nextTo"/>
        <c:spPr>
          <a:ln w="3175">
            <a:solidFill>
              <a:srgbClr val="969696"/>
            </a:solidFill>
            <a:prstDash val="solid"/>
          </a:ln>
        </c:spPr>
        <c:crossAx val="555840640"/>
        <c:crosses val="autoZero"/>
        <c:auto val="1"/>
        <c:lblAlgn val="ctr"/>
        <c:lblOffset val="100"/>
        <c:noMultiLvlLbl val="0"/>
      </c:catAx>
      <c:valAx>
        <c:axId val="555840640"/>
        <c:scaling>
          <c:orientation val="minMax"/>
          <c:max val="7"/>
          <c:min val="5"/>
        </c:scaling>
        <c:delete val="0"/>
        <c:axPos val="l"/>
        <c:majorGridlines>
          <c:spPr>
            <a:ln w="3175">
              <a:solidFill>
                <a:srgbClr val="969696"/>
              </a:solidFill>
              <a:prstDash val="solid"/>
            </a:ln>
          </c:spPr>
        </c:majorGridlines>
        <c:minorGridlines>
          <c:spPr>
            <a:ln w="3175">
              <a:solidFill>
                <a:srgbClr val="C0C0C0"/>
              </a:solidFill>
              <a:prstDash val="solid"/>
            </a:ln>
          </c:spPr>
        </c:minorGridlines>
        <c:title>
          <c:tx>
            <c:rich>
              <a:bodyPr/>
              <a:lstStyle/>
              <a:p>
                <a:pPr>
                  <a:defRPr sz="1100" b="0" i="0" u="none" strike="noStrike" baseline="0">
                    <a:solidFill>
                      <a:srgbClr val="000000"/>
                    </a:solidFill>
                    <a:latin typeface="Calibri"/>
                    <a:ea typeface="Calibri"/>
                    <a:cs typeface="Calibri"/>
                  </a:defRPr>
                </a:pPr>
                <a:r>
                  <a:rPr lang="ru-RU" sz="1000" b="1" i="0" u="none" strike="noStrike" baseline="0">
                    <a:solidFill>
                      <a:srgbClr val="000000"/>
                    </a:solidFill>
                    <a:latin typeface="Calibri"/>
                  </a:rPr>
                  <a:t>Балл по девятибальной шкале </a:t>
                </a:r>
                <a:r>
                  <a:rPr lang="en-GB" sz="1000" b="1" i="0" u="none" strike="noStrike" baseline="0">
                    <a:solidFill>
                      <a:srgbClr val="000000"/>
                    </a:solidFill>
                    <a:latin typeface="Calibri"/>
                  </a:rPr>
                  <a:t>IELTS</a:t>
                </a:r>
              </a:p>
            </c:rich>
          </c:tx>
          <c:overlay val="0"/>
          <c:spPr>
            <a:noFill/>
            <a:ln w="25400">
              <a:noFill/>
            </a:ln>
          </c:spPr>
        </c:title>
        <c:numFmt formatCode="0.00" sourceLinked="1"/>
        <c:majorTickMark val="out"/>
        <c:minorTickMark val="none"/>
        <c:tickLblPos val="nextTo"/>
        <c:spPr>
          <a:ln w="3175">
            <a:solidFill>
              <a:srgbClr val="969696"/>
            </a:solidFill>
            <a:prstDash val="solid"/>
          </a:ln>
        </c:spPr>
        <c:crossAx val="555830272"/>
        <c:crosses val="autoZero"/>
        <c:crossBetween val="between"/>
      </c:valAx>
      <c:spPr>
        <a:solidFill>
          <a:srgbClr val="FFFFFF"/>
        </a:solidFill>
        <a:ln w="25400">
          <a:noFill/>
        </a:ln>
      </c:spPr>
    </c:plotArea>
    <c:legend>
      <c:legendPos val="b"/>
      <c:layout>
        <c:manualLayout>
          <c:xMode val="edge"/>
          <c:yMode val="edge"/>
          <c:x val="3.5569259586481501E-2"/>
          <c:y val="0.74686834653432765"/>
          <c:w val="0.95058665586365121"/>
          <c:h val="0.242373539270125"/>
        </c:manualLayout>
      </c:layout>
      <c:overlay val="0"/>
      <c:spPr>
        <a:noFill/>
        <a:ln w="25400">
          <a:noFill/>
        </a:ln>
      </c:spPr>
      <c:txPr>
        <a:bodyPr/>
        <a:lstStyle/>
        <a:p>
          <a:pPr>
            <a:defRPr sz="1200"/>
          </a:pPr>
          <a:endParaRPr lang="ru-RU"/>
        </a:p>
      </c:txPr>
    </c:legend>
    <c:plotVisOnly val="1"/>
    <c:dispBlanksAs val="gap"/>
    <c:showDLblsOverMax val="0"/>
  </c:chart>
  <c:spPr>
    <a:solidFill>
      <a:srgbClr val="FFFFFF"/>
    </a:solidFill>
    <a:ln w="3175">
      <a:solidFill>
        <a:srgbClr val="969696"/>
      </a:solidFill>
      <a:prstDash val="solid"/>
    </a:ln>
  </c:sp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rPr>
              <a:t>Средний балл </a:t>
            </a:r>
            <a:r>
              <a:rPr lang="en-GB" sz="1400" b="1" i="0" u="none" strike="noStrike" baseline="0">
                <a:solidFill>
                  <a:srgbClr val="000000"/>
                </a:solidFill>
                <a:latin typeface="Calibri"/>
              </a:rPr>
              <a:t>IELTS </a:t>
            </a:r>
            <a:r>
              <a:rPr lang="ru-RU" sz="1400" b="1" i="0" u="none" strike="noStrike" baseline="0">
                <a:solidFill>
                  <a:srgbClr val="000000"/>
                </a:solidFill>
                <a:latin typeface="Calibri"/>
              </a:rPr>
              <a:t>по отдельным испытаниям</a:t>
            </a:r>
          </a:p>
          <a:p>
            <a:pPr>
              <a:defRPr sz="14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rPr>
              <a:t>2013</a:t>
            </a:r>
          </a:p>
        </c:rich>
      </c:tx>
      <c:layout>
        <c:manualLayout>
          <c:xMode val="edge"/>
          <c:yMode val="edge"/>
          <c:x val="0.19733062730943288"/>
          <c:y val="5.4611309949892814E-2"/>
        </c:manualLayout>
      </c:layout>
      <c:overlay val="1"/>
      <c:spPr>
        <a:noFill/>
        <a:ln w="25400">
          <a:noFill/>
        </a:ln>
      </c:spPr>
    </c:title>
    <c:autoTitleDeleted val="0"/>
    <c:plotArea>
      <c:layout>
        <c:manualLayout>
          <c:layoutTarget val="inner"/>
          <c:xMode val="edge"/>
          <c:yMode val="edge"/>
          <c:x val="0.252108471485397"/>
          <c:y val="0.33983409987165586"/>
          <c:w val="0.52430228616466157"/>
          <c:h val="0.59270158653872995"/>
        </c:manualLayout>
      </c:layout>
      <c:radarChart>
        <c:radarStyle val="marker"/>
        <c:varyColors val="0"/>
        <c:ser>
          <c:idx val="0"/>
          <c:order val="0"/>
          <c:tx>
            <c:strRef>
              <c:f>'Сравн.фак-ов'!$B$34</c:f>
              <c:strCache>
                <c:ptCount val="1"/>
                <c:pt idx="0">
                  <c:v>аудирование</c:v>
                </c:pt>
              </c:strCache>
            </c:strRef>
          </c:tx>
          <c:spPr>
            <a:ln w="25400">
              <a:solidFill>
                <a:srgbClr val="666699"/>
              </a:solidFill>
              <a:prstDash val="solid"/>
            </a:ln>
          </c:spPr>
          <c:marker>
            <c:spPr>
              <a:solidFill>
                <a:srgbClr val="4F81BD"/>
              </a:solidFill>
              <a:ln>
                <a:solidFill>
                  <a:srgbClr val="666699"/>
                </a:solidFill>
                <a:prstDash val="solid"/>
              </a:ln>
            </c:spPr>
          </c:marker>
          <c:cat>
            <c:strRef>
              <c:f>'Сравн.фак-ов'!$A$35:$A$47</c:f>
              <c:strCache>
                <c:ptCount val="13"/>
                <c:pt idx="0">
                  <c:v>Экономики</c:v>
                </c:pt>
                <c:pt idx="1">
                  <c:v>Статистики</c:v>
                </c:pt>
                <c:pt idx="2">
                  <c:v>Математики</c:v>
                </c:pt>
                <c:pt idx="3">
                  <c:v>ПИ</c:v>
                </c:pt>
                <c:pt idx="4">
                  <c:v>БИ</c:v>
                </c:pt>
                <c:pt idx="5">
                  <c:v>Востоковедения</c:v>
                </c:pt>
                <c:pt idx="6">
                  <c:v>ГМУ</c:v>
                </c:pt>
                <c:pt idx="7">
                  <c:v>Культурологии</c:v>
                </c:pt>
                <c:pt idx="8">
                  <c:v>Социологии</c:v>
                </c:pt>
                <c:pt idx="9">
                  <c:v>ПМиИ</c:v>
                </c:pt>
                <c:pt idx="10">
                  <c:v>Философии</c:v>
                </c:pt>
                <c:pt idx="11">
                  <c:v>Медиакоммуникаций</c:v>
                </c:pt>
                <c:pt idx="12">
                  <c:v>ВШЭ-РЭШ</c:v>
                </c:pt>
              </c:strCache>
            </c:strRef>
          </c:cat>
          <c:val>
            <c:numRef>
              <c:f>'Сравн.фак-ов'!$B$35:$B$47</c:f>
              <c:numCache>
                <c:formatCode>0.00</c:formatCode>
                <c:ptCount val="13"/>
                <c:pt idx="0">
                  <c:v>7.1818181818181834</c:v>
                </c:pt>
                <c:pt idx="1">
                  <c:v>6.8333333333333552</c:v>
                </c:pt>
                <c:pt idx="2">
                  <c:v>6.8928571428571406</c:v>
                </c:pt>
                <c:pt idx="3">
                  <c:v>6.2297297297297334</c:v>
                </c:pt>
                <c:pt idx="4">
                  <c:v>6.696629213483166</c:v>
                </c:pt>
                <c:pt idx="5">
                  <c:v>6.4855072463767849</c:v>
                </c:pt>
                <c:pt idx="6">
                  <c:v>6.0459183673468981</c:v>
                </c:pt>
                <c:pt idx="7">
                  <c:v>6.0370370370370345</c:v>
                </c:pt>
                <c:pt idx="8">
                  <c:v>5.5592592592592576</c:v>
                </c:pt>
                <c:pt idx="9">
                  <c:v>5.4406779661016964</c:v>
                </c:pt>
                <c:pt idx="10">
                  <c:v>5.166666666666667</c:v>
                </c:pt>
                <c:pt idx="11">
                  <c:v>4.7753623188405934</c:v>
                </c:pt>
                <c:pt idx="12">
                  <c:v>6.4027777777777777</c:v>
                </c:pt>
              </c:numCache>
            </c:numRef>
          </c:val>
        </c:ser>
        <c:ser>
          <c:idx val="1"/>
          <c:order val="1"/>
          <c:tx>
            <c:strRef>
              <c:f>'Сравн.фак-ов'!$C$34</c:f>
              <c:strCache>
                <c:ptCount val="1"/>
                <c:pt idx="0">
                  <c:v>чтение </c:v>
                </c:pt>
              </c:strCache>
            </c:strRef>
          </c:tx>
          <c:spPr>
            <a:ln w="25400">
              <a:solidFill>
                <a:srgbClr val="993366"/>
              </a:solidFill>
              <a:prstDash val="solid"/>
            </a:ln>
          </c:spPr>
          <c:marker>
            <c:spPr>
              <a:solidFill>
                <a:srgbClr val="C0504D"/>
              </a:solidFill>
              <a:ln>
                <a:solidFill>
                  <a:srgbClr val="993366"/>
                </a:solidFill>
                <a:prstDash val="solid"/>
              </a:ln>
            </c:spPr>
          </c:marker>
          <c:cat>
            <c:strRef>
              <c:f>'Сравн.фак-ов'!$A$35:$A$47</c:f>
              <c:strCache>
                <c:ptCount val="13"/>
                <c:pt idx="0">
                  <c:v>Экономики</c:v>
                </c:pt>
                <c:pt idx="1">
                  <c:v>Статистики</c:v>
                </c:pt>
                <c:pt idx="2">
                  <c:v>Математики</c:v>
                </c:pt>
                <c:pt idx="3">
                  <c:v>ПИ</c:v>
                </c:pt>
                <c:pt idx="4">
                  <c:v>БИ</c:v>
                </c:pt>
                <c:pt idx="5">
                  <c:v>Востоковедения</c:v>
                </c:pt>
                <c:pt idx="6">
                  <c:v>ГМУ</c:v>
                </c:pt>
                <c:pt idx="7">
                  <c:v>Культурологии</c:v>
                </c:pt>
                <c:pt idx="8">
                  <c:v>Социологии</c:v>
                </c:pt>
                <c:pt idx="9">
                  <c:v>ПМиИ</c:v>
                </c:pt>
                <c:pt idx="10">
                  <c:v>Философии</c:v>
                </c:pt>
                <c:pt idx="11">
                  <c:v>Медиакоммуникаций</c:v>
                </c:pt>
                <c:pt idx="12">
                  <c:v>ВШЭ-РЭШ</c:v>
                </c:pt>
              </c:strCache>
            </c:strRef>
          </c:cat>
          <c:val>
            <c:numRef>
              <c:f>'Сравн.фак-ов'!$C$35:$C$47</c:f>
              <c:numCache>
                <c:formatCode>0.00</c:formatCode>
                <c:ptCount val="13"/>
                <c:pt idx="0">
                  <c:v>7.3124999999999956</c:v>
                </c:pt>
                <c:pt idx="1">
                  <c:v>7.5820895522388057</c:v>
                </c:pt>
                <c:pt idx="2">
                  <c:v>7.0595238095238102</c:v>
                </c:pt>
                <c:pt idx="3">
                  <c:v>7.2105263157894726</c:v>
                </c:pt>
                <c:pt idx="4">
                  <c:v>6.7528089887640474</c:v>
                </c:pt>
                <c:pt idx="5">
                  <c:v>6.3768115942028984</c:v>
                </c:pt>
                <c:pt idx="6">
                  <c:v>7.4285714285714288</c:v>
                </c:pt>
                <c:pt idx="7">
                  <c:v>6.8518518518518476</c:v>
                </c:pt>
                <c:pt idx="8">
                  <c:v>6.3148148148147847</c:v>
                </c:pt>
                <c:pt idx="9">
                  <c:v>6.2203389830508504</c:v>
                </c:pt>
                <c:pt idx="10">
                  <c:v>5.7592592592592586</c:v>
                </c:pt>
                <c:pt idx="11">
                  <c:v>5.710144927536204</c:v>
                </c:pt>
                <c:pt idx="12">
                  <c:v>6.7083333333333552</c:v>
                </c:pt>
              </c:numCache>
            </c:numRef>
          </c:val>
        </c:ser>
        <c:ser>
          <c:idx val="2"/>
          <c:order val="2"/>
          <c:tx>
            <c:strRef>
              <c:f>'Сравн.фак-ов'!$D$34</c:f>
              <c:strCache>
                <c:ptCount val="1"/>
                <c:pt idx="0">
                  <c:v>письмо </c:v>
                </c:pt>
              </c:strCache>
            </c:strRef>
          </c:tx>
          <c:spPr>
            <a:ln w="25400">
              <a:solidFill>
                <a:srgbClr val="99CC00"/>
              </a:solidFill>
              <a:prstDash val="solid"/>
            </a:ln>
          </c:spPr>
          <c:marker>
            <c:spPr>
              <a:solidFill>
                <a:srgbClr val="9BBB59"/>
              </a:solidFill>
              <a:ln>
                <a:solidFill>
                  <a:srgbClr val="99CC00"/>
                </a:solidFill>
                <a:prstDash val="solid"/>
              </a:ln>
            </c:spPr>
          </c:marker>
          <c:cat>
            <c:strRef>
              <c:f>'Сравн.фак-ов'!$A$35:$A$47</c:f>
              <c:strCache>
                <c:ptCount val="13"/>
                <c:pt idx="0">
                  <c:v>Экономики</c:v>
                </c:pt>
                <c:pt idx="1">
                  <c:v>Статистики</c:v>
                </c:pt>
                <c:pt idx="2">
                  <c:v>Математики</c:v>
                </c:pt>
                <c:pt idx="3">
                  <c:v>ПИ</c:v>
                </c:pt>
                <c:pt idx="4">
                  <c:v>БИ</c:v>
                </c:pt>
                <c:pt idx="5">
                  <c:v>Востоковедения</c:v>
                </c:pt>
                <c:pt idx="6">
                  <c:v>ГМУ</c:v>
                </c:pt>
                <c:pt idx="7">
                  <c:v>Культурологии</c:v>
                </c:pt>
                <c:pt idx="8">
                  <c:v>Социологии</c:v>
                </c:pt>
                <c:pt idx="9">
                  <c:v>ПМиИ</c:v>
                </c:pt>
                <c:pt idx="10">
                  <c:v>Философии</c:v>
                </c:pt>
                <c:pt idx="11">
                  <c:v>Медиакоммуникаций</c:v>
                </c:pt>
                <c:pt idx="12">
                  <c:v>ВШЭ-РЭШ</c:v>
                </c:pt>
              </c:strCache>
            </c:strRef>
          </c:cat>
          <c:val>
            <c:numRef>
              <c:f>'Сравн.фак-ов'!$D$35:$D$47</c:f>
              <c:numCache>
                <c:formatCode>0.00</c:formatCode>
                <c:ptCount val="13"/>
                <c:pt idx="0">
                  <c:v>6.1339285714285676</c:v>
                </c:pt>
                <c:pt idx="1">
                  <c:v>6.0597014925373403</c:v>
                </c:pt>
                <c:pt idx="2">
                  <c:v>5.8333333333333552</c:v>
                </c:pt>
                <c:pt idx="3">
                  <c:v>6.1973684210526434</c:v>
                </c:pt>
                <c:pt idx="4">
                  <c:v>6.1647727272727266</c:v>
                </c:pt>
                <c:pt idx="5">
                  <c:v>5.971014492753663</c:v>
                </c:pt>
                <c:pt idx="6">
                  <c:v>5.6958762886597745</c:v>
                </c:pt>
                <c:pt idx="7">
                  <c:v>5.9629629629629628</c:v>
                </c:pt>
                <c:pt idx="8">
                  <c:v>5.9925373134328384</c:v>
                </c:pt>
                <c:pt idx="9">
                  <c:v>5.906779661016949</c:v>
                </c:pt>
                <c:pt idx="10">
                  <c:v>5.8333333333333552</c:v>
                </c:pt>
                <c:pt idx="11">
                  <c:v>5.9130434782608834</c:v>
                </c:pt>
                <c:pt idx="12">
                  <c:v>6.7916666666666714</c:v>
                </c:pt>
              </c:numCache>
            </c:numRef>
          </c:val>
        </c:ser>
        <c:ser>
          <c:idx val="3"/>
          <c:order val="3"/>
          <c:tx>
            <c:strRef>
              <c:f>'Сравн.фак-ов'!$E$34</c:f>
              <c:strCache>
                <c:ptCount val="1"/>
                <c:pt idx="0">
                  <c:v>интервью</c:v>
                </c:pt>
              </c:strCache>
            </c:strRef>
          </c:tx>
          <c:spPr>
            <a:ln w="25400">
              <a:solidFill>
                <a:srgbClr val="666699"/>
              </a:solidFill>
              <a:prstDash val="solid"/>
            </a:ln>
          </c:spPr>
          <c:marker>
            <c:spPr>
              <a:solidFill>
                <a:srgbClr val="8064A2"/>
              </a:solidFill>
              <a:ln>
                <a:solidFill>
                  <a:srgbClr val="666699"/>
                </a:solidFill>
                <a:prstDash val="solid"/>
              </a:ln>
            </c:spPr>
          </c:marker>
          <c:cat>
            <c:strRef>
              <c:f>'Сравн.фак-ов'!$A$35:$A$47</c:f>
              <c:strCache>
                <c:ptCount val="13"/>
                <c:pt idx="0">
                  <c:v>Экономики</c:v>
                </c:pt>
                <c:pt idx="1">
                  <c:v>Статистики</c:v>
                </c:pt>
                <c:pt idx="2">
                  <c:v>Математики</c:v>
                </c:pt>
                <c:pt idx="3">
                  <c:v>ПИ</c:v>
                </c:pt>
                <c:pt idx="4">
                  <c:v>БИ</c:v>
                </c:pt>
                <c:pt idx="5">
                  <c:v>Востоковедения</c:v>
                </c:pt>
                <c:pt idx="6">
                  <c:v>ГМУ</c:v>
                </c:pt>
                <c:pt idx="7">
                  <c:v>Культурологии</c:v>
                </c:pt>
                <c:pt idx="8">
                  <c:v>Социологии</c:v>
                </c:pt>
                <c:pt idx="9">
                  <c:v>ПМиИ</c:v>
                </c:pt>
                <c:pt idx="10">
                  <c:v>Философии</c:v>
                </c:pt>
                <c:pt idx="11">
                  <c:v>Медиакоммуникаций</c:v>
                </c:pt>
                <c:pt idx="12">
                  <c:v>ВШЭ-РЭШ</c:v>
                </c:pt>
              </c:strCache>
            </c:strRef>
          </c:cat>
          <c:val>
            <c:numRef>
              <c:f>'Сравн.фак-ов'!$E$35:$E$47</c:f>
              <c:numCache>
                <c:formatCode>0.00</c:formatCode>
                <c:ptCount val="13"/>
                <c:pt idx="0">
                  <c:v>6.1859756097560652</c:v>
                </c:pt>
                <c:pt idx="1">
                  <c:v>6.0522388059701502</c:v>
                </c:pt>
                <c:pt idx="2">
                  <c:v>6.2976190476190466</c:v>
                </c:pt>
                <c:pt idx="3">
                  <c:v>6.3815789473683981</c:v>
                </c:pt>
                <c:pt idx="4">
                  <c:v>6.25</c:v>
                </c:pt>
                <c:pt idx="5">
                  <c:v>6.3550724637681162</c:v>
                </c:pt>
                <c:pt idx="6">
                  <c:v>6.0463917525773372</c:v>
                </c:pt>
                <c:pt idx="7">
                  <c:v>5.9</c:v>
                </c:pt>
                <c:pt idx="8">
                  <c:v>6.4552238805970372</c:v>
                </c:pt>
                <c:pt idx="9">
                  <c:v>6.4406779661016964</c:v>
                </c:pt>
                <c:pt idx="10">
                  <c:v>6.5</c:v>
                </c:pt>
                <c:pt idx="11">
                  <c:v>6.1029411764705745</c:v>
                </c:pt>
                <c:pt idx="12">
                  <c:v>7.0972222222222223</c:v>
                </c:pt>
              </c:numCache>
            </c:numRef>
          </c:val>
        </c:ser>
        <c:ser>
          <c:idx val="4"/>
          <c:order val="4"/>
          <c:tx>
            <c:strRef>
              <c:f>'Сравн.фак-ов'!$F$34</c:f>
              <c:strCache>
                <c:ptCount val="1"/>
                <c:pt idx="0">
                  <c:v>Средняя оценка IELTS</c:v>
                </c:pt>
              </c:strCache>
            </c:strRef>
          </c:tx>
          <c:spPr>
            <a:ln w="38100">
              <a:solidFill>
                <a:srgbClr val="FF6600"/>
              </a:solidFill>
              <a:prstDash val="solid"/>
            </a:ln>
          </c:spPr>
          <c:marker>
            <c:symbol val="circle"/>
            <c:size val="11"/>
            <c:spPr>
              <a:solidFill>
                <a:srgbClr val="E46C0A"/>
              </a:solidFill>
              <a:ln>
                <a:solidFill>
                  <a:srgbClr val="33CCCC"/>
                </a:solidFill>
                <a:prstDash val="solid"/>
              </a:ln>
            </c:spPr>
          </c:marker>
          <c:cat>
            <c:strRef>
              <c:f>'Сравн.фак-ов'!$A$35:$A$47</c:f>
              <c:strCache>
                <c:ptCount val="13"/>
                <c:pt idx="0">
                  <c:v>Экономики</c:v>
                </c:pt>
                <c:pt idx="1">
                  <c:v>Статистики</c:v>
                </c:pt>
                <c:pt idx="2">
                  <c:v>Математики</c:v>
                </c:pt>
                <c:pt idx="3">
                  <c:v>ПИ</c:v>
                </c:pt>
                <c:pt idx="4">
                  <c:v>БИ</c:v>
                </c:pt>
                <c:pt idx="5">
                  <c:v>Востоковедения</c:v>
                </c:pt>
                <c:pt idx="6">
                  <c:v>ГМУ</c:v>
                </c:pt>
                <c:pt idx="7">
                  <c:v>Культурологии</c:v>
                </c:pt>
                <c:pt idx="8">
                  <c:v>Социологии</c:v>
                </c:pt>
                <c:pt idx="9">
                  <c:v>ПМиИ</c:v>
                </c:pt>
                <c:pt idx="10">
                  <c:v>Философии</c:v>
                </c:pt>
                <c:pt idx="11">
                  <c:v>Медиакоммуникаций</c:v>
                </c:pt>
                <c:pt idx="12">
                  <c:v>ВШЭ-РЭШ</c:v>
                </c:pt>
              </c:strCache>
            </c:strRef>
          </c:cat>
          <c:val>
            <c:numRef>
              <c:f>'Сравн.фак-ов'!$F$35:$F$47</c:f>
              <c:numCache>
                <c:formatCode>0.00</c:formatCode>
                <c:ptCount val="13"/>
                <c:pt idx="0">
                  <c:v>6.6372023809524014</c:v>
                </c:pt>
                <c:pt idx="1">
                  <c:v>6.6365671641791124</c:v>
                </c:pt>
                <c:pt idx="2">
                  <c:v>6.5235714285714277</c:v>
                </c:pt>
                <c:pt idx="3">
                  <c:v>6.4663157894736933</c:v>
                </c:pt>
                <c:pt idx="4">
                  <c:v>6.4339325842696891</c:v>
                </c:pt>
                <c:pt idx="5">
                  <c:v>6.2997101449275403</c:v>
                </c:pt>
                <c:pt idx="6">
                  <c:v>6.2771428571428558</c:v>
                </c:pt>
                <c:pt idx="7">
                  <c:v>6.0814814814814824</c:v>
                </c:pt>
                <c:pt idx="8">
                  <c:v>6.0594814814814804</c:v>
                </c:pt>
                <c:pt idx="9">
                  <c:v>6.0049152542372406</c:v>
                </c:pt>
                <c:pt idx="10">
                  <c:v>5.8177777777777502</c:v>
                </c:pt>
                <c:pt idx="11">
                  <c:v>5.6053623188405783</c:v>
                </c:pt>
                <c:pt idx="12">
                  <c:v>6.7519444444444474</c:v>
                </c:pt>
              </c:numCache>
            </c:numRef>
          </c:val>
        </c:ser>
        <c:dLbls>
          <c:showLegendKey val="0"/>
          <c:showVal val="0"/>
          <c:showCatName val="0"/>
          <c:showSerName val="0"/>
          <c:showPercent val="0"/>
          <c:showBubbleSize val="0"/>
        </c:dLbls>
        <c:axId val="555946752"/>
        <c:axId val="555948672"/>
      </c:radarChart>
      <c:catAx>
        <c:axId val="555946752"/>
        <c:scaling>
          <c:orientation val="minMax"/>
        </c:scaling>
        <c:delete val="0"/>
        <c:axPos val="b"/>
        <c:majorGridlines>
          <c:spPr>
            <a:ln w="3175">
              <a:solidFill>
                <a:srgbClr val="969696"/>
              </a:solidFill>
              <a:prstDash val="solid"/>
            </a:ln>
          </c:spPr>
        </c:majorGridlines>
        <c:numFmt formatCode="General" sourceLinked="1"/>
        <c:majorTickMark val="out"/>
        <c:minorTickMark val="none"/>
        <c:tickLblPos val="nextTo"/>
        <c:txPr>
          <a:bodyPr/>
          <a:lstStyle/>
          <a:p>
            <a:pPr>
              <a:defRPr sz="1200"/>
            </a:pPr>
            <a:endParaRPr lang="ru-RU"/>
          </a:p>
        </c:txPr>
        <c:crossAx val="555948672"/>
        <c:crosses val="autoZero"/>
        <c:auto val="0"/>
        <c:lblAlgn val="ctr"/>
        <c:lblOffset val="100"/>
        <c:noMultiLvlLbl val="0"/>
      </c:catAx>
      <c:valAx>
        <c:axId val="555948672"/>
        <c:scaling>
          <c:orientation val="minMax"/>
          <c:min val="5"/>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a:lstStyle/>
          <a:p>
            <a:pPr>
              <a:defRPr sz="1200" b="1"/>
            </a:pPr>
            <a:endParaRPr lang="ru-RU"/>
          </a:p>
        </c:txPr>
        <c:crossAx val="555946752"/>
        <c:crosses val="autoZero"/>
        <c:crossBetween val="between"/>
        <c:majorUnit val="1"/>
      </c:valAx>
      <c:spPr>
        <a:solidFill>
          <a:srgbClr val="FFFFFF"/>
        </a:solidFill>
        <a:ln w="25400">
          <a:noFill/>
        </a:ln>
      </c:spPr>
    </c:plotArea>
    <c:legend>
      <c:legendPos val="t"/>
      <c:layout>
        <c:manualLayout>
          <c:xMode val="edge"/>
          <c:yMode val="edge"/>
          <c:x val="3.7404922978572702E-2"/>
          <c:y val="0.127750177430802"/>
          <c:w val="0.91848219618879401"/>
          <c:h val="0.15087057517384467"/>
        </c:manualLayout>
      </c:layout>
      <c:overlay val="0"/>
      <c:spPr>
        <a:noFill/>
        <a:ln w="25400">
          <a:noFill/>
        </a:ln>
      </c:spPr>
      <c:txPr>
        <a:bodyPr/>
        <a:lstStyle/>
        <a:p>
          <a:pPr>
            <a:defRPr sz="1200"/>
          </a:pPr>
          <a:endParaRPr lang="ru-RU"/>
        </a:p>
      </c:txPr>
    </c:legend>
    <c:plotVisOnly val="1"/>
    <c:dispBlanksAs val="gap"/>
    <c:showDLblsOverMax val="0"/>
  </c:chart>
  <c:spPr>
    <a:solidFill>
      <a:srgbClr val="FFFFFF"/>
    </a:solidFill>
    <a:ln w="3175">
      <a:solidFill>
        <a:srgbClr val="969696"/>
      </a:solidFill>
      <a:prstDash val="solid"/>
    </a:ln>
  </c:sp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Доля сдавших ниже 4,7 по шкале </a:t>
            </a:r>
            <a:r>
              <a:rPr lang="en-US" sz="1200"/>
              <a:t>IELTS</a:t>
            </a:r>
            <a:r>
              <a:rPr lang="ru-RU" sz="1200"/>
              <a:t> </a:t>
            </a:r>
            <a:r>
              <a:rPr lang="en-US" sz="1200"/>
              <a:t>(</a:t>
            </a:r>
            <a:r>
              <a:rPr lang="ru-RU" sz="1200"/>
              <a:t>неуды) по факультетам в процентах от общего числа студентов на факультете (</a:t>
            </a:r>
            <a:r>
              <a:rPr lang="ru-RU" sz="1200" i="1"/>
              <a:t>антирейтинг</a:t>
            </a:r>
            <a:r>
              <a:rPr lang="ru-RU" sz="1200"/>
              <a:t>)_2013</a:t>
            </a:r>
          </a:p>
        </c:rich>
      </c:tx>
      <c:overlay val="0"/>
      <c:spPr>
        <a:noFill/>
        <a:ln w="25400">
          <a:noFill/>
        </a:ln>
      </c:spPr>
    </c:title>
    <c:autoTitleDeleted val="0"/>
    <c:plotArea>
      <c:layout>
        <c:manualLayout>
          <c:layoutTarget val="inner"/>
          <c:xMode val="edge"/>
          <c:yMode val="edge"/>
          <c:x val="0.22684841667518801"/>
          <c:y val="0.10279221245319739"/>
          <c:w val="0.72541664110167958"/>
          <c:h val="0.61172071532186478"/>
        </c:manualLayout>
      </c:layout>
      <c:barChart>
        <c:barDir val="col"/>
        <c:grouping val="clustered"/>
        <c:varyColors val="0"/>
        <c:ser>
          <c:idx val="0"/>
          <c:order val="0"/>
          <c:tx>
            <c:strRef>
              <c:f>'Сравн.фак-ов'!$B$3</c:f>
              <c:strCache>
                <c:ptCount val="1"/>
                <c:pt idx="0">
                  <c:v>аудирование</c:v>
                </c:pt>
              </c:strCache>
            </c:strRef>
          </c:tx>
          <c:spPr>
            <a:solidFill>
              <a:srgbClr val="4F81BD"/>
            </a:solidFill>
            <a:ln w="25400">
              <a:noFill/>
            </a:ln>
          </c:spPr>
          <c:invertIfNegative val="0"/>
          <c:cat>
            <c:strRef>
              <c:f>'Сравн.фак-ов'!$A$4:$A$20</c:f>
              <c:strCache>
                <c:ptCount val="14"/>
                <c:pt idx="0">
                  <c:v>Экон</c:v>
                </c:pt>
                <c:pt idx="1">
                  <c:v>Вост</c:v>
                </c:pt>
                <c:pt idx="2">
                  <c:v>Культ</c:v>
                </c:pt>
                <c:pt idx="3">
                  <c:v>Филос</c:v>
                </c:pt>
                <c:pt idx="4">
                  <c:v>БИ</c:v>
                </c:pt>
                <c:pt idx="5">
                  <c:v>Соц</c:v>
                </c:pt>
                <c:pt idx="6">
                  <c:v>Медиа</c:v>
                </c:pt>
                <c:pt idx="7">
                  <c:v>ПМИ</c:v>
                </c:pt>
                <c:pt idx="8">
                  <c:v>ПИ</c:v>
                </c:pt>
                <c:pt idx="9">
                  <c:v>ГМУ</c:v>
                </c:pt>
                <c:pt idx="10">
                  <c:v>Матем</c:v>
                </c:pt>
                <c:pt idx="11">
                  <c:v>Стат</c:v>
                </c:pt>
                <c:pt idx="12">
                  <c:v>ВШЭ-РЭШ</c:v>
                </c:pt>
                <c:pt idx="13">
                  <c:v>Всего</c:v>
                </c:pt>
              </c:strCache>
            </c:strRef>
          </c:cat>
          <c:val>
            <c:numRef>
              <c:f>'Сравн.фак-ов'!$B$4:$B$20</c:f>
              <c:numCache>
                <c:formatCode>0.00</c:formatCode>
                <c:ptCount val="14"/>
                <c:pt idx="0">
                  <c:v>0</c:v>
                </c:pt>
                <c:pt idx="1">
                  <c:v>0</c:v>
                </c:pt>
                <c:pt idx="2">
                  <c:v>0</c:v>
                </c:pt>
                <c:pt idx="3">
                  <c:v>35.714285714285722</c:v>
                </c:pt>
                <c:pt idx="4">
                  <c:v>3.333333333333333</c:v>
                </c:pt>
                <c:pt idx="5">
                  <c:v>11.678832116788369</c:v>
                </c:pt>
                <c:pt idx="6">
                  <c:v>44.285714285714278</c:v>
                </c:pt>
                <c:pt idx="7">
                  <c:v>26.666666666666671</c:v>
                </c:pt>
                <c:pt idx="8">
                  <c:v>10.526315789473648</c:v>
                </c:pt>
                <c:pt idx="9">
                  <c:v>1</c:v>
                </c:pt>
                <c:pt idx="10">
                  <c:v>0</c:v>
                </c:pt>
                <c:pt idx="11">
                  <c:v>0</c:v>
                </c:pt>
                <c:pt idx="12">
                  <c:v>2.7800000000000002</c:v>
                </c:pt>
                <c:pt idx="13">
                  <c:v>8.742004264392321</c:v>
                </c:pt>
              </c:numCache>
            </c:numRef>
          </c:val>
        </c:ser>
        <c:ser>
          <c:idx val="1"/>
          <c:order val="1"/>
          <c:tx>
            <c:strRef>
              <c:f>'Сравн.фак-ов'!$C$3</c:f>
              <c:strCache>
                <c:ptCount val="1"/>
                <c:pt idx="0">
                  <c:v>чтение </c:v>
                </c:pt>
              </c:strCache>
            </c:strRef>
          </c:tx>
          <c:spPr>
            <a:solidFill>
              <a:srgbClr val="C0504D"/>
            </a:solidFill>
            <a:ln w="25400">
              <a:noFill/>
            </a:ln>
          </c:spPr>
          <c:invertIfNegative val="0"/>
          <c:cat>
            <c:strRef>
              <c:f>'Сравн.фак-ов'!$A$4:$A$20</c:f>
              <c:strCache>
                <c:ptCount val="14"/>
                <c:pt idx="0">
                  <c:v>Экон</c:v>
                </c:pt>
                <c:pt idx="1">
                  <c:v>Вост</c:v>
                </c:pt>
                <c:pt idx="2">
                  <c:v>Культ</c:v>
                </c:pt>
                <c:pt idx="3">
                  <c:v>Филос</c:v>
                </c:pt>
                <c:pt idx="4">
                  <c:v>БИ</c:v>
                </c:pt>
                <c:pt idx="5">
                  <c:v>Соц</c:v>
                </c:pt>
                <c:pt idx="6">
                  <c:v>Медиа</c:v>
                </c:pt>
                <c:pt idx="7">
                  <c:v>ПМИ</c:v>
                </c:pt>
                <c:pt idx="8">
                  <c:v>ПИ</c:v>
                </c:pt>
                <c:pt idx="9">
                  <c:v>ГМУ</c:v>
                </c:pt>
                <c:pt idx="10">
                  <c:v>Матем</c:v>
                </c:pt>
                <c:pt idx="11">
                  <c:v>Стат</c:v>
                </c:pt>
                <c:pt idx="12">
                  <c:v>ВШЭ-РЭШ</c:v>
                </c:pt>
                <c:pt idx="13">
                  <c:v>Всего</c:v>
                </c:pt>
              </c:strCache>
            </c:strRef>
          </c:cat>
          <c:val>
            <c:numRef>
              <c:f>'Сравн.фак-ов'!$C$4:$C$20</c:f>
              <c:numCache>
                <c:formatCode>0.00</c:formatCode>
                <c:ptCount val="14"/>
                <c:pt idx="0">
                  <c:v>0</c:v>
                </c:pt>
                <c:pt idx="1">
                  <c:v>4.2857142857142874</c:v>
                </c:pt>
                <c:pt idx="2">
                  <c:v>0</c:v>
                </c:pt>
                <c:pt idx="3">
                  <c:v>7.1428571428571406</c:v>
                </c:pt>
                <c:pt idx="4">
                  <c:v>2.2222222222222232</c:v>
                </c:pt>
                <c:pt idx="5">
                  <c:v>1.4598540145985399</c:v>
                </c:pt>
                <c:pt idx="6">
                  <c:v>17.142857142857213</c:v>
                </c:pt>
                <c:pt idx="7">
                  <c:v>8.3333333333333321</c:v>
                </c:pt>
                <c:pt idx="8">
                  <c:v>0</c:v>
                </c:pt>
                <c:pt idx="9">
                  <c:v>0</c:v>
                </c:pt>
                <c:pt idx="10">
                  <c:v>0</c:v>
                </c:pt>
                <c:pt idx="11">
                  <c:v>0</c:v>
                </c:pt>
                <c:pt idx="12">
                  <c:v>0</c:v>
                </c:pt>
                <c:pt idx="13">
                  <c:v>2.7689030883919235</c:v>
                </c:pt>
              </c:numCache>
            </c:numRef>
          </c:val>
        </c:ser>
        <c:ser>
          <c:idx val="2"/>
          <c:order val="2"/>
          <c:tx>
            <c:strRef>
              <c:f>'Сравн.фак-ов'!$D$3</c:f>
              <c:strCache>
                <c:ptCount val="1"/>
                <c:pt idx="0">
                  <c:v>письмо </c:v>
                </c:pt>
              </c:strCache>
            </c:strRef>
          </c:tx>
          <c:spPr>
            <a:solidFill>
              <a:srgbClr val="9BBB59"/>
            </a:solidFill>
            <a:ln w="25400">
              <a:noFill/>
            </a:ln>
          </c:spPr>
          <c:invertIfNegative val="0"/>
          <c:cat>
            <c:strRef>
              <c:f>'Сравн.фак-ов'!$A$4:$A$20</c:f>
              <c:strCache>
                <c:ptCount val="14"/>
                <c:pt idx="0">
                  <c:v>Экон</c:v>
                </c:pt>
                <c:pt idx="1">
                  <c:v>Вост</c:v>
                </c:pt>
                <c:pt idx="2">
                  <c:v>Культ</c:v>
                </c:pt>
                <c:pt idx="3">
                  <c:v>Филос</c:v>
                </c:pt>
                <c:pt idx="4">
                  <c:v>БИ</c:v>
                </c:pt>
                <c:pt idx="5">
                  <c:v>Соц</c:v>
                </c:pt>
                <c:pt idx="6">
                  <c:v>Медиа</c:v>
                </c:pt>
                <c:pt idx="7">
                  <c:v>ПМИ</c:v>
                </c:pt>
                <c:pt idx="8">
                  <c:v>ПИ</c:v>
                </c:pt>
                <c:pt idx="9">
                  <c:v>ГМУ</c:v>
                </c:pt>
                <c:pt idx="10">
                  <c:v>Матем</c:v>
                </c:pt>
                <c:pt idx="11">
                  <c:v>Стат</c:v>
                </c:pt>
                <c:pt idx="12">
                  <c:v>ВШЭ-РЭШ</c:v>
                </c:pt>
                <c:pt idx="13">
                  <c:v>Всего</c:v>
                </c:pt>
              </c:strCache>
            </c:strRef>
          </c:cat>
          <c:val>
            <c:numRef>
              <c:f>'Сравн.фак-ов'!$D$4:$D$20</c:f>
              <c:numCache>
                <c:formatCode>0.00</c:formatCode>
                <c:ptCount val="14"/>
                <c:pt idx="0">
                  <c:v>1.176470588235299</c:v>
                </c:pt>
                <c:pt idx="1">
                  <c:v>1.4285714285714299</c:v>
                </c:pt>
                <c:pt idx="2">
                  <c:v>0</c:v>
                </c:pt>
                <c:pt idx="3">
                  <c:v>7.1428571428571406</c:v>
                </c:pt>
                <c:pt idx="4">
                  <c:v>2.2222222222222232</c:v>
                </c:pt>
                <c:pt idx="5">
                  <c:v>1.4598540145985399</c:v>
                </c:pt>
                <c:pt idx="6">
                  <c:v>4.2857142857142874</c:v>
                </c:pt>
                <c:pt idx="7">
                  <c:v>5</c:v>
                </c:pt>
                <c:pt idx="8">
                  <c:v>2.6315789473684208</c:v>
                </c:pt>
                <c:pt idx="9">
                  <c:v>6</c:v>
                </c:pt>
                <c:pt idx="10">
                  <c:v>2.3255813953488369</c:v>
                </c:pt>
                <c:pt idx="11">
                  <c:v>0</c:v>
                </c:pt>
                <c:pt idx="12">
                  <c:v>0</c:v>
                </c:pt>
                <c:pt idx="13">
                  <c:v>2.4494142705005402</c:v>
                </c:pt>
              </c:numCache>
            </c:numRef>
          </c:val>
        </c:ser>
        <c:ser>
          <c:idx val="3"/>
          <c:order val="3"/>
          <c:tx>
            <c:strRef>
              <c:f>'Сравн.фак-ов'!$E$3</c:f>
              <c:strCache>
                <c:ptCount val="1"/>
                <c:pt idx="0">
                  <c:v>интервью</c:v>
                </c:pt>
              </c:strCache>
            </c:strRef>
          </c:tx>
          <c:spPr>
            <a:solidFill>
              <a:srgbClr val="8064A2"/>
            </a:solidFill>
            <a:ln w="25400">
              <a:noFill/>
            </a:ln>
          </c:spPr>
          <c:invertIfNegative val="0"/>
          <c:cat>
            <c:strRef>
              <c:f>'Сравн.фак-ов'!$A$4:$A$20</c:f>
              <c:strCache>
                <c:ptCount val="14"/>
                <c:pt idx="0">
                  <c:v>Экон</c:v>
                </c:pt>
                <c:pt idx="1">
                  <c:v>Вост</c:v>
                </c:pt>
                <c:pt idx="2">
                  <c:v>Культ</c:v>
                </c:pt>
                <c:pt idx="3">
                  <c:v>Филос</c:v>
                </c:pt>
                <c:pt idx="4">
                  <c:v>БИ</c:v>
                </c:pt>
                <c:pt idx="5">
                  <c:v>Соц</c:v>
                </c:pt>
                <c:pt idx="6">
                  <c:v>Медиа</c:v>
                </c:pt>
                <c:pt idx="7">
                  <c:v>ПМИ</c:v>
                </c:pt>
                <c:pt idx="8">
                  <c:v>ПИ</c:v>
                </c:pt>
                <c:pt idx="9">
                  <c:v>ГМУ</c:v>
                </c:pt>
                <c:pt idx="10">
                  <c:v>Матем</c:v>
                </c:pt>
                <c:pt idx="11">
                  <c:v>Стат</c:v>
                </c:pt>
                <c:pt idx="12">
                  <c:v>ВШЭ-РЭШ</c:v>
                </c:pt>
                <c:pt idx="13">
                  <c:v>Всего</c:v>
                </c:pt>
              </c:strCache>
            </c:strRef>
          </c:cat>
          <c:val>
            <c:numRef>
              <c:f>'Сравн.фак-ов'!$E$4:$E$20</c:f>
              <c:numCache>
                <c:formatCode>0.00</c:formatCode>
                <c:ptCount val="14"/>
                <c:pt idx="0">
                  <c:v>1.8072289156626498</c:v>
                </c:pt>
                <c:pt idx="1">
                  <c:v>0</c:v>
                </c:pt>
                <c:pt idx="2">
                  <c:v>3.4482758620689649</c:v>
                </c:pt>
                <c:pt idx="3">
                  <c:v>0</c:v>
                </c:pt>
                <c:pt idx="4">
                  <c:v>0</c:v>
                </c:pt>
                <c:pt idx="5">
                  <c:v>0.7299270072992744</c:v>
                </c:pt>
                <c:pt idx="6">
                  <c:v>0</c:v>
                </c:pt>
                <c:pt idx="7">
                  <c:v>1.6666666666666681</c:v>
                </c:pt>
                <c:pt idx="8">
                  <c:v>0</c:v>
                </c:pt>
                <c:pt idx="9">
                  <c:v>3</c:v>
                </c:pt>
                <c:pt idx="10">
                  <c:v>2.3255813953488369</c:v>
                </c:pt>
                <c:pt idx="11">
                  <c:v>4.4117647058823923</c:v>
                </c:pt>
                <c:pt idx="12">
                  <c:v>0</c:v>
                </c:pt>
                <c:pt idx="13">
                  <c:v>1.3844515441959582</c:v>
                </c:pt>
              </c:numCache>
            </c:numRef>
          </c:val>
        </c:ser>
        <c:dLbls>
          <c:showLegendKey val="0"/>
          <c:showVal val="0"/>
          <c:showCatName val="0"/>
          <c:showSerName val="0"/>
          <c:showPercent val="0"/>
          <c:showBubbleSize val="0"/>
        </c:dLbls>
        <c:gapWidth val="150"/>
        <c:axId val="555980672"/>
        <c:axId val="555995136"/>
      </c:barChart>
      <c:lineChart>
        <c:grouping val="standard"/>
        <c:varyColors val="0"/>
        <c:ser>
          <c:idx val="4"/>
          <c:order val="4"/>
          <c:tx>
            <c:strRef>
              <c:f>'Сравн.фак-ов'!$F$3</c:f>
              <c:strCache>
                <c:ptCount val="1"/>
                <c:pt idx="0">
                  <c:v>Сред. оценка IELTS</c:v>
                </c:pt>
              </c:strCache>
            </c:strRef>
          </c:tx>
          <c:spPr>
            <a:ln w="25400">
              <a:solidFill>
                <a:srgbClr val="33CCCC"/>
              </a:solidFill>
              <a:prstDash val="solid"/>
            </a:ln>
          </c:spPr>
          <c:marker>
            <c:spPr>
              <a:solidFill>
                <a:srgbClr val="4BACC6"/>
              </a:solidFill>
              <a:ln>
                <a:solidFill>
                  <a:srgbClr val="33CCCC"/>
                </a:solidFill>
                <a:prstDash val="solid"/>
              </a:ln>
            </c:spPr>
          </c:marker>
          <c:cat>
            <c:strRef>
              <c:f>'Сравн.фак-ов'!$A$4:$A$20</c:f>
              <c:strCache>
                <c:ptCount val="14"/>
                <c:pt idx="0">
                  <c:v>Экон</c:v>
                </c:pt>
                <c:pt idx="1">
                  <c:v>Вост</c:v>
                </c:pt>
                <c:pt idx="2">
                  <c:v>Культ</c:v>
                </c:pt>
                <c:pt idx="3">
                  <c:v>Филос</c:v>
                </c:pt>
                <c:pt idx="4">
                  <c:v>БИ</c:v>
                </c:pt>
                <c:pt idx="5">
                  <c:v>Соц</c:v>
                </c:pt>
                <c:pt idx="6">
                  <c:v>Медиа</c:v>
                </c:pt>
                <c:pt idx="7">
                  <c:v>ПМИ</c:v>
                </c:pt>
                <c:pt idx="8">
                  <c:v>ПИ</c:v>
                </c:pt>
                <c:pt idx="9">
                  <c:v>ГМУ</c:v>
                </c:pt>
                <c:pt idx="10">
                  <c:v>Матем</c:v>
                </c:pt>
                <c:pt idx="11">
                  <c:v>Стат</c:v>
                </c:pt>
                <c:pt idx="12">
                  <c:v>ВШЭ-РЭШ</c:v>
                </c:pt>
                <c:pt idx="13">
                  <c:v>Всего</c:v>
                </c:pt>
              </c:strCache>
            </c:strRef>
          </c:cat>
          <c:val>
            <c:numRef>
              <c:f>'Сравн.фак-ов'!$F$4:$F$20</c:f>
              <c:numCache>
                <c:formatCode>0.00</c:formatCode>
                <c:ptCount val="14"/>
                <c:pt idx="0">
                  <c:v>1.7647058823529398</c:v>
                </c:pt>
                <c:pt idx="1">
                  <c:v>0</c:v>
                </c:pt>
                <c:pt idx="2">
                  <c:v>3.4482758620689649</c:v>
                </c:pt>
                <c:pt idx="3">
                  <c:v>0</c:v>
                </c:pt>
                <c:pt idx="4">
                  <c:v>0</c:v>
                </c:pt>
                <c:pt idx="5">
                  <c:v>0.7299270072992744</c:v>
                </c:pt>
                <c:pt idx="6">
                  <c:v>11.428571428571376</c:v>
                </c:pt>
                <c:pt idx="7">
                  <c:v>1.6666666666666681</c:v>
                </c:pt>
                <c:pt idx="8">
                  <c:v>2.6315789473684208</c:v>
                </c:pt>
                <c:pt idx="9">
                  <c:v>1</c:v>
                </c:pt>
                <c:pt idx="10">
                  <c:v>0</c:v>
                </c:pt>
                <c:pt idx="11">
                  <c:v>0</c:v>
                </c:pt>
                <c:pt idx="12">
                  <c:v>0</c:v>
                </c:pt>
                <c:pt idx="13">
                  <c:v>1.59744408945687</c:v>
                </c:pt>
              </c:numCache>
            </c:numRef>
          </c:val>
          <c:smooth val="0"/>
        </c:ser>
        <c:dLbls>
          <c:showLegendKey val="0"/>
          <c:showVal val="0"/>
          <c:showCatName val="0"/>
          <c:showSerName val="0"/>
          <c:showPercent val="0"/>
          <c:showBubbleSize val="0"/>
        </c:dLbls>
        <c:marker val="1"/>
        <c:smooth val="0"/>
        <c:axId val="555980672"/>
        <c:axId val="555995136"/>
      </c:lineChart>
      <c:catAx>
        <c:axId val="555980672"/>
        <c:scaling>
          <c:orientation val="minMax"/>
        </c:scaling>
        <c:delete val="0"/>
        <c:axPos val="t"/>
        <c:numFmt formatCode="General" sourceLinked="1"/>
        <c:majorTickMark val="none"/>
        <c:minorTickMark val="none"/>
        <c:tickLblPos val="nextTo"/>
        <c:spPr>
          <a:ln w="3175">
            <a:solidFill>
              <a:srgbClr val="969696"/>
            </a:solidFill>
            <a:prstDash val="solid"/>
          </a:ln>
        </c:spPr>
        <c:txPr>
          <a:bodyPr rot="-5400000" vert="horz"/>
          <a:lstStyle/>
          <a:p>
            <a:pPr>
              <a:defRPr/>
            </a:pPr>
            <a:endParaRPr lang="ru-RU"/>
          </a:p>
        </c:txPr>
        <c:crossAx val="555995136"/>
        <c:crosses val="autoZero"/>
        <c:auto val="1"/>
        <c:lblAlgn val="ctr"/>
        <c:lblOffset val="100"/>
        <c:noMultiLvlLbl val="0"/>
      </c:catAx>
      <c:valAx>
        <c:axId val="555995136"/>
        <c:scaling>
          <c:orientation val="maxMin"/>
          <c:max val="45"/>
        </c:scaling>
        <c:delete val="0"/>
        <c:axPos val="l"/>
        <c:majorGridlines>
          <c:spPr>
            <a:ln w="3175">
              <a:solidFill>
                <a:srgbClr val="969696"/>
              </a:solidFill>
              <a:prstDash val="solid"/>
            </a:ln>
          </c:spPr>
        </c:majorGridlines>
        <c:title>
          <c:tx>
            <c:rich>
              <a:bodyPr/>
              <a:lstStyle/>
              <a:p>
                <a:pPr>
                  <a:defRPr/>
                </a:pPr>
                <a:r>
                  <a:rPr lang="ru-RU"/>
                  <a:t>Проценты от числа студентов</a:t>
                </a:r>
              </a:p>
            </c:rich>
          </c:tx>
          <c:layout>
            <c:manualLayout>
              <c:xMode val="edge"/>
              <c:yMode val="edge"/>
              <c:x val="6.9819545284112203E-2"/>
              <c:y val="0.18337402147875587"/>
            </c:manualLayout>
          </c:layout>
          <c:overlay val="0"/>
          <c:spPr>
            <a:noFill/>
            <a:ln w="25400">
              <a:noFill/>
            </a:ln>
          </c:spPr>
        </c:title>
        <c:numFmt formatCode="0.00" sourceLinked="1"/>
        <c:majorTickMark val="none"/>
        <c:minorTickMark val="none"/>
        <c:tickLblPos val="nextTo"/>
        <c:spPr>
          <a:ln w="3175">
            <a:solidFill>
              <a:srgbClr val="969696"/>
            </a:solidFill>
            <a:prstDash val="solid"/>
          </a:ln>
        </c:spPr>
        <c:crossAx val="555980672"/>
        <c:crosses val="autoZero"/>
        <c:crossBetween val="between"/>
      </c:valAx>
      <c:dTable>
        <c:showHorzBorder val="1"/>
        <c:showVertBorder val="1"/>
        <c:showOutline val="1"/>
        <c:showKeys val="1"/>
      </c:dTable>
      <c:spPr>
        <a:solidFill>
          <a:srgbClr val="FFFFFF"/>
        </a:solidFill>
        <a:ln w="25400">
          <a:noFill/>
        </a:ln>
      </c:spPr>
    </c:plotArea>
    <c:plotVisOnly val="1"/>
    <c:dispBlanksAs val="gap"/>
    <c:showDLblsOverMax val="0"/>
  </c:chart>
  <c:spPr>
    <a:solidFill>
      <a:srgbClr val="FFFFFF"/>
    </a:solidFill>
    <a:ln w="3175">
      <a:solidFill>
        <a:srgbClr val="969696"/>
      </a:solidFill>
      <a:prstDash val="solid"/>
    </a:ln>
  </c:sp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ЧАСТОТЫ ПО ШКАЛЕ </a:t>
            </a:r>
            <a:r>
              <a:rPr lang="en-US" sz="1200"/>
              <a:t>IELTS </a:t>
            </a:r>
            <a:r>
              <a:rPr lang="ru-RU" sz="1200"/>
              <a:t>НИУ ВШЭ_2013</a:t>
            </a:r>
          </a:p>
        </c:rich>
      </c:tx>
      <c:overlay val="0"/>
      <c:spPr>
        <a:noFill/>
        <a:ln w="25400">
          <a:noFill/>
        </a:ln>
      </c:spPr>
    </c:title>
    <c:autoTitleDeleted val="0"/>
    <c:plotArea>
      <c:layout/>
      <c:scatterChart>
        <c:scatterStyle val="smoothMarker"/>
        <c:varyColors val="0"/>
        <c:ser>
          <c:idx val="0"/>
          <c:order val="0"/>
          <c:tx>
            <c:strRef>
              <c:f>Итоги!$O$7</c:f>
              <c:strCache>
                <c:ptCount val="1"/>
                <c:pt idx="0">
                  <c:v>Средняя оценка</c:v>
                </c:pt>
              </c:strCache>
            </c:strRef>
          </c:tx>
          <c:spPr>
            <a:ln w="38100">
              <a:solidFill>
                <a:srgbClr val="666699"/>
              </a:solidFill>
              <a:prstDash val="solid"/>
            </a:ln>
          </c:spPr>
          <c:marker>
            <c:spPr>
              <a:solidFill>
                <a:srgbClr val="4F81BD"/>
              </a:solidFill>
              <a:ln>
                <a:solidFill>
                  <a:srgbClr val="666699"/>
                </a:solidFill>
                <a:prstDash val="solid"/>
              </a:ln>
            </c:spPr>
          </c:marker>
          <c:xVal>
            <c:numRef>
              <c:f>Итоги!$N$8:$N$24</c:f>
              <c:numCache>
                <c:formatCode>General</c:formatCode>
                <c:ptCount val="17"/>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8.5</c:v>
                </c:pt>
                <c:pt idx="16">
                  <c:v>9</c:v>
                </c:pt>
              </c:numCache>
            </c:numRef>
          </c:xVal>
          <c:yVal>
            <c:numRef>
              <c:f>Итоги!$O$8:$O$24</c:f>
              <c:numCache>
                <c:formatCode>General</c:formatCode>
                <c:ptCount val="17"/>
                <c:pt idx="0">
                  <c:v>25</c:v>
                </c:pt>
                <c:pt idx="1">
                  <c:v>0</c:v>
                </c:pt>
                <c:pt idx="2">
                  <c:v>0</c:v>
                </c:pt>
                <c:pt idx="3">
                  <c:v>0</c:v>
                </c:pt>
                <c:pt idx="4">
                  <c:v>1</c:v>
                </c:pt>
                <c:pt idx="5">
                  <c:v>0</c:v>
                </c:pt>
                <c:pt idx="6">
                  <c:v>0</c:v>
                </c:pt>
                <c:pt idx="7">
                  <c:v>10</c:v>
                </c:pt>
                <c:pt idx="8">
                  <c:v>25</c:v>
                </c:pt>
                <c:pt idx="9">
                  <c:v>80</c:v>
                </c:pt>
                <c:pt idx="10">
                  <c:v>181</c:v>
                </c:pt>
                <c:pt idx="11">
                  <c:v>280</c:v>
                </c:pt>
                <c:pt idx="12">
                  <c:v>227</c:v>
                </c:pt>
                <c:pt idx="13">
                  <c:v>92</c:v>
                </c:pt>
                <c:pt idx="14">
                  <c:v>14</c:v>
                </c:pt>
                <c:pt idx="15">
                  <c:v>4</c:v>
                </c:pt>
                <c:pt idx="16">
                  <c:v>0</c:v>
                </c:pt>
              </c:numCache>
            </c:numRef>
          </c:yVal>
          <c:smooth val="1"/>
        </c:ser>
        <c:ser>
          <c:idx val="1"/>
          <c:order val="1"/>
          <c:tx>
            <c:strRef>
              <c:f>Итоги!$P$24</c:f>
              <c:strCache>
                <c:ptCount val="1"/>
                <c:pt idx="0">
                  <c:v>Аудирование</c:v>
                </c:pt>
              </c:strCache>
            </c:strRef>
          </c:tx>
          <c:spPr>
            <a:ln w="25400">
              <a:solidFill>
                <a:srgbClr val="993366"/>
              </a:solidFill>
              <a:prstDash val="solid"/>
            </a:ln>
          </c:spPr>
          <c:marker>
            <c:spPr>
              <a:solidFill>
                <a:srgbClr val="C0504D"/>
              </a:solidFill>
              <a:ln>
                <a:solidFill>
                  <a:srgbClr val="993366"/>
                </a:solidFill>
                <a:prstDash val="solid"/>
              </a:ln>
            </c:spPr>
          </c:marker>
          <c:xVal>
            <c:numRef>
              <c:f>Итоги!$N$8:$N$24</c:f>
              <c:numCache>
                <c:formatCode>General</c:formatCode>
                <c:ptCount val="17"/>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8.5</c:v>
                </c:pt>
                <c:pt idx="16">
                  <c:v>9</c:v>
                </c:pt>
              </c:numCache>
            </c:numRef>
          </c:xVal>
          <c:yVal>
            <c:numRef>
              <c:f>Итоги!$P$7:$P$23</c:f>
              <c:numCache>
                <c:formatCode>General</c:formatCode>
                <c:ptCount val="17"/>
                <c:pt idx="0">
                  <c:v>19</c:v>
                </c:pt>
                <c:pt idx="1">
                  <c:v>3</c:v>
                </c:pt>
                <c:pt idx="2">
                  <c:v>2</c:v>
                </c:pt>
                <c:pt idx="3">
                  <c:v>1</c:v>
                </c:pt>
                <c:pt idx="4">
                  <c:v>8</c:v>
                </c:pt>
                <c:pt idx="5">
                  <c:v>26</c:v>
                </c:pt>
                <c:pt idx="6">
                  <c:v>42</c:v>
                </c:pt>
                <c:pt idx="7">
                  <c:v>79</c:v>
                </c:pt>
                <c:pt idx="8">
                  <c:v>129</c:v>
                </c:pt>
                <c:pt idx="9">
                  <c:v>139</c:v>
                </c:pt>
                <c:pt idx="10">
                  <c:v>212</c:v>
                </c:pt>
                <c:pt idx="11">
                  <c:v>98</c:v>
                </c:pt>
                <c:pt idx="12">
                  <c:v>108</c:v>
                </c:pt>
                <c:pt idx="13">
                  <c:v>50</c:v>
                </c:pt>
                <c:pt idx="14">
                  <c:v>21</c:v>
                </c:pt>
                <c:pt idx="15">
                  <c:v>1</c:v>
                </c:pt>
                <c:pt idx="16">
                  <c:v>0</c:v>
                </c:pt>
              </c:numCache>
            </c:numRef>
          </c:yVal>
          <c:smooth val="1"/>
        </c:ser>
        <c:ser>
          <c:idx val="2"/>
          <c:order val="2"/>
          <c:tx>
            <c:strRef>
              <c:f>Итоги!$Q$24</c:f>
              <c:strCache>
                <c:ptCount val="1"/>
                <c:pt idx="0">
                  <c:v>Чтение</c:v>
                </c:pt>
              </c:strCache>
            </c:strRef>
          </c:tx>
          <c:spPr>
            <a:ln w="25400">
              <a:solidFill>
                <a:srgbClr val="99CC00"/>
              </a:solidFill>
              <a:prstDash val="solid"/>
            </a:ln>
          </c:spPr>
          <c:marker>
            <c:spPr>
              <a:solidFill>
                <a:srgbClr val="9BBB59"/>
              </a:solidFill>
              <a:ln>
                <a:solidFill>
                  <a:srgbClr val="99CC00"/>
                </a:solidFill>
                <a:prstDash val="solid"/>
              </a:ln>
            </c:spPr>
          </c:marker>
          <c:xVal>
            <c:numRef>
              <c:f>Итоги!$N$8:$N$24</c:f>
              <c:numCache>
                <c:formatCode>General</c:formatCode>
                <c:ptCount val="17"/>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8.5</c:v>
                </c:pt>
                <c:pt idx="16">
                  <c:v>9</c:v>
                </c:pt>
              </c:numCache>
            </c:numRef>
          </c:xVal>
          <c:yVal>
            <c:numRef>
              <c:f>Итоги!$Q$7:$Q$23</c:f>
              <c:numCache>
                <c:formatCode>General</c:formatCode>
                <c:ptCount val="17"/>
                <c:pt idx="0">
                  <c:v>15</c:v>
                </c:pt>
                <c:pt idx="1">
                  <c:v>0</c:v>
                </c:pt>
                <c:pt idx="2">
                  <c:v>1</c:v>
                </c:pt>
                <c:pt idx="3">
                  <c:v>1</c:v>
                </c:pt>
                <c:pt idx="4">
                  <c:v>2</c:v>
                </c:pt>
                <c:pt idx="5">
                  <c:v>8</c:v>
                </c:pt>
                <c:pt idx="6">
                  <c:v>14</c:v>
                </c:pt>
                <c:pt idx="7">
                  <c:v>47</c:v>
                </c:pt>
                <c:pt idx="8">
                  <c:v>107</c:v>
                </c:pt>
                <c:pt idx="9">
                  <c:v>110</c:v>
                </c:pt>
                <c:pt idx="10">
                  <c:v>189</c:v>
                </c:pt>
                <c:pt idx="11">
                  <c:v>102</c:v>
                </c:pt>
                <c:pt idx="12">
                  <c:v>143</c:v>
                </c:pt>
                <c:pt idx="13">
                  <c:v>89</c:v>
                </c:pt>
                <c:pt idx="14">
                  <c:v>90</c:v>
                </c:pt>
                <c:pt idx="15">
                  <c:v>21</c:v>
                </c:pt>
                <c:pt idx="16">
                  <c:v>0</c:v>
                </c:pt>
              </c:numCache>
            </c:numRef>
          </c:yVal>
          <c:smooth val="1"/>
        </c:ser>
        <c:ser>
          <c:idx val="3"/>
          <c:order val="3"/>
          <c:tx>
            <c:strRef>
              <c:f>Итоги!$R$24</c:f>
              <c:strCache>
                <c:ptCount val="1"/>
                <c:pt idx="0">
                  <c:v>Письмо</c:v>
                </c:pt>
              </c:strCache>
            </c:strRef>
          </c:tx>
          <c:spPr>
            <a:ln w="25400">
              <a:solidFill>
                <a:srgbClr val="666699"/>
              </a:solidFill>
              <a:prstDash val="solid"/>
            </a:ln>
          </c:spPr>
          <c:marker>
            <c:spPr>
              <a:solidFill>
                <a:srgbClr val="8064A2"/>
              </a:solidFill>
              <a:ln>
                <a:solidFill>
                  <a:srgbClr val="666699"/>
                </a:solidFill>
                <a:prstDash val="solid"/>
              </a:ln>
            </c:spPr>
          </c:marker>
          <c:xVal>
            <c:numRef>
              <c:f>Итоги!$N$8:$N$24</c:f>
              <c:numCache>
                <c:formatCode>General</c:formatCode>
                <c:ptCount val="17"/>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8.5</c:v>
                </c:pt>
                <c:pt idx="16">
                  <c:v>9</c:v>
                </c:pt>
              </c:numCache>
            </c:numRef>
          </c:xVal>
          <c:yVal>
            <c:numRef>
              <c:f>Итоги!$R$7:$R$23</c:f>
              <c:numCache>
                <c:formatCode>General</c:formatCode>
                <c:ptCount val="17"/>
                <c:pt idx="0">
                  <c:v>18</c:v>
                </c:pt>
                <c:pt idx="1">
                  <c:v>0</c:v>
                </c:pt>
                <c:pt idx="2">
                  <c:v>4</c:v>
                </c:pt>
                <c:pt idx="3">
                  <c:v>0</c:v>
                </c:pt>
                <c:pt idx="4">
                  <c:v>0</c:v>
                </c:pt>
                <c:pt idx="5">
                  <c:v>5</c:v>
                </c:pt>
                <c:pt idx="6">
                  <c:v>3</c:v>
                </c:pt>
                <c:pt idx="7">
                  <c:v>11</c:v>
                </c:pt>
                <c:pt idx="8">
                  <c:v>46</c:v>
                </c:pt>
                <c:pt idx="9">
                  <c:v>183</c:v>
                </c:pt>
                <c:pt idx="10">
                  <c:v>376</c:v>
                </c:pt>
                <c:pt idx="11">
                  <c:v>192</c:v>
                </c:pt>
                <c:pt idx="12">
                  <c:v>80</c:v>
                </c:pt>
                <c:pt idx="13">
                  <c:v>18</c:v>
                </c:pt>
                <c:pt idx="14">
                  <c:v>3</c:v>
                </c:pt>
                <c:pt idx="15">
                  <c:v>0</c:v>
                </c:pt>
                <c:pt idx="16">
                  <c:v>0</c:v>
                </c:pt>
              </c:numCache>
            </c:numRef>
          </c:yVal>
          <c:smooth val="1"/>
        </c:ser>
        <c:ser>
          <c:idx val="4"/>
          <c:order val="4"/>
          <c:tx>
            <c:strRef>
              <c:f>Итоги!$S$25</c:f>
              <c:strCache>
                <c:ptCount val="1"/>
                <c:pt idx="0">
                  <c:v>Интервью</c:v>
                </c:pt>
              </c:strCache>
            </c:strRef>
          </c:tx>
          <c:spPr>
            <a:ln w="25400">
              <a:solidFill>
                <a:srgbClr val="33CCCC"/>
              </a:solidFill>
              <a:prstDash val="solid"/>
            </a:ln>
          </c:spPr>
          <c:marker>
            <c:spPr>
              <a:solidFill>
                <a:srgbClr val="4BACC6"/>
              </a:solidFill>
              <a:ln>
                <a:solidFill>
                  <a:srgbClr val="33CCCC"/>
                </a:solidFill>
                <a:prstDash val="solid"/>
              </a:ln>
            </c:spPr>
          </c:marker>
          <c:xVal>
            <c:numRef>
              <c:f>Итоги!$N$8:$N$24</c:f>
              <c:numCache>
                <c:formatCode>General</c:formatCode>
                <c:ptCount val="17"/>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8.5</c:v>
                </c:pt>
                <c:pt idx="16">
                  <c:v>9</c:v>
                </c:pt>
              </c:numCache>
            </c:numRef>
          </c:xVal>
          <c:yVal>
            <c:numRef>
              <c:f>Итоги!$S$8:$S$24</c:f>
              <c:numCache>
                <c:formatCode>General</c:formatCode>
                <c:ptCount val="17"/>
                <c:pt idx="0">
                  <c:v>25</c:v>
                </c:pt>
                <c:pt idx="1">
                  <c:v>0</c:v>
                </c:pt>
                <c:pt idx="2">
                  <c:v>0</c:v>
                </c:pt>
                <c:pt idx="3">
                  <c:v>0</c:v>
                </c:pt>
                <c:pt idx="4">
                  <c:v>0</c:v>
                </c:pt>
                <c:pt idx="5">
                  <c:v>0</c:v>
                </c:pt>
                <c:pt idx="6">
                  <c:v>1</c:v>
                </c:pt>
                <c:pt idx="7">
                  <c:v>12</c:v>
                </c:pt>
                <c:pt idx="8">
                  <c:v>46</c:v>
                </c:pt>
                <c:pt idx="9">
                  <c:v>148</c:v>
                </c:pt>
                <c:pt idx="10">
                  <c:v>258</c:v>
                </c:pt>
                <c:pt idx="11">
                  <c:v>239</c:v>
                </c:pt>
                <c:pt idx="12">
                  <c:v>127</c:v>
                </c:pt>
                <c:pt idx="13">
                  <c:v>49</c:v>
                </c:pt>
                <c:pt idx="14">
                  <c:v>22</c:v>
                </c:pt>
                <c:pt idx="15">
                  <c:v>7</c:v>
                </c:pt>
                <c:pt idx="16">
                  <c:v>5</c:v>
                </c:pt>
              </c:numCache>
            </c:numRef>
          </c:yVal>
          <c:smooth val="1"/>
        </c:ser>
        <c:dLbls>
          <c:showLegendKey val="0"/>
          <c:showVal val="0"/>
          <c:showCatName val="0"/>
          <c:showSerName val="0"/>
          <c:showPercent val="0"/>
          <c:showBubbleSize val="0"/>
        </c:dLbls>
        <c:axId val="556167552"/>
        <c:axId val="556169856"/>
      </c:scatterChart>
      <c:valAx>
        <c:axId val="556167552"/>
        <c:scaling>
          <c:orientation val="minMax"/>
          <c:max val="9"/>
          <c:min val="0"/>
        </c:scaling>
        <c:delete val="0"/>
        <c:axPos val="b"/>
        <c:title>
          <c:tx>
            <c:rich>
              <a:bodyPr/>
              <a:lstStyle/>
              <a:p>
                <a:pPr>
                  <a:defRPr sz="1100" b="0" i="0" u="none" strike="noStrike" baseline="0">
                    <a:solidFill>
                      <a:srgbClr val="000000"/>
                    </a:solidFill>
                    <a:latin typeface="Calibri"/>
                    <a:ea typeface="Calibri"/>
                    <a:cs typeface="Calibri"/>
                  </a:defRPr>
                </a:pPr>
                <a:r>
                  <a:rPr lang="ru-RU" sz="1000" b="1" i="0" u="none" strike="noStrike" baseline="0">
                    <a:solidFill>
                      <a:srgbClr val="000000"/>
                    </a:solidFill>
                    <a:latin typeface="Calibri"/>
                  </a:rPr>
                  <a:t>Баллы по </a:t>
                </a:r>
                <a:r>
                  <a:rPr lang="en-GB" sz="1000" b="1" i="0" u="none" strike="noStrike" baseline="0">
                    <a:solidFill>
                      <a:srgbClr val="000000"/>
                    </a:solidFill>
                    <a:latin typeface="Calibri"/>
                  </a:rPr>
                  <a:t>IELTS</a:t>
                </a:r>
              </a:p>
            </c:rich>
          </c:tx>
          <c:overlay val="0"/>
          <c:spPr>
            <a:noFill/>
            <a:ln w="25400">
              <a:noFill/>
            </a:ln>
          </c:spPr>
        </c:title>
        <c:numFmt formatCode="General" sourceLinked="1"/>
        <c:majorTickMark val="none"/>
        <c:minorTickMark val="none"/>
        <c:tickLblPos val="nextTo"/>
        <c:spPr>
          <a:ln w="3175">
            <a:solidFill>
              <a:srgbClr val="969696"/>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556169856"/>
        <c:crosses val="autoZero"/>
        <c:crossBetween val="midCat"/>
        <c:majorUnit val="1"/>
        <c:minorUnit val="0.5"/>
      </c:valAx>
      <c:valAx>
        <c:axId val="556169856"/>
        <c:scaling>
          <c:orientation val="minMax"/>
          <c:min val="0"/>
        </c:scaling>
        <c:delete val="0"/>
        <c:axPos val="l"/>
        <c:majorGridlines>
          <c:spPr>
            <a:ln w="3175">
              <a:solidFill>
                <a:srgbClr val="969696"/>
              </a:solidFill>
              <a:prstDash val="solid"/>
            </a:ln>
          </c:spPr>
        </c:majorGridlines>
        <c:title>
          <c:tx>
            <c:rich>
              <a:bodyPr/>
              <a:lstStyle/>
              <a:p>
                <a:pPr>
                  <a:defRPr/>
                </a:pPr>
                <a:r>
                  <a:rPr lang="ru-RU"/>
                  <a:t>Количество студентов</a:t>
                </a:r>
              </a:p>
            </c:rich>
          </c:tx>
          <c:overlay val="0"/>
          <c:spPr>
            <a:noFill/>
            <a:ln w="25400">
              <a:noFill/>
            </a:ln>
          </c:spPr>
        </c:title>
        <c:numFmt formatCode="General" sourceLinked="1"/>
        <c:majorTickMark val="none"/>
        <c:minorTickMark val="none"/>
        <c:tickLblPos val="nextTo"/>
        <c:spPr>
          <a:ln w="3175">
            <a:solidFill>
              <a:srgbClr val="969696"/>
            </a:solidFill>
            <a:prstDash val="solid"/>
          </a:ln>
        </c:spPr>
        <c:crossAx val="556167552"/>
        <c:crosses val="autoZero"/>
        <c:crossBetween val="midCat"/>
      </c:valAx>
      <c:spPr>
        <a:solidFill>
          <a:srgbClr val="FFFFFF"/>
        </a:solidFill>
        <a:ln w="25400">
          <a:noFill/>
        </a:ln>
      </c:spPr>
    </c:plotArea>
    <c:legend>
      <c:legendPos val="r"/>
      <c:layout>
        <c:manualLayout>
          <c:xMode val="edge"/>
          <c:yMode val="edge"/>
          <c:x val="0.78412486601008102"/>
          <c:y val="0.18825910931174142"/>
          <c:w val="0.20196878837353499"/>
          <c:h val="0.69028340080971651"/>
        </c:manualLayout>
      </c:layout>
      <c:overlay val="0"/>
      <c:spPr>
        <a:noFill/>
        <a:ln w="25400">
          <a:noFill/>
        </a:ln>
      </c:spPr>
      <c:txPr>
        <a:bodyPr/>
        <a:lstStyle/>
        <a:p>
          <a:pPr>
            <a:defRPr sz="1100"/>
          </a:pPr>
          <a:endParaRPr lang="ru-RU"/>
        </a:p>
      </c:txPr>
    </c:legend>
    <c:plotVisOnly val="1"/>
    <c:dispBlanksAs val="gap"/>
    <c:showDLblsOverMax val="0"/>
  </c:chart>
  <c:spPr>
    <a:solidFill>
      <a:srgbClr val="FFFFFF"/>
    </a:solidFill>
    <a:ln w="3175">
      <a:solidFill>
        <a:srgbClr val="969696"/>
      </a:solidFill>
      <a:prstDash val="solid"/>
    </a:ln>
  </c:sp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u="none" strike="noStrike" baseline="0"/>
              <a:t>Разница оценок </a:t>
            </a:r>
            <a:r>
              <a:rPr lang="ru-RU" sz="1200" b="0" i="1" u="none" strike="noStrike" baseline="0"/>
              <a:t>(положительная область - оценка </a:t>
            </a:r>
            <a:r>
              <a:rPr lang="en-US" sz="1200" b="0" i="1" u="none" strike="noStrike" baseline="0"/>
              <a:t>IELTS </a:t>
            </a:r>
            <a:r>
              <a:rPr lang="ru-RU" sz="1200" b="0" i="1" u="none" strike="noStrike" baseline="0"/>
              <a:t>выше; отрицательная - оценка </a:t>
            </a:r>
            <a:r>
              <a:rPr lang="en-US" sz="1200" b="0" i="1" u="none" strike="noStrike" baseline="0"/>
              <a:t>IELTS</a:t>
            </a:r>
            <a:r>
              <a:rPr lang="ru-RU" sz="1200" b="0" i="1" u="none" strike="noStrike" baseline="0"/>
              <a:t> ниже) </a:t>
            </a:r>
            <a:r>
              <a:rPr lang="ru-RU" sz="1200" b="0" i="0" u="none" strike="noStrike" baseline="0"/>
              <a:t>между экзаменом </a:t>
            </a:r>
            <a:r>
              <a:rPr lang="en-US" sz="1200" b="0" i="0" u="none" strike="noStrike" baseline="0"/>
              <a:t>IELTS</a:t>
            </a:r>
            <a:r>
              <a:rPr lang="ru-RU" sz="1200" b="0" i="0" u="none" strike="noStrike" baseline="0"/>
              <a:t> и накопленной оценкой_2013</a:t>
            </a:r>
            <a:endParaRPr lang="ru-RU" sz="1200" i="0"/>
          </a:p>
        </c:rich>
      </c:tx>
      <c:overlay val="0"/>
      <c:spPr>
        <a:noFill/>
        <a:ln w="25400">
          <a:noFill/>
        </a:ln>
      </c:spPr>
    </c:title>
    <c:autoTitleDeleted val="0"/>
    <c:plotArea>
      <c:layout>
        <c:manualLayout>
          <c:layoutTarget val="inner"/>
          <c:xMode val="edge"/>
          <c:yMode val="edge"/>
          <c:x val="4.5676953665906087E-2"/>
          <c:y val="0.25817191257431399"/>
          <c:w val="0.92963294828301302"/>
          <c:h val="0.65121011096968195"/>
        </c:manualLayout>
      </c:layout>
      <c:scatterChart>
        <c:scatterStyle val="smoothMarker"/>
        <c:varyColors val="0"/>
        <c:ser>
          <c:idx val="0"/>
          <c:order val="0"/>
          <c:spPr>
            <a:ln w="25400">
              <a:solidFill>
                <a:srgbClr val="666699"/>
              </a:solidFill>
              <a:prstDash val="solid"/>
            </a:ln>
          </c:spPr>
          <c:marker>
            <c:spPr>
              <a:solidFill>
                <a:srgbClr val="4F81BD"/>
              </a:solidFill>
              <a:ln>
                <a:solidFill>
                  <a:srgbClr val="666699"/>
                </a:solidFill>
                <a:prstDash val="solid"/>
              </a:ln>
            </c:spPr>
          </c:marker>
          <c:xVal>
            <c:numRef>
              <c:f>Итоги!$Q$56:$Q$75</c:f>
              <c:numCache>
                <c:formatCode>General</c:formatCode>
                <c:ptCount val="20"/>
                <c:pt idx="0">
                  <c:v>-9</c:v>
                </c:pt>
                <c:pt idx="1">
                  <c:v>-8</c:v>
                </c:pt>
                <c:pt idx="2">
                  <c:v>-7</c:v>
                </c:pt>
                <c:pt idx="3">
                  <c:v>-6</c:v>
                </c:pt>
                <c:pt idx="4">
                  <c:v>-5</c:v>
                </c:pt>
                <c:pt idx="5">
                  <c:v>-4</c:v>
                </c:pt>
                <c:pt idx="6">
                  <c:v>-3</c:v>
                </c:pt>
                <c:pt idx="7">
                  <c:v>-2</c:v>
                </c:pt>
                <c:pt idx="8">
                  <c:v>-1</c:v>
                </c:pt>
                <c:pt idx="9">
                  <c:v>0</c:v>
                </c:pt>
                <c:pt idx="10">
                  <c:v>1</c:v>
                </c:pt>
                <c:pt idx="11">
                  <c:v>2</c:v>
                </c:pt>
                <c:pt idx="12">
                  <c:v>3</c:v>
                </c:pt>
                <c:pt idx="13">
                  <c:v>4</c:v>
                </c:pt>
                <c:pt idx="14">
                  <c:v>5</c:v>
                </c:pt>
                <c:pt idx="15">
                  <c:v>6</c:v>
                </c:pt>
                <c:pt idx="16">
                  <c:v>7</c:v>
                </c:pt>
                <c:pt idx="17">
                  <c:v>8</c:v>
                </c:pt>
                <c:pt idx="18">
                  <c:v>9</c:v>
                </c:pt>
                <c:pt idx="19">
                  <c:v>10</c:v>
                </c:pt>
              </c:numCache>
            </c:numRef>
          </c:xVal>
          <c:yVal>
            <c:numRef>
              <c:f>Итоги!$S$57:$S$76</c:f>
              <c:numCache>
                <c:formatCode>0.0</c:formatCode>
                <c:ptCount val="20"/>
                <c:pt idx="0">
                  <c:v>0.11074197120708799</c:v>
                </c:pt>
                <c:pt idx="1">
                  <c:v>0.22148394241417499</c:v>
                </c:pt>
                <c:pt idx="2">
                  <c:v>0.11074197120708799</c:v>
                </c:pt>
                <c:pt idx="3">
                  <c:v>0.33222591362126402</c:v>
                </c:pt>
                <c:pt idx="4">
                  <c:v>0.66445182724253005</c:v>
                </c:pt>
                <c:pt idx="5">
                  <c:v>2.1040974529346652</c:v>
                </c:pt>
                <c:pt idx="6">
                  <c:v>5.0941306755259701</c:v>
                </c:pt>
                <c:pt idx="7">
                  <c:v>17.607973421927007</c:v>
                </c:pt>
                <c:pt idx="8">
                  <c:v>27.35326688815061</c:v>
                </c:pt>
                <c:pt idx="9">
                  <c:v>26.135105204872641</c:v>
                </c:pt>
                <c:pt idx="10">
                  <c:v>11.29568106312292</c:v>
                </c:pt>
                <c:pt idx="11">
                  <c:v>4.7619047619047619</c:v>
                </c:pt>
                <c:pt idx="12">
                  <c:v>2.2148394241417377</c:v>
                </c:pt>
                <c:pt idx="13">
                  <c:v>1.218161683277952</c:v>
                </c:pt>
                <c:pt idx="14">
                  <c:v>0.22148394241417499</c:v>
                </c:pt>
                <c:pt idx="15">
                  <c:v>0.11074197120708799</c:v>
                </c:pt>
                <c:pt idx="16">
                  <c:v>0.33222591362126402</c:v>
                </c:pt>
                <c:pt idx="17">
                  <c:v>0.11074197120708799</c:v>
                </c:pt>
                <c:pt idx="18">
                  <c:v>0</c:v>
                </c:pt>
                <c:pt idx="19">
                  <c:v>0</c:v>
                </c:pt>
              </c:numCache>
            </c:numRef>
          </c:yVal>
          <c:smooth val="1"/>
        </c:ser>
        <c:dLbls>
          <c:showLegendKey val="0"/>
          <c:showVal val="0"/>
          <c:showCatName val="0"/>
          <c:showSerName val="0"/>
          <c:showPercent val="0"/>
          <c:showBubbleSize val="0"/>
        </c:dLbls>
        <c:axId val="556194432"/>
        <c:axId val="556741376"/>
      </c:scatterChart>
      <c:valAx>
        <c:axId val="556194432"/>
        <c:scaling>
          <c:orientation val="minMax"/>
          <c:max val="10"/>
        </c:scaling>
        <c:delete val="0"/>
        <c:axPos val="b"/>
        <c:minorGridlines>
          <c:spPr>
            <a:ln w="3175">
              <a:solidFill>
                <a:srgbClr val="C0C0C0"/>
              </a:solidFill>
              <a:prstDash val="solid"/>
            </a:ln>
          </c:spPr>
        </c:minorGridlines>
        <c:numFmt formatCode="General" sourceLinked="1"/>
        <c:majorTickMark val="out"/>
        <c:minorTickMark val="cross"/>
        <c:tickLblPos val="nextTo"/>
        <c:spPr>
          <a:ln w="3175">
            <a:solidFill>
              <a:srgbClr val="969696"/>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556741376"/>
        <c:crosses val="autoZero"/>
        <c:crossBetween val="midCat"/>
        <c:majorUnit val="1"/>
        <c:minorUnit val="1"/>
      </c:valAx>
      <c:valAx>
        <c:axId val="556741376"/>
        <c:scaling>
          <c:orientation val="minMax"/>
          <c:min val="0"/>
        </c:scaling>
        <c:delete val="0"/>
        <c:axPos val="l"/>
        <c:majorGridlines>
          <c:spPr>
            <a:ln w="3175">
              <a:solidFill>
                <a:srgbClr val="969696"/>
              </a:solidFill>
              <a:prstDash val="solid"/>
            </a:ln>
          </c:spPr>
        </c:majorGridlines>
        <c:title>
          <c:tx>
            <c:rich>
              <a:bodyPr rot="0" vert="horz"/>
              <a:lstStyle/>
              <a:p>
                <a:pPr>
                  <a:defRPr/>
                </a:pPr>
                <a:r>
                  <a:rPr lang="ru-RU"/>
                  <a:t>Доля студентов от общего числа в процентах</a:t>
                </a:r>
              </a:p>
            </c:rich>
          </c:tx>
          <c:layout>
            <c:manualLayout>
              <c:xMode val="edge"/>
              <c:yMode val="edge"/>
              <c:x val="0.18152735715727975"/>
              <c:y val="0.27347644224587314"/>
            </c:manualLayout>
          </c:layout>
          <c:overlay val="0"/>
          <c:spPr>
            <a:noFill/>
            <a:ln w="25400">
              <a:noFill/>
            </a:ln>
          </c:spPr>
        </c:title>
        <c:numFmt formatCode="0.0" sourceLinked="1"/>
        <c:majorTickMark val="out"/>
        <c:minorTickMark val="none"/>
        <c:tickLblPos val="nextTo"/>
        <c:spPr>
          <a:ln w="12700">
            <a:solidFill>
              <a:srgbClr val="000000"/>
            </a:solidFill>
            <a:prstDash val="solid"/>
          </a:ln>
        </c:spPr>
        <c:crossAx val="556194432"/>
        <c:crosses val="autoZero"/>
        <c:crossBetween val="midCat"/>
      </c:valAx>
      <c:spPr>
        <a:solidFill>
          <a:srgbClr val="FFFFFF"/>
        </a:solidFill>
        <a:ln w="25400">
          <a:noFill/>
        </a:ln>
      </c:spPr>
    </c:plotArea>
    <c:plotVisOnly val="1"/>
    <c:dispBlanksAs val="gap"/>
    <c:showDLblsOverMax val="0"/>
  </c:chart>
  <c:spPr>
    <a:solidFill>
      <a:srgbClr val="FFFFFF"/>
    </a:solidFill>
    <a:ln w="3175">
      <a:solidFill>
        <a:srgbClr val="969696"/>
      </a:solidFill>
      <a:prstDash val="solid"/>
    </a:ln>
  </c:sp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1400" baseline="0"/>
            </a:pPr>
            <a:r>
              <a:rPr lang="ru-RU" sz="1400" baseline="0"/>
              <a:t>Сертификаты, представленные студентами для перезачета</a:t>
            </a:r>
          </a:p>
        </c:rich>
      </c:tx>
      <c:layout>
        <c:manualLayout>
          <c:xMode val="edge"/>
          <c:yMode val="edge"/>
          <c:x val="0.19502493438320201"/>
          <c:y val="5.0925925925925902E-2"/>
        </c:manualLayout>
      </c:layout>
      <c:overlay val="0"/>
    </c:title>
    <c:autoTitleDeleted val="0"/>
    <c:plotArea>
      <c:layout/>
      <c:barChart>
        <c:barDir val="bar"/>
        <c:grouping val="clustered"/>
        <c:varyColors val="0"/>
        <c:ser>
          <c:idx val="0"/>
          <c:order val="0"/>
          <c:tx>
            <c:strRef>
              <c:f>Диаграммы!$C$53</c:f>
              <c:strCache>
                <c:ptCount val="1"/>
                <c:pt idx="0">
                  <c:v>студентов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Диаграммы!$B$54:$B$58</c:f>
              <c:strCache>
                <c:ptCount val="5"/>
                <c:pt idx="0">
                  <c:v>TOEFL</c:v>
                </c:pt>
                <c:pt idx="1">
                  <c:v>IELTS academic</c:v>
                </c:pt>
                <c:pt idx="2">
                  <c:v>BEC higher</c:v>
                </c:pt>
                <c:pt idx="3">
                  <c:v>CAE</c:v>
                </c:pt>
                <c:pt idx="4">
                  <c:v>CPE</c:v>
                </c:pt>
              </c:strCache>
            </c:strRef>
          </c:cat>
          <c:val>
            <c:numRef>
              <c:f>Диаграммы!$C$54:$C$58</c:f>
              <c:numCache>
                <c:formatCode>General</c:formatCode>
                <c:ptCount val="5"/>
                <c:pt idx="0">
                  <c:v>39</c:v>
                </c:pt>
                <c:pt idx="1">
                  <c:v>167</c:v>
                </c:pt>
                <c:pt idx="2">
                  <c:v>22</c:v>
                </c:pt>
                <c:pt idx="3">
                  <c:v>10</c:v>
                </c:pt>
                <c:pt idx="4">
                  <c:v>2</c:v>
                </c:pt>
              </c:numCache>
            </c:numRef>
          </c:val>
        </c:ser>
        <c:dLbls>
          <c:showLegendKey val="0"/>
          <c:showVal val="0"/>
          <c:showCatName val="0"/>
          <c:showSerName val="0"/>
          <c:showPercent val="0"/>
          <c:showBubbleSize val="0"/>
        </c:dLbls>
        <c:gapWidth val="150"/>
        <c:axId val="556770432"/>
        <c:axId val="556771968"/>
      </c:barChart>
      <c:catAx>
        <c:axId val="556770432"/>
        <c:scaling>
          <c:orientation val="minMax"/>
        </c:scaling>
        <c:delete val="0"/>
        <c:axPos val="l"/>
        <c:numFmt formatCode="General" sourceLinked="0"/>
        <c:majorTickMark val="out"/>
        <c:minorTickMark val="none"/>
        <c:tickLblPos val="nextTo"/>
        <c:txPr>
          <a:bodyPr/>
          <a:lstStyle/>
          <a:p>
            <a:pPr>
              <a:defRPr sz="1200" b="1"/>
            </a:pPr>
            <a:endParaRPr lang="ru-RU"/>
          </a:p>
        </c:txPr>
        <c:crossAx val="556771968"/>
        <c:crosses val="autoZero"/>
        <c:auto val="1"/>
        <c:lblAlgn val="ctr"/>
        <c:lblOffset val="100"/>
        <c:noMultiLvlLbl val="0"/>
      </c:catAx>
      <c:valAx>
        <c:axId val="556771968"/>
        <c:scaling>
          <c:orientation val="minMax"/>
        </c:scaling>
        <c:delete val="0"/>
        <c:axPos val="b"/>
        <c:majorGridlines/>
        <c:numFmt formatCode="General" sourceLinked="1"/>
        <c:majorTickMark val="out"/>
        <c:minorTickMark val="none"/>
        <c:tickLblPos val="nextTo"/>
        <c:crossAx val="55677043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5" b="1" i="0" u="none" strike="noStrike" baseline="0">
                <a:solidFill>
                  <a:srgbClr val="000000"/>
                </a:solidFill>
                <a:latin typeface="Times New Roman" pitchFamily="18" charset="0"/>
                <a:ea typeface="Arial Cyr"/>
                <a:cs typeface="Arial Cyr"/>
              </a:defRPr>
            </a:pPr>
            <a:r>
              <a:rPr lang="ru-RU" baseline="0">
                <a:latin typeface="Times New Roman" pitchFamily="18" charset="0"/>
              </a:rPr>
              <a:t>Динамика средней величины аудиторной нагрузки в неделю, 
бакалавриат, Москва</a:t>
            </a:r>
          </a:p>
        </c:rich>
      </c:tx>
      <c:layout>
        <c:manualLayout>
          <c:xMode val="edge"/>
          <c:yMode val="edge"/>
          <c:x val="0.20195439739413748"/>
          <c:y val="2.0672019957901352E-2"/>
        </c:manualLayout>
      </c:layout>
      <c:overlay val="0"/>
      <c:spPr>
        <a:noFill/>
        <a:ln w="25400">
          <a:noFill/>
        </a:ln>
      </c:spPr>
    </c:title>
    <c:autoTitleDeleted val="0"/>
    <c:plotArea>
      <c:layout>
        <c:manualLayout>
          <c:layoutTarget val="inner"/>
          <c:xMode val="edge"/>
          <c:yMode val="edge"/>
          <c:x val="9.9348534201954289E-2"/>
          <c:y val="4.9095731124160311E-2"/>
          <c:w val="0.88762214983712995"/>
          <c:h val="0.55297297160895997"/>
        </c:manualLayout>
      </c:layout>
      <c:lineChart>
        <c:grouping val="standard"/>
        <c:varyColors val="0"/>
        <c:ser>
          <c:idx val="0"/>
          <c:order val="0"/>
          <c:tx>
            <c:strRef>
              <c:f>БАК!$D$6</c:f>
              <c:strCache>
                <c:ptCount val="1"/>
                <c:pt idx="0">
                  <c:v>2010/2011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strRef>
              <c:f>БАК!$A$7:$A$30</c:f>
              <c:strCache>
                <c:ptCount val="24"/>
                <c:pt idx="0">
                  <c:v>оСАДиД</c:v>
                </c:pt>
                <c:pt idx="1">
                  <c:v>Экономики</c:v>
                </c:pt>
                <c:pt idx="2">
                  <c:v>Менеджмента</c:v>
                </c:pt>
                <c:pt idx="3">
                  <c:v>Отделение логистики </c:v>
                </c:pt>
                <c:pt idx="4">
                  <c:v>Социологии</c:v>
                </c:pt>
                <c:pt idx="5">
                  <c:v>Права</c:v>
                </c:pt>
                <c:pt idx="6">
                  <c:v>Прикладной политологии</c:v>
                </c:pt>
                <c:pt idx="7">
                  <c:v>оИК</c:v>
                </c:pt>
                <c:pt idx="8">
                  <c:v>оДиПЖ/Медиакоммуникаций</c:v>
                </c:pt>
                <c:pt idx="9">
                  <c:v>Бизнес-информатики</c:v>
                </c:pt>
                <c:pt idx="10">
                  <c:v>оПИ</c:v>
                </c:pt>
                <c:pt idx="11">
                  <c:v>оПМиИ</c:v>
                </c:pt>
                <c:pt idx="12">
                  <c:v>МЭиМП</c:v>
                </c:pt>
                <c:pt idx="13">
                  <c:v>Психологии</c:v>
                </c:pt>
                <c:pt idx="14">
                  <c:v>ГиМУ</c:v>
                </c:pt>
                <c:pt idx="15">
                  <c:v>Философии</c:v>
                </c:pt>
                <c:pt idx="16">
                  <c:v>отделение Культурологии</c:v>
                </c:pt>
                <c:pt idx="17">
                  <c:v>отделение Востоковедения</c:v>
                </c:pt>
                <c:pt idx="18">
                  <c:v>Математики</c:v>
                </c:pt>
                <c:pt idx="19">
                  <c:v>МИЭФ</c:v>
                </c:pt>
                <c:pt idx="20">
                  <c:v>Истории</c:v>
                </c:pt>
                <c:pt idx="21">
                  <c:v>Совместный бакалавриат и РЭШ</c:v>
                </c:pt>
                <c:pt idx="22">
                  <c:v>Филологии</c:v>
                </c:pt>
                <c:pt idx="23">
                  <c:v>Банковский институт</c:v>
                </c:pt>
              </c:strCache>
            </c:strRef>
          </c:cat>
          <c:val>
            <c:numRef>
              <c:f>БАК!$D$7:$D$30</c:f>
              <c:numCache>
                <c:formatCode>General</c:formatCode>
                <c:ptCount val="24"/>
                <c:pt idx="0">
                  <c:v>24.2</c:v>
                </c:pt>
                <c:pt idx="1">
                  <c:v>20.7</c:v>
                </c:pt>
                <c:pt idx="2">
                  <c:v>21.2</c:v>
                </c:pt>
                <c:pt idx="3">
                  <c:v>23.3</c:v>
                </c:pt>
                <c:pt idx="4">
                  <c:v>19.2</c:v>
                </c:pt>
                <c:pt idx="5">
                  <c:v>24.9</c:v>
                </c:pt>
                <c:pt idx="6">
                  <c:v>22.7</c:v>
                </c:pt>
                <c:pt idx="7">
                  <c:v>24</c:v>
                </c:pt>
                <c:pt idx="8">
                  <c:v>21.2</c:v>
                </c:pt>
                <c:pt idx="9">
                  <c:v>21.9</c:v>
                </c:pt>
                <c:pt idx="10">
                  <c:v>22</c:v>
                </c:pt>
                <c:pt idx="11">
                  <c:v>22.2</c:v>
                </c:pt>
                <c:pt idx="12">
                  <c:v>25.9</c:v>
                </c:pt>
                <c:pt idx="13">
                  <c:v>22</c:v>
                </c:pt>
                <c:pt idx="14">
                  <c:v>22.9</c:v>
                </c:pt>
                <c:pt idx="15">
                  <c:v>24.9</c:v>
                </c:pt>
                <c:pt idx="16">
                  <c:v>23.7</c:v>
                </c:pt>
                <c:pt idx="17">
                  <c:v>29.7</c:v>
                </c:pt>
                <c:pt idx="18">
                  <c:v>22.5</c:v>
                </c:pt>
                <c:pt idx="19">
                  <c:v>22.9</c:v>
                </c:pt>
                <c:pt idx="20">
                  <c:v>23.5</c:v>
                </c:pt>
              </c:numCache>
            </c:numRef>
          </c:val>
          <c:smooth val="0"/>
        </c:ser>
        <c:ser>
          <c:idx val="1"/>
          <c:order val="1"/>
          <c:tx>
            <c:strRef>
              <c:f>БАК!$E$6</c:f>
              <c:strCache>
                <c:ptCount val="1"/>
                <c:pt idx="0">
                  <c:v>2011/2012</c:v>
                </c:pt>
              </c:strCache>
            </c:strRef>
          </c:tx>
          <c:spPr>
            <a:ln w="12700">
              <a:solidFill>
                <a:srgbClr val="00B050"/>
              </a:solidFill>
              <a:prstDash val="solid"/>
            </a:ln>
          </c:spPr>
          <c:marker>
            <c:symbol val="square"/>
            <c:size val="5"/>
            <c:spPr>
              <a:solidFill>
                <a:srgbClr val="00B050"/>
              </a:solidFill>
              <a:ln>
                <a:solidFill>
                  <a:srgbClr val="00B050"/>
                </a:solidFill>
                <a:prstDash val="solid"/>
              </a:ln>
            </c:spPr>
          </c:marker>
          <c:cat>
            <c:strRef>
              <c:f>БАК!$A$7:$A$30</c:f>
              <c:strCache>
                <c:ptCount val="24"/>
                <c:pt idx="0">
                  <c:v>оСАДиД</c:v>
                </c:pt>
                <c:pt idx="1">
                  <c:v>Экономики</c:v>
                </c:pt>
                <c:pt idx="2">
                  <c:v>Менеджмента</c:v>
                </c:pt>
                <c:pt idx="3">
                  <c:v>Отделение логистики </c:v>
                </c:pt>
                <c:pt idx="4">
                  <c:v>Социологии</c:v>
                </c:pt>
                <c:pt idx="5">
                  <c:v>Права</c:v>
                </c:pt>
                <c:pt idx="6">
                  <c:v>Прикладной политологии</c:v>
                </c:pt>
                <c:pt idx="7">
                  <c:v>оИК</c:v>
                </c:pt>
                <c:pt idx="8">
                  <c:v>оДиПЖ/Медиакоммуникаций</c:v>
                </c:pt>
                <c:pt idx="9">
                  <c:v>Бизнес-информатики</c:v>
                </c:pt>
                <c:pt idx="10">
                  <c:v>оПИ</c:v>
                </c:pt>
                <c:pt idx="11">
                  <c:v>оПМиИ</c:v>
                </c:pt>
                <c:pt idx="12">
                  <c:v>МЭиМП</c:v>
                </c:pt>
                <c:pt idx="13">
                  <c:v>Психологии</c:v>
                </c:pt>
                <c:pt idx="14">
                  <c:v>ГиМУ</c:v>
                </c:pt>
                <c:pt idx="15">
                  <c:v>Философии</c:v>
                </c:pt>
                <c:pt idx="16">
                  <c:v>отделение Культурологии</c:v>
                </c:pt>
                <c:pt idx="17">
                  <c:v>отделение Востоковедения</c:v>
                </c:pt>
                <c:pt idx="18">
                  <c:v>Математики</c:v>
                </c:pt>
                <c:pt idx="19">
                  <c:v>МИЭФ</c:v>
                </c:pt>
                <c:pt idx="20">
                  <c:v>Истории</c:v>
                </c:pt>
                <c:pt idx="21">
                  <c:v>Совместный бакалавриат и РЭШ</c:v>
                </c:pt>
                <c:pt idx="22">
                  <c:v>Филологии</c:v>
                </c:pt>
                <c:pt idx="23">
                  <c:v>Банковский институт</c:v>
                </c:pt>
              </c:strCache>
            </c:strRef>
          </c:cat>
          <c:val>
            <c:numRef>
              <c:f>БАК!$E$7:$E$30</c:f>
              <c:numCache>
                <c:formatCode>General</c:formatCode>
                <c:ptCount val="24"/>
                <c:pt idx="0">
                  <c:v>22.4</c:v>
                </c:pt>
                <c:pt idx="1">
                  <c:v>21</c:v>
                </c:pt>
                <c:pt idx="2">
                  <c:v>22</c:v>
                </c:pt>
                <c:pt idx="3">
                  <c:v>22.6</c:v>
                </c:pt>
                <c:pt idx="4">
                  <c:v>19.3</c:v>
                </c:pt>
                <c:pt idx="5">
                  <c:v>25.7</c:v>
                </c:pt>
                <c:pt idx="6">
                  <c:v>23.3</c:v>
                </c:pt>
                <c:pt idx="7">
                  <c:v>24</c:v>
                </c:pt>
                <c:pt idx="8">
                  <c:v>23</c:v>
                </c:pt>
                <c:pt idx="9">
                  <c:v>23</c:v>
                </c:pt>
                <c:pt idx="10">
                  <c:v>22</c:v>
                </c:pt>
                <c:pt idx="11">
                  <c:v>23</c:v>
                </c:pt>
                <c:pt idx="12">
                  <c:v>26.7</c:v>
                </c:pt>
                <c:pt idx="13">
                  <c:v>22</c:v>
                </c:pt>
                <c:pt idx="14">
                  <c:v>22</c:v>
                </c:pt>
                <c:pt idx="15">
                  <c:v>23.9</c:v>
                </c:pt>
                <c:pt idx="16">
                  <c:v>23.3</c:v>
                </c:pt>
                <c:pt idx="17">
                  <c:v>29.6</c:v>
                </c:pt>
                <c:pt idx="18">
                  <c:v>21</c:v>
                </c:pt>
                <c:pt idx="19">
                  <c:v>26.8</c:v>
                </c:pt>
                <c:pt idx="20">
                  <c:v>27.7</c:v>
                </c:pt>
                <c:pt idx="21">
                  <c:v>24.1</c:v>
                </c:pt>
                <c:pt idx="22">
                  <c:v>30</c:v>
                </c:pt>
                <c:pt idx="23">
                  <c:v>13</c:v>
                </c:pt>
              </c:numCache>
            </c:numRef>
          </c:val>
          <c:smooth val="0"/>
        </c:ser>
        <c:ser>
          <c:idx val="2"/>
          <c:order val="2"/>
          <c:tx>
            <c:strRef>
              <c:f>БАК!$F$6</c:f>
              <c:strCache>
                <c:ptCount val="1"/>
                <c:pt idx="0">
                  <c:v>2012/2013</c:v>
                </c:pt>
              </c:strCache>
            </c:strRef>
          </c:tx>
          <c:spPr>
            <a:ln w="12700">
              <a:solidFill>
                <a:srgbClr val="FF0000"/>
              </a:solidFill>
              <a:prstDash val="solid"/>
            </a:ln>
          </c:spPr>
          <c:marker>
            <c:symbol val="triangle"/>
            <c:size val="5"/>
            <c:spPr>
              <a:solidFill>
                <a:srgbClr val="FF0000"/>
              </a:solidFill>
              <a:ln>
                <a:solidFill>
                  <a:srgbClr val="FF0000"/>
                </a:solidFill>
                <a:prstDash val="solid"/>
              </a:ln>
            </c:spPr>
          </c:marker>
          <c:cat>
            <c:strRef>
              <c:f>БАК!$A$7:$A$30</c:f>
              <c:strCache>
                <c:ptCount val="24"/>
                <c:pt idx="0">
                  <c:v>оСАДиД</c:v>
                </c:pt>
                <c:pt idx="1">
                  <c:v>Экономики</c:v>
                </c:pt>
                <c:pt idx="2">
                  <c:v>Менеджмента</c:v>
                </c:pt>
                <c:pt idx="3">
                  <c:v>Отделение логистики </c:v>
                </c:pt>
                <c:pt idx="4">
                  <c:v>Социологии</c:v>
                </c:pt>
                <c:pt idx="5">
                  <c:v>Права</c:v>
                </c:pt>
                <c:pt idx="6">
                  <c:v>Прикладной политологии</c:v>
                </c:pt>
                <c:pt idx="7">
                  <c:v>оИК</c:v>
                </c:pt>
                <c:pt idx="8">
                  <c:v>оДиПЖ/Медиакоммуникаций</c:v>
                </c:pt>
                <c:pt idx="9">
                  <c:v>Бизнес-информатики</c:v>
                </c:pt>
                <c:pt idx="10">
                  <c:v>оПИ</c:v>
                </c:pt>
                <c:pt idx="11">
                  <c:v>оПМиИ</c:v>
                </c:pt>
                <c:pt idx="12">
                  <c:v>МЭиМП</c:v>
                </c:pt>
                <c:pt idx="13">
                  <c:v>Психологии</c:v>
                </c:pt>
                <c:pt idx="14">
                  <c:v>ГиМУ</c:v>
                </c:pt>
                <c:pt idx="15">
                  <c:v>Философии</c:v>
                </c:pt>
                <c:pt idx="16">
                  <c:v>отделение Культурологии</c:v>
                </c:pt>
                <c:pt idx="17">
                  <c:v>отделение Востоковедения</c:v>
                </c:pt>
                <c:pt idx="18">
                  <c:v>Математики</c:v>
                </c:pt>
                <c:pt idx="19">
                  <c:v>МИЭФ</c:v>
                </c:pt>
                <c:pt idx="20">
                  <c:v>Истории</c:v>
                </c:pt>
                <c:pt idx="21">
                  <c:v>Совместный бакалавриат и РЭШ</c:v>
                </c:pt>
                <c:pt idx="22">
                  <c:v>Филологии</c:v>
                </c:pt>
                <c:pt idx="23">
                  <c:v>Банковский институт</c:v>
                </c:pt>
              </c:strCache>
            </c:strRef>
          </c:cat>
          <c:val>
            <c:numRef>
              <c:f>БАК!$F$7:$F$30</c:f>
              <c:numCache>
                <c:formatCode>General</c:formatCode>
                <c:ptCount val="24"/>
                <c:pt idx="0">
                  <c:v>22.5</c:v>
                </c:pt>
                <c:pt idx="1">
                  <c:v>22.7</c:v>
                </c:pt>
                <c:pt idx="2">
                  <c:v>22</c:v>
                </c:pt>
                <c:pt idx="3">
                  <c:v>21.8</c:v>
                </c:pt>
                <c:pt idx="4">
                  <c:v>18.5</c:v>
                </c:pt>
                <c:pt idx="5">
                  <c:v>22.7</c:v>
                </c:pt>
                <c:pt idx="6">
                  <c:v>22.3</c:v>
                </c:pt>
                <c:pt idx="7">
                  <c:v>22.7</c:v>
                </c:pt>
                <c:pt idx="8">
                  <c:v>22.7</c:v>
                </c:pt>
                <c:pt idx="9">
                  <c:v>21.6</c:v>
                </c:pt>
                <c:pt idx="10">
                  <c:v>21</c:v>
                </c:pt>
                <c:pt idx="11">
                  <c:v>23.2</c:v>
                </c:pt>
                <c:pt idx="12">
                  <c:v>26.4</c:v>
                </c:pt>
                <c:pt idx="13">
                  <c:v>22</c:v>
                </c:pt>
                <c:pt idx="14">
                  <c:v>21</c:v>
                </c:pt>
                <c:pt idx="15">
                  <c:v>26.8</c:v>
                </c:pt>
                <c:pt idx="16">
                  <c:v>25.6</c:v>
                </c:pt>
                <c:pt idx="17">
                  <c:v>29.2</c:v>
                </c:pt>
                <c:pt idx="18">
                  <c:v>21.4</c:v>
                </c:pt>
                <c:pt idx="19">
                  <c:v>25.5</c:v>
                </c:pt>
                <c:pt idx="20">
                  <c:v>28.2</c:v>
                </c:pt>
                <c:pt idx="21">
                  <c:v>24</c:v>
                </c:pt>
                <c:pt idx="22">
                  <c:v>28.8</c:v>
                </c:pt>
                <c:pt idx="23">
                  <c:v>12.4</c:v>
                </c:pt>
              </c:numCache>
            </c:numRef>
          </c:val>
          <c:smooth val="0"/>
        </c:ser>
        <c:dLbls>
          <c:showLegendKey val="0"/>
          <c:showVal val="0"/>
          <c:showCatName val="0"/>
          <c:showSerName val="0"/>
          <c:showPercent val="0"/>
          <c:showBubbleSize val="0"/>
        </c:dLbls>
        <c:dropLines>
          <c:spPr>
            <a:ln w="3175">
              <a:solidFill>
                <a:srgbClr val="000000"/>
              </a:solidFill>
              <a:prstDash val="solid"/>
            </a:ln>
          </c:spPr>
        </c:dropLines>
        <c:marker val="1"/>
        <c:smooth val="0"/>
        <c:axId val="428439424"/>
        <c:axId val="428440960"/>
      </c:lineChart>
      <c:catAx>
        <c:axId val="428439424"/>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75" b="0" i="0" u="none" strike="noStrike" baseline="0">
                <a:solidFill>
                  <a:srgbClr val="000000"/>
                </a:solidFill>
                <a:latin typeface="Times New Roman" pitchFamily="18" charset="0"/>
                <a:ea typeface="Arial Cyr"/>
                <a:cs typeface="Arial Cyr"/>
              </a:defRPr>
            </a:pPr>
            <a:endParaRPr lang="ru-RU"/>
          </a:p>
        </c:txPr>
        <c:crossAx val="428440960"/>
        <c:crosses val="autoZero"/>
        <c:auto val="1"/>
        <c:lblAlgn val="ctr"/>
        <c:lblOffset val="100"/>
        <c:tickLblSkip val="1"/>
        <c:tickMarkSkip val="1"/>
        <c:noMultiLvlLbl val="0"/>
      </c:catAx>
      <c:valAx>
        <c:axId val="428440960"/>
        <c:scaling>
          <c:orientation val="minMax"/>
          <c:max val="30"/>
          <c:min val="19"/>
        </c:scaling>
        <c:delete val="0"/>
        <c:axPos val="l"/>
        <c:majorGridlines>
          <c:spPr>
            <a:ln w="3175">
              <a:solidFill>
                <a:srgbClr val="000000"/>
              </a:solidFill>
              <a:prstDash val="solid"/>
            </a:ln>
          </c:spPr>
        </c:majorGridlines>
        <c:title>
          <c:tx>
            <c:rich>
              <a:bodyPr/>
              <a:lstStyle/>
              <a:p>
                <a:pPr>
                  <a:defRPr sz="875" b="0" i="0" u="none" strike="noStrike" baseline="0">
                    <a:solidFill>
                      <a:srgbClr val="000000"/>
                    </a:solidFill>
                    <a:latin typeface="Times New Roman" pitchFamily="18" charset="0"/>
                    <a:ea typeface="Arial Cyr"/>
                    <a:cs typeface="Arial Cyr"/>
                  </a:defRPr>
                </a:pPr>
                <a:r>
                  <a:rPr lang="ru-RU" baseline="0">
                    <a:latin typeface="Times New Roman" pitchFamily="18" charset="0"/>
                  </a:rPr>
                  <a:t>Средняя величина аудиторной нагрузки в неделю</a:t>
                </a:r>
              </a:p>
            </c:rich>
          </c:tx>
          <c:layout>
            <c:manualLayout>
              <c:xMode val="edge"/>
              <c:yMode val="edge"/>
              <c:x val="1.1400651465798148E-2"/>
              <c:y val="1.5504014968426001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Cyr"/>
                <a:ea typeface="Arial Cyr"/>
                <a:cs typeface="Arial Cyr"/>
              </a:defRPr>
            </a:pPr>
            <a:endParaRPr lang="ru-RU"/>
          </a:p>
        </c:txPr>
        <c:crossAx val="428439424"/>
        <c:crosses val="autoZero"/>
        <c:crossBetween val="between"/>
        <c:minorUnit val="2"/>
      </c:valAx>
      <c:spPr>
        <a:gradFill rotWithShape="0">
          <a:gsLst>
            <a:gs pos="0">
              <a:srgbClr val="FFFFFF"/>
            </a:gs>
            <a:gs pos="100000">
              <a:srgbClr val="FFFFFF">
                <a:gamma/>
                <a:tint val="0"/>
                <a:invGamma/>
              </a:srgbClr>
            </a:gs>
          </a:gsLst>
          <a:lin ang="5400000" scaled="1"/>
        </a:gradFill>
        <a:ln w="12700">
          <a:solidFill>
            <a:srgbClr val="FFFFFF"/>
          </a:solidFill>
          <a:prstDash val="solid"/>
        </a:ln>
      </c:spPr>
    </c:plotArea>
    <c:legend>
      <c:legendPos val="r"/>
      <c:layout>
        <c:manualLayout>
          <c:xMode val="edge"/>
          <c:yMode val="edge"/>
          <c:x val="0.12014860541797302"/>
          <c:y val="0.12310892051090012"/>
          <c:w val="0.2653456700949019"/>
          <c:h val="0.12892773043472439"/>
        </c:manualLayout>
      </c:layout>
      <c:overlay val="0"/>
      <c:spPr>
        <a:solidFill>
          <a:srgbClr val="FFFFFF"/>
        </a:solidFill>
        <a:ln w="3175">
          <a:solidFill>
            <a:srgbClr val="000000"/>
          </a:solidFill>
          <a:prstDash val="solid"/>
        </a:ln>
      </c:spPr>
      <c:txPr>
        <a:bodyPr/>
        <a:lstStyle/>
        <a:p>
          <a:pPr>
            <a:defRPr sz="805"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9525">
      <a:noFill/>
    </a:ln>
  </c:spPr>
  <c:txPr>
    <a:bodyPr/>
    <a:lstStyle/>
    <a:p>
      <a:pPr>
        <a:defRPr sz="87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sz="1200"/>
            </a:pPr>
            <a:r>
              <a:rPr lang="ru-RU" sz="1200" baseline="0"/>
              <a:t>Распределение студентов, представивших сертификаты,  по курсам обучение</a:t>
            </a:r>
          </a:p>
        </c:rich>
      </c:tx>
      <c:overlay val="0"/>
    </c:title>
    <c:autoTitleDeleted val="0"/>
    <c:plotArea>
      <c:layout/>
      <c:barChart>
        <c:barDir val="bar"/>
        <c:grouping val="clustered"/>
        <c:varyColors val="0"/>
        <c:ser>
          <c:idx val="0"/>
          <c:order val="0"/>
          <c:tx>
            <c:strRef>
              <c:f>Диаграммы!$C$64</c:f>
              <c:strCache>
                <c:ptCount val="1"/>
                <c:pt idx="0">
                  <c:v>студентов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Диаграммы!$B$65:$B$67</c:f>
              <c:strCache>
                <c:ptCount val="3"/>
                <c:pt idx="0">
                  <c:v>1 курс</c:v>
                </c:pt>
                <c:pt idx="1">
                  <c:v>2 курс</c:v>
                </c:pt>
                <c:pt idx="2">
                  <c:v>4 курс</c:v>
                </c:pt>
              </c:strCache>
            </c:strRef>
          </c:cat>
          <c:val>
            <c:numRef>
              <c:f>Диаграммы!$C$65:$C$67</c:f>
              <c:numCache>
                <c:formatCode>General</c:formatCode>
                <c:ptCount val="3"/>
                <c:pt idx="0">
                  <c:v>34</c:v>
                </c:pt>
                <c:pt idx="1">
                  <c:v>37</c:v>
                </c:pt>
                <c:pt idx="2">
                  <c:v>169</c:v>
                </c:pt>
              </c:numCache>
            </c:numRef>
          </c:val>
        </c:ser>
        <c:dLbls>
          <c:showLegendKey val="0"/>
          <c:showVal val="0"/>
          <c:showCatName val="0"/>
          <c:showSerName val="0"/>
          <c:showPercent val="0"/>
          <c:showBubbleSize val="0"/>
        </c:dLbls>
        <c:gapWidth val="150"/>
        <c:axId val="556862464"/>
        <c:axId val="556876544"/>
      </c:barChart>
      <c:catAx>
        <c:axId val="556862464"/>
        <c:scaling>
          <c:orientation val="minMax"/>
        </c:scaling>
        <c:delete val="0"/>
        <c:axPos val="l"/>
        <c:numFmt formatCode="General" sourceLinked="0"/>
        <c:majorTickMark val="out"/>
        <c:minorTickMark val="none"/>
        <c:tickLblPos val="nextTo"/>
        <c:crossAx val="556876544"/>
        <c:crosses val="autoZero"/>
        <c:auto val="1"/>
        <c:lblAlgn val="ctr"/>
        <c:lblOffset val="100"/>
        <c:noMultiLvlLbl val="0"/>
      </c:catAx>
      <c:valAx>
        <c:axId val="556876544"/>
        <c:scaling>
          <c:orientation val="minMax"/>
        </c:scaling>
        <c:delete val="0"/>
        <c:axPos val="b"/>
        <c:majorGridlines/>
        <c:numFmt formatCode="General" sourceLinked="1"/>
        <c:majorTickMark val="out"/>
        <c:minorTickMark val="none"/>
        <c:tickLblPos val="nextTo"/>
        <c:crossAx val="556862464"/>
        <c:crosses val="autoZero"/>
        <c:crossBetween val="between"/>
      </c:valAx>
    </c:plotArea>
    <c:legend>
      <c:legendPos val="r"/>
      <c:overlay val="0"/>
    </c:legend>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r>
              <a:rPr lang="ru-RU" sz="1400" baseline="0"/>
              <a:t>Распределение оценок по шкале ВШЭ</a:t>
            </a:r>
          </a:p>
        </c:rich>
      </c:tx>
      <c:layout>
        <c:manualLayout>
          <c:xMode val="edge"/>
          <c:yMode val="edge"/>
          <c:x val="0.12360411198600242"/>
          <c:y val="2.7777777777777964E-2"/>
        </c:manualLayout>
      </c:layout>
      <c:overlay val="0"/>
    </c:title>
    <c:autoTitleDeleted val="0"/>
    <c:plotArea>
      <c:layout>
        <c:manualLayout>
          <c:layoutTarget val="inner"/>
          <c:xMode val="edge"/>
          <c:yMode val="edge"/>
          <c:x val="0.20023840769903842"/>
          <c:y val="0.31921296296296597"/>
          <c:w val="0.56629768153980864"/>
          <c:h val="0.58795530766987703"/>
        </c:manualLayout>
      </c:layout>
      <c:barChart>
        <c:barDir val="bar"/>
        <c:grouping val="clustered"/>
        <c:varyColors val="0"/>
        <c:ser>
          <c:idx val="0"/>
          <c:order val="0"/>
          <c:tx>
            <c:strRef>
              <c:f>Диаграммы!$C$68</c:f>
              <c:strCache>
                <c:ptCount val="1"/>
                <c:pt idx="0">
                  <c:v>студентов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Диаграммы!$B$69:$B$70</c:f>
              <c:strCache>
                <c:ptCount val="2"/>
                <c:pt idx="0">
                  <c:v>Отлично   (8,9,10)</c:v>
                </c:pt>
                <c:pt idx="1">
                  <c:v>Хорошо                            (6,7)</c:v>
                </c:pt>
              </c:strCache>
            </c:strRef>
          </c:cat>
          <c:val>
            <c:numRef>
              <c:f>Диаграммы!$C$69:$C$70</c:f>
              <c:numCache>
                <c:formatCode>General</c:formatCode>
                <c:ptCount val="2"/>
                <c:pt idx="0">
                  <c:v>190</c:v>
                </c:pt>
                <c:pt idx="1">
                  <c:v>50</c:v>
                </c:pt>
              </c:numCache>
            </c:numRef>
          </c:val>
        </c:ser>
        <c:dLbls>
          <c:showLegendKey val="0"/>
          <c:showVal val="0"/>
          <c:showCatName val="0"/>
          <c:showSerName val="0"/>
          <c:showPercent val="0"/>
          <c:showBubbleSize val="0"/>
        </c:dLbls>
        <c:gapWidth val="150"/>
        <c:axId val="556913792"/>
        <c:axId val="556915328"/>
      </c:barChart>
      <c:catAx>
        <c:axId val="556913792"/>
        <c:scaling>
          <c:orientation val="minMax"/>
        </c:scaling>
        <c:delete val="0"/>
        <c:axPos val="l"/>
        <c:numFmt formatCode="General" sourceLinked="0"/>
        <c:majorTickMark val="out"/>
        <c:minorTickMark val="none"/>
        <c:tickLblPos val="nextTo"/>
        <c:crossAx val="556915328"/>
        <c:crosses val="autoZero"/>
        <c:auto val="1"/>
        <c:lblAlgn val="ctr"/>
        <c:lblOffset val="100"/>
        <c:noMultiLvlLbl val="0"/>
      </c:catAx>
      <c:valAx>
        <c:axId val="556915328"/>
        <c:scaling>
          <c:orientation val="minMax"/>
        </c:scaling>
        <c:delete val="0"/>
        <c:axPos val="b"/>
        <c:majorGridlines/>
        <c:numFmt formatCode="General" sourceLinked="1"/>
        <c:majorTickMark val="out"/>
        <c:minorTickMark val="none"/>
        <c:tickLblPos val="nextTo"/>
        <c:crossAx val="556913792"/>
        <c:crosses val="autoZero"/>
        <c:crossBetween val="between"/>
      </c:valAx>
    </c:plotArea>
    <c:legend>
      <c:legendPos val="r"/>
      <c:overlay val="0"/>
    </c:legend>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1200"/>
            </a:pPr>
            <a:r>
              <a:rPr lang="ru-RU" sz="1200"/>
              <a:t>Количество студентов, представивших сертификаты</a:t>
            </a:r>
          </a:p>
          <a:p>
            <a:pPr>
              <a:defRPr sz="1200"/>
            </a:pPr>
            <a:r>
              <a:rPr lang="ru-RU" sz="1200"/>
              <a:t>(по кампусам НИУ ВШЭ)</a:t>
            </a:r>
          </a:p>
        </c:rich>
      </c:tx>
      <c:overlay val="0"/>
    </c:title>
    <c:autoTitleDeleted val="0"/>
    <c:plotArea>
      <c:layout/>
      <c:barChart>
        <c:barDir val="bar"/>
        <c:grouping val="clustered"/>
        <c:varyColors val="0"/>
        <c:ser>
          <c:idx val="0"/>
          <c:order val="0"/>
          <c:tx>
            <c:strRef>
              <c:f>Диаграммы!$F$59</c:f>
              <c:strCache>
                <c:ptCount val="1"/>
                <c:pt idx="0">
                  <c:v>Количество студентов, представивших сертификаты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Диаграммы!$E$60:$E$63</c:f>
              <c:strCache>
                <c:ptCount val="4"/>
                <c:pt idx="0">
                  <c:v>Москва</c:v>
                </c:pt>
                <c:pt idx="1">
                  <c:v>СП-Б</c:v>
                </c:pt>
                <c:pt idx="2">
                  <c:v>Нижний</c:v>
                </c:pt>
                <c:pt idx="3">
                  <c:v>Пермь</c:v>
                </c:pt>
              </c:strCache>
            </c:strRef>
          </c:cat>
          <c:val>
            <c:numRef>
              <c:f>Диаграммы!$F$60:$F$63</c:f>
              <c:numCache>
                <c:formatCode>General</c:formatCode>
                <c:ptCount val="4"/>
                <c:pt idx="0">
                  <c:v>203</c:v>
                </c:pt>
                <c:pt idx="1">
                  <c:v>9</c:v>
                </c:pt>
                <c:pt idx="2">
                  <c:v>5</c:v>
                </c:pt>
                <c:pt idx="3">
                  <c:v>23</c:v>
                </c:pt>
              </c:numCache>
            </c:numRef>
          </c:val>
        </c:ser>
        <c:dLbls>
          <c:showLegendKey val="0"/>
          <c:showVal val="0"/>
          <c:showCatName val="0"/>
          <c:showSerName val="0"/>
          <c:showPercent val="0"/>
          <c:showBubbleSize val="0"/>
        </c:dLbls>
        <c:gapWidth val="150"/>
        <c:axId val="557128704"/>
        <c:axId val="557130496"/>
      </c:barChart>
      <c:catAx>
        <c:axId val="557128704"/>
        <c:scaling>
          <c:orientation val="minMax"/>
        </c:scaling>
        <c:delete val="0"/>
        <c:axPos val="l"/>
        <c:numFmt formatCode="General" sourceLinked="0"/>
        <c:majorTickMark val="out"/>
        <c:minorTickMark val="none"/>
        <c:tickLblPos val="nextTo"/>
        <c:crossAx val="557130496"/>
        <c:crosses val="autoZero"/>
        <c:auto val="1"/>
        <c:lblAlgn val="ctr"/>
        <c:lblOffset val="100"/>
        <c:noMultiLvlLbl val="0"/>
      </c:catAx>
      <c:valAx>
        <c:axId val="557130496"/>
        <c:scaling>
          <c:orientation val="minMax"/>
        </c:scaling>
        <c:delete val="0"/>
        <c:axPos val="b"/>
        <c:majorGridlines/>
        <c:numFmt formatCode="General" sourceLinked="1"/>
        <c:majorTickMark val="out"/>
        <c:minorTickMark val="none"/>
        <c:tickLblPos val="nextTo"/>
        <c:crossAx val="557128704"/>
        <c:crosses val="autoZero"/>
        <c:crossBetween val="between"/>
      </c:valAx>
    </c:plotArea>
    <c:plotVisOnly val="1"/>
    <c:dispBlanksAs val="gap"/>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lgn="ctr">
              <a:defRPr sz="1200"/>
            </a:pPr>
            <a:r>
              <a:rPr lang="ru-RU" sz="1200"/>
              <a:t>Количество студентов, представивших международные сертификаты </a:t>
            </a:r>
          </a:p>
          <a:p>
            <a:pPr algn="ctr">
              <a:defRPr sz="1200"/>
            </a:pPr>
            <a:r>
              <a:rPr lang="ru-RU" sz="1200"/>
              <a:t>(по факультетам)</a:t>
            </a:r>
          </a:p>
        </c:rich>
      </c:tx>
      <c:layout>
        <c:manualLayout>
          <c:xMode val="edge"/>
          <c:yMode val="edge"/>
          <c:x val="0.192815636555732"/>
          <c:y val="6.7796610169491862E-3"/>
        </c:manualLayout>
      </c:layout>
      <c:overlay val="0"/>
    </c:title>
    <c:autoTitleDeleted val="0"/>
    <c:plotArea>
      <c:layout/>
      <c:barChart>
        <c:barDir val="bar"/>
        <c:grouping val="clustered"/>
        <c:varyColors val="0"/>
        <c:ser>
          <c:idx val="0"/>
          <c:order val="0"/>
          <c:tx>
            <c:strRef>
              <c:f>Диаграммы!$C$71</c:f>
              <c:strCache>
                <c:ptCount val="1"/>
                <c:pt idx="0">
                  <c:v>студентов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Диаграммы!$B$72:$B$98</c:f>
              <c:strCache>
                <c:ptCount val="27"/>
                <c:pt idx="0">
                  <c:v>Отделение культурологи</c:v>
                </c:pt>
                <c:pt idx="1">
                  <c:v>Факультет дизайна</c:v>
                </c:pt>
                <c:pt idx="2">
                  <c:v>Факультет информационных технологий и вычислительной техники</c:v>
                </c:pt>
                <c:pt idx="3">
                  <c:v>Факультет мировой экономики и мировой политики</c:v>
                </c:pt>
                <c:pt idx="4">
                  <c:v>Факультет мировой экономики и мировой политики</c:v>
                </c:pt>
                <c:pt idx="5">
                  <c:v>Факультет права</c:v>
                </c:pt>
                <c:pt idx="6">
                  <c:v>Факультет прикладной математики и кибернетики</c:v>
                </c:pt>
                <c:pt idx="7">
                  <c:v>Факультет электроники и телекоммуникаций</c:v>
                </c:pt>
                <c:pt idx="8">
                  <c:v>Отделение востоковедения</c:v>
                </c:pt>
                <c:pt idx="9">
                  <c:v>Факультет филологии </c:v>
                </c:pt>
                <c:pt idx="10">
                  <c:v>Факультет философии</c:v>
                </c:pt>
                <c:pt idx="11">
                  <c:v>Отделение интегрированных коммуникаций</c:v>
                </c:pt>
                <c:pt idx="12">
                  <c:v>Отделение прикладной математики и информатики</c:v>
                </c:pt>
                <c:pt idx="13">
                  <c:v>Факультет истории</c:v>
                </c:pt>
                <c:pt idx="14">
                  <c:v>Отделение статистики, анализа данных и демографии</c:v>
                </c:pt>
                <c:pt idx="15">
                  <c:v>Факультет государственного и муниципального управления</c:v>
                </c:pt>
                <c:pt idx="16">
                  <c:v>Факультет математики</c:v>
                </c:pt>
                <c:pt idx="17">
                  <c:v>Факультет логистики</c:v>
                </c:pt>
                <c:pt idx="18">
                  <c:v>Факультет медиакоммуникаций</c:v>
                </c:pt>
                <c:pt idx="19">
                  <c:v>Отделение программной инженерии</c:v>
                </c:pt>
                <c:pt idx="20">
                  <c:v>Факультет психологии</c:v>
                </c:pt>
                <c:pt idx="21">
                  <c:v>Факультет прикладной политологии</c:v>
                </c:pt>
                <c:pt idx="22">
                  <c:v>Отделение "Совместный бакалавриат ВШЭ и РЭШ"</c:v>
                </c:pt>
                <c:pt idx="23">
                  <c:v>Факультет бизнес-информатики</c:v>
                </c:pt>
                <c:pt idx="24">
                  <c:v>Факультет социологии</c:v>
                </c:pt>
                <c:pt idx="25">
                  <c:v>Факультет менеджмента</c:v>
                </c:pt>
                <c:pt idx="26">
                  <c:v>Факультет экономики</c:v>
                </c:pt>
              </c:strCache>
            </c:strRef>
          </c:cat>
          <c:val>
            <c:numRef>
              <c:f>Диаграммы!$C$72:$C$98</c:f>
              <c:numCache>
                <c:formatCode>General</c:formatCode>
                <c:ptCount val="27"/>
                <c:pt idx="0">
                  <c:v>0</c:v>
                </c:pt>
                <c:pt idx="1">
                  <c:v>0</c:v>
                </c:pt>
                <c:pt idx="2">
                  <c:v>0</c:v>
                </c:pt>
                <c:pt idx="3">
                  <c:v>0</c:v>
                </c:pt>
                <c:pt idx="4">
                  <c:v>0</c:v>
                </c:pt>
                <c:pt idx="5">
                  <c:v>0</c:v>
                </c:pt>
                <c:pt idx="6">
                  <c:v>0</c:v>
                </c:pt>
                <c:pt idx="7">
                  <c:v>0</c:v>
                </c:pt>
                <c:pt idx="8">
                  <c:v>1</c:v>
                </c:pt>
                <c:pt idx="9">
                  <c:v>1</c:v>
                </c:pt>
                <c:pt idx="10">
                  <c:v>1</c:v>
                </c:pt>
                <c:pt idx="11">
                  <c:v>2</c:v>
                </c:pt>
                <c:pt idx="12">
                  <c:v>3</c:v>
                </c:pt>
                <c:pt idx="13">
                  <c:v>3</c:v>
                </c:pt>
                <c:pt idx="14">
                  <c:v>4</c:v>
                </c:pt>
                <c:pt idx="15">
                  <c:v>5</c:v>
                </c:pt>
                <c:pt idx="16">
                  <c:v>5</c:v>
                </c:pt>
                <c:pt idx="17">
                  <c:v>7</c:v>
                </c:pt>
                <c:pt idx="18">
                  <c:v>7</c:v>
                </c:pt>
                <c:pt idx="19">
                  <c:v>8</c:v>
                </c:pt>
                <c:pt idx="20">
                  <c:v>8</c:v>
                </c:pt>
                <c:pt idx="21">
                  <c:v>12</c:v>
                </c:pt>
                <c:pt idx="22">
                  <c:v>21</c:v>
                </c:pt>
                <c:pt idx="23">
                  <c:v>21</c:v>
                </c:pt>
                <c:pt idx="24">
                  <c:v>21</c:v>
                </c:pt>
                <c:pt idx="25">
                  <c:v>24</c:v>
                </c:pt>
                <c:pt idx="26">
                  <c:v>49</c:v>
                </c:pt>
              </c:numCache>
            </c:numRef>
          </c:val>
        </c:ser>
        <c:dLbls>
          <c:showLegendKey val="0"/>
          <c:showVal val="0"/>
          <c:showCatName val="0"/>
          <c:showSerName val="0"/>
          <c:showPercent val="0"/>
          <c:showBubbleSize val="0"/>
        </c:dLbls>
        <c:gapWidth val="150"/>
        <c:axId val="557163648"/>
        <c:axId val="557165184"/>
      </c:barChart>
      <c:catAx>
        <c:axId val="557163648"/>
        <c:scaling>
          <c:orientation val="minMax"/>
        </c:scaling>
        <c:delete val="0"/>
        <c:axPos val="l"/>
        <c:numFmt formatCode="General" sourceLinked="0"/>
        <c:majorTickMark val="out"/>
        <c:minorTickMark val="none"/>
        <c:tickLblPos val="nextTo"/>
        <c:crossAx val="557165184"/>
        <c:crosses val="autoZero"/>
        <c:auto val="1"/>
        <c:lblAlgn val="ctr"/>
        <c:lblOffset val="100"/>
        <c:noMultiLvlLbl val="0"/>
      </c:catAx>
      <c:valAx>
        <c:axId val="557165184"/>
        <c:scaling>
          <c:orientation val="minMax"/>
        </c:scaling>
        <c:delete val="0"/>
        <c:axPos val="b"/>
        <c:majorGridlines/>
        <c:numFmt formatCode="General" sourceLinked="1"/>
        <c:majorTickMark val="out"/>
        <c:minorTickMark val="none"/>
        <c:tickLblPos val="nextTo"/>
        <c:crossAx val="557163648"/>
        <c:crosses val="autoZero"/>
        <c:crossBetween val="between"/>
      </c:valAx>
    </c:plotArea>
    <c:plotVisOnly val="1"/>
    <c:dispBlanksAs val="gap"/>
    <c:showDLblsOverMax val="0"/>
  </c:chart>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sz="1200"/>
              <a:t>Количество выпускников за четыре года (бакалавры, специалисты, магистры)  </a:t>
            </a:r>
          </a:p>
        </c:rich>
      </c:tx>
      <c:overlay val="0"/>
    </c:title>
    <c:autoTitleDeleted val="0"/>
    <c:plotArea>
      <c:layout>
        <c:manualLayout>
          <c:layoutTarget val="inner"/>
          <c:xMode val="edge"/>
          <c:yMode val="edge"/>
          <c:x val="7.7083542002466199E-2"/>
          <c:y val="0.21542659685524948"/>
          <c:w val="0.77941062655629778"/>
          <c:h val="0.69360422539775102"/>
        </c:manualLayout>
      </c:layout>
      <c:lineChart>
        <c:grouping val="stacked"/>
        <c:varyColors val="0"/>
        <c:ser>
          <c:idx val="0"/>
          <c:order val="0"/>
          <c:tx>
            <c:strRef>
              <c:f>'0+'!$D$34</c:f>
              <c:strCache>
                <c:ptCount val="1"/>
                <c:pt idx="0">
                  <c:v>маг</c:v>
                </c:pt>
              </c:strCache>
            </c:strRef>
          </c:tx>
          <c:dLbls>
            <c:dLbl>
              <c:idx val="0"/>
              <c:layout>
                <c:manualLayout>
                  <c:x val="1.4957264957265E-2"/>
                  <c:y val="2.05761316872428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7350427350428E-3"/>
                  <c:y val="4.938271604938303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4102564102564222E-3"/>
                  <c:y val="4.52674897119342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'0+'!$E$33:$H$33</c:f>
              <c:numCache>
                <c:formatCode>General</c:formatCode>
                <c:ptCount val="4"/>
                <c:pt idx="0">
                  <c:v>2010</c:v>
                </c:pt>
                <c:pt idx="1">
                  <c:v>2011</c:v>
                </c:pt>
                <c:pt idx="2">
                  <c:v>2012</c:v>
                </c:pt>
                <c:pt idx="3">
                  <c:v>2013</c:v>
                </c:pt>
              </c:numCache>
            </c:numRef>
          </c:cat>
          <c:val>
            <c:numRef>
              <c:f>'0+'!$E$34:$H$34</c:f>
              <c:numCache>
                <c:formatCode>General</c:formatCode>
                <c:ptCount val="4"/>
                <c:pt idx="0">
                  <c:v>599</c:v>
                </c:pt>
                <c:pt idx="1">
                  <c:v>1099</c:v>
                </c:pt>
                <c:pt idx="2">
                  <c:v>1382</c:v>
                </c:pt>
                <c:pt idx="3">
                  <c:v>1542</c:v>
                </c:pt>
              </c:numCache>
            </c:numRef>
          </c:val>
          <c:smooth val="0"/>
        </c:ser>
        <c:ser>
          <c:idx val="1"/>
          <c:order val="1"/>
          <c:tx>
            <c:strRef>
              <c:f>'0+'!$D$35</c:f>
              <c:strCache>
                <c:ptCount val="1"/>
                <c:pt idx="0">
                  <c:v>спец</c:v>
                </c:pt>
              </c:strCache>
            </c:strRef>
          </c:tx>
          <c:dLbls>
            <c:dLbl>
              <c:idx val="0"/>
              <c:layout>
                <c:manualLayout>
                  <c:x val="2.3504273504273612E-2"/>
                  <c:y val="1.64605813162245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735042735043503E-3"/>
                  <c:y val="4.93827160493829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'0+'!$E$33:$H$33</c:f>
              <c:numCache>
                <c:formatCode>General</c:formatCode>
                <c:ptCount val="4"/>
                <c:pt idx="0">
                  <c:v>2010</c:v>
                </c:pt>
                <c:pt idx="1">
                  <c:v>2011</c:v>
                </c:pt>
                <c:pt idx="2">
                  <c:v>2012</c:v>
                </c:pt>
                <c:pt idx="3">
                  <c:v>2013</c:v>
                </c:pt>
              </c:numCache>
            </c:numRef>
          </c:cat>
          <c:val>
            <c:numRef>
              <c:f>'0+'!$E$35:$H$35</c:f>
              <c:numCache>
                <c:formatCode>General</c:formatCode>
                <c:ptCount val="4"/>
                <c:pt idx="0">
                  <c:v>747</c:v>
                </c:pt>
                <c:pt idx="1">
                  <c:v>728</c:v>
                </c:pt>
                <c:pt idx="2">
                  <c:v>1360</c:v>
                </c:pt>
                <c:pt idx="3">
                  <c:v>1031</c:v>
                </c:pt>
              </c:numCache>
            </c:numRef>
          </c:val>
          <c:smooth val="0"/>
        </c:ser>
        <c:ser>
          <c:idx val="2"/>
          <c:order val="2"/>
          <c:tx>
            <c:strRef>
              <c:f>'0+'!$D$36</c:f>
              <c:strCache>
                <c:ptCount val="1"/>
                <c:pt idx="0">
                  <c:v>бак</c:v>
                </c:pt>
              </c:strCache>
            </c:strRef>
          </c:tx>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'0+'!$E$33:$H$33</c:f>
              <c:numCache>
                <c:formatCode>General</c:formatCode>
                <c:ptCount val="4"/>
                <c:pt idx="0">
                  <c:v>2010</c:v>
                </c:pt>
                <c:pt idx="1">
                  <c:v>2011</c:v>
                </c:pt>
                <c:pt idx="2">
                  <c:v>2012</c:v>
                </c:pt>
                <c:pt idx="3">
                  <c:v>2013</c:v>
                </c:pt>
              </c:numCache>
            </c:numRef>
          </c:cat>
          <c:val>
            <c:numRef>
              <c:f>'0+'!$E$36:$H$36</c:f>
              <c:numCache>
                <c:formatCode>General</c:formatCode>
                <c:ptCount val="4"/>
                <c:pt idx="0">
                  <c:v>1283</c:v>
                </c:pt>
                <c:pt idx="1">
                  <c:v>1405</c:v>
                </c:pt>
                <c:pt idx="2">
                  <c:v>1736</c:v>
                </c:pt>
                <c:pt idx="3">
                  <c:v>2323</c:v>
                </c:pt>
              </c:numCache>
            </c:numRef>
          </c:val>
          <c:smooth val="0"/>
        </c:ser>
        <c:dLbls>
          <c:showLegendKey val="0"/>
          <c:showVal val="0"/>
          <c:showCatName val="0"/>
          <c:showSerName val="0"/>
          <c:showPercent val="0"/>
          <c:showBubbleSize val="0"/>
        </c:dLbls>
        <c:marker val="1"/>
        <c:smooth val="0"/>
        <c:axId val="560890624"/>
        <c:axId val="560892160"/>
      </c:lineChart>
      <c:catAx>
        <c:axId val="560890624"/>
        <c:scaling>
          <c:orientation val="minMax"/>
        </c:scaling>
        <c:delete val="0"/>
        <c:axPos val="b"/>
        <c:numFmt formatCode="General" sourceLinked="1"/>
        <c:majorTickMark val="none"/>
        <c:minorTickMark val="none"/>
        <c:tickLblPos val="nextTo"/>
        <c:txPr>
          <a:bodyPr/>
          <a:lstStyle/>
          <a:p>
            <a:pPr>
              <a:defRPr b="1"/>
            </a:pPr>
            <a:endParaRPr lang="ru-RU"/>
          </a:p>
        </c:txPr>
        <c:crossAx val="560892160"/>
        <c:crosses val="autoZero"/>
        <c:auto val="1"/>
        <c:lblAlgn val="ctr"/>
        <c:lblOffset val="100"/>
        <c:noMultiLvlLbl val="0"/>
      </c:catAx>
      <c:valAx>
        <c:axId val="560892160"/>
        <c:scaling>
          <c:orientation val="minMax"/>
          <c:max val="5000"/>
        </c:scaling>
        <c:delete val="0"/>
        <c:axPos val="l"/>
        <c:majorGridlines/>
        <c:numFmt formatCode="General" sourceLinked="1"/>
        <c:majorTickMark val="none"/>
        <c:minorTickMark val="none"/>
        <c:tickLblPos val="nextTo"/>
        <c:crossAx val="560890624"/>
        <c:crosses val="autoZero"/>
        <c:crossBetween val="between"/>
      </c:valAx>
    </c:plotArea>
    <c:legend>
      <c:legendPos val="r"/>
      <c:overlay val="0"/>
      <c:txPr>
        <a:bodyPr/>
        <a:lstStyle/>
        <a:p>
          <a:pPr>
            <a:defRPr b="1"/>
          </a:pPr>
          <a:endParaRPr lang="ru-RU"/>
        </a:p>
      </c:txPr>
    </c:legend>
    <c:plotVisOnly val="1"/>
    <c:dispBlanksAs val="zero"/>
    <c:showDLblsOverMax val="0"/>
  </c:chart>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200" b="1" i="0" baseline="0">
                <a:effectLst/>
              </a:rPr>
              <a:t>Динамика количества студентов, не прошедших ИГА (бакалавры и специалисты) за три года</a:t>
            </a:r>
            <a:r>
              <a:rPr lang="ru-RU" sz="1800" b="1" i="0" baseline="0">
                <a:effectLst/>
              </a:rPr>
              <a:t> </a:t>
            </a:r>
            <a:endParaRPr lang="ru-RU">
              <a:effectLst/>
            </a:endParaRPr>
          </a:p>
        </c:rich>
      </c:tx>
      <c:layout>
        <c:manualLayout>
          <c:xMode val="edge"/>
          <c:yMode val="edge"/>
          <c:x val="0.167844228094576"/>
          <c:y val="2.0752272605338889E-2"/>
        </c:manualLayout>
      </c:layout>
      <c:overlay val="0"/>
    </c:title>
    <c:autoTitleDeleted val="0"/>
    <c:plotArea>
      <c:layout/>
      <c:barChart>
        <c:barDir val="col"/>
        <c:grouping val="stacked"/>
        <c:varyColors val="0"/>
        <c:ser>
          <c:idx val="0"/>
          <c:order val="0"/>
          <c:tx>
            <c:strRef>
              <c:f>'Д1+'!$D$100</c:f>
              <c:strCache>
                <c:ptCount val="1"/>
                <c:pt idx="0">
                  <c:v>Не защитили ВКР</c:v>
                </c:pt>
              </c:strCache>
            </c:strRef>
          </c:tx>
          <c:invertIfNegative val="0"/>
          <c:cat>
            <c:multiLvlStrRef>
              <c:f>'Д1+'!$A$101:$C$132</c:f>
              <c:multiLvlStrCache>
                <c:ptCount val="32"/>
                <c:lvl>
                  <c:pt idx="0">
                    <c:v>б</c:v>
                  </c:pt>
                  <c:pt idx="1">
                    <c:v>с</c:v>
                  </c:pt>
                  <c:pt idx="2">
                    <c:v>б</c:v>
                  </c:pt>
                  <c:pt idx="3">
                    <c:v>с</c:v>
                  </c:pt>
                  <c:pt idx="4">
                    <c:v>б</c:v>
                  </c:pt>
                  <c:pt idx="5">
                    <c:v>с</c:v>
                  </c:pt>
                  <c:pt idx="6">
                    <c:v>б</c:v>
                  </c:pt>
                  <c:pt idx="7">
                    <c:v>с</c:v>
                  </c:pt>
                  <c:pt idx="8">
                    <c:v>б</c:v>
                  </c:pt>
                  <c:pt idx="9">
                    <c:v>с</c:v>
                  </c:pt>
                  <c:pt idx="10">
                    <c:v>б</c:v>
                  </c:pt>
                  <c:pt idx="11">
                    <c:v>с</c:v>
                  </c:pt>
                  <c:pt idx="12">
                    <c:v>б</c:v>
                  </c:pt>
                  <c:pt idx="13">
                    <c:v>с</c:v>
                  </c:pt>
                  <c:pt idx="14">
                    <c:v>б</c:v>
                  </c:pt>
                  <c:pt idx="15">
                    <c:v>с</c:v>
                  </c:pt>
                  <c:pt idx="16">
                    <c:v>б</c:v>
                  </c:pt>
                  <c:pt idx="17">
                    <c:v>с</c:v>
                  </c:pt>
                  <c:pt idx="18">
                    <c:v>б</c:v>
                  </c:pt>
                  <c:pt idx="19">
                    <c:v>с</c:v>
                  </c:pt>
                  <c:pt idx="20">
                    <c:v>б</c:v>
                  </c:pt>
                  <c:pt idx="21">
                    <c:v>б</c:v>
                  </c:pt>
                  <c:pt idx="22">
                    <c:v>б </c:v>
                  </c:pt>
                  <c:pt idx="23">
                    <c:v>с </c:v>
                  </c:pt>
                  <c:pt idx="24">
                    <c:v>б </c:v>
                  </c:pt>
                  <c:pt idx="25">
                    <c:v>с </c:v>
                  </c:pt>
                  <c:pt idx="26">
                    <c:v>б</c:v>
                  </c:pt>
                  <c:pt idx="27">
                    <c:v>с</c:v>
                  </c:pt>
                  <c:pt idx="28">
                    <c:v>б</c:v>
                  </c:pt>
                  <c:pt idx="29">
                    <c:v>с</c:v>
                  </c:pt>
                  <c:pt idx="30">
                    <c:v>б</c:v>
                  </c:pt>
                  <c:pt idx="31">
                    <c:v>с</c:v>
                  </c:pt>
                </c:lvl>
                <c:lvl>
                  <c:pt idx="0">
                    <c:v>2011</c:v>
                  </c:pt>
                  <c:pt idx="2">
                    <c:v>2012</c:v>
                  </c:pt>
                  <c:pt idx="4">
                    <c:v>2013</c:v>
                  </c:pt>
                  <c:pt idx="6">
                    <c:v>2011</c:v>
                  </c:pt>
                  <c:pt idx="8">
                    <c:v>2012</c:v>
                  </c:pt>
                  <c:pt idx="10">
                    <c:v>2013</c:v>
                  </c:pt>
                  <c:pt idx="12">
                    <c:v>2011</c:v>
                  </c:pt>
                  <c:pt idx="14">
                    <c:v>2012</c:v>
                  </c:pt>
                  <c:pt idx="16">
                    <c:v>2013</c:v>
                  </c:pt>
                  <c:pt idx="18">
                    <c:v>2011</c:v>
                  </c:pt>
                  <c:pt idx="20">
                    <c:v>2012</c:v>
                  </c:pt>
                  <c:pt idx="21">
                    <c:v>2013</c:v>
                  </c:pt>
                  <c:pt idx="22">
                    <c:v>2012</c:v>
                  </c:pt>
                  <c:pt idx="24">
                    <c:v>2013</c:v>
                  </c:pt>
                  <c:pt idx="26">
                    <c:v>2011</c:v>
                  </c:pt>
                  <c:pt idx="28">
                    <c:v>2012</c:v>
                  </c:pt>
                  <c:pt idx="30">
                    <c:v>2013</c:v>
                  </c:pt>
                </c:lvl>
                <c:lvl>
                  <c:pt idx="0">
                    <c:v> Москва</c:v>
                  </c:pt>
                  <c:pt idx="6">
                    <c:v>Н.Новгород</c:v>
                  </c:pt>
                  <c:pt idx="12">
                    <c:v>С-Петербург</c:v>
                  </c:pt>
                  <c:pt idx="18">
                    <c:v>Пермь</c:v>
                  </c:pt>
                  <c:pt idx="22">
                    <c:v>МИЭМ</c:v>
                  </c:pt>
                  <c:pt idx="26">
                    <c:v>ИТОГО</c:v>
                  </c:pt>
                </c:lvl>
              </c:multiLvlStrCache>
            </c:multiLvlStrRef>
          </c:cat>
          <c:val>
            <c:numRef>
              <c:f>'Д1+'!$D$101:$D$132</c:f>
              <c:numCache>
                <c:formatCode>General</c:formatCode>
                <c:ptCount val="32"/>
                <c:pt idx="0">
                  <c:v>26</c:v>
                </c:pt>
                <c:pt idx="1">
                  <c:v>8</c:v>
                </c:pt>
                <c:pt idx="2">
                  <c:v>12</c:v>
                </c:pt>
                <c:pt idx="3">
                  <c:v>7</c:v>
                </c:pt>
                <c:pt idx="4">
                  <c:v>26</c:v>
                </c:pt>
                <c:pt idx="5">
                  <c:v>9</c:v>
                </c:pt>
                <c:pt idx="6">
                  <c:v>1</c:v>
                </c:pt>
                <c:pt idx="7">
                  <c:v>0</c:v>
                </c:pt>
                <c:pt idx="8">
                  <c:v>1</c:v>
                </c:pt>
                <c:pt idx="9">
                  <c:v>0</c:v>
                </c:pt>
                <c:pt idx="10">
                  <c:v>1</c:v>
                </c:pt>
                <c:pt idx="11">
                  <c:v>2</c:v>
                </c:pt>
                <c:pt idx="12">
                  <c:v>0</c:v>
                </c:pt>
                <c:pt idx="13">
                  <c:v>5</c:v>
                </c:pt>
                <c:pt idx="14">
                  <c:v>4</c:v>
                </c:pt>
                <c:pt idx="15">
                  <c:v>2</c:v>
                </c:pt>
                <c:pt idx="16">
                  <c:v>2</c:v>
                </c:pt>
                <c:pt idx="17">
                  <c:v>2</c:v>
                </c:pt>
                <c:pt idx="18">
                  <c:v>2</c:v>
                </c:pt>
                <c:pt idx="19">
                  <c:v>0</c:v>
                </c:pt>
                <c:pt idx="20">
                  <c:v>0</c:v>
                </c:pt>
                <c:pt idx="21">
                  <c:v>1</c:v>
                </c:pt>
                <c:pt idx="22">
                  <c:v>0</c:v>
                </c:pt>
                <c:pt idx="23">
                  <c:v>0</c:v>
                </c:pt>
                <c:pt idx="24">
                  <c:v>0</c:v>
                </c:pt>
                <c:pt idx="25">
                  <c:v>2</c:v>
                </c:pt>
                <c:pt idx="26">
                  <c:v>29</c:v>
                </c:pt>
                <c:pt idx="27">
                  <c:v>13</c:v>
                </c:pt>
                <c:pt idx="28">
                  <c:v>17</c:v>
                </c:pt>
                <c:pt idx="29">
                  <c:v>9</c:v>
                </c:pt>
                <c:pt idx="30">
                  <c:v>30</c:v>
                </c:pt>
                <c:pt idx="31">
                  <c:v>15</c:v>
                </c:pt>
              </c:numCache>
            </c:numRef>
          </c:val>
        </c:ser>
        <c:ser>
          <c:idx val="1"/>
          <c:order val="1"/>
          <c:tx>
            <c:strRef>
              <c:f>'Д1+'!$E$100</c:f>
              <c:strCache>
                <c:ptCount val="1"/>
                <c:pt idx="0">
                  <c:v>Не допущено к ВКР</c:v>
                </c:pt>
              </c:strCache>
            </c:strRef>
          </c:tx>
          <c:invertIfNegative val="0"/>
          <c:cat>
            <c:multiLvlStrRef>
              <c:f>'Д1+'!$A$101:$C$132</c:f>
              <c:multiLvlStrCache>
                <c:ptCount val="32"/>
                <c:lvl>
                  <c:pt idx="0">
                    <c:v>б</c:v>
                  </c:pt>
                  <c:pt idx="1">
                    <c:v>с</c:v>
                  </c:pt>
                  <c:pt idx="2">
                    <c:v>б</c:v>
                  </c:pt>
                  <c:pt idx="3">
                    <c:v>с</c:v>
                  </c:pt>
                  <c:pt idx="4">
                    <c:v>б</c:v>
                  </c:pt>
                  <c:pt idx="5">
                    <c:v>с</c:v>
                  </c:pt>
                  <c:pt idx="6">
                    <c:v>б</c:v>
                  </c:pt>
                  <c:pt idx="7">
                    <c:v>с</c:v>
                  </c:pt>
                  <c:pt idx="8">
                    <c:v>б</c:v>
                  </c:pt>
                  <c:pt idx="9">
                    <c:v>с</c:v>
                  </c:pt>
                  <c:pt idx="10">
                    <c:v>б</c:v>
                  </c:pt>
                  <c:pt idx="11">
                    <c:v>с</c:v>
                  </c:pt>
                  <c:pt idx="12">
                    <c:v>б</c:v>
                  </c:pt>
                  <c:pt idx="13">
                    <c:v>с</c:v>
                  </c:pt>
                  <c:pt idx="14">
                    <c:v>б</c:v>
                  </c:pt>
                  <c:pt idx="15">
                    <c:v>с</c:v>
                  </c:pt>
                  <c:pt idx="16">
                    <c:v>б</c:v>
                  </c:pt>
                  <c:pt idx="17">
                    <c:v>с</c:v>
                  </c:pt>
                  <c:pt idx="18">
                    <c:v>б</c:v>
                  </c:pt>
                  <c:pt idx="19">
                    <c:v>с</c:v>
                  </c:pt>
                  <c:pt idx="20">
                    <c:v>б</c:v>
                  </c:pt>
                  <c:pt idx="21">
                    <c:v>б</c:v>
                  </c:pt>
                  <c:pt idx="22">
                    <c:v>б </c:v>
                  </c:pt>
                  <c:pt idx="23">
                    <c:v>с </c:v>
                  </c:pt>
                  <c:pt idx="24">
                    <c:v>б </c:v>
                  </c:pt>
                  <c:pt idx="25">
                    <c:v>с </c:v>
                  </c:pt>
                  <c:pt idx="26">
                    <c:v>б</c:v>
                  </c:pt>
                  <c:pt idx="27">
                    <c:v>с</c:v>
                  </c:pt>
                  <c:pt idx="28">
                    <c:v>б</c:v>
                  </c:pt>
                  <c:pt idx="29">
                    <c:v>с</c:v>
                  </c:pt>
                  <c:pt idx="30">
                    <c:v>б</c:v>
                  </c:pt>
                  <c:pt idx="31">
                    <c:v>с</c:v>
                  </c:pt>
                </c:lvl>
                <c:lvl>
                  <c:pt idx="0">
                    <c:v>2011</c:v>
                  </c:pt>
                  <c:pt idx="2">
                    <c:v>2012</c:v>
                  </c:pt>
                  <c:pt idx="4">
                    <c:v>2013</c:v>
                  </c:pt>
                  <c:pt idx="6">
                    <c:v>2011</c:v>
                  </c:pt>
                  <c:pt idx="8">
                    <c:v>2012</c:v>
                  </c:pt>
                  <c:pt idx="10">
                    <c:v>2013</c:v>
                  </c:pt>
                  <c:pt idx="12">
                    <c:v>2011</c:v>
                  </c:pt>
                  <c:pt idx="14">
                    <c:v>2012</c:v>
                  </c:pt>
                  <c:pt idx="16">
                    <c:v>2013</c:v>
                  </c:pt>
                  <c:pt idx="18">
                    <c:v>2011</c:v>
                  </c:pt>
                  <c:pt idx="20">
                    <c:v>2012</c:v>
                  </c:pt>
                  <c:pt idx="21">
                    <c:v>2013</c:v>
                  </c:pt>
                  <c:pt idx="22">
                    <c:v>2012</c:v>
                  </c:pt>
                  <c:pt idx="24">
                    <c:v>2013</c:v>
                  </c:pt>
                  <c:pt idx="26">
                    <c:v>2011</c:v>
                  </c:pt>
                  <c:pt idx="28">
                    <c:v>2012</c:v>
                  </c:pt>
                  <c:pt idx="30">
                    <c:v>2013</c:v>
                  </c:pt>
                </c:lvl>
                <c:lvl>
                  <c:pt idx="0">
                    <c:v> Москва</c:v>
                  </c:pt>
                  <c:pt idx="6">
                    <c:v>Н.Новгород</c:v>
                  </c:pt>
                  <c:pt idx="12">
                    <c:v>С-Петербург</c:v>
                  </c:pt>
                  <c:pt idx="18">
                    <c:v>Пермь</c:v>
                  </c:pt>
                  <c:pt idx="22">
                    <c:v>МИЭМ</c:v>
                  </c:pt>
                  <c:pt idx="26">
                    <c:v>ИТОГО</c:v>
                  </c:pt>
                </c:lvl>
              </c:multiLvlStrCache>
            </c:multiLvlStrRef>
          </c:cat>
          <c:val>
            <c:numRef>
              <c:f>'Д1+'!$E$101:$E$132</c:f>
              <c:numCache>
                <c:formatCode>General</c:formatCode>
                <c:ptCount val="32"/>
                <c:pt idx="0">
                  <c:v>54</c:v>
                </c:pt>
                <c:pt idx="1">
                  <c:v>18</c:v>
                </c:pt>
                <c:pt idx="2">
                  <c:v>45</c:v>
                </c:pt>
                <c:pt idx="3">
                  <c:v>39</c:v>
                </c:pt>
                <c:pt idx="4">
                  <c:v>81</c:v>
                </c:pt>
                <c:pt idx="5">
                  <c:v>28</c:v>
                </c:pt>
                <c:pt idx="6">
                  <c:v>1</c:v>
                </c:pt>
                <c:pt idx="7">
                  <c:v>1</c:v>
                </c:pt>
                <c:pt idx="8">
                  <c:v>0</c:v>
                </c:pt>
                <c:pt idx="9">
                  <c:v>0</c:v>
                </c:pt>
                <c:pt idx="10">
                  <c:v>2</c:v>
                </c:pt>
                <c:pt idx="11">
                  <c:v>2</c:v>
                </c:pt>
                <c:pt idx="12">
                  <c:v>3</c:v>
                </c:pt>
                <c:pt idx="13">
                  <c:v>5</c:v>
                </c:pt>
                <c:pt idx="14">
                  <c:v>2</c:v>
                </c:pt>
                <c:pt idx="15">
                  <c:v>14</c:v>
                </c:pt>
                <c:pt idx="16">
                  <c:v>3</c:v>
                </c:pt>
                <c:pt idx="17">
                  <c:v>11</c:v>
                </c:pt>
                <c:pt idx="18">
                  <c:v>6</c:v>
                </c:pt>
                <c:pt idx="19">
                  <c:v>0</c:v>
                </c:pt>
                <c:pt idx="20">
                  <c:v>0</c:v>
                </c:pt>
                <c:pt idx="21">
                  <c:v>2</c:v>
                </c:pt>
                <c:pt idx="22">
                  <c:v>1</c:v>
                </c:pt>
                <c:pt idx="23">
                  <c:v>5</c:v>
                </c:pt>
                <c:pt idx="24">
                  <c:v>0</c:v>
                </c:pt>
                <c:pt idx="25">
                  <c:v>2</c:v>
                </c:pt>
                <c:pt idx="26">
                  <c:v>64</c:v>
                </c:pt>
                <c:pt idx="27">
                  <c:v>24</c:v>
                </c:pt>
                <c:pt idx="28">
                  <c:v>48</c:v>
                </c:pt>
                <c:pt idx="29">
                  <c:v>58</c:v>
                </c:pt>
                <c:pt idx="30">
                  <c:v>88</c:v>
                </c:pt>
                <c:pt idx="31">
                  <c:v>43</c:v>
                </c:pt>
              </c:numCache>
            </c:numRef>
          </c:val>
        </c:ser>
        <c:ser>
          <c:idx val="2"/>
          <c:order val="2"/>
          <c:tx>
            <c:strRef>
              <c:f>'Д1+'!$F$100</c:f>
              <c:strCache>
                <c:ptCount val="1"/>
                <c:pt idx="0">
                  <c:v>Не сдали ИГЭ</c:v>
                </c:pt>
              </c:strCache>
            </c:strRef>
          </c:tx>
          <c:invertIfNegative val="0"/>
          <c:cat>
            <c:multiLvlStrRef>
              <c:f>'Д1+'!$A$101:$C$132</c:f>
              <c:multiLvlStrCache>
                <c:ptCount val="32"/>
                <c:lvl>
                  <c:pt idx="0">
                    <c:v>б</c:v>
                  </c:pt>
                  <c:pt idx="1">
                    <c:v>с</c:v>
                  </c:pt>
                  <c:pt idx="2">
                    <c:v>б</c:v>
                  </c:pt>
                  <c:pt idx="3">
                    <c:v>с</c:v>
                  </c:pt>
                  <c:pt idx="4">
                    <c:v>б</c:v>
                  </c:pt>
                  <c:pt idx="5">
                    <c:v>с</c:v>
                  </c:pt>
                  <c:pt idx="6">
                    <c:v>б</c:v>
                  </c:pt>
                  <c:pt idx="7">
                    <c:v>с</c:v>
                  </c:pt>
                  <c:pt idx="8">
                    <c:v>б</c:v>
                  </c:pt>
                  <c:pt idx="9">
                    <c:v>с</c:v>
                  </c:pt>
                  <c:pt idx="10">
                    <c:v>б</c:v>
                  </c:pt>
                  <c:pt idx="11">
                    <c:v>с</c:v>
                  </c:pt>
                  <c:pt idx="12">
                    <c:v>б</c:v>
                  </c:pt>
                  <c:pt idx="13">
                    <c:v>с</c:v>
                  </c:pt>
                  <c:pt idx="14">
                    <c:v>б</c:v>
                  </c:pt>
                  <c:pt idx="15">
                    <c:v>с</c:v>
                  </c:pt>
                  <c:pt idx="16">
                    <c:v>б</c:v>
                  </c:pt>
                  <c:pt idx="17">
                    <c:v>с</c:v>
                  </c:pt>
                  <c:pt idx="18">
                    <c:v>б</c:v>
                  </c:pt>
                  <c:pt idx="19">
                    <c:v>с</c:v>
                  </c:pt>
                  <c:pt idx="20">
                    <c:v>б</c:v>
                  </c:pt>
                  <c:pt idx="21">
                    <c:v>б</c:v>
                  </c:pt>
                  <c:pt idx="22">
                    <c:v>б </c:v>
                  </c:pt>
                  <c:pt idx="23">
                    <c:v>с </c:v>
                  </c:pt>
                  <c:pt idx="24">
                    <c:v>б </c:v>
                  </c:pt>
                  <c:pt idx="25">
                    <c:v>с </c:v>
                  </c:pt>
                  <c:pt idx="26">
                    <c:v>б</c:v>
                  </c:pt>
                  <c:pt idx="27">
                    <c:v>с</c:v>
                  </c:pt>
                  <c:pt idx="28">
                    <c:v>б</c:v>
                  </c:pt>
                  <c:pt idx="29">
                    <c:v>с</c:v>
                  </c:pt>
                  <c:pt idx="30">
                    <c:v>б</c:v>
                  </c:pt>
                  <c:pt idx="31">
                    <c:v>с</c:v>
                  </c:pt>
                </c:lvl>
                <c:lvl>
                  <c:pt idx="0">
                    <c:v>2011</c:v>
                  </c:pt>
                  <c:pt idx="2">
                    <c:v>2012</c:v>
                  </c:pt>
                  <c:pt idx="4">
                    <c:v>2013</c:v>
                  </c:pt>
                  <c:pt idx="6">
                    <c:v>2011</c:v>
                  </c:pt>
                  <c:pt idx="8">
                    <c:v>2012</c:v>
                  </c:pt>
                  <c:pt idx="10">
                    <c:v>2013</c:v>
                  </c:pt>
                  <c:pt idx="12">
                    <c:v>2011</c:v>
                  </c:pt>
                  <c:pt idx="14">
                    <c:v>2012</c:v>
                  </c:pt>
                  <c:pt idx="16">
                    <c:v>2013</c:v>
                  </c:pt>
                  <c:pt idx="18">
                    <c:v>2011</c:v>
                  </c:pt>
                  <c:pt idx="20">
                    <c:v>2012</c:v>
                  </c:pt>
                  <c:pt idx="21">
                    <c:v>2013</c:v>
                  </c:pt>
                  <c:pt idx="22">
                    <c:v>2012</c:v>
                  </c:pt>
                  <c:pt idx="24">
                    <c:v>2013</c:v>
                  </c:pt>
                  <c:pt idx="26">
                    <c:v>2011</c:v>
                  </c:pt>
                  <c:pt idx="28">
                    <c:v>2012</c:v>
                  </c:pt>
                  <c:pt idx="30">
                    <c:v>2013</c:v>
                  </c:pt>
                </c:lvl>
                <c:lvl>
                  <c:pt idx="0">
                    <c:v> Москва</c:v>
                  </c:pt>
                  <c:pt idx="6">
                    <c:v>Н.Новгород</c:v>
                  </c:pt>
                  <c:pt idx="12">
                    <c:v>С-Петербург</c:v>
                  </c:pt>
                  <c:pt idx="18">
                    <c:v>Пермь</c:v>
                  </c:pt>
                  <c:pt idx="22">
                    <c:v>МИЭМ</c:v>
                  </c:pt>
                  <c:pt idx="26">
                    <c:v>ИТОГО</c:v>
                  </c:pt>
                </c:lvl>
              </c:multiLvlStrCache>
            </c:multiLvlStrRef>
          </c:cat>
          <c:val>
            <c:numRef>
              <c:f>'Д1+'!$F$101:$F$132</c:f>
              <c:numCache>
                <c:formatCode>General</c:formatCode>
                <c:ptCount val="32"/>
                <c:pt idx="0">
                  <c:v>39</c:v>
                </c:pt>
                <c:pt idx="1">
                  <c:v>7</c:v>
                </c:pt>
                <c:pt idx="2">
                  <c:v>26</c:v>
                </c:pt>
                <c:pt idx="3">
                  <c:v>19</c:v>
                </c:pt>
                <c:pt idx="4">
                  <c:v>56</c:v>
                </c:pt>
                <c:pt idx="5">
                  <c:v>16</c:v>
                </c:pt>
                <c:pt idx="6">
                  <c:v>0</c:v>
                </c:pt>
                <c:pt idx="7">
                  <c:v>1</c:v>
                </c:pt>
                <c:pt idx="8">
                  <c:v>0</c:v>
                </c:pt>
                <c:pt idx="9">
                  <c:v>0</c:v>
                </c:pt>
                <c:pt idx="10">
                  <c:v>1</c:v>
                </c:pt>
                <c:pt idx="11">
                  <c:v>2</c:v>
                </c:pt>
                <c:pt idx="12">
                  <c:v>0</c:v>
                </c:pt>
                <c:pt idx="13">
                  <c:v>4</c:v>
                </c:pt>
                <c:pt idx="14">
                  <c:v>0</c:v>
                </c:pt>
                <c:pt idx="15">
                  <c:v>13</c:v>
                </c:pt>
                <c:pt idx="16">
                  <c:v>1</c:v>
                </c:pt>
                <c:pt idx="17">
                  <c:v>6</c:v>
                </c:pt>
                <c:pt idx="18">
                  <c:v>0</c:v>
                </c:pt>
                <c:pt idx="19">
                  <c:v>0</c:v>
                </c:pt>
                <c:pt idx="20">
                  <c:v>0</c:v>
                </c:pt>
                <c:pt idx="21">
                  <c:v>0</c:v>
                </c:pt>
                <c:pt idx="22">
                  <c:v>0</c:v>
                </c:pt>
                <c:pt idx="23">
                  <c:v>2</c:v>
                </c:pt>
                <c:pt idx="24">
                  <c:v>0</c:v>
                </c:pt>
                <c:pt idx="25">
                  <c:v>0</c:v>
                </c:pt>
                <c:pt idx="26">
                  <c:v>39</c:v>
                </c:pt>
                <c:pt idx="27">
                  <c:v>12</c:v>
                </c:pt>
                <c:pt idx="28">
                  <c:v>26</c:v>
                </c:pt>
                <c:pt idx="29">
                  <c:v>34</c:v>
                </c:pt>
                <c:pt idx="30">
                  <c:v>58</c:v>
                </c:pt>
                <c:pt idx="31">
                  <c:v>24</c:v>
                </c:pt>
              </c:numCache>
            </c:numRef>
          </c:val>
        </c:ser>
        <c:dLbls>
          <c:showLegendKey val="0"/>
          <c:showVal val="0"/>
          <c:showCatName val="0"/>
          <c:showSerName val="0"/>
          <c:showPercent val="0"/>
          <c:showBubbleSize val="0"/>
        </c:dLbls>
        <c:gapWidth val="95"/>
        <c:overlap val="100"/>
        <c:axId val="566837248"/>
        <c:axId val="566838784"/>
      </c:barChart>
      <c:catAx>
        <c:axId val="566837248"/>
        <c:scaling>
          <c:orientation val="minMax"/>
        </c:scaling>
        <c:delete val="0"/>
        <c:axPos val="b"/>
        <c:numFmt formatCode="General" sourceLinked="0"/>
        <c:majorTickMark val="none"/>
        <c:minorTickMark val="none"/>
        <c:tickLblPos val="nextTo"/>
        <c:crossAx val="566838784"/>
        <c:crosses val="autoZero"/>
        <c:auto val="1"/>
        <c:lblAlgn val="ctr"/>
        <c:lblOffset val="100"/>
        <c:noMultiLvlLbl val="0"/>
      </c:catAx>
      <c:valAx>
        <c:axId val="566838784"/>
        <c:scaling>
          <c:orientation val="minMax"/>
        </c:scaling>
        <c:delete val="0"/>
        <c:axPos val="l"/>
        <c:majorGridlines/>
        <c:numFmt formatCode="General" sourceLinked="1"/>
        <c:majorTickMark val="none"/>
        <c:minorTickMark val="none"/>
        <c:tickLblPos val="nextTo"/>
        <c:crossAx val="566837248"/>
        <c:crosses val="autoZero"/>
        <c:crossBetween val="between"/>
      </c:valAx>
      <c:dTable>
        <c:showHorzBorder val="1"/>
        <c:showVertBorder val="1"/>
        <c:showOutline val="1"/>
        <c:showKeys val="1"/>
        <c:txPr>
          <a:bodyPr/>
          <a:lstStyle/>
          <a:p>
            <a:pPr rtl="0">
              <a:defRPr sz="900"/>
            </a:pPr>
            <a:endParaRPr lang="ru-RU"/>
          </a:p>
        </c:txPr>
      </c:dTable>
    </c:plotArea>
    <c:plotVisOnly val="1"/>
    <c:dispBlanksAs val="gap"/>
    <c:showDLblsOverMax val="0"/>
  </c:chart>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200" b="1" i="0" baseline="0">
                <a:effectLst/>
              </a:rPr>
              <a:t>Динамика количества студентов, не прошедших ИГА (магистры) за три года </a:t>
            </a:r>
            <a:endParaRPr lang="ru-RU" sz="1200">
              <a:effectLst/>
            </a:endParaRPr>
          </a:p>
        </c:rich>
      </c:tx>
      <c:overlay val="0"/>
    </c:title>
    <c:autoTitleDeleted val="0"/>
    <c:plotArea>
      <c:layout/>
      <c:barChart>
        <c:barDir val="col"/>
        <c:grouping val="stacked"/>
        <c:varyColors val="0"/>
        <c:ser>
          <c:idx val="0"/>
          <c:order val="0"/>
          <c:tx>
            <c:strRef>
              <c:f>'2+'!$D$57</c:f>
              <c:strCache>
                <c:ptCount val="1"/>
                <c:pt idx="0">
                  <c:v>Не защитили ВКР</c:v>
                </c:pt>
              </c:strCache>
            </c:strRef>
          </c:tx>
          <c:invertIfNegative val="0"/>
          <c:cat>
            <c:multiLvlStrRef>
              <c:f>'2+'!$A$58:$C$74</c:f>
              <c:multiLvlStrCache>
                <c:ptCount val="17"/>
                <c:lvl>
                  <c:pt idx="0">
                    <c:v>маг</c:v>
                  </c:pt>
                  <c:pt idx="1">
                    <c:v>маг</c:v>
                  </c:pt>
                  <c:pt idx="2">
                    <c:v>маг</c:v>
                  </c:pt>
                  <c:pt idx="3">
                    <c:v>маг</c:v>
                  </c:pt>
                  <c:pt idx="4">
                    <c:v>маг</c:v>
                  </c:pt>
                  <c:pt idx="5">
                    <c:v>маг</c:v>
                  </c:pt>
                  <c:pt idx="6">
                    <c:v>маг</c:v>
                  </c:pt>
                  <c:pt idx="7">
                    <c:v>маг</c:v>
                  </c:pt>
                  <c:pt idx="8">
                    <c:v>маг</c:v>
                  </c:pt>
                  <c:pt idx="9">
                    <c:v>маг</c:v>
                  </c:pt>
                  <c:pt idx="10">
                    <c:v>маг</c:v>
                  </c:pt>
                  <c:pt idx="11">
                    <c:v>маг</c:v>
                  </c:pt>
                  <c:pt idx="12">
                    <c:v>маг</c:v>
                  </c:pt>
                  <c:pt idx="13">
                    <c:v>маг</c:v>
                  </c:pt>
                  <c:pt idx="14">
                    <c:v>маг</c:v>
                  </c:pt>
                  <c:pt idx="15">
                    <c:v>маг</c:v>
                  </c:pt>
                  <c:pt idx="16">
                    <c:v>маг</c:v>
                  </c:pt>
                </c:lvl>
                <c:lvl>
                  <c:pt idx="0">
                    <c:v>2011</c:v>
                  </c:pt>
                  <c:pt idx="1">
                    <c:v>2012</c:v>
                  </c:pt>
                  <c:pt idx="2">
                    <c:v>2013</c:v>
                  </c:pt>
                  <c:pt idx="3">
                    <c:v>2011</c:v>
                  </c:pt>
                  <c:pt idx="4">
                    <c:v>2012</c:v>
                  </c:pt>
                  <c:pt idx="5">
                    <c:v>2013</c:v>
                  </c:pt>
                  <c:pt idx="6">
                    <c:v>2011</c:v>
                  </c:pt>
                  <c:pt idx="7">
                    <c:v>2012</c:v>
                  </c:pt>
                  <c:pt idx="8">
                    <c:v>2013</c:v>
                  </c:pt>
                  <c:pt idx="9">
                    <c:v>2011</c:v>
                  </c:pt>
                  <c:pt idx="10">
                    <c:v>2012</c:v>
                  </c:pt>
                  <c:pt idx="11">
                    <c:v>2013</c:v>
                  </c:pt>
                  <c:pt idx="12">
                    <c:v>2012</c:v>
                  </c:pt>
                  <c:pt idx="13">
                    <c:v>2013</c:v>
                  </c:pt>
                  <c:pt idx="14">
                    <c:v>2011</c:v>
                  </c:pt>
                  <c:pt idx="15">
                    <c:v>2012</c:v>
                  </c:pt>
                  <c:pt idx="16">
                    <c:v>2013</c:v>
                  </c:pt>
                </c:lvl>
                <c:lvl>
                  <c:pt idx="0">
                    <c:v>Москва</c:v>
                  </c:pt>
                  <c:pt idx="3">
                    <c:v>Н.Новгород</c:v>
                  </c:pt>
                  <c:pt idx="6">
                    <c:v>С-Петербург</c:v>
                  </c:pt>
                  <c:pt idx="9">
                    <c:v>Пермь</c:v>
                  </c:pt>
                  <c:pt idx="12">
                    <c:v>МИЭМ</c:v>
                  </c:pt>
                  <c:pt idx="14">
                    <c:v>ИТОГО</c:v>
                  </c:pt>
                </c:lvl>
              </c:multiLvlStrCache>
            </c:multiLvlStrRef>
          </c:cat>
          <c:val>
            <c:numRef>
              <c:f>'2+'!$D$58:$D$74</c:f>
              <c:numCache>
                <c:formatCode>General</c:formatCode>
                <c:ptCount val="17"/>
                <c:pt idx="0">
                  <c:v>17</c:v>
                </c:pt>
                <c:pt idx="1">
                  <c:v>7</c:v>
                </c:pt>
                <c:pt idx="2">
                  <c:v>22</c:v>
                </c:pt>
                <c:pt idx="3">
                  <c:v>4</c:v>
                </c:pt>
                <c:pt idx="4">
                  <c:v>2</c:v>
                </c:pt>
                <c:pt idx="5">
                  <c:v>2</c:v>
                </c:pt>
                <c:pt idx="6">
                  <c:v>1</c:v>
                </c:pt>
                <c:pt idx="7">
                  <c:v>0</c:v>
                </c:pt>
                <c:pt idx="8">
                  <c:v>3</c:v>
                </c:pt>
                <c:pt idx="9">
                  <c:v>0</c:v>
                </c:pt>
                <c:pt idx="10">
                  <c:v>0</c:v>
                </c:pt>
                <c:pt idx="11">
                  <c:v>1</c:v>
                </c:pt>
                <c:pt idx="12">
                  <c:v>0</c:v>
                </c:pt>
                <c:pt idx="13">
                  <c:v>0</c:v>
                </c:pt>
                <c:pt idx="14">
                  <c:v>22</c:v>
                </c:pt>
                <c:pt idx="15">
                  <c:v>9</c:v>
                </c:pt>
                <c:pt idx="16">
                  <c:v>28</c:v>
                </c:pt>
              </c:numCache>
            </c:numRef>
          </c:val>
        </c:ser>
        <c:ser>
          <c:idx val="1"/>
          <c:order val="1"/>
          <c:tx>
            <c:strRef>
              <c:f>'2+'!$E$57</c:f>
              <c:strCache>
                <c:ptCount val="1"/>
                <c:pt idx="0">
                  <c:v>Не допущено к ВКР</c:v>
                </c:pt>
              </c:strCache>
            </c:strRef>
          </c:tx>
          <c:invertIfNegative val="0"/>
          <c:cat>
            <c:multiLvlStrRef>
              <c:f>'2+'!$A$58:$C$74</c:f>
              <c:multiLvlStrCache>
                <c:ptCount val="17"/>
                <c:lvl>
                  <c:pt idx="0">
                    <c:v>маг</c:v>
                  </c:pt>
                  <c:pt idx="1">
                    <c:v>маг</c:v>
                  </c:pt>
                  <c:pt idx="2">
                    <c:v>маг</c:v>
                  </c:pt>
                  <c:pt idx="3">
                    <c:v>маг</c:v>
                  </c:pt>
                  <c:pt idx="4">
                    <c:v>маг</c:v>
                  </c:pt>
                  <c:pt idx="5">
                    <c:v>маг</c:v>
                  </c:pt>
                  <c:pt idx="6">
                    <c:v>маг</c:v>
                  </c:pt>
                  <c:pt idx="7">
                    <c:v>маг</c:v>
                  </c:pt>
                  <c:pt idx="8">
                    <c:v>маг</c:v>
                  </c:pt>
                  <c:pt idx="9">
                    <c:v>маг</c:v>
                  </c:pt>
                  <c:pt idx="10">
                    <c:v>маг</c:v>
                  </c:pt>
                  <c:pt idx="11">
                    <c:v>маг</c:v>
                  </c:pt>
                  <c:pt idx="12">
                    <c:v>маг</c:v>
                  </c:pt>
                  <c:pt idx="13">
                    <c:v>маг</c:v>
                  </c:pt>
                  <c:pt idx="14">
                    <c:v>маг</c:v>
                  </c:pt>
                  <c:pt idx="15">
                    <c:v>маг</c:v>
                  </c:pt>
                  <c:pt idx="16">
                    <c:v>маг</c:v>
                  </c:pt>
                </c:lvl>
                <c:lvl>
                  <c:pt idx="0">
                    <c:v>2011</c:v>
                  </c:pt>
                  <c:pt idx="1">
                    <c:v>2012</c:v>
                  </c:pt>
                  <c:pt idx="2">
                    <c:v>2013</c:v>
                  </c:pt>
                  <c:pt idx="3">
                    <c:v>2011</c:v>
                  </c:pt>
                  <c:pt idx="4">
                    <c:v>2012</c:v>
                  </c:pt>
                  <c:pt idx="5">
                    <c:v>2013</c:v>
                  </c:pt>
                  <c:pt idx="6">
                    <c:v>2011</c:v>
                  </c:pt>
                  <c:pt idx="7">
                    <c:v>2012</c:v>
                  </c:pt>
                  <c:pt idx="8">
                    <c:v>2013</c:v>
                  </c:pt>
                  <c:pt idx="9">
                    <c:v>2011</c:v>
                  </c:pt>
                  <c:pt idx="10">
                    <c:v>2012</c:v>
                  </c:pt>
                  <c:pt idx="11">
                    <c:v>2013</c:v>
                  </c:pt>
                  <c:pt idx="12">
                    <c:v>2012</c:v>
                  </c:pt>
                  <c:pt idx="13">
                    <c:v>2013</c:v>
                  </c:pt>
                  <c:pt idx="14">
                    <c:v>2011</c:v>
                  </c:pt>
                  <c:pt idx="15">
                    <c:v>2012</c:v>
                  </c:pt>
                  <c:pt idx="16">
                    <c:v>2013</c:v>
                  </c:pt>
                </c:lvl>
                <c:lvl>
                  <c:pt idx="0">
                    <c:v>Москва</c:v>
                  </c:pt>
                  <c:pt idx="3">
                    <c:v>Н.Новгород</c:v>
                  </c:pt>
                  <c:pt idx="6">
                    <c:v>С-Петербург</c:v>
                  </c:pt>
                  <c:pt idx="9">
                    <c:v>Пермь</c:v>
                  </c:pt>
                  <c:pt idx="12">
                    <c:v>МИЭМ</c:v>
                  </c:pt>
                  <c:pt idx="14">
                    <c:v>ИТОГО</c:v>
                  </c:pt>
                </c:lvl>
              </c:multiLvlStrCache>
            </c:multiLvlStrRef>
          </c:cat>
          <c:val>
            <c:numRef>
              <c:f>'2+'!$E$58:$E$74</c:f>
              <c:numCache>
                <c:formatCode>General</c:formatCode>
                <c:ptCount val="17"/>
                <c:pt idx="0">
                  <c:v>71</c:v>
                </c:pt>
                <c:pt idx="1">
                  <c:v>37</c:v>
                </c:pt>
                <c:pt idx="2">
                  <c:v>34</c:v>
                </c:pt>
                <c:pt idx="3">
                  <c:v>0</c:v>
                </c:pt>
                <c:pt idx="4">
                  <c:v>0</c:v>
                </c:pt>
                <c:pt idx="5">
                  <c:v>1</c:v>
                </c:pt>
                <c:pt idx="6">
                  <c:v>0</c:v>
                </c:pt>
                <c:pt idx="7">
                  <c:v>4</c:v>
                </c:pt>
                <c:pt idx="8">
                  <c:v>3</c:v>
                </c:pt>
                <c:pt idx="9">
                  <c:v>4</c:v>
                </c:pt>
                <c:pt idx="10">
                  <c:v>3</c:v>
                </c:pt>
                <c:pt idx="11">
                  <c:v>2</c:v>
                </c:pt>
                <c:pt idx="12">
                  <c:v>0</c:v>
                </c:pt>
                <c:pt idx="13">
                  <c:v>0</c:v>
                </c:pt>
                <c:pt idx="14">
                  <c:v>75</c:v>
                </c:pt>
                <c:pt idx="15">
                  <c:v>44</c:v>
                </c:pt>
                <c:pt idx="16">
                  <c:v>40</c:v>
                </c:pt>
              </c:numCache>
            </c:numRef>
          </c:val>
        </c:ser>
        <c:ser>
          <c:idx val="2"/>
          <c:order val="2"/>
          <c:tx>
            <c:strRef>
              <c:f>'2+'!$F$57</c:f>
              <c:strCache>
                <c:ptCount val="1"/>
                <c:pt idx="0">
                  <c:v>Не сдали ИГЭ</c:v>
                </c:pt>
              </c:strCache>
            </c:strRef>
          </c:tx>
          <c:invertIfNegative val="0"/>
          <c:cat>
            <c:multiLvlStrRef>
              <c:f>'2+'!$A$58:$C$74</c:f>
              <c:multiLvlStrCache>
                <c:ptCount val="17"/>
                <c:lvl>
                  <c:pt idx="0">
                    <c:v>маг</c:v>
                  </c:pt>
                  <c:pt idx="1">
                    <c:v>маг</c:v>
                  </c:pt>
                  <c:pt idx="2">
                    <c:v>маг</c:v>
                  </c:pt>
                  <c:pt idx="3">
                    <c:v>маг</c:v>
                  </c:pt>
                  <c:pt idx="4">
                    <c:v>маг</c:v>
                  </c:pt>
                  <c:pt idx="5">
                    <c:v>маг</c:v>
                  </c:pt>
                  <c:pt idx="6">
                    <c:v>маг</c:v>
                  </c:pt>
                  <c:pt idx="7">
                    <c:v>маг</c:v>
                  </c:pt>
                  <c:pt idx="8">
                    <c:v>маг</c:v>
                  </c:pt>
                  <c:pt idx="9">
                    <c:v>маг</c:v>
                  </c:pt>
                  <c:pt idx="10">
                    <c:v>маг</c:v>
                  </c:pt>
                  <c:pt idx="11">
                    <c:v>маг</c:v>
                  </c:pt>
                  <c:pt idx="12">
                    <c:v>маг</c:v>
                  </c:pt>
                  <c:pt idx="13">
                    <c:v>маг</c:v>
                  </c:pt>
                  <c:pt idx="14">
                    <c:v>маг</c:v>
                  </c:pt>
                  <c:pt idx="15">
                    <c:v>маг</c:v>
                  </c:pt>
                  <c:pt idx="16">
                    <c:v>маг</c:v>
                  </c:pt>
                </c:lvl>
                <c:lvl>
                  <c:pt idx="0">
                    <c:v>2011</c:v>
                  </c:pt>
                  <c:pt idx="1">
                    <c:v>2012</c:v>
                  </c:pt>
                  <c:pt idx="2">
                    <c:v>2013</c:v>
                  </c:pt>
                  <c:pt idx="3">
                    <c:v>2011</c:v>
                  </c:pt>
                  <c:pt idx="4">
                    <c:v>2012</c:v>
                  </c:pt>
                  <c:pt idx="5">
                    <c:v>2013</c:v>
                  </c:pt>
                  <c:pt idx="6">
                    <c:v>2011</c:v>
                  </c:pt>
                  <c:pt idx="7">
                    <c:v>2012</c:v>
                  </c:pt>
                  <c:pt idx="8">
                    <c:v>2013</c:v>
                  </c:pt>
                  <c:pt idx="9">
                    <c:v>2011</c:v>
                  </c:pt>
                  <c:pt idx="10">
                    <c:v>2012</c:v>
                  </c:pt>
                  <c:pt idx="11">
                    <c:v>2013</c:v>
                  </c:pt>
                  <c:pt idx="12">
                    <c:v>2012</c:v>
                  </c:pt>
                  <c:pt idx="13">
                    <c:v>2013</c:v>
                  </c:pt>
                  <c:pt idx="14">
                    <c:v>2011</c:v>
                  </c:pt>
                  <c:pt idx="15">
                    <c:v>2012</c:v>
                  </c:pt>
                  <c:pt idx="16">
                    <c:v>2013</c:v>
                  </c:pt>
                </c:lvl>
                <c:lvl>
                  <c:pt idx="0">
                    <c:v>Москва</c:v>
                  </c:pt>
                  <c:pt idx="3">
                    <c:v>Н.Новгород</c:v>
                  </c:pt>
                  <c:pt idx="6">
                    <c:v>С-Петербург</c:v>
                  </c:pt>
                  <c:pt idx="9">
                    <c:v>Пермь</c:v>
                  </c:pt>
                  <c:pt idx="12">
                    <c:v>МИЭМ</c:v>
                  </c:pt>
                  <c:pt idx="14">
                    <c:v>ИТОГО</c:v>
                  </c:pt>
                </c:lvl>
              </c:multiLvlStrCache>
            </c:multiLvlStrRef>
          </c:cat>
          <c:val>
            <c:numRef>
              <c:f>'2+'!$F$58:$F$74</c:f>
              <c:numCache>
                <c:formatCode>General</c:formatCode>
                <c:ptCount val="17"/>
                <c:pt idx="0">
                  <c:v>9</c:v>
                </c:pt>
                <c:pt idx="1">
                  <c:v>4</c:v>
                </c:pt>
                <c:pt idx="2">
                  <c:v>4</c:v>
                </c:pt>
                <c:pt idx="3">
                  <c:v>0</c:v>
                </c:pt>
                <c:pt idx="4">
                  <c:v>0</c:v>
                </c:pt>
                <c:pt idx="5">
                  <c:v>0</c:v>
                </c:pt>
                <c:pt idx="6">
                  <c:v>0</c:v>
                </c:pt>
                <c:pt idx="7">
                  <c:v>0</c:v>
                </c:pt>
                <c:pt idx="8">
                  <c:v>0</c:v>
                </c:pt>
                <c:pt idx="9">
                  <c:v>0</c:v>
                </c:pt>
                <c:pt idx="10">
                  <c:v>0</c:v>
                </c:pt>
                <c:pt idx="11">
                  <c:v>0</c:v>
                </c:pt>
                <c:pt idx="12">
                  <c:v>0</c:v>
                </c:pt>
                <c:pt idx="13">
                  <c:v>0</c:v>
                </c:pt>
                <c:pt idx="14">
                  <c:v>9</c:v>
                </c:pt>
                <c:pt idx="15">
                  <c:v>4</c:v>
                </c:pt>
                <c:pt idx="16">
                  <c:v>4</c:v>
                </c:pt>
              </c:numCache>
            </c:numRef>
          </c:val>
        </c:ser>
        <c:dLbls>
          <c:showLegendKey val="0"/>
          <c:showVal val="0"/>
          <c:showCatName val="0"/>
          <c:showSerName val="0"/>
          <c:showPercent val="0"/>
          <c:showBubbleSize val="0"/>
        </c:dLbls>
        <c:gapWidth val="95"/>
        <c:overlap val="100"/>
        <c:axId val="566870400"/>
        <c:axId val="566871936"/>
      </c:barChart>
      <c:catAx>
        <c:axId val="566870400"/>
        <c:scaling>
          <c:orientation val="minMax"/>
        </c:scaling>
        <c:delete val="0"/>
        <c:axPos val="b"/>
        <c:numFmt formatCode="General" sourceLinked="0"/>
        <c:majorTickMark val="none"/>
        <c:minorTickMark val="none"/>
        <c:tickLblPos val="nextTo"/>
        <c:crossAx val="566871936"/>
        <c:crosses val="autoZero"/>
        <c:auto val="1"/>
        <c:lblAlgn val="ctr"/>
        <c:lblOffset val="100"/>
        <c:noMultiLvlLbl val="0"/>
      </c:catAx>
      <c:valAx>
        <c:axId val="566871936"/>
        <c:scaling>
          <c:orientation val="minMax"/>
        </c:scaling>
        <c:delete val="0"/>
        <c:axPos val="l"/>
        <c:majorGridlines/>
        <c:numFmt formatCode="General" sourceLinked="1"/>
        <c:majorTickMark val="none"/>
        <c:minorTickMark val="none"/>
        <c:tickLblPos val="nextTo"/>
        <c:crossAx val="5668704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200" b="1" i="0" baseline="0">
                <a:effectLst/>
              </a:rPr>
              <a:t>Распределение выпускников по типу диплома (за три года)</a:t>
            </a:r>
            <a:endParaRPr lang="ru-RU" sz="1200">
              <a:effectLst/>
            </a:endParaRPr>
          </a:p>
        </c:rich>
      </c:tx>
      <c:layout>
        <c:manualLayout>
          <c:xMode val="edge"/>
          <c:yMode val="edge"/>
          <c:x val="0.17984031936127848"/>
          <c:y val="2.1828100557075004E-2"/>
        </c:manualLayout>
      </c:layout>
      <c:overlay val="0"/>
    </c:title>
    <c:autoTitleDeleted val="0"/>
    <c:plotArea>
      <c:layout>
        <c:manualLayout>
          <c:layoutTarget val="inner"/>
          <c:xMode val="edge"/>
          <c:yMode val="edge"/>
          <c:x val="7.7955742059188704E-2"/>
          <c:y val="0.14825834960653642"/>
          <c:w val="0.906076194068556"/>
          <c:h val="0.62732614648374263"/>
        </c:manualLayout>
      </c:layout>
      <c:barChart>
        <c:barDir val="col"/>
        <c:grouping val="stacked"/>
        <c:varyColors val="0"/>
        <c:ser>
          <c:idx val="0"/>
          <c:order val="0"/>
          <c:tx>
            <c:strRef>
              <c:f>'3+'!$C$48</c:f>
              <c:strCache>
                <c:ptCount val="1"/>
                <c:pt idx="0">
                  <c:v>обычные дипломы</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'3+'!$A$49:$B$65</c:f>
              <c:multiLvlStrCache>
                <c:ptCount val="17"/>
                <c:lvl>
                  <c:pt idx="0">
                    <c:v>2011</c:v>
                  </c:pt>
                  <c:pt idx="1">
                    <c:v>2012</c:v>
                  </c:pt>
                  <c:pt idx="2">
                    <c:v>2013</c:v>
                  </c:pt>
                  <c:pt idx="3">
                    <c:v>2011</c:v>
                  </c:pt>
                  <c:pt idx="4">
                    <c:v>2012</c:v>
                  </c:pt>
                  <c:pt idx="5">
                    <c:v>2013</c:v>
                  </c:pt>
                  <c:pt idx="6">
                    <c:v>2011</c:v>
                  </c:pt>
                  <c:pt idx="7">
                    <c:v>2012</c:v>
                  </c:pt>
                  <c:pt idx="8">
                    <c:v>2013</c:v>
                  </c:pt>
                  <c:pt idx="9">
                    <c:v>2011</c:v>
                  </c:pt>
                  <c:pt idx="10">
                    <c:v>2012</c:v>
                  </c:pt>
                  <c:pt idx="11">
                    <c:v>2013</c:v>
                  </c:pt>
                  <c:pt idx="12">
                    <c:v>2012</c:v>
                  </c:pt>
                  <c:pt idx="13">
                    <c:v>2013</c:v>
                  </c:pt>
                  <c:pt idx="14">
                    <c:v>2011</c:v>
                  </c:pt>
                  <c:pt idx="15">
                    <c:v>2012</c:v>
                  </c:pt>
                  <c:pt idx="16">
                    <c:v>2013</c:v>
                  </c:pt>
                </c:lvl>
                <c:lvl>
                  <c:pt idx="0">
                    <c:v>Москва</c:v>
                  </c:pt>
                  <c:pt idx="3">
                    <c:v>НН</c:v>
                  </c:pt>
                  <c:pt idx="6">
                    <c:v>СПб</c:v>
                  </c:pt>
                  <c:pt idx="9">
                    <c:v>Пермь</c:v>
                  </c:pt>
                  <c:pt idx="12">
                    <c:v>МИЭМ</c:v>
                  </c:pt>
                  <c:pt idx="14">
                    <c:v>ИТОГО</c:v>
                  </c:pt>
                </c:lvl>
              </c:multiLvlStrCache>
            </c:multiLvlStrRef>
          </c:cat>
          <c:val>
            <c:numRef>
              <c:f>'3+'!$C$49:$C$65</c:f>
              <c:numCache>
                <c:formatCode>General</c:formatCode>
                <c:ptCount val="17"/>
                <c:pt idx="0">
                  <c:v>2052</c:v>
                </c:pt>
                <c:pt idx="1">
                  <c:v>2502</c:v>
                </c:pt>
                <c:pt idx="2">
                  <c:v>2920</c:v>
                </c:pt>
                <c:pt idx="3">
                  <c:v>333</c:v>
                </c:pt>
                <c:pt idx="4">
                  <c:v>397</c:v>
                </c:pt>
                <c:pt idx="5">
                  <c:v>495</c:v>
                </c:pt>
                <c:pt idx="6">
                  <c:v>251</c:v>
                </c:pt>
                <c:pt idx="7">
                  <c:v>286</c:v>
                </c:pt>
                <c:pt idx="8">
                  <c:v>302</c:v>
                </c:pt>
                <c:pt idx="9">
                  <c:v>268</c:v>
                </c:pt>
                <c:pt idx="10">
                  <c:v>227</c:v>
                </c:pt>
                <c:pt idx="11">
                  <c:v>238</c:v>
                </c:pt>
                <c:pt idx="12">
                  <c:v>548</c:v>
                </c:pt>
                <c:pt idx="13">
                  <c:v>324</c:v>
                </c:pt>
                <c:pt idx="14">
                  <c:v>2904</c:v>
                </c:pt>
                <c:pt idx="15">
                  <c:v>3960</c:v>
                </c:pt>
                <c:pt idx="16">
                  <c:v>4279</c:v>
                </c:pt>
              </c:numCache>
            </c:numRef>
          </c:val>
        </c:ser>
        <c:ser>
          <c:idx val="1"/>
          <c:order val="1"/>
          <c:tx>
            <c:strRef>
              <c:f>'3+'!$D$48</c:f>
              <c:strCache>
                <c:ptCount val="1"/>
                <c:pt idx="0">
                  <c:v>дипломы с отличием</c:v>
                </c:pt>
              </c:strCache>
            </c:strRef>
          </c:tx>
          <c:spPr>
            <a:solidFill>
              <a:schemeClr val="accent2"/>
            </a:solidFill>
            <a:ln w="25400" cap="flat" cmpd="sng" algn="ctr">
              <a:solidFill>
                <a:schemeClr val="accent2">
                  <a:shade val="50000"/>
                </a:schemeClr>
              </a:solidFill>
              <a:prstDash val="solid"/>
            </a:ln>
            <a:effectLst/>
          </c:spPr>
          <c:invertIfNegative val="0"/>
          <c:dLbls>
            <c:dLbl>
              <c:idx val="0"/>
              <c:layout>
                <c:manualLayout>
                  <c:x val="-9.1482642452839771E-18"/>
                  <c:y val="-4.365620111414981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093223463317492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5.4570251392687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4.365620111414981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9920159680638303E-3"/>
                  <c:y val="-4.729421787366241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3.2742150835612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9960079840318822E-3"/>
                  <c:y val="-5.093223463317492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5.9880239520957524E-3"/>
                  <c:y val="-5.457025139268740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996007984031952E-3"/>
                  <c:y val="-3.274215083561229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3.2742150835612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7.3186113962271952E-17"/>
                  <c:y val="-3.2742150835612299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3.274215083561229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4.3656201114149813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3.9920159680640202E-3"/>
                  <c:y val="-5.0932234633174922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5.9880239520958287E-3"/>
                  <c:y val="-5.45702513926873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1.996007984031952E-3"/>
                  <c:y val="-6.1846284911712492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8.36743854687876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'3+'!$A$49:$B$65</c:f>
              <c:multiLvlStrCache>
                <c:ptCount val="17"/>
                <c:lvl>
                  <c:pt idx="0">
                    <c:v>2011</c:v>
                  </c:pt>
                  <c:pt idx="1">
                    <c:v>2012</c:v>
                  </c:pt>
                  <c:pt idx="2">
                    <c:v>2013</c:v>
                  </c:pt>
                  <c:pt idx="3">
                    <c:v>2011</c:v>
                  </c:pt>
                  <c:pt idx="4">
                    <c:v>2012</c:v>
                  </c:pt>
                  <c:pt idx="5">
                    <c:v>2013</c:v>
                  </c:pt>
                  <c:pt idx="6">
                    <c:v>2011</c:v>
                  </c:pt>
                  <c:pt idx="7">
                    <c:v>2012</c:v>
                  </c:pt>
                  <c:pt idx="8">
                    <c:v>2013</c:v>
                  </c:pt>
                  <c:pt idx="9">
                    <c:v>2011</c:v>
                  </c:pt>
                  <c:pt idx="10">
                    <c:v>2012</c:v>
                  </c:pt>
                  <c:pt idx="11">
                    <c:v>2013</c:v>
                  </c:pt>
                  <c:pt idx="12">
                    <c:v>2012</c:v>
                  </c:pt>
                  <c:pt idx="13">
                    <c:v>2013</c:v>
                  </c:pt>
                  <c:pt idx="14">
                    <c:v>2011</c:v>
                  </c:pt>
                  <c:pt idx="15">
                    <c:v>2012</c:v>
                  </c:pt>
                  <c:pt idx="16">
                    <c:v>2013</c:v>
                  </c:pt>
                </c:lvl>
                <c:lvl>
                  <c:pt idx="0">
                    <c:v>Москва</c:v>
                  </c:pt>
                  <c:pt idx="3">
                    <c:v>НН</c:v>
                  </c:pt>
                  <c:pt idx="6">
                    <c:v>СПб</c:v>
                  </c:pt>
                  <c:pt idx="9">
                    <c:v>Пермь</c:v>
                  </c:pt>
                  <c:pt idx="12">
                    <c:v>МИЭМ</c:v>
                  </c:pt>
                  <c:pt idx="14">
                    <c:v>ИТОГО</c:v>
                  </c:pt>
                </c:lvl>
              </c:multiLvlStrCache>
            </c:multiLvlStrRef>
          </c:cat>
          <c:val>
            <c:numRef>
              <c:f>'3+'!$D$49:$D$65</c:f>
              <c:numCache>
                <c:formatCode>General</c:formatCode>
                <c:ptCount val="17"/>
                <c:pt idx="0">
                  <c:v>222</c:v>
                </c:pt>
                <c:pt idx="1">
                  <c:v>287</c:v>
                </c:pt>
                <c:pt idx="2">
                  <c:v>419</c:v>
                </c:pt>
                <c:pt idx="3">
                  <c:v>63</c:v>
                </c:pt>
                <c:pt idx="4">
                  <c:v>69</c:v>
                </c:pt>
                <c:pt idx="5">
                  <c:v>95</c:v>
                </c:pt>
                <c:pt idx="6">
                  <c:v>26</c:v>
                </c:pt>
                <c:pt idx="7">
                  <c:v>28</c:v>
                </c:pt>
                <c:pt idx="8">
                  <c:v>28</c:v>
                </c:pt>
                <c:pt idx="9">
                  <c:v>17</c:v>
                </c:pt>
                <c:pt idx="10">
                  <c:v>27</c:v>
                </c:pt>
                <c:pt idx="11">
                  <c:v>30</c:v>
                </c:pt>
                <c:pt idx="12">
                  <c:v>107</c:v>
                </c:pt>
                <c:pt idx="13">
                  <c:v>45</c:v>
                </c:pt>
                <c:pt idx="14">
                  <c:v>328</c:v>
                </c:pt>
                <c:pt idx="15">
                  <c:v>518</c:v>
                </c:pt>
                <c:pt idx="16">
                  <c:v>617</c:v>
                </c:pt>
              </c:numCache>
            </c:numRef>
          </c:val>
        </c:ser>
        <c:dLbls>
          <c:showLegendKey val="0"/>
          <c:showVal val="0"/>
          <c:showCatName val="0"/>
          <c:showSerName val="0"/>
          <c:showPercent val="0"/>
          <c:showBubbleSize val="0"/>
        </c:dLbls>
        <c:gapWidth val="75"/>
        <c:overlap val="100"/>
        <c:axId val="566997760"/>
        <c:axId val="566999296"/>
      </c:barChart>
      <c:catAx>
        <c:axId val="566997760"/>
        <c:scaling>
          <c:orientation val="minMax"/>
        </c:scaling>
        <c:delete val="0"/>
        <c:axPos val="b"/>
        <c:numFmt formatCode="General" sourceLinked="0"/>
        <c:majorTickMark val="none"/>
        <c:minorTickMark val="none"/>
        <c:tickLblPos val="nextTo"/>
        <c:crossAx val="566999296"/>
        <c:crosses val="autoZero"/>
        <c:auto val="1"/>
        <c:lblAlgn val="ctr"/>
        <c:lblOffset val="100"/>
        <c:noMultiLvlLbl val="0"/>
      </c:catAx>
      <c:valAx>
        <c:axId val="566999296"/>
        <c:scaling>
          <c:orientation val="minMax"/>
        </c:scaling>
        <c:delete val="0"/>
        <c:axPos val="l"/>
        <c:majorGridlines/>
        <c:numFmt formatCode="General" sourceLinked="1"/>
        <c:majorTickMark val="none"/>
        <c:minorTickMark val="none"/>
        <c:tickLblPos val="nextTo"/>
        <c:spPr>
          <a:ln w="9525">
            <a:noFill/>
          </a:ln>
        </c:spPr>
        <c:crossAx val="566997760"/>
        <c:crosses val="autoZero"/>
        <c:crossBetween val="between"/>
      </c:valAx>
    </c:plotArea>
    <c:legend>
      <c:legendPos val="b"/>
      <c:overlay val="0"/>
    </c:legend>
    <c:plotVisOnly val="1"/>
    <c:dispBlanksAs val="gap"/>
    <c:showDLblsOverMax val="0"/>
  </c:chart>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200"/>
              <a:t>Результаты итоговых государственных экзаменов бакалавров, специалистов, магистров за три года (в %) </a:t>
            </a:r>
          </a:p>
        </c:rich>
      </c:tx>
      <c:overlay val="0"/>
    </c:title>
    <c:autoTitleDeleted val="0"/>
    <c:plotArea>
      <c:layout/>
      <c:barChart>
        <c:barDir val="bar"/>
        <c:grouping val="percentStacked"/>
        <c:varyColors val="0"/>
        <c:ser>
          <c:idx val="0"/>
          <c:order val="0"/>
          <c:tx>
            <c:strRef>
              <c:f>'4+'!$C$48</c:f>
              <c:strCache>
                <c:ptCount val="1"/>
                <c:pt idx="0">
                  <c:v>отлично</c:v>
                </c:pt>
              </c:strCache>
            </c:strRef>
          </c:tx>
          <c:spPr>
            <a:solidFill>
              <a:schemeClr val="accent1"/>
            </a:solidFill>
            <a:ln w="25400" cap="flat" cmpd="sng" algn="ctr">
              <a:solidFill>
                <a:schemeClr val="accent1">
                  <a:shade val="50000"/>
                </a:schemeClr>
              </a:solidFill>
              <a:prstDash val="solid"/>
            </a:ln>
            <a:effectLst/>
          </c:spPr>
          <c:invertIfNegative val="0"/>
          <c:dLbls>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'4+'!$A$49:$B$62</c:f>
              <c:multiLvlStrCache>
                <c:ptCount val="14"/>
                <c:lvl>
                  <c:pt idx="0">
                    <c:v>2012</c:v>
                  </c:pt>
                  <c:pt idx="1">
                    <c:v>2013</c:v>
                  </c:pt>
                  <c:pt idx="2">
                    <c:v>2011</c:v>
                  </c:pt>
                  <c:pt idx="3">
                    <c:v>2012</c:v>
                  </c:pt>
                  <c:pt idx="4">
                    <c:v>2013</c:v>
                  </c:pt>
                  <c:pt idx="5">
                    <c:v>2011</c:v>
                  </c:pt>
                  <c:pt idx="6">
                    <c:v>2012</c:v>
                  </c:pt>
                  <c:pt idx="7">
                    <c:v>2013</c:v>
                  </c:pt>
                  <c:pt idx="8">
                    <c:v>2011</c:v>
                  </c:pt>
                  <c:pt idx="9">
                    <c:v>2012</c:v>
                  </c:pt>
                  <c:pt idx="10">
                    <c:v>2013</c:v>
                  </c:pt>
                  <c:pt idx="11">
                    <c:v>2011</c:v>
                  </c:pt>
                  <c:pt idx="12">
                    <c:v>2012</c:v>
                  </c:pt>
                  <c:pt idx="13">
                    <c:v>2013</c:v>
                  </c:pt>
                </c:lvl>
                <c:lvl>
                  <c:pt idx="0">
                    <c:v>МИЭМ</c:v>
                  </c:pt>
                  <c:pt idx="2">
                    <c:v>Пермь</c:v>
                  </c:pt>
                  <c:pt idx="5">
                    <c:v>СПб</c:v>
                  </c:pt>
                  <c:pt idx="8">
                    <c:v>НН</c:v>
                  </c:pt>
                  <c:pt idx="11">
                    <c:v>Москва</c:v>
                  </c:pt>
                </c:lvl>
              </c:multiLvlStrCache>
            </c:multiLvlStrRef>
          </c:cat>
          <c:val>
            <c:numRef>
              <c:f>'4+'!$C$49:$C$62</c:f>
              <c:numCache>
                <c:formatCode>0%</c:formatCode>
                <c:ptCount val="14"/>
                <c:pt idx="0">
                  <c:v>0.63000000000000178</c:v>
                </c:pt>
                <c:pt idx="1">
                  <c:v>0.53</c:v>
                </c:pt>
                <c:pt idx="2">
                  <c:v>0.31000000000000077</c:v>
                </c:pt>
                <c:pt idx="3">
                  <c:v>0.31000000000000077</c:v>
                </c:pt>
                <c:pt idx="4">
                  <c:v>0.30000000000000032</c:v>
                </c:pt>
                <c:pt idx="5">
                  <c:v>0.36000000000000032</c:v>
                </c:pt>
                <c:pt idx="6">
                  <c:v>0.3900000000000009</c:v>
                </c:pt>
                <c:pt idx="7">
                  <c:v>0.3900000000000009</c:v>
                </c:pt>
                <c:pt idx="8">
                  <c:v>0.47000000000000008</c:v>
                </c:pt>
                <c:pt idx="9">
                  <c:v>0.43000000000000038</c:v>
                </c:pt>
                <c:pt idx="10">
                  <c:v>0.44</c:v>
                </c:pt>
                <c:pt idx="11">
                  <c:v>0.46</c:v>
                </c:pt>
                <c:pt idx="12">
                  <c:v>0.46</c:v>
                </c:pt>
                <c:pt idx="13">
                  <c:v>0.41000000000000031</c:v>
                </c:pt>
              </c:numCache>
            </c:numRef>
          </c:val>
        </c:ser>
        <c:ser>
          <c:idx val="1"/>
          <c:order val="1"/>
          <c:tx>
            <c:strRef>
              <c:f>'4+'!$D$48</c:f>
              <c:strCache>
                <c:ptCount val="1"/>
                <c:pt idx="0">
                  <c:v>хорошо</c:v>
                </c:pt>
              </c:strCache>
            </c:strRef>
          </c:tx>
          <c:invertIfNegative val="0"/>
          <c:dLbls>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'4+'!$A$49:$B$62</c:f>
              <c:multiLvlStrCache>
                <c:ptCount val="14"/>
                <c:lvl>
                  <c:pt idx="0">
                    <c:v>2012</c:v>
                  </c:pt>
                  <c:pt idx="1">
                    <c:v>2013</c:v>
                  </c:pt>
                  <c:pt idx="2">
                    <c:v>2011</c:v>
                  </c:pt>
                  <c:pt idx="3">
                    <c:v>2012</c:v>
                  </c:pt>
                  <c:pt idx="4">
                    <c:v>2013</c:v>
                  </c:pt>
                  <c:pt idx="5">
                    <c:v>2011</c:v>
                  </c:pt>
                  <c:pt idx="6">
                    <c:v>2012</c:v>
                  </c:pt>
                  <c:pt idx="7">
                    <c:v>2013</c:v>
                  </c:pt>
                  <c:pt idx="8">
                    <c:v>2011</c:v>
                  </c:pt>
                  <c:pt idx="9">
                    <c:v>2012</c:v>
                  </c:pt>
                  <c:pt idx="10">
                    <c:v>2013</c:v>
                  </c:pt>
                  <c:pt idx="11">
                    <c:v>2011</c:v>
                  </c:pt>
                  <c:pt idx="12">
                    <c:v>2012</c:v>
                  </c:pt>
                  <c:pt idx="13">
                    <c:v>2013</c:v>
                  </c:pt>
                </c:lvl>
                <c:lvl>
                  <c:pt idx="0">
                    <c:v>МИЭМ</c:v>
                  </c:pt>
                  <c:pt idx="2">
                    <c:v>Пермь</c:v>
                  </c:pt>
                  <c:pt idx="5">
                    <c:v>СПб</c:v>
                  </c:pt>
                  <c:pt idx="8">
                    <c:v>НН</c:v>
                  </c:pt>
                  <c:pt idx="11">
                    <c:v>Москва</c:v>
                  </c:pt>
                </c:lvl>
              </c:multiLvlStrCache>
            </c:multiLvlStrRef>
          </c:cat>
          <c:val>
            <c:numRef>
              <c:f>'4+'!$D$49:$D$62</c:f>
              <c:numCache>
                <c:formatCode>0.0%</c:formatCode>
                <c:ptCount val="14"/>
                <c:pt idx="0">
                  <c:v>0.27700000000000002</c:v>
                </c:pt>
                <c:pt idx="1">
                  <c:v>0.4</c:v>
                </c:pt>
                <c:pt idx="2" formatCode="0%">
                  <c:v>0.45</c:v>
                </c:pt>
                <c:pt idx="3" formatCode="0%">
                  <c:v>0.48000000000000032</c:v>
                </c:pt>
                <c:pt idx="4" formatCode="0%">
                  <c:v>0.44</c:v>
                </c:pt>
                <c:pt idx="5" formatCode="0%">
                  <c:v>0.4</c:v>
                </c:pt>
                <c:pt idx="6" formatCode="0%">
                  <c:v>0.41000000000000031</c:v>
                </c:pt>
                <c:pt idx="7" formatCode="0%">
                  <c:v>0.42000000000000032</c:v>
                </c:pt>
                <c:pt idx="8" formatCode="0%">
                  <c:v>0.35000000000000031</c:v>
                </c:pt>
                <c:pt idx="9" formatCode="0%">
                  <c:v>0.4</c:v>
                </c:pt>
                <c:pt idx="10" formatCode="0%">
                  <c:v>0.3900000000000009</c:v>
                </c:pt>
                <c:pt idx="11" formatCode="0%">
                  <c:v>0.34</c:v>
                </c:pt>
                <c:pt idx="12" formatCode="0%">
                  <c:v>0.34</c:v>
                </c:pt>
                <c:pt idx="13" formatCode="0%">
                  <c:v>0.37000000000000038</c:v>
                </c:pt>
              </c:numCache>
            </c:numRef>
          </c:val>
        </c:ser>
        <c:ser>
          <c:idx val="2"/>
          <c:order val="2"/>
          <c:tx>
            <c:strRef>
              <c:f>'4+'!$E$48</c:f>
              <c:strCache>
                <c:ptCount val="1"/>
                <c:pt idx="0">
                  <c:v>удовлетворительно</c:v>
                </c:pt>
              </c:strCache>
            </c:strRef>
          </c:tx>
          <c:invertIfNegative val="0"/>
          <c:dLbls>
            <c:dLbl>
              <c:idx val="1"/>
              <c:layout>
                <c:manualLayout>
                  <c:x val="4.27578834847675E-3"/>
                  <c:y val="-2.5813696028936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'4+'!$A$49:$B$62</c:f>
              <c:multiLvlStrCache>
                <c:ptCount val="14"/>
                <c:lvl>
                  <c:pt idx="0">
                    <c:v>2012</c:v>
                  </c:pt>
                  <c:pt idx="1">
                    <c:v>2013</c:v>
                  </c:pt>
                  <c:pt idx="2">
                    <c:v>2011</c:v>
                  </c:pt>
                  <c:pt idx="3">
                    <c:v>2012</c:v>
                  </c:pt>
                  <c:pt idx="4">
                    <c:v>2013</c:v>
                  </c:pt>
                  <c:pt idx="5">
                    <c:v>2011</c:v>
                  </c:pt>
                  <c:pt idx="6">
                    <c:v>2012</c:v>
                  </c:pt>
                  <c:pt idx="7">
                    <c:v>2013</c:v>
                  </c:pt>
                  <c:pt idx="8">
                    <c:v>2011</c:v>
                  </c:pt>
                  <c:pt idx="9">
                    <c:v>2012</c:v>
                  </c:pt>
                  <c:pt idx="10">
                    <c:v>2013</c:v>
                  </c:pt>
                  <c:pt idx="11">
                    <c:v>2011</c:v>
                  </c:pt>
                  <c:pt idx="12">
                    <c:v>2012</c:v>
                  </c:pt>
                  <c:pt idx="13">
                    <c:v>2013</c:v>
                  </c:pt>
                </c:lvl>
                <c:lvl>
                  <c:pt idx="0">
                    <c:v>МИЭМ</c:v>
                  </c:pt>
                  <c:pt idx="2">
                    <c:v>Пермь</c:v>
                  </c:pt>
                  <c:pt idx="5">
                    <c:v>СПб</c:v>
                  </c:pt>
                  <c:pt idx="8">
                    <c:v>НН</c:v>
                  </c:pt>
                  <c:pt idx="11">
                    <c:v>Москва</c:v>
                  </c:pt>
                </c:lvl>
              </c:multiLvlStrCache>
            </c:multiLvlStrRef>
          </c:cat>
          <c:val>
            <c:numRef>
              <c:f>'4+'!$E$49:$E$62</c:f>
              <c:numCache>
                <c:formatCode>0%</c:formatCode>
                <c:ptCount val="14"/>
                <c:pt idx="0">
                  <c:v>9.0000000000000024E-2</c:v>
                </c:pt>
                <c:pt idx="1">
                  <c:v>8.0000000000000043E-2</c:v>
                </c:pt>
                <c:pt idx="2">
                  <c:v>0.24000000000000021</c:v>
                </c:pt>
                <c:pt idx="3">
                  <c:v>0.21000000000000021</c:v>
                </c:pt>
                <c:pt idx="4">
                  <c:v>0.26</c:v>
                </c:pt>
                <c:pt idx="5">
                  <c:v>0.22</c:v>
                </c:pt>
                <c:pt idx="6">
                  <c:v>0.15000000000000024</c:v>
                </c:pt>
                <c:pt idx="7">
                  <c:v>0.16</c:v>
                </c:pt>
                <c:pt idx="8" formatCode="0.0%">
                  <c:v>0.17700000000000021</c:v>
                </c:pt>
                <c:pt idx="9">
                  <c:v>0.17</c:v>
                </c:pt>
                <c:pt idx="10">
                  <c:v>0.16</c:v>
                </c:pt>
                <c:pt idx="11">
                  <c:v>0.17</c:v>
                </c:pt>
                <c:pt idx="12">
                  <c:v>0.18000000000000024</c:v>
                </c:pt>
                <c:pt idx="13">
                  <c:v>0.19</c:v>
                </c:pt>
              </c:numCache>
            </c:numRef>
          </c:val>
        </c:ser>
        <c:ser>
          <c:idx val="3"/>
          <c:order val="3"/>
          <c:tx>
            <c:strRef>
              <c:f>'4+'!$F$48</c:f>
              <c:strCache>
                <c:ptCount val="1"/>
                <c:pt idx="0">
                  <c:v>неудовлетворительно</c:v>
                </c:pt>
              </c:strCache>
            </c:strRef>
          </c:tx>
          <c:spPr>
            <a:solidFill>
              <a:schemeClr val="accent6"/>
            </a:solidFill>
            <a:ln w="25400" cap="flat" cmpd="sng" algn="ctr">
              <a:solidFill>
                <a:schemeClr val="accent6">
                  <a:shade val="50000"/>
                </a:schemeClr>
              </a:solidFill>
              <a:prstDash val="solid"/>
            </a:ln>
            <a:effectLst/>
          </c:spPr>
          <c:invertIfNegative val="0"/>
          <c:dLbls>
            <c:dLbl>
              <c:idx val="0"/>
              <c:layout>
                <c:manualLayout>
                  <c:x val="0"/>
                  <c:y val="-2.9435292087729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2.264150494894169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3127051101734601E-2"/>
                  <c:y val="-1.761005940473254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7505860290670484E-3"/>
                  <c:y val="-1.761005940473254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1.509433663262780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8752930145335244E-3"/>
                  <c:y val="-1.5094336632627801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1251758087201101E-2"/>
                  <c:y val="-2.012578217683699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7505860290670484E-3"/>
                  <c:y val="-1.50943366326279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9.6390409777078658E-3"/>
                  <c:y val="-5.31344331217499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'4+'!$A$49:$B$62</c:f>
              <c:multiLvlStrCache>
                <c:ptCount val="14"/>
                <c:lvl>
                  <c:pt idx="0">
                    <c:v>2012</c:v>
                  </c:pt>
                  <c:pt idx="1">
                    <c:v>2013</c:v>
                  </c:pt>
                  <c:pt idx="2">
                    <c:v>2011</c:v>
                  </c:pt>
                  <c:pt idx="3">
                    <c:v>2012</c:v>
                  </c:pt>
                  <c:pt idx="4">
                    <c:v>2013</c:v>
                  </c:pt>
                  <c:pt idx="5">
                    <c:v>2011</c:v>
                  </c:pt>
                  <c:pt idx="6">
                    <c:v>2012</c:v>
                  </c:pt>
                  <c:pt idx="7">
                    <c:v>2013</c:v>
                  </c:pt>
                  <c:pt idx="8">
                    <c:v>2011</c:v>
                  </c:pt>
                  <c:pt idx="9">
                    <c:v>2012</c:v>
                  </c:pt>
                  <c:pt idx="10">
                    <c:v>2013</c:v>
                  </c:pt>
                  <c:pt idx="11">
                    <c:v>2011</c:v>
                  </c:pt>
                  <c:pt idx="12">
                    <c:v>2012</c:v>
                  </c:pt>
                  <c:pt idx="13">
                    <c:v>2013</c:v>
                  </c:pt>
                </c:lvl>
                <c:lvl>
                  <c:pt idx="0">
                    <c:v>МИЭМ</c:v>
                  </c:pt>
                  <c:pt idx="2">
                    <c:v>Пермь</c:v>
                  </c:pt>
                  <c:pt idx="5">
                    <c:v>СПб</c:v>
                  </c:pt>
                  <c:pt idx="8">
                    <c:v>НН</c:v>
                  </c:pt>
                  <c:pt idx="11">
                    <c:v>Москва</c:v>
                  </c:pt>
                </c:lvl>
              </c:multiLvlStrCache>
            </c:multiLvlStrRef>
          </c:cat>
          <c:val>
            <c:numRef>
              <c:f>'4+'!$F$49:$F$62</c:f>
              <c:numCache>
                <c:formatCode>General</c:formatCode>
                <c:ptCount val="14"/>
                <c:pt idx="0" formatCode="0.0%">
                  <c:v>3.0000000000000066E-3</c:v>
                </c:pt>
                <c:pt idx="5" formatCode="0%">
                  <c:v>2.0000000000000011E-2</c:v>
                </c:pt>
                <c:pt idx="6" formatCode="0%">
                  <c:v>0.05</c:v>
                </c:pt>
                <c:pt idx="7" formatCode="0%">
                  <c:v>3.0000000000000002E-2</c:v>
                </c:pt>
                <c:pt idx="8" formatCode="0.0%">
                  <c:v>3.0000000000000066E-3</c:v>
                </c:pt>
                <c:pt idx="10" formatCode="0%">
                  <c:v>1.0000000000000005E-2</c:v>
                </c:pt>
                <c:pt idx="11" formatCode="0%">
                  <c:v>3.0000000000000002E-2</c:v>
                </c:pt>
                <c:pt idx="12" formatCode="0%">
                  <c:v>2.0000000000000011E-2</c:v>
                </c:pt>
                <c:pt idx="13" formatCode="0%">
                  <c:v>3.0000000000000002E-2</c:v>
                </c:pt>
              </c:numCache>
            </c:numRef>
          </c:val>
        </c:ser>
        <c:dLbls>
          <c:showLegendKey val="0"/>
          <c:showVal val="1"/>
          <c:showCatName val="0"/>
          <c:showSerName val="0"/>
          <c:showPercent val="0"/>
          <c:showBubbleSize val="0"/>
        </c:dLbls>
        <c:gapWidth val="95"/>
        <c:overlap val="100"/>
        <c:axId val="568197120"/>
        <c:axId val="568198656"/>
      </c:barChart>
      <c:catAx>
        <c:axId val="568197120"/>
        <c:scaling>
          <c:orientation val="minMax"/>
        </c:scaling>
        <c:delete val="0"/>
        <c:axPos val="l"/>
        <c:numFmt formatCode="General" sourceLinked="0"/>
        <c:majorTickMark val="none"/>
        <c:minorTickMark val="none"/>
        <c:tickLblPos val="nextTo"/>
        <c:crossAx val="568198656"/>
        <c:crosses val="autoZero"/>
        <c:auto val="1"/>
        <c:lblAlgn val="ctr"/>
        <c:lblOffset val="100"/>
        <c:noMultiLvlLbl val="0"/>
      </c:catAx>
      <c:valAx>
        <c:axId val="568198656"/>
        <c:scaling>
          <c:orientation val="minMax"/>
        </c:scaling>
        <c:delete val="1"/>
        <c:axPos val="b"/>
        <c:numFmt formatCode="0%" sourceLinked="1"/>
        <c:majorTickMark val="out"/>
        <c:minorTickMark val="none"/>
        <c:tickLblPos val="none"/>
        <c:crossAx val="568197120"/>
        <c:crosses val="autoZero"/>
        <c:crossBetween val="between"/>
      </c:valAx>
    </c:plotArea>
    <c:legend>
      <c:legendPos val="t"/>
      <c:overlay val="0"/>
      <c:txPr>
        <a:bodyPr/>
        <a:lstStyle/>
        <a:p>
          <a:pPr>
            <a:defRPr b="1"/>
          </a:pPr>
          <a:endParaRPr lang="ru-RU"/>
        </a:p>
      </c:txPr>
    </c:legend>
    <c:plotVisOnly val="1"/>
    <c:dispBlanksAs val="gap"/>
    <c:showDLblsOverMax val="0"/>
  </c:chart>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200"/>
              <a:t>Результаты защиты выпускных квалификационных работ бакалавров, специалистов, магистров за три года (в %) </a:t>
            </a:r>
          </a:p>
        </c:rich>
      </c:tx>
      <c:overlay val="0"/>
    </c:title>
    <c:autoTitleDeleted val="0"/>
    <c:plotArea>
      <c:layout/>
      <c:barChart>
        <c:barDir val="bar"/>
        <c:grouping val="percentStacked"/>
        <c:varyColors val="0"/>
        <c:ser>
          <c:idx val="0"/>
          <c:order val="0"/>
          <c:tx>
            <c:strRef>
              <c:f>'5ВКР+'!$C$52</c:f>
              <c:strCache>
                <c:ptCount val="1"/>
                <c:pt idx="0">
                  <c:v>отлично</c:v>
                </c:pt>
              </c:strCache>
            </c:strRef>
          </c:tx>
          <c:spPr>
            <a:solidFill>
              <a:schemeClr val="accent1"/>
            </a:solidFill>
            <a:ln w="25400" cap="flat" cmpd="sng" algn="ctr">
              <a:solidFill>
                <a:schemeClr val="accent1">
                  <a:shade val="50000"/>
                </a:schemeClr>
              </a:solidFill>
              <a:prstDash val="solid"/>
            </a:ln>
            <a:effectLst/>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'5ВКР+'!$A$53:$B$66</c:f>
              <c:multiLvlStrCache>
                <c:ptCount val="14"/>
                <c:lvl>
                  <c:pt idx="0">
                    <c:v>2012</c:v>
                  </c:pt>
                  <c:pt idx="1">
                    <c:v>2013</c:v>
                  </c:pt>
                  <c:pt idx="2">
                    <c:v>2011</c:v>
                  </c:pt>
                  <c:pt idx="3">
                    <c:v>2012</c:v>
                  </c:pt>
                  <c:pt idx="4">
                    <c:v>2013</c:v>
                  </c:pt>
                  <c:pt idx="5">
                    <c:v>2011</c:v>
                  </c:pt>
                  <c:pt idx="6">
                    <c:v>2012</c:v>
                  </c:pt>
                  <c:pt idx="7">
                    <c:v>2013</c:v>
                  </c:pt>
                  <c:pt idx="8">
                    <c:v>2011</c:v>
                  </c:pt>
                  <c:pt idx="9">
                    <c:v>2012</c:v>
                  </c:pt>
                  <c:pt idx="10">
                    <c:v>2013</c:v>
                  </c:pt>
                  <c:pt idx="11">
                    <c:v>2011</c:v>
                  </c:pt>
                  <c:pt idx="12">
                    <c:v>2012</c:v>
                  </c:pt>
                  <c:pt idx="13">
                    <c:v>2013</c:v>
                  </c:pt>
                </c:lvl>
                <c:lvl>
                  <c:pt idx="0">
                    <c:v>МИЭМ</c:v>
                  </c:pt>
                  <c:pt idx="2">
                    <c:v>Пермь</c:v>
                  </c:pt>
                  <c:pt idx="5">
                    <c:v>СПб</c:v>
                  </c:pt>
                  <c:pt idx="8">
                    <c:v>НН</c:v>
                  </c:pt>
                  <c:pt idx="11">
                    <c:v>Москва</c:v>
                  </c:pt>
                </c:lvl>
              </c:multiLvlStrCache>
            </c:multiLvlStrRef>
          </c:cat>
          <c:val>
            <c:numRef>
              <c:f>'5ВКР+'!$C$53:$C$66</c:f>
              <c:numCache>
                <c:formatCode>0.0%</c:formatCode>
                <c:ptCount val="14"/>
                <c:pt idx="0" formatCode="0%">
                  <c:v>0.69000000000000061</c:v>
                </c:pt>
                <c:pt idx="1">
                  <c:v>0.65500000000000203</c:v>
                </c:pt>
                <c:pt idx="2" formatCode="0%">
                  <c:v>0.47000000000000008</c:v>
                </c:pt>
                <c:pt idx="3" formatCode="0%">
                  <c:v>0.5</c:v>
                </c:pt>
                <c:pt idx="4">
                  <c:v>0.49300000000000038</c:v>
                </c:pt>
                <c:pt idx="5" formatCode="0%">
                  <c:v>0.41000000000000031</c:v>
                </c:pt>
                <c:pt idx="6" formatCode="0%">
                  <c:v>0.43000000000000038</c:v>
                </c:pt>
                <c:pt idx="7" formatCode="0%">
                  <c:v>0.43000000000000038</c:v>
                </c:pt>
                <c:pt idx="8" formatCode="0%">
                  <c:v>0.59</c:v>
                </c:pt>
                <c:pt idx="9" formatCode="0%">
                  <c:v>0.58000000000000007</c:v>
                </c:pt>
                <c:pt idx="10" formatCode="0%">
                  <c:v>0.51</c:v>
                </c:pt>
                <c:pt idx="11" formatCode="0%">
                  <c:v>0.56999999999999995</c:v>
                </c:pt>
                <c:pt idx="12" formatCode="0%">
                  <c:v>0.56999999999999995</c:v>
                </c:pt>
                <c:pt idx="13" formatCode="0%">
                  <c:v>0.54</c:v>
                </c:pt>
              </c:numCache>
            </c:numRef>
          </c:val>
        </c:ser>
        <c:ser>
          <c:idx val="1"/>
          <c:order val="1"/>
          <c:tx>
            <c:strRef>
              <c:f>'5ВКР+'!$D$52</c:f>
              <c:strCache>
                <c:ptCount val="1"/>
                <c:pt idx="0">
                  <c:v>хорошо</c:v>
                </c:pt>
              </c:strCache>
            </c:strRef>
          </c:tx>
          <c:spPr>
            <a:solidFill>
              <a:schemeClr val="accent2"/>
            </a:solidFill>
            <a:ln w="25400" cap="flat" cmpd="sng" algn="ctr">
              <a:solidFill>
                <a:schemeClr val="accent2">
                  <a:shade val="50000"/>
                </a:schemeClr>
              </a:solidFill>
              <a:prstDash val="solid"/>
            </a:ln>
            <a:effectLst/>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'5ВКР+'!$A$53:$B$66</c:f>
              <c:multiLvlStrCache>
                <c:ptCount val="14"/>
                <c:lvl>
                  <c:pt idx="0">
                    <c:v>2012</c:v>
                  </c:pt>
                  <c:pt idx="1">
                    <c:v>2013</c:v>
                  </c:pt>
                  <c:pt idx="2">
                    <c:v>2011</c:v>
                  </c:pt>
                  <c:pt idx="3">
                    <c:v>2012</c:v>
                  </c:pt>
                  <c:pt idx="4">
                    <c:v>2013</c:v>
                  </c:pt>
                  <c:pt idx="5">
                    <c:v>2011</c:v>
                  </c:pt>
                  <c:pt idx="6">
                    <c:v>2012</c:v>
                  </c:pt>
                  <c:pt idx="7">
                    <c:v>2013</c:v>
                  </c:pt>
                  <c:pt idx="8">
                    <c:v>2011</c:v>
                  </c:pt>
                  <c:pt idx="9">
                    <c:v>2012</c:v>
                  </c:pt>
                  <c:pt idx="10">
                    <c:v>2013</c:v>
                  </c:pt>
                  <c:pt idx="11">
                    <c:v>2011</c:v>
                  </c:pt>
                  <c:pt idx="12">
                    <c:v>2012</c:v>
                  </c:pt>
                  <c:pt idx="13">
                    <c:v>2013</c:v>
                  </c:pt>
                </c:lvl>
                <c:lvl>
                  <c:pt idx="0">
                    <c:v>МИЭМ</c:v>
                  </c:pt>
                  <c:pt idx="2">
                    <c:v>Пермь</c:v>
                  </c:pt>
                  <c:pt idx="5">
                    <c:v>СПб</c:v>
                  </c:pt>
                  <c:pt idx="8">
                    <c:v>НН</c:v>
                  </c:pt>
                  <c:pt idx="11">
                    <c:v>Москва</c:v>
                  </c:pt>
                </c:lvl>
              </c:multiLvlStrCache>
            </c:multiLvlStrRef>
          </c:cat>
          <c:val>
            <c:numRef>
              <c:f>'5ВКР+'!$D$53:$D$66</c:f>
              <c:numCache>
                <c:formatCode>0.0%</c:formatCode>
                <c:ptCount val="14"/>
                <c:pt idx="0">
                  <c:v>0.25</c:v>
                </c:pt>
                <c:pt idx="1">
                  <c:v>0.28000000000000008</c:v>
                </c:pt>
                <c:pt idx="2" formatCode="0%">
                  <c:v>0.34</c:v>
                </c:pt>
                <c:pt idx="3" formatCode="0%">
                  <c:v>0.33000000000000101</c:v>
                </c:pt>
                <c:pt idx="4" formatCode="0%">
                  <c:v>0.33000000000000101</c:v>
                </c:pt>
                <c:pt idx="5" formatCode="0%">
                  <c:v>0.4</c:v>
                </c:pt>
                <c:pt idx="6" formatCode="0%">
                  <c:v>0.38000000000000089</c:v>
                </c:pt>
                <c:pt idx="7" formatCode="0%">
                  <c:v>0.41000000000000031</c:v>
                </c:pt>
                <c:pt idx="8" formatCode="0%">
                  <c:v>0.31000000000000077</c:v>
                </c:pt>
                <c:pt idx="9" formatCode="0%">
                  <c:v>0.30000000000000032</c:v>
                </c:pt>
                <c:pt idx="10" formatCode="0%">
                  <c:v>0.35000000000000031</c:v>
                </c:pt>
                <c:pt idx="11" formatCode="0%">
                  <c:v>0.30000000000000032</c:v>
                </c:pt>
                <c:pt idx="12" formatCode="0%">
                  <c:v>0.32000000000000089</c:v>
                </c:pt>
                <c:pt idx="13" formatCode="0%">
                  <c:v>0.32000000000000089</c:v>
                </c:pt>
              </c:numCache>
            </c:numRef>
          </c:val>
        </c:ser>
        <c:ser>
          <c:idx val="2"/>
          <c:order val="2"/>
          <c:tx>
            <c:strRef>
              <c:f>'5ВКР+'!$E$52</c:f>
              <c:strCache>
                <c:ptCount val="1"/>
                <c:pt idx="0">
                  <c:v>удовлетворительно</c:v>
                </c:pt>
              </c:strCache>
            </c:strRef>
          </c:tx>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'5ВКР+'!$A$53:$B$66</c:f>
              <c:multiLvlStrCache>
                <c:ptCount val="14"/>
                <c:lvl>
                  <c:pt idx="0">
                    <c:v>2012</c:v>
                  </c:pt>
                  <c:pt idx="1">
                    <c:v>2013</c:v>
                  </c:pt>
                  <c:pt idx="2">
                    <c:v>2011</c:v>
                  </c:pt>
                  <c:pt idx="3">
                    <c:v>2012</c:v>
                  </c:pt>
                  <c:pt idx="4">
                    <c:v>2013</c:v>
                  </c:pt>
                  <c:pt idx="5">
                    <c:v>2011</c:v>
                  </c:pt>
                  <c:pt idx="6">
                    <c:v>2012</c:v>
                  </c:pt>
                  <c:pt idx="7">
                    <c:v>2013</c:v>
                  </c:pt>
                  <c:pt idx="8">
                    <c:v>2011</c:v>
                  </c:pt>
                  <c:pt idx="9">
                    <c:v>2012</c:v>
                  </c:pt>
                  <c:pt idx="10">
                    <c:v>2013</c:v>
                  </c:pt>
                  <c:pt idx="11">
                    <c:v>2011</c:v>
                  </c:pt>
                  <c:pt idx="12">
                    <c:v>2012</c:v>
                  </c:pt>
                  <c:pt idx="13">
                    <c:v>2013</c:v>
                  </c:pt>
                </c:lvl>
                <c:lvl>
                  <c:pt idx="0">
                    <c:v>МИЭМ</c:v>
                  </c:pt>
                  <c:pt idx="2">
                    <c:v>Пермь</c:v>
                  </c:pt>
                  <c:pt idx="5">
                    <c:v>СПб</c:v>
                  </c:pt>
                  <c:pt idx="8">
                    <c:v>НН</c:v>
                  </c:pt>
                  <c:pt idx="11">
                    <c:v>Москва</c:v>
                  </c:pt>
                </c:lvl>
              </c:multiLvlStrCache>
            </c:multiLvlStrRef>
          </c:cat>
          <c:val>
            <c:numRef>
              <c:f>'5ВКР+'!$E$53:$E$66</c:f>
              <c:numCache>
                <c:formatCode>0%</c:formatCode>
                <c:ptCount val="14"/>
                <c:pt idx="0">
                  <c:v>6.0000000000000032E-2</c:v>
                </c:pt>
                <c:pt idx="1">
                  <c:v>6.0000000000000032E-2</c:v>
                </c:pt>
                <c:pt idx="2">
                  <c:v>0.18000000000000024</c:v>
                </c:pt>
                <c:pt idx="3">
                  <c:v>0.17</c:v>
                </c:pt>
                <c:pt idx="4">
                  <c:v>0.17</c:v>
                </c:pt>
                <c:pt idx="5">
                  <c:v>0.17</c:v>
                </c:pt>
                <c:pt idx="6">
                  <c:v>0.17</c:v>
                </c:pt>
                <c:pt idx="7">
                  <c:v>0.14000000000000001</c:v>
                </c:pt>
                <c:pt idx="8" formatCode="0.0%">
                  <c:v>9.7000000000000003E-2</c:v>
                </c:pt>
                <c:pt idx="9">
                  <c:v>0.11</c:v>
                </c:pt>
                <c:pt idx="10" formatCode="0.0%">
                  <c:v>0.13200000000000001</c:v>
                </c:pt>
                <c:pt idx="11">
                  <c:v>0.11</c:v>
                </c:pt>
                <c:pt idx="12">
                  <c:v>0.1</c:v>
                </c:pt>
                <c:pt idx="13">
                  <c:v>0.12000000000000002</c:v>
                </c:pt>
              </c:numCache>
            </c:numRef>
          </c:val>
        </c:ser>
        <c:ser>
          <c:idx val="3"/>
          <c:order val="3"/>
          <c:tx>
            <c:strRef>
              <c:f>'5ВКР+'!$F$52</c:f>
              <c:strCache>
                <c:ptCount val="1"/>
                <c:pt idx="0">
                  <c:v>неудовлетворительно</c:v>
                </c:pt>
              </c:strCache>
            </c:strRef>
          </c:tx>
          <c:spPr>
            <a:solidFill>
              <a:schemeClr val="accent6"/>
            </a:solidFill>
            <a:ln w="25400" cap="flat" cmpd="sng" algn="ctr">
              <a:solidFill>
                <a:schemeClr val="accent6">
                  <a:shade val="50000"/>
                </a:schemeClr>
              </a:solidFill>
              <a:prstDash val="solid"/>
            </a:ln>
            <a:effectLst/>
          </c:spPr>
          <c:invertIfNegative val="0"/>
          <c:dLbls>
            <c:dLbl>
              <c:idx val="1"/>
              <c:layout>
                <c:manualLayout>
                  <c:x val="0"/>
                  <c:y val="-2.27272682082104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190086402911801E-3"/>
                  <c:y val="-1.515151213880679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515151213880689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0950432014552593E-3"/>
                  <c:y val="-2.272726820821037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0950432014552593E-3"/>
                  <c:y val="-1.767676416194139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5.4570259208731459E-3"/>
                  <c:y val="-2.020201618507608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2.272726820821040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380172805822323E-3"/>
                  <c:y val="-2.777777225447954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1.5151512138806899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9.0950432014552593E-3"/>
                  <c:y val="-1.2626260115672401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6380172805822323E-3"/>
                  <c:y val="-1.7676764161941399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9.0949721610827493E-3"/>
                  <c:y val="-5.27189723704434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'5ВКР+'!$A$53:$B$66</c:f>
              <c:multiLvlStrCache>
                <c:ptCount val="14"/>
                <c:lvl>
                  <c:pt idx="0">
                    <c:v>2012</c:v>
                  </c:pt>
                  <c:pt idx="1">
                    <c:v>2013</c:v>
                  </c:pt>
                  <c:pt idx="2">
                    <c:v>2011</c:v>
                  </c:pt>
                  <c:pt idx="3">
                    <c:v>2012</c:v>
                  </c:pt>
                  <c:pt idx="4">
                    <c:v>2013</c:v>
                  </c:pt>
                  <c:pt idx="5">
                    <c:v>2011</c:v>
                  </c:pt>
                  <c:pt idx="6">
                    <c:v>2012</c:v>
                  </c:pt>
                  <c:pt idx="7">
                    <c:v>2013</c:v>
                  </c:pt>
                  <c:pt idx="8">
                    <c:v>2011</c:v>
                  </c:pt>
                  <c:pt idx="9">
                    <c:v>2012</c:v>
                  </c:pt>
                  <c:pt idx="10">
                    <c:v>2013</c:v>
                  </c:pt>
                  <c:pt idx="11">
                    <c:v>2011</c:v>
                  </c:pt>
                  <c:pt idx="12">
                    <c:v>2012</c:v>
                  </c:pt>
                  <c:pt idx="13">
                    <c:v>2013</c:v>
                  </c:pt>
                </c:lvl>
                <c:lvl>
                  <c:pt idx="0">
                    <c:v>МИЭМ</c:v>
                  </c:pt>
                  <c:pt idx="2">
                    <c:v>Пермь</c:v>
                  </c:pt>
                  <c:pt idx="5">
                    <c:v>СПб</c:v>
                  </c:pt>
                  <c:pt idx="8">
                    <c:v>НН</c:v>
                  </c:pt>
                  <c:pt idx="11">
                    <c:v>Москва</c:v>
                  </c:pt>
                </c:lvl>
              </c:multiLvlStrCache>
            </c:multiLvlStrRef>
          </c:cat>
          <c:val>
            <c:numRef>
              <c:f>'5ВКР+'!$F$53:$F$66</c:f>
              <c:numCache>
                <c:formatCode>0.0%</c:formatCode>
                <c:ptCount val="14"/>
                <c:pt idx="1">
                  <c:v>5.0000000000000114E-3</c:v>
                </c:pt>
                <c:pt idx="2" formatCode="0%">
                  <c:v>1.0000000000000005E-2</c:v>
                </c:pt>
                <c:pt idx="4">
                  <c:v>7.0000000000000114E-3</c:v>
                </c:pt>
                <c:pt idx="5" formatCode="0%">
                  <c:v>2.0000000000000011E-2</c:v>
                </c:pt>
                <c:pt idx="6" formatCode="0%">
                  <c:v>2.0000000000000011E-2</c:v>
                </c:pt>
                <c:pt idx="7" formatCode="0%">
                  <c:v>2.0000000000000011E-2</c:v>
                </c:pt>
                <c:pt idx="8">
                  <c:v>3.0000000000000066E-3</c:v>
                </c:pt>
                <c:pt idx="9" formatCode="0%">
                  <c:v>1.0000000000000005E-2</c:v>
                </c:pt>
                <c:pt idx="10">
                  <c:v>8.0000000000000227E-3</c:v>
                </c:pt>
                <c:pt idx="11" formatCode="0%">
                  <c:v>2.0000000000000011E-2</c:v>
                </c:pt>
                <c:pt idx="12" formatCode="0%">
                  <c:v>1.0000000000000005E-2</c:v>
                </c:pt>
                <c:pt idx="13" formatCode="0%">
                  <c:v>2.0000000000000011E-2</c:v>
                </c:pt>
              </c:numCache>
            </c:numRef>
          </c:val>
        </c:ser>
        <c:dLbls>
          <c:showLegendKey val="0"/>
          <c:showVal val="1"/>
          <c:showCatName val="0"/>
          <c:showSerName val="0"/>
          <c:showPercent val="0"/>
          <c:showBubbleSize val="0"/>
        </c:dLbls>
        <c:gapWidth val="95"/>
        <c:overlap val="100"/>
        <c:axId val="568272384"/>
        <c:axId val="568273920"/>
      </c:barChart>
      <c:catAx>
        <c:axId val="568272384"/>
        <c:scaling>
          <c:orientation val="minMax"/>
        </c:scaling>
        <c:delete val="0"/>
        <c:axPos val="l"/>
        <c:numFmt formatCode="General" sourceLinked="0"/>
        <c:majorTickMark val="none"/>
        <c:minorTickMark val="none"/>
        <c:tickLblPos val="nextTo"/>
        <c:crossAx val="568273920"/>
        <c:crosses val="autoZero"/>
        <c:auto val="1"/>
        <c:lblAlgn val="ctr"/>
        <c:lblOffset val="100"/>
        <c:noMultiLvlLbl val="0"/>
      </c:catAx>
      <c:valAx>
        <c:axId val="568273920"/>
        <c:scaling>
          <c:orientation val="minMax"/>
        </c:scaling>
        <c:delete val="1"/>
        <c:axPos val="b"/>
        <c:numFmt formatCode="0%" sourceLinked="1"/>
        <c:majorTickMark val="out"/>
        <c:minorTickMark val="none"/>
        <c:tickLblPos val="none"/>
        <c:crossAx val="568272384"/>
        <c:crosses val="autoZero"/>
        <c:crossBetween val="between"/>
      </c:valAx>
    </c:plotArea>
    <c:legend>
      <c:legendPos val="t"/>
      <c:overlay val="0"/>
      <c:txPr>
        <a:bodyPr/>
        <a:lstStyle/>
        <a:p>
          <a:pPr>
            <a:defRPr b="1"/>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5" b="1" i="0" u="none" strike="noStrike" baseline="0">
                <a:solidFill>
                  <a:srgbClr val="000000"/>
                </a:solidFill>
                <a:latin typeface="Times New Roman" pitchFamily="18" charset="0"/>
                <a:ea typeface="Arial Cyr"/>
                <a:cs typeface="Arial Cyr"/>
              </a:defRPr>
            </a:pPr>
            <a:r>
              <a:rPr lang="ru-RU" baseline="0">
                <a:latin typeface="Times New Roman" pitchFamily="18" charset="0"/>
              </a:rPr>
              <a:t>Динамика средней величины аудиторной нагрузки в неделю, магистратура, НИУ ВШЭ (Москва)</a:t>
            </a:r>
          </a:p>
        </c:rich>
      </c:tx>
      <c:layout>
        <c:manualLayout>
          <c:xMode val="edge"/>
          <c:yMode val="edge"/>
          <c:x val="0.15228444160216187"/>
          <c:y val="3.1941059234815598E-2"/>
        </c:manualLayout>
      </c:layout>
      <c:overlay val="0"/>
      <c:spPr>
        <a:noFill/>
        <a:ln w="25400">
          <a:noFill/>
        </a:ln>
      </c:spPr>
    </c:title>
    <c:autoTitleDeleted val="0"/>
    <c:plotArea>
      <c:layout>
        <c:manualLayout>
          <c:layoutTarget val="inner"/>
          <c:xMode val="edge"/>
          <c:yMode val="edge"/>
          <c:x val="0.11336733242982776"/>
          <c:y val="0.13203081655187901"/>
          <c:w val="0.84940918697319978"/>
          <c:h val="0.47174447174447437"/>
        </c:manualLayout>
      </c:layout>
      <c:lineChart>
        <c:grouping val="standard"/>
        <c:varyColors val="0"/>
        <c:ser>
          <c:idx val="0"/>
          <c:order val="0"/>
          <c:tx>
            <c:strRef>
              <c:f>МАГ!$D$6</c:f>
              <c:strCache>
                <c:ptCount val="1"/>
                <c:pt idx="0">
                  <c:v>2010/2011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strRef>
              <c:f>МАГ!$A$8:$A$31</c:f>
              <c:strCache>
                <c:ptCount val="24"/>
                <c:pt idx="0">
                  <c:v>Экономики</c:v>
                </c:pt>
                <c:pt idx="1">
                  <c:v>Менеджмента</c:v>
                </c:pt>
                <c:pt idx="2">
                  <c:v>Отделение логистики </c:v>
                </c:pt>
                <c:pt idx="3">
                  <c:v>Социологии</c:v>
                </c:pt>
                <c:pt idx="4">
                  <c:v>Права</c:v>
                </c:pt>
                <c:pt idx="5">
                  <c:v>Прикладной политологии</c:v>
                </c:pt>
                <c:pt idx="6">
                  <c:v>оДиПЖ/Медиакоммуникаций</c:v>
                </c:pt>
                <c:pt idx="7">
                  <c:v>Бизнес-информатики</c:v>
                </c:pt>
                <c:pt idx="8">
                  <c:v>оПИ</c:v>
                </c:pt>
                <c:pt idx="9">
                  <c:v>оПМиИ</c:v>
                </c:pt>
                <c:pt idx="10">
                  <c:v>МЭиМП</c:v>
                </c:pt>
                <c:pt idx="11">
                  <c:v>Психологии</c:v>
                </c:pt>
                <c:pt idx="12">
                  <c:v>ГиМУ</c:v>
                </c:pt>
                <c:pt idx="13">
                  <c:v>Философии</c:v>
                </c:pt>
                <c:pt idx="14">
                  <c:v>Математики</c:v>
                </c:pt>
                <c:pt idx="15">
                  <c:v>МИЭФ</c:v>
                </c:pt>
                <c:pt idx="16">
                  <c:v>ИРО</c:v>
                </c:pt>
                <c:pt idx="17">
                  <c:v>Институт демографии</c:v>
                </c:pt>
                <c:pt idx="18">
                  <c:v>общеуниверситетская кафедра публичной политики</c:v>
                </c:pt>
                <c:pt idx="19">
                  <c:v>истории</c:v>
                </c:pt>
                <c:pt idx="20">
                  <c:v>Банковский институт</c:v>
                </c:pt>
                <c:pt idx="21">
                  <c:v>Высшая школа урбанистики</c:v>
                </c:pt>
                <c:pt idx="22">
                  <c:v>отделение культурологии</c:v>
                </c:pt>
                <c:pt idx="23">
                  <c:v>отделение востоковедения</c:v>
                </c:pt>
              </c:strCache>
            </c:strRef>
          </c:cat>
          <c:val>
            <c:numRef>
              <c:f>МАГ!$D$8:$D$31</c:f>
              <c:numCache>
                <c:formatCode>General</c:formatCode>
                <c:ptCount val="24"/>
                <c:pt idx="0">
                  <c:v>14</c:v>
                </c:pt>
                <c:pt idx="1">
                  <c:v>14.5</c:v>
                </c:pt>
                <c:pt idx="2">
                  <c:v>15.5</c:v>
                </c:pt>
                <c:pt idx="3">
                  <c:v>15.4</c:v>
                </c:pt>
                <c:pt idx="4">
                  <c:v>13.1</c:v>
                </c:pt>
                <c:pt idx="5">
                  <c:v>16</c:v>
                </c:pt>
                <c:pt idx="6">
                  <c:v>15.8</c:v>
                </c:pt>
                <c:pt idx="7">
                  <c:v>16.100000000000001</c:v>
                </c:pt>
                <c:pt idx="8">
                  <c:v>16</c:v>
                </c:pt>
                <c:pt idx="9">
                  <c:v>16</c:v>
                </c:pt>
                <c:pt idx="10">
                  <c:v>15.9</c:v>
                </c:pt>
                <c:pt idx="11">
                  <c:v>16</c:v>
                </c:pt>
                <c:pt idx="12">
                  <c:v>16</c:v>
                </c:pt>
                <c:pt idx="13">
                  <c:v>15.3</c:v>
                </c:pt>
                <c:pt idx="14">
                  <c:v>16</c:v>
                </c:pt>
                <c:pt idx="15">
                  <c:v>13.9</c:v>
                </c:pt>
                <c:pt idx="16">
                  <c:v>13.7</c:v>
                </c:pt>
                <c:pt idx="17">
                  <c:v>14.3</c:v>
                </c:pt>
                <c:pt idx="18">
                  <c:v>16</c:v>
                </c:pt>
                <c:pt idx="19">
                  <c:v>15</c:v>
                </c:pt>
              </c:numCache>
            </c:numRef>
          </c:val>
          <c:smooth val="0"/>
        </c:ser>
        <c:ser>
          <c:idx val="1"/>
          <c:order val="1"/>
          <c:tx>
            <c:strRef>
              <c:f>МАГ!$E$6</c:f>
              <c:strCache>
                <c:ptCount val="1"/>
                <c:pt idx="0">
                  <c:v>2011/2012</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МАГ!$A$8:$A$31</c:f>
              <c:strCache>
                <c:ptCount val="24"/>
                <c:pt idx="0">
                  <c:v>Экономики</c:v>
                </c:pt>
                <c:pt idx="1">
                  <c:v>Менеджмента</c:v>
                </c:pt>
                <c:pt idx="2">
                  <c:v>Отделение логистики </c:v>
                </c:pt>
                <c:pt idx="3">
                  <c:v>Социологии</c:v>
                </c:pt>
                <c:pt idx="4">
                  <c:v>Права</c:v>
                </c:pt>
                <c:pt idx="5">
                  <c:v>Прикладной политологии</c:v>
                </c:pt>
                <c:pt idx="6">
                  <c:v>оДиПЖ/Медиакоммуникаций</c:v>
                </c:pt>
                <c:pt idx="7">
                  <c:v>Бизнес-информатики</c:v>
                </c:pt>
                <c:pt idx="8">
                  <c:v>оПИ</c:v>
                </c:pt>
                <c:pt idx="9">
                  <c:v>оПМиИ</c:v>
                </c:pt>
                <c:pt idx="10">
                  <c:v>МЭиМП</c:v>
                </c:pt>
                <c:pt idx="11">
                  <c:v>Психологии</c:v>
                </c:pt>
                <c:pt idx="12">
                  <c:v>ГиМУ</c:v>
                </c:pt>
                <c:pt idx="13">
                  <c:v>Философии</c:v>
                </c:pt>
                <c:pt idx="14">
                  <c:v>Математики</c:v>
                </c:pt>
                <c:pt idx="15">
                  <c:v>МИЭФ</c:v>
                </c:pt>
                <c:pt idx="16">
                  <c:v>ИРО</c:v>
                </c:pt>
                <c:pt idx="17">
                  <c:v>Институт демографии</c:v>
                </c:pt>
                <c:pt idx="18">
                  <c:v>общеуниверситетская кафедра публичной политики</c:v>
                </c:pt>
                <c:pt idx="19">
                  <c:v>истории</c:v>
                </c:pt>
                <c:pt idx="20">
                  <c:v>Банковский институт</c:v>
                </c:pt>
                <c:pt idx="21">
                  <c:v>Высшая школа урбанистики</c:v>
                </c:pt>
                <c:pt idx="22">
                  <c:v>отделение культурологии</c:v>
                </c:pt>
                <c:pt idx="23">
                  <c:v>отделение востоковедения</c:v>
                </c:pt>
              </c:strCache>
            </c:strRef>
          </c:cat>
          <c:val>
            <c:numRef>
              <c:f>МАГ!$E$8:$E$31</c:f>
              <c:numCache>
                <c:formatCode>General</c:formatCode>
                <c:ptCount val="24"/>
                <c:pt idx="0">
                  <c:v>20.2</c:v>
                </c:pt>
                <c:pt idx="1">
                  <c:v>15.7</c:v>
                </c:pt>
                <c:pt idx="2">
                  <c:v>10.1</c:v>
                </c:pt>
                <c:pt idx="3">
                  <c:v>14.9</c:v>
                </c:pt>
                <c:pt idx="4">
                  <c:v>14.6</c:v>
                </c:pt>
                <c:pt idx="5">
                  <c:v>16</c:v>
                </c:pt>
                <c:pt idx="6">
                  <c:v>16.100000000000001</c:v>
                </c:pt>
                <c:pt idx="7">
                  <c:v>15.9</c:v>
                </c:pt>
                <c:pt idx="8">
                  <c:v>16</c:v>
                </c:pt>
                <c:pt idx="9">
                  <c:v>16</c:v>
                </c:pt>
                <c:pt idx="10">
                  <c:v>15.3</c:v>
                </c:pt>
                <c:pt idx="11">
                  <c:v>15.3</c:v>
                </c:pt>
                <c:pt idx="12">
                  <c:v>17</c:v>
                </c:pt>
                <c:pt idx="13">
                  <c:v>13.9</c:v>
                </c:pt>
                <c:pt idx="14">
                  <c:v>11.6</c:v>
                </c:pt>
                <c:pt idx="15">
                  <c:v>15.1</c:v>
                </c:pt>
                <c:pt idx="16">
                  <c:v>15</c:v>
                </c:pt>
                <c:pt idx="17">
                  <c:v>15.5</c:v>
                </c:pt>
                <c:pt idx="18">
                  <c:v>16</c:v>
                </c:pt>
                <c:pt idx="19">
                  <c:v>17.2</c:v>
                </c:pt>
                <c:pt idx="20">
                  <c:v>18.399999999999999</c:v>
                </c:pt>
                <c:pt idx="21">
                  <c:v>16</c:v>
                </c:pt>
                <c:pt idx="22">
                  <c:v>15</c:v>
                </c:pt>
              </c:numCache>
            </c:numRef>
          </c:val>
          <c:smooth val="0"/>
        </c:ser>
        <c:ser>
          <c:idx val="2"/>
          <c:order val="2"/>
          <c:tx>
            <c:strRef>
              <c:f>МАГ!$F$6</c:f>
              <c:strCache>
                <c:ptCount val="1"/>
                <c:pt idx="0">
                  <c:v>2012/2013</c:v>
                </c:pt>
              </c:strCache>
            </c:strRef>
          </c:tx>
          <c:spPr>
            <a:ln>
              <a:solidFill>
                <a:srgbClr val="00B050"/>
              </a:solidFill>
            </a:ln>
          </c:spPr>
          <c:marker>
            <c:symbol val="triangle"/>
            <c:size val="7"/>
            <c:spPr>
              <a:solidFill>
                <a:srgbClr val="00B050"/>
              </a:solidFill>
              <a:ln>
                <a:solidFill>
                  <a:srgbClr val="00B050"/>
                </a:solidFill>
              </a:ln>
            </c:spPr>
          </c:marker>
          <c:cat>
            <c:strRef>
              <c:f>МАГ!$A$8:$A$31</c:f>
              <c:strCache>
                <c:ptCount val="24"/>
                <c:pt idx="0">
                  <c:v>Экономики</c:v>
                </c:pt>
                <c:pt idx="1">
                  <c:v>Менеджмента</c:v>
                </c:pt>
                <c:pt idx="2">
                  <c:v>Отделение логистики </c:v>
                </c:pt>
                <c:pt idx="3">
                  <c:v>Социологии</c:v>
                </c:pt>
                <c:pt idx="4">
                  <c:v>Права</c:v>
                </c:pt>
                <c:pt idx="5">
                  <c:v>Прикладной политологии</c:v>
                </c:pt>
                <c:pt idx="6">
                  <c:v>оДиПЖ/Медиакоммуникаций</c:v>
                </c:pt>
                <c:pt idx="7">
                  <c:v>Бизнес-информатики</c:v>
                </c:pt>
                <c:pt idx="8">
                  <c:v>оПИ</c:v>
                </c:pt>
                <c:pt idx="9">
                  <c:v>оПМиИ</c:v>
                </c:pt>
                <c:pt idx="10">
                  <c:v>МЭиМП</c:v>
                </c:pt>
                <c:pt idx="11">
                  <c:v>Психологии</c:v>
                </c:pt>
                <c:pt idx="12">
                  <c:v>ГиМУ</c:v>
                </c:pt>
                <c:pt idx="13">
                  <c:v>Философии</c:v>
                </c:pt>
                <c:pt idx="14">
                  <c:v>Математики</c:v>
                </c:pt>
                <c:pt idx="15">
                  <c:v>МИЭФ</c:v>
                </c:pt>
                <c:pt idx="16">
                  <c:v>ИРО</c:v>
                </c:pt>
                <c:pt idx="17">
                  <c:v>Институт демографии</c:v>
                </c:pt>
                <c:pt idx="18">
                  <c:v>общеуниверситетская кафедра публичной политики</c:v>
                </c:pt>
                <c:pt idx="19">
                  <c:v>истории</c:v>
                </c:pt>
                <c:pt idx="20">
                  <c:v>Банковский институт</c:v>
                </c:pt>
                <c:pt idx="21">
                  <c:v>Высшая школа урбанистики</c:v>
                </c:pt>
                <c:pt idx="22">
                  <c:v>отделение культурологии</c:v>
                </c:pt>
                <c:pt idx="23">
                  <c:v>отделение востоковедения</c:v>
                </c:pt>
              </c:strCache>
            </c:strRef>
          </c:cat>
          <c:val>
            <c:numRef>
              <c:f>МАГ!$F$8:$F$31</c:f>
              <c:numCache>
                <c:formatCode>General</c:formatCode>
                <c:ptCount val="24"/>
                <c:pt idx="0">
                  <c:v>13.4</c:v>
                </c:pt>
                <c:pt idx="1">
                  <c:v>14.9</c:v>
                </c:pt>
                <c:pt idx="2">
                  <c:v>13</c:v>
                </c:pt>
                <c:pt idx="3">
                  <c:v>11.9</c:v>
                </c:pt>
                <c:pt idx="4">
                  <c:v>13.5</c:v>
                </c:pt>
                <c:pt idx="5">
                  <c:v>15.9</c:v>
                </c:pt>
                <c:pt idx="6">
                  <c:v>16</c:v>
                </c:pt>
                <c:pt idx="7">
                  <c:v>14.7</c:v>
                </c:pt>
                <c:pt idx="8">
                  <c:v>14.7</c:v>
                </c:pt>
                <c:pt idx="9">
                  <c:v>16</c:v>
                </c:pt>
                <c:pt idx="10">
                  <c:v>15</c:v>
                </c:pt>
                <c:pt idx="11">
                  <c:v>15.6</c:v>
                </c:pt>
                <c:pt idx="12">
                  <c:v>14.6</c:v>
                </c:pt>
                <c:pt idx="13">
                  <c:v>14.2</c:v>
                </c:pt>
                <c:pt idx="14">
                  <c:v>13.6</c:v>
                </c:pt>
                <c:pt idx="15">
                  <c:v>13.6</c:v>
                </c:pt>
                <c:pt idx="16">
                  <c:v>11.5</c:v>
                </c:pt>
                <c:pt idx="17">
                  <c:v>15.5</c:v>
                </c:pt>
                <c:pt idx="18">
                  <c:v>16.600000000000001</c:v>
                </c:pt>
                <c:pt idx="19">
                  <c:v>12.7</c:v>
                </c:pt>
                <c:pt idx="20">
                  <c:v>15.3</c:v>
                </c:pt>
                <c:pt idx="21">
                  <c:v>13.2</c:v>
                </c:pt>
                <c:pt idx="22">
                  <c:v>10.5</c:v>
                </c:pt>
                <c:pt idx="23">
                  <c:v>15.9</c:v>
                </c:pt>
              </c:numCache>
            </c:numRef>
          </c:val>
          <c:smooth val="0"/>
        </c:ser>
        <c:dLbls>
          <c:showLegendKey val="0"/>
          <c:showVal val="0"/>
          <c:showCatName val="0"/>
          <c:showSerName val="0"/>
          <c:showPercent val="0"/>
          <c:showBubbleSize val="0"/>
        </c:dLbls>
        <c:dropLines>
          <c:spPr>
            <a:ln w="3175">
              <a:solidFill>
                <a:srgbClr val="000000"/>
              </a:solidFill>
              <a:prstDash val="solid"/>
            </a:ln>
          </c:spPr>
        </c:dropLines>
        <c:marker val="1"/>
        <c:smooth val="0"/>
        <c:axId val="428476672"/>
        <c:axId val="428482560"/>
      </c:lineChart>
      <c:catAx>
        <c:axId val="42847667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25" b="0" i="0" u="none" strike="noStrike" baseline="0">
                <a:solidFill>
                  <a:srgbClr val="000000"/>
                </a:solidFill>
                <a:latin typeface="Times New Roman" pitchFamily="18" charset="0"/>
                <a:ea typeface="Arial Cyr"/>
                <a:cs typeface="Arial Cyr"/>
              </a:defRPr>
            </a:pPr>
            <a:endParaRPr lang="ru-RU"/>
          </a:p>
        </c:txPr>
        <c:crossAx val="428482560"/>
        <c:crosses val="autoZero"/>
        <c:auto val="1"/>
        <c:lblAlgn val="ctr"/>
        <c:lblOffset val="100"/>
        <c:tickLblSkip val="1"/>
        <c:tickMarkSkip val="1"/>
        <c:noMultiLvlLbl val="0"/>
      </c:catAx>
      <c:valAx>
        <c:axId val="428482560"/>
        <c:scaling>
          <c:orientation val="minMax"/>
          <c:max val="22"/>
          <c:min val="8"/>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Times New Roman" pitchFamily="18" charset="0"/>
                    <a:ea typeface="Arial Cyr"/>
                    <a:cs typeface="Arial Cyr"/>
                  </a:defRPr>
                </a:pPr>
                <a:r>
                  <a:rPr lang="ru-RU" baseline="0">
                    <a:latin typeface="Times New Roman" pitchFamily="18" charset="0"/>
                  </a:rPr>
                  <a:t>Средняя величина аудиторной нагрузки в неделю</a:t>
                </a:r>
              </a:p>
            </c:rich>
          </c:tx>
          <c:layout>
            <c:manualLayout>
              <c:xMode val="edge"/>
              <c:yMode val="edge"/>
              <c:x val="3.3840947546531455E-2"/>
              <c:y val="6.38821184696311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428476672"/>
        <c:crosses val="autoZero"/>
        <c:crossBetween val="between"/>
        <c:majorUnit val="4"/>
        <c:minorUnit val="0.5"/>
      </c:valAx>
      <c:spPr>
        <a:gradFill rotWithShape="0">
          <a:gsLst>
            <a:gs pos="0">
              <a:srgbClr val="FFFFFF"/>
            </a:gs>
            <a:gs pos="100000">
              <a:srgbClr val="FFFFFF">
                <a:gamma/>
                <a:tint val="0"/>
                <a:invGamma/>
              </a:srgbClr>
            </a:gs>
          </a:gsLst>
          <a:lin ang="5400000" scaled="1"/>
        </a:gradFill>
        <a:ln w="12700">
          <a:solidFill>
            <a:srgbClr val="FFFFFF"/>
          </a:solidFill>
          <a:prstDash val="solid"/>
        </a:ln>
      </c:spPr>
    </c:plotArea>
    <c:legend>
      <c:legendPos val="r"/>
      <c:layout>
        <c:manualLayout>
          <c:xMode val="edge"/>
          <c:yMode val="edge"/>
          <c:x val="0.22345082543429401"/>
          <c:y val="0.170183919803231"/>
          <c:w val="0.69606537849267103"/>
          <c:h val="8.2143857562904488E-2"/>
        </c:manualLayout>
      </c:layout>
      <c:overlay val="0"/>
      <c:spPr>
        <a:solidFill>
          <a:srgbClr val="FFFFFF"/>
        </a:solidFill>
        <a:ln w="3175">
          <a:solidFill>
            <a:srgbClr val="000000"/>
          </a:solidFill>
          <a:prstDash val="solid"/>
        </a:ln>
      </c:spPr>
      <c:txPr>
        <a:bodyPr/>
        <a:lstStyle/>
        <a:p>
          <a:pPr>
            <a:defRPr sz="895"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200" b="1" i="0" baseline="0"/>
              <a:t>Результаты государственного экзамена по дисциплине </a:t>
            </a:r>
          </a:p>
          <a:p>
            <a:pPr>
              <a:defRPr/>
            </a:pPr>
            <a:r>
              <a:rPr lang="ru-RU" sz="1200" b="1" i="0" baseline="0"/>
              <a:t>"Английский язык". Москва</a:t>
            </a:r>
            <a:r>
              <a:rPr lang="en-US" sz="1200" b="1" i="0" baseline="0"/>
              <a:t> </a:t>
            </a:r>
            <a:r>
              <a:rPr lang="ru-RU" sz="1200" b="1" i="0" baseline="0"/>
              <a:t>и филиалы  за три года (в %)</a:t>
            </a:r>
            <a:endParaRPr lang="ru-RU" sz="1200"/>
          </a:p>
        </c:rich>
      </c:tx>
      <c:layout>
        <c:manualLayout>
          <c:xMode val="edge"/>
          <c:yMode val="edge"/>
          <c:x val="0.14488996567736748"/>
          <c:y val="9.1039249343073114E-3"/>
        </c:manualLayout>
      </c:layout>
      <c:overlay val="0"/>
    </c:title>
    <c:autoTitleDeleted val="0"/>
    <c:plotArea>
      <c:layout>
        <c:manualLayout>
          <c:layoutTarget val="inner"/>
          <c:xMode val="edge"/>
          <c:yMode val="edge"/>
          <c:x val="0.11355771827500169"/>
          <c:y val="0.21113036214284614"/>
          <c:w val="0.8629799779383811"/>
          <c:h val="0.74569342388193638"/>
        </c:manualLayout>
      </c:layout>
      <c:barChart>
        <c:barDir val="bar"/>
        <c:grouping val="percentStacked"/>
        <c:varyColors val="0"/>
        <c:ser>
          <c:idx val="0"/>
          <c:order val="0"/>
          <c:tx>
            <c:strRef>
              <c:f>'АЯ_М+'!$C$61</c:f>
              <c:strCache>
                <c:ptCount val="1"/>
                <c:pt idx="0">
                  <c:v>отлично</c:v>
                </c:pt>
              </c:strCache>
            </c:strRef>
          </c:tx>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'АЯ_М+'!$A$62:$B$73</c:f>
              <c:multiLvlStrCache>
                <c:ptCount val="12"/>
                <c:lvl>
                  <c:pt idx="0">
                    <c:v>2011</c:v>
                  </c:pt>
                  <c:pt idx="1">
                    <c:v>2012</c:v>
                  </c:pt>
                  <c:pt idx="2">
                    <c:v>2013</c:v>
                  </c:pt>
                  <c:pt idx="3">
                    <c:v>2011</c:v>
                  </c:pt>
                  <c:pt idx="4">
                    <c:v>2012</c:v>
                  </c:pt>
                  <c:pt idx="5">
                    <c:v>2013</c:v>
                  </c:pt>
                  <c:pt idx="6">
                    <c:v>2011</c:v>
                  </c:pt>
                  <c:pt idx="7">
                    <c:v>2012</c:v>
                  </c:pt>
                  <c:pt idx="8">
                    <c:v>2013</c:v>
                  </c:pt>
                  <c:pt idx="9">
                    <c:v>2011</c:v>
                  </c:pt>
                  <c:pt idx="10">
                    <c:v>2012</c:v>
                  </c:pt>
                  <c:pt idx="11">
                    <c:v>2013</c:v>
                  </c:pt>
                </c:lvl>
                <c:lvl>
                  <c:pt idx="0">
                    <c:v>Пермь</c:v>
                  </c:pt>
                  <c:pt idx="3">
                    <c:v>СПб</c:v>
                  </c:pt>
                  <c:pt idx="6">
                    <c:v>НН</c:v>
                  </c:pt>
                  <c:pt idx="9">
                    <c:v>Москва</c:v>
                  </c:pt>
                </c:lvl>
              </c:multiLvlStrCache>
            </c:multiLvlStrRef>
          </c:cat>
          <c:val>
            <c:numRef>
              <c:f>'АЯ_М+'!$C$62:$C$73</c:f>
              <c:numCache>
                <c:formatCode>0%</c:formatCode>
                <c:ptCount val="12"/>
                <c:pt idx="0">
                  <c:v>0.70422535211267778</c:v>
                </c:pt>
                <c:pt idx="1">
                  <c:v>0.52272727272727304</c:v>
                </c:pt>
                <c:pt idx="2">
                  <c:v>0.48128342245989297</c:v>
                </c:pt>
                <c:pt idx="3">
                  <c:v>0.31250000000000078</c:v>
                </c:pt>
                <c:pt idx="4">
                  <c:v>0.26720647773279432</c:v>
                </c:pt>
                <c:pt idx="5">
                  <c:v>0.34583333333333299</c:v>
                </c:pt>
                <c:pt idx="6">
                  <c:v>0.44776119402985098</c:v>
                </c:pt>
                <c:pt idx="7">
                  <c:v>0.483290488431877</c:v>
                </c:pt>
                <c:pt idx="8">
                  <c:v>0.3478260869565229</c:v>
                </c:pt>
                <c:pt idx="9">
                  <c:v>0.49898717083052102</c:v>
                </c:pt>
                <c:pt idx="10">
                  <c:v>0.51199400299850328</c:v>
                </c:pt>
                <c:pt idx="11">
                  <c:v>0.51426675514266329</c:v>
                </c:pt>
              </c:numCache>
            </c:numRef>
          </c:val>
        </c:ser>
        <c:ser>
          <c:idx val="1"/>
          <c:order val="1"/>
          <c:tx>
            <c:strRef>
              <c:f>'АЯ_М+'!$D$61</c:f>
              <c:strCache>
                <c:ptCount val="1"/>
                <c:pt idx="0">
                  <c:v>хорошо</c:v>
                </c:pt>
              </c:strCache>
            </c:strRef>
          </c:tx>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'АЯ_М+'!$A$62:$B$73</c:f>
              <c:multiLvlStrCache>
                <c:ptCount val="12"/>
                <c:lvl>
                  <c:pt idx="0">
                    <c:v>2011</c:v>
                  </c:pt>
                  <c:pt idx="1">
                    <c:v>2012</c:v>
                  </c:pt>
                  <c:pt idx="2">
                    <c:v>2013</c:v>
                  </c:pt>
                  <c:pt idx="3">
                    <c:v>2011</c:v>
                  </c:pt>
                  <c:pt idx="4">
                    <c:v>2012</c:v>
                  </c:pt>
                  <c:pt idx="5">
                    <c:v>2013</c:v>
                  </c:pt>
                  <c:pt idx="6">
                    <c:v>2011</c:v>
                  </c:pt>
                  <c:pt idx="7">
                    <c:v>2012</c:v>
                  </c:pt>
                  <c:pt idx="8">
                    <c:v>2013</c:v>
                  </c:pt>
                  <c:pt idx="9">
                    <c:v>2011</c:v>
                  </c:pt>
                  <c:pt idx="10">
                    <c:v>2012</c:v>
                  </c:pt>
                  <c:pt idx="11">
                    <c:v>2013</c:v>
                  </c:pt>
                </c:lvl>
                <c:lvl>
                  <c:pt idx="0">
                    <c:v>Пермь</c:v>
                  </c:pt>
                  <c:pt idx="3">
                    <c:v>СПб</c:v>
                  </c:pt>
                  <c:pt idx="6">
                    <c:v>НН</c:v>
                  </c:pt>
                  <c:pt idx="9">
                    <c:v>Москва</c:v>
                  </c:pt>
                </c:lvl>
              </c:multiLvlStrCache>
            </c:multiLvlStrRef>
          </c:cat>
          <c:val>
            <c:numRef>
              <c:f>'АЯ_М+'!$D$62:$D$73</c:f>
              <c:numCache>
                <c:formatCode>0%</c:formatCode>
                <c:ptCount val="12"/>
                <c:pt idx="0">
                  <c:v>0.25352112676056299</c:v>
                </c:pt>
                <c:pt idx="1">
                  <c:v>0.26136363636363602</c:v>
                </c:pt>
                <c:pt idx="2">
                  <c:v>0.42780748663101598</c:v>
                </c:pt>
                <c:pt idx="3">
                  <c:v>0.45673076923076938</c:v>
                </c:pt>
                <c:pt idx="4">
                  <c:v>0.40485829959514302</c:v>
                </c:pt>
                <c:pt idx="5">
                  <c:v>0.51249999999999996</c:v>
                </c:pt>
                <c:pt idx="6">
                  <c:v>0.370149253731343</c:v>
                </c:pt>
                <c:pt idx="7">
                  <c:v>0.34704370179948701</c:v>
                </c:pt>
                <c:pt idx="8">
                  <c:v>0.453416149068323</c:v>
                </c:pt>
                <c:pt idx="9">
                  <c:v>0.35381498987171073</c:v>
                </c:pt>
                <c:pt idx="10">
                  <c:v>0.34407796101949273</c:v>
                </c:pt>
                <c:pt idx="11">
                  <c:v>0.36960849369608589</c:v>
                </c:pt>
              </c:numCache>
            </c:numRef>
          </c:val>
        </c:ser>
        <c:ser>
          <c:idx val="2"/>
          <c:order val="2"/>
          <c:tx>
            <c:strRef>
              <c:f>'АЯ_М+'!$E$61</c:f>
              <c:strCache>
                <c:ptCount val="1"/>
                <c:pt idx="0">
                  <c:v>удовлетворительно</c:v>
                </c:pt>
              </c:strCache>
            </c:strRef>
          </c:tx>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'АЯ_М+'!$A$62:$B$73</c:f>
              <c:multiLvlStrCache>
                <c:ptCount val="12"/>
                <c:lvl>
                  <c:pt idx="0">
                    <c:v>2011</c:v>
                  </c:pt>
                  <c:pt idx="1">
                    <c:v>2012</c:v>
                  </c:pt>
                  <c:pt idx="2">
                    <c:v>2013</c:v>
                  </c:pt>
                  <c:pt idx="3">
                    <c:v>2011</c:v>
                  </c:pt>
                  <c:pt idx="4">
                    <c:v>2012</c:v>
                  </c:pt>
                  <c:pt idx="5">
                    <c:v>2013</c:v>
                  </c:pt>
                  <c:pt idx="6">
                    <c:v>2011</c:v>
                  </c:pt>
                  <c:pt idx="7">
                    <c:v>2012</c:v>
                  </c:pt>
                  <c:pt idx="8">
                    <c:v>2013</c:v>
                  </c:pt>
                  <c:pt idx="9">
                    <c:v>2011</c:v>
                  </c:pt>
                  <c:pt idx="10">
                    <c:v>2012</c:v>
                  </c:pt>
                  <c:pt idx="11">
                    <c:v>2013</c:v>
                  </c:pt>
                </c:lvl>
                <c:lvl>
                  <c:pt idx="0">
                    <c:v>Пермь</c:v>
                  </c:pt>
                  <c:pt idx="3">
                    <c:v>СПб</c:v>
                  </c:pt>
                  <c:pt idx="6">
                    <c:v>НН</c:v>
                  </c:pt>
                  <c:pt idx="9">
                    <c:v>Москва</c:v>
                  </c:pt>
                </c:lvl>
              </c:multiLvlStrCache>
            </c:multiLvlStrRef>
          </c:cat>
          <c:val>
            <c:numRef>
              <c:f>'АЯ_М+'!$E$62:$E$73</c:f>
              <c:numCache>
                <c:formatCode>0%</c:formatCode>
                <c:ptCount val="12"/>
                <c:pt idx="0">
                  <c:v>4.2253521126760597E-2</c:v>
                </c:pt>
                <c:pt idx="1">
                  <c:v>0.21590909090909169</c:v>
                </c:pt>
                <c:pt idx="2">
                  <c:v>8.5561497326203564E-2</c:v>
                </c:pt>
                <c:pt idx="3">
                  <c:v>0.20192307692307687</c:v>
                </c:pt>
                <c:pt idx="4">
                  <c:v>0.30364372469635575</c:v>
                </c:pt>
                <c:pt idx="5">
                  <c:v>0.141666666666667</c:v>
                </c:pt>
                <c:pt idx="6" formatCode="0.0%">
                  <c:v>0.18208955223880588</c:v>
                </c:pt>
                <c:pt idx="7">
                  <c:v>0.15938303341902363</c:v>
                </c:pt>
                <c:pt idx="8">
                  <c:v>0.19875776397515488</c:v>
                </c:pt>
                <c:pt idx="9">
                  <c:v>0.12626603646185042</c:v>
                </c:pt>
                <c:pt idx="10">
                  <c:v>0.12668665667166387</c:v>
                </c:pt>
                <c:pt idx="11">
                  <c:v>0.10351692103516921</c:v>
                </c:pt>
              </c:numCache>
            </c:numRef>
          </c:val>
        </c:ser>
        <c:ser>
          <c:idx val="3"/>
          <c:order val="3"/>
          <c:tx>
            <c:strRef>
              <c:f>'АЯ_М+'!$F$61</c:f>
              <c:strCache>
                <c:ptCount val="1"/>
                <c:pt idx="0">
                  <c:v>неудовлетворительно</c:v>
                </c:pt>
              </c:strCache>
            </c:strRef>
          </c:tx>
          <c:spPr>
            <a:solidFill>
              <a:schemeClr val="accent6"/>
            </a:solidFill>
            <a:ln w="25400" cap="flat" cmpd="sng" algn="ctr">
              <a:solidFill>
                <a:schemeClr val="accent6">
                  <a:shade val="50000"/>
                </a:schemeClr>
              </a:solidFill>
              <a:prstDash val="solid"/>
            </a:ln>
            <a:effectLst/>
          </c:spPr>
          <c:invertIfNegative val="0"/>
          <c:dLbls>
            <c:dLbl>
              <c:idx val="2"/>
              <c:layout>
                <c:manualLayout>
                  <c:x val="2.1378941742383802E-3"/>
                  <c:y val="-8.679074478076779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4068936527953268E-3"/>
                  <c:y val="-1.365187713310593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0441361916771814E-3"/>
                  <c:y val="-1.820250284414110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1.820250284414110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5.0441361916770504E-3"/>
                  <c:y val="-2.957906712172944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2.04778156996588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0088272383354299E-2"/>
                  <c:y val="-2.730375426621160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8.4068936527953268E-3"/>
                  <c:y val="-2.502844141069400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0441361916771814E-3"/>
                  <c:y val="-4.09556313993174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'АЯ_М+'!$A$62:$B$73</c:f>
              <c:multiLvlStrCache>
                <c:ptCount val="12"/>
                <c:lvl>
                  <c:pt idx="0">
                    <c:v>2011</c:v>
                  </c:pt>
                  <c:pt idx="1">
                    <c:v>2012</c:v>
                  </c:pt>
                  <c:pt idx="2">
                    <c:v>2013</c:v>
                  </c:pt>
                  <c:pt idx="3">
                    <c:v>2011</c:v>
                  </c:pt>
                  <c:pt idx="4">
                    <c:v>2012</c:v>
                  </c:pt>
                  <c:pt idx="5">
                    <c:v>2013</c:v>
                  </c:pt>
                  <c:pt idx="6">
                    <c:v>2011</c:v>
                  </c:pt>
                  <c:pt idx="7">
                    <c:v>2012</c:v>
                  </c:pt>
                  <c:pt idx="8">
                    <c:v>2013</c:v>
                  </c:pt>
                  <c:pt idx="9">
                    <c:v>2011</c:v>
                  </c:pt>
                  <c:pt idx="10">
                    <c:v>2012</c:v>
                  </c:pt>
                  <c:pt idx="11">
                    <c:v>2013</c:v>
                  </c:pt>
                </c:lvl>
                <c:lvl>
                  <c:pt idx="0">
                    <c:v>Пермь</c:v>
                  </c:pt>
                  <c:pt idx="3">
                    <c:v>СПб</c:v>
                  </c:pt>
                  <c:pt idx="6">
                    <c:v>НН</c:v>
                  </c:pt>
                  <c:pt idx="9">
                    <c:v>Москва</c:v>
                  </c:pt>
                </c:lvl>
              </c:multiLvlStrCache>
            </c:multiLvlStrRef>
          </c:cat>
          <c:val>
            <c:numRef>
              <c:f>'АЯ_М+'!$F$62:$F$73</c:f>
              <c:numCache>
                <c:formatCode>General</c:formatCode>
                <c:ptCount val="12"/>
                <c:pt idx="2" formatCode="0%">
                  <c:v>5.3475935828877002E-3</c:v>
                </c:pt>
                <c:pt idx="3" formatCode="0%">
                  <c:v>2.8846153846153799E-2</c:v>
                </c:pt>
                <c:pt idx="4" formatCode="0%">
                  <c:v>2.4291497975708499E-2</c:v>
                </c:pt>
                <c:pt idx="5" formatCode="0%">
                  <c:v>0</c:v>
                </c:pt>
                <c:pt idx="7" formatCode="0%">
                  <c:v>1.0282776349614447E-2</c:v>
                </c:pt>
                <c:pt idx="9" formatCode="0%">
                  <c:v>2.09318028359218E-2</c:v>
                </c:pt>
                <c:pt idx="10" formatCode="0%">
                  <c:v>1.7241379310344803E-2</c:v>
                </c:pt>
                <c:pt idx="11" formatCode="0%">
                  <c:v>1.2607830126078301E-2</c:v>
                </c:pt>
              </c:numCache>
            </c:numRef>
          </c:val>
        </c:ser>
        <c:dLbls>
          <c:showLegendKey val="0"/>
          <c:showVal val="1"/>
          <c:showCatName val="0"/>
          <c:showSerName val="0"/>
          <c:showPercent val="0"/>
          <c:showBubbleSize val="0"/>
        </c:dLbls>
        <c:gapWidth val="95"/>
        <c:overlap val="100"/>
        <c:axId val="568473088"/>
        <c:axId val="568474624"/>
      </c:barChart>
      <c:catAx>
        <c:axId val="568473088"/>
        <c:scaling>
          <c:orientation val="minMax"/>
        </c:scaling>
        <c:delete val="0"/>
        <c:axPos val="l"/>
        <c:numFmt formatCode="General" sourceLinked="0"/>
        <c:majorTickMark val="none"/>
        <c:minorTickMark val="none"/>
        <c:tickLblPos val="nextTo"/>
        <c:txPr>
          <a:bodyPr/>
          <a:lstStyle/>
          <a:p>
            <a:pPr>
              <a:defRPr sz="900"/>
            </a:pPr>
            <a:endParaRPr lang="ru-RU"/>
          </a:p>
        </c:txPr>
        <c:crossAx val="568474624"/>
        <c:crosses val="autoZero"/>
        <c:auto val="1"/>
        <c:lblAlgn val="ctr"/>
        <c:lblOffset val="100"/>
        <c:noMultiLvlLbl val="0"/>
      </c:catAx>
      <c:valAx>
        <c:axId val="568474624"/>
        <c:scaling>
          <c:orientation val="minMax"/>
        </c:scaling>
        <c:delete val="1"/>
        <c:axPos val="b"/>
        <c:numFmt formatCode="0%" sourceLinked="1"/>
        <c:majorTickMark val="out"/>
        <c:minorTickMark val="none"/>
        <c:tickLblPos val="none"/>
        <c:crossAx val="568473088"/>
        <c:crosses val="autoZero"/>
        <c:crossBetween val="between"/>
      </c:valAx>
    </c:plotArea>
    <c:legend>
      <c:legendPos val="t"/>
      <c:overlay val="0"/>
      <c:txPr>
        <a:bodyPr/>
        <a:lstStyle/>
        <a:p>
          <a:pPr>
            <a:defRPr b="1"/>
          </a:pPr>
          <a:endParaRPr lang="ru-RU"/>
        </a:p>
      </c:txPr>
    </c:legend>
    <c:plotVisOnly val="1"/>
    <c:dispBlanksAs val="gap"/>
    <c:showDLblsOverMax val="0"/>
  </c:chart>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sz="1200"/>
              <a:t>Доля студентов филиалов НИУ ВШЭ - участников внутриуниверситетской мобильности </a:t>
            </a:r>
          </a:p>
        </c:rich>
      </c:tx>
      <c:overlay val="0"/>
    </c:title>
    <c:autoTitleDeleted val="0"/>
    <c:plotArea>
      <c:layout/>
      <c:doughnutChart>
        <c:varyColors val="1"/>
        <c:ser>
          <c:idx val="0"/>
          <c:order val="0"/>
          <c:dLbls>
            <c:spPr>
              <a:noFill/>
              <a:ln>
                <a:noFill/>
              </a:ln>
              <a:effectLst/>
            </c:spPr>
            <c:txPr>
              <a:bodyPr/>
              <a:lstStyle/>
              <a:p>
                <a:pPr>
                  <a:defRPr sz="14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Лист3!$A$3:$A$5</c:f>
              <c:strCache>
                <c:ptCount val="3"/>
                <c:pt idx="0">
                  <c:v>Пермский филиал </c:v>
                </c:pt>
                <c:pt idx="1">
                  <c:v>С-Петербургский филиал</c:v>
                </c:pt>
                <c:pt idx="2">
                  <c:v>Нижегородский филиал</c:v>
                </c:pt>
              </c:strCache>
            </c:strRef>
          </c:cat>
          <c:val>
            <c:numRef>
              <c:f>Лист3!$B$3:$B$5</c:f>
              <c:numCache>
                <c:formatCode>0.0%</c:formatCode>
                <c:ptCount val="3"/>
                <c:pt idx="0">
                  <c:v>0.75700000000000278</c:v>
                </c:pt>
                <c:pt idx="1">
                  <c:v>0.18900000000000042</c:v>
                </c:pt>
                <c:pt idx="2">
                  <c:v>5.4000000000000124E-2</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a:defRPr sz="1200"/>
          </a:pPr>
          <a:endParaRPr lang="ru-RU"/>
        </a:p>
      </c:txPr>
    </c:legend>
    <c:plotVisOnly val="1"/>
    <c:dispBlanksAs val="zero"/>
    <c:showDLblsOverMax val="0"/>
  </c:chart>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Список дисциплин, рекомендуемых для изучения студентами НИУ ВШЭ в рамках российской</a:t>
            </a:r>
            <a:r>
              <a:rPr lang="ru-RU" sz="1200" baseline="0"/>
              <a:t> академической мобильности (кол-во)</a:t>
            </a:r>
            <a:endParaRPr lang="ru-RU" sz="1200"/>
          </a:p>
        </c:rich>
      </c:tx>
      <c:overlay val="0"/>
    </c:title>
    <c:autoTitleDeleted val="0"/>
    <c:plotArea>
      <c:layout/>
      <c:barChart>
        <c:barDir val="bar"/>
        <c:grouping val="clustered"/>
        <c:varyColors val="0"/>
        <c:ser>
          <c:idx val="0"/>
          <c:order val="0"/>
          <c:tx>
            <c:strRef>
              <c:f>Лист1!$B$4</c:f>
              <c:strCache>
                <c:ptCount val="1"/>
                <c:pt idx="0">
                  <c:v>дисциплины</c:v>
                </c:pt>
              </c:strCache>
            </c:strRef>
          </c:tx>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Лист1!$A$5:$A$11</c:f>
              <c:strCache>
                <c:ptCount val="7"/>
                <c:pt idx="0">
                  <c:v>МГУ им. М.В.Ломоносова</c:v>
                </c:pt>
                <c:pt idx="1">
                  <c:v>Санкт-Петербургский гос. университет</c:v>
                </c:pt>
                <c:pt idx="2">
                  <c:v>Финансовый университет при Правительстве РФ</c:v>
                </c:pt>
                <c:pt idx="3">
                  <c:v>Независимый московский университет</c:v>
                </c:pt>
                <c:pt idx="4">
                  <c:v>НОЦ Математического института РАН</c:v>
                </c:pt>
                <c:pt idx="5">
                  <c:v>Яндекс</c:v>
                </c:pt>
                <c:pt idx="6">
                  <c:v>Российский гос. гуманитарный университет</c:v>
                </c:pt>
              </c:strCache>
            </c:strRef>
          </c:cat>
          <c:val>
            <c:numRef>
              <c:f>Лист1!$B$5:$B$11</c:f>
              <c:numCache>
                <c:formatCode>General</c:formatCode>
                <c:ptCount val="7"/>
                <c:pt idx="0">
                  <c:v>22</c:v>
                </c:pt>
                <c:pt idx="1">
                  <c:v>13</c:v>
                </c:pt>
                <c:pt idx="2">
                  <c:v>3</c:v>
                </c:pt>
                <c:pt idx="3">
                  <c:v>9</c:v>
                </c:pt>
                <c:pt idx="4">
                  <c:v>4</c:v>
                </c:pt>
                <c:pt idx="5">
                  <c:v>1</c:v>
                </c:pt>
                <c:pt idx="6">
                  <c:v>10</c:v>
                </c:pt>
              </c:numCache>
            </c:numRef>
          </c:val>
        </c:ser>
        <c:dLbls>
          <c:showLegendKey val="0"/>
          <c:showVal val="1"/>
          <c:showCatName val="0"/>
          <c:showSerName val="0"/>
          <c:showPercent val="0"/>
          <c:showBubbleSize val="0"/>
        </c:dLbls>
        <c:gapWidth val="150"/>
        <c:overlap val="-25"/>
        <c:axId val="569050624"/>
        <c:axId val="569065472"/>
      </c:barChart>
      <c:catAx>
        <c:axId val="569050624"/>
        <c:scaling>
          <c:orientation val="minMax"/>
        </c:scaling>
        <c:delete val="0"/>
        <c:axPos val="l"/>
        <c:numFmt formatCode="General" sourceLinked="0"/>
        <c:majorTickMark val="none"/>
        <c:minorTickMark val="none"/>
        <c:tickLblPos val="nextTo"/>
        <c:crossAx val="569065472"/>
        <c:crosses val="autoZero"/>
        <c:auto val="1"/>
        <c:lblAlgn val="ctr"/>
        <c:lblOffset val="100"/>
        <c:noMultiLvlLbl val="0"/>
      </c:catAx>
      <c:valAx>
        <c:axId val="569065472"/>
        <c:scaling>
          <c:orientation val="minMax"/>
        </c:scaling>
        <c:delete val="1"/>
        <c:axPos val="b"/>
        <c:numFmt formatCode="General" sourceLinked="1"/>
        <c:majorTickMark val="none"/>
        <c:minorTickMark val="none"/>
        <c:tickLblPos val="none"/>
        <c:crossAx val="569050624"/>
        <c:crosses val="autoZero"/>
        <c:crossBetween val="between"/>
      </c:valAx>
    </c:plotArea>
    <c:legend>
      <c:legendPos val="t"/>
      <c:overlay val="0"/>
      <c:txPr>
        <a:bodyPr/>
        <a:lstStyle/>
        <a:p>
          <a:pPr>
            <a:defRPr sz="1200" b="1"/>
          </a:pPr>
          <a:endParaRPr lang="ru-RU"/>
        </a:p>
      </c:txPr>
    </c:legend>
    <c:plotVisOnly val="1"/>
    <c:dispBlanksAs val="gap"/>
    <c:showDLblsOverMax val="0"/>
  </c:chart>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Процент сменивших направление подготовки</a:t>
            </a:r>
          </a:p>
        </c:rich>
      </c:tx>
      <c:overlay val="0"/>
    </c:title>
    <c:autoTitleDeleted val="0"/>
    <c:plotArea>
      <c:layout/>
      <c:barChart>
        <c:barDir val="col"/>
        <c:grouping val="clustered"/>
        <c:varyColors val="0"/>
        <c:ser>
          <c:idx val="0"/>
          <c:order val="0"/>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Лист8!$A$1:$A$4</c:f>
              <c:strCache>
                <c:ptCount val="4"/>
                <c:pt idx="0">
                  <c:v>Москва</c:v>
                </c:pt>
                <c:pt idx="1">
                  <c:v>Санкт-Петербург</c:v>
                </c:pt>
                <c:pt idx="2">
                  <c:v>Нижний Новгород</c:v>
                </c:pt>
                <c:pt idx="3">
                  <c:v>Пермь</c:v>
                </c:pt>
              </c:strCache>
            </c:strRef>
          </c:cat>
          <c:val>
            <c:numRef>
              <c:f>Лист8!$B$1:$B$4</c:f>
              <c:numCache>
                <c:formatCode>General</c:formatCode>
                <c:ptCount val="4"/>
                <c:pt idx="0">
                  <c:v>50.4</c:v>
                </c:pt>
                <c:pt idx="1">
                  <c:v>48.2</c:v>
                </c:pt>
                <c:pt idx="2">
                  <c:v>63.7</c:v>
                </c:pt>
                <c:pt idx="3">
                  <c:v>65.900000000000006</c:v>
                </c:pt>
              </c:numCache>
            </c:numRef>
          </c:val>
        </c:ser>
        <c:dLbls>
          <c:showLegendKey val="0"/>
          <c:showVal val="1"/>
          <c:showCatName val="0"/>
          <c:showSerName val="0"/>
          <c:showPercent val="0"/>
          <c:showBubbleSize val="0"/>
        </c:dLbls>
        <c:gapWidth val="150"/>
        <c:axId val="569080448"/>
        <c:axId val="569099776"/>
      </c:barChart>
      <c:catAx>
        <c:axId val="569080448"/>
        <c:scaling>
          <c:orientation val="minMax"/>
        </c:scaling>
        <c:delete val="0"/>
        <c:axPos val="b"/>
        <c:numFmt formatCode="General" sourceLinked="0"/>
        <c:majorTickMark val="out"/>
        <c:minorTickMark val="none"/>
        <c:tickLblPos val="nextTo"/>
        <c:crossAx val="569099776"/>
        <c:crosses val="autoZero"/>
        <c:auto val="1"/>
        <c:lblAlgn val="ctr"/>
        <c:lblOffset val="100"/>
        <c:noMultiLvlLbl val="0"/>
      </c:catAx>
      <c:valAx>
        <c:axId val="569099776"/>
        <c:scaling>
          <c:orientation val="minMax"/>
        </c:scaling>
        <c:delete val="0"/>
        <c:axPos val="l"/>
        <c:majorGridlines/>
        <c:title>
          <c:tx>
            <c:rich>
              <a:bodyPr rot="-5400000" vert="horz"/>
              <a:lstStyle/>
              <a:p>
                <a:pPr>
                  <a:defRPr/>
                </a:pPr>
                <a:r>
                  <a:rPr lang="ru-RU"/>
                  <a:t>Проценты, %</a:t>
                </a:r>
              </a:p>
            </c:rich>
          </c:tx>
          <c:overlay val="0"/>
        </c:title>
        <c:numFmt formatCode="General" sourceLinked="1"/>
        <c:majorTickMark val="out"/>
        <c:minorTickMark val="none"/>
        <c:tickLblPos val="nextTo"/>
        <c:crossAx val="569080448"/>
        <c:crosses val="autoZero"/>
        <c:crossBetween val="between"/>
      </c:valAx>
    </c:plotArea>
    <c:plotVisOnly val="1"/>
    <c:dispBlanksAs val="gap"/>
    <c:showDLblsOverMax val="0"/>
  </c:chart>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Коэффициент академической</a:t>
            </a:r>
            <a:r>
              <a:rPr lang="ru-RU" sz="1200" baseline="0"/>
              <a:t> мобильности для разных групп абитуриентов магистратуры</a:t>
            </a:r>
            <a:endParaRPr lang="ru-RU" sz="1200"/>
          </a:p>
        </c:rich>
      </c:tx>
      <c:overlay val="0"/>
    </c:title>
    <c:autoTitleDeleted val="0"/>
    <c:plotArea>
      <c:layout/>
      <c:barChart>
        <c:barDir val="col"/>
        <c:grouping val="clustered"/>
        <c:varyColors val="0"/>
        <c:ser>
          <c:idx val="0"/>
          <c:order val="0"/>
          <c:tx>
            <c:strRef>
              <c:f>Лист3!$T$12</c:f>
              <c:strCache>
                <c:ptCount val="1"/>
                <c:pt idx="0">
                  <c:v>сменившие направление подготовки</c:v>
                </c:pt>
              </c:strCache>
            </c:strRef>
          </c:tx>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Лист3!$U$11:$V$11</c:f>
              <c:strCache>
                <c:ptCount val="2"/>
                <c:pt idx="0">
                  <c:v>поступившие</c:v>
                </c:pt>
                <c:pt idx="1">
                  <c:v>аутсайдеры</c:v>
                </c:pt>
              </c:strCache>
            </c:strRef>
          </c:cat>
          <c:val>
            <c:numRef>
              <c:f>Лист3!$U$12:$V$12</c:f>
              <c:numCache>
                <c:formatCode>General</c:formatCode>
                <c:ptCount val="2"/>
                <c:pt idx="0">
                  <c:v>57.05</c:v>
                </c:pt>
                <c:pt idx="1">
                  <c:v>77.3</c:v>
                </c:pt>
              </c:numCache>
            </c:numRef>
          </c:val>
        </c:ser>
        <c:ser>
          <c:idx val="1"/>
          <c:order val="1"/>
          <c:tx>
            <c:strRef>
              <c:f>Лист3!$T$13</c:f>
              <c:strCache>
                <c:ptCount val="1"/>
                <c:pt idx="0">
                  <c:v>сохранившие направление подготовки</c:v>
                </c:pt>
              </c:strCache>
            </c:strRef>
          </c:tx>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Лист3!$U$11:$V$11</c:f>
              <c:strCache>
                <c:ptCount val="2"/>
                <c:pt idx="0">
                  <c:v>поступившие</c:v>
                </c:pt>
                <c:pt idx="1">
                  <c:v>аутсайдеры</c:v>
                </c:pt>
              </c:strCache>
            </c:strRef>
          </c:cat>
          <c:val>
            <c:numRef>
              <c:f>Лист3!$U$13:$V$13</c:f>
              <c:numCache>
                <c:formatCode>General</c:formatCode>
                <c:ptCount val="2"/>
                <c:pt idx="0">
                  <c:v>42.95</c:v>
                </c:pt>
                <c:pt idx="1">
                  <c:v>22.7</c:v>
                </c:pt>
              </c:numCache>
            </c:numRef>
          </c:val>
        </c:ser>
        <c:dLbls>
          <c:showLegendKey val="0"/>
          <c:showVal val="1"/>
          <c:showCatName val="0"/>
          <c:showSerName val="0"/>
          <c:showPercent val="0"/>
          <c:showBubbleSize val="0"/>
        </c:dLbls>
        <c:gapWidth val="150"/>
        <c:axId val="569752192"/>
        <c:axId val="569762176"/>
      </c:barChart>
      <c:catAx>
        <c:axId val="569752192"/>
        <c:scaling>
          <c:orientation val="minMax"/>
        </c:scaling>
        <c:delete val="0"/>
        <c:axPos val="b"/>
        <c:numFmt formatCode="General" sourceLinked="0"/>
        <c:majorTickMark val="out"/>
        <c:minorTickMark val="none"/>
        <c:tickLblPos val="nextTo"/>
        <c:crossAx val="569762176"/>
        <c:crosses val="autoZero"/>
        <c:auto val="1"/>
        <c:lblAlgn val="ctr"/>
        <c:lblOffset val="100"/>
        <c:noMultiLvlLbl val="0"/>
      </c:catAx>
      <c:valAx>
        <c:axId val="569762176"/>
        <c:scaling>
          <c:orientation val="minMax"/>
        </c:scaling>
        <c:delete val="0"/>
        <c:axPos val="l"/>
        <c:majorGridlines/>
        <c:title>
          <c:tx>
            <c:rich>
              <a:bodyPr rot="-5400000" vert="horz"/>
              <a:lstStyle/>
              <a:p>
                <a:pPr>
                  <a:defRPr/>
                </a:pPr>
                <a:r>
                  <a:rPr lang="ru-RU"/>
                  <a:t>Проценты,</a:t>
                </a:r>
                <a:r>
                  <a:rPr lang="ru-RU" baseline="0"/>
                  <a:t> %</a:t>
                </a:r>
                <a:endParaRPr lang="ru-RU"/>
              </a:p>
            </c:rich>
          </c:tx>
          <c:overlay val="0"/>
        </c:title>
        <c:numFmt formatCode="General" sourceLinked="1"/>
        <c:majorTickMark val="out"/>
        <c:minorTickMark val="none"/>
        <c:tickLblPos val="nextTo"/>
        <c:crossAx val="569752192"/>
        <c:crosses val="autoZero"/>
        <c:crossBetween val="between"/>
      </c:valAx>
    </c:plotArea>
    <c:legend>
      <c:legendPos val="r"/>
      <c:overlay val="0"/>
    </c:legend>
    <c:plotVisOnly val="1"/>
    <c:dispBlanksAs val="gap"/>
    <c:showDLblsOverMax val="0"/>
  </c:chart>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200" b="1" i="0" baseline="0">
                <a:effectLst/>
              </a:rPr>
              <a:t>Зависимость смены направления от оконченного вуза</a:t>
            </a:r>
            <a:endParaRPr lang="ru-RU" sz="1200">
              <a:effectLst/>
            </a:endParaRPr>
          </a:p>
        </c:rich>
      </c:tx>
      <c:layout>
        <c:manualLayout>
          <c:xMode val="edge"/>
          <c:yMode val="edge"/>
          <c:x val="0.21148852870088"/>
          <c:y val="6.2360801781737356E-2"/>
        </c:manualLayout>
      </c:layout>
      <c:overlay val="0"/>
    </c:title>
    <c:autoTitleDeleted val="0"/>
    <c:plotArea>
      <c:layout/>
      <c:barChart>
        <c:barDir val="col"/>
        <c:grouping val="clustered"/>
        <c:varyColors val="0"/>
        <c:ser>
          <c:idx val="0"/>
          <c:order val="0"/>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Лист3!$K$1:$K$3</c:f>
              <c:strCache>
                <c:ptCount val="3"/>
                <c:pt idx="0">
                  <c:v>выпускник нашего ВУЗа</c:v>
                </c:pt>
                <c:pt idx="1">
                  <c:v>выпускник филиала нашего ВУЗа</c:v>
                </c:pt>
                <c:pt idx="2">
                  <c:v>выпускник другого ВУЗа</c:v>
                </c:pt>
              </c:strCache>
            </c:strRef>
          </c:cat>
          <c:val>
            <c:numRef>
              <c:f>Лист3!$N$1:$N$3</c:f>
              <c:numCache>
                <c:formatCode>0.0</c:formatCode>
                <c:ptCount val="3"/>
                <c:pt idx="0">
                  <c:v>29.937888198757847</c:v>
                </c:pt>
                <c:pt idx="1">
                  <c:v>17.073170731707286</c:v>
                </c:pt>
                <c:pt idx="2">
                  <c:v>64.886731391585244</c:v>
                </c:pt>
              </c:numCache>
            </c:numRef>
          </c:val>
        </c:ser>
        <c:dLbls>
          <c:showLegendKey val="0"/>
          <c:showVal val="0"/>
          <c:showCatName val="0"/>
          <c:showSerName val="0"/>
          <c:showPercent val="0"/>
          <c:showBubbleSize val="0"/>
        </c:dLbls>
        <c:gapWidth val="150"/>
        <c:axId val="569877632"/>
        <c:axId val="569879168"/>
      </c:barChart>
      <c:catAx>
        <c:axId val="569877632"/>
        <c:scaling>
          <c:orientation val="minMax"/>
        </c:scaling>
        <c:delete val="0"/>
        <c:axPos val="b"/>
        <c:numFmt formatCode="General" sourceLinked="0"/>
        <c:majorTickMark val="out"/>
        <c:minorTickMark val="none"/>
        <c:tickLblPos val="nextTo"/>
        <c:crossAx val="569879168"/>
        <c:crosses val="autoZero"/>
        <c:auto val="1"/>
        <c:lblAlgn val="ctr"/>
        <c:lblOffset val="100"/>
        <c:noMultiLvlLbl val="0"/>
      </c:catAx>
      <c:valAx>
        <c:axId val="569879168"/>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ru-RU" sz="1000" b="1" i="0" baseline="0">
                    <a:effectLst/>
                  </a:rPr>
                  <a:t>Проценты, %</a:t>
                </a:r>
                <a:endParaRPr lang="ru-RU" sz="1000">
                  <a:effectLst/>
                </a:endParaRPr>
              </a:p>
            </c:rich>
          </c:tx>
          <c:overlay val="0"/>
        </c:title>
        <c:numFmt formatCode="0.0" sourceLinked="1"/>
        <c:majorTickMark val="out"/>
        <c:minorTickMark val="none"/>
        <c:tickLblPos val="nextTo"/>
        <c:crossAx val="569877632"/>
        <c:crosses val="autoZero"/>
        <c:crossBetween val="between"/>
      </c:valAx>
    </c:plotArea>
    <c:plotVisOnly val="1"/>
    <c:dispBlanksAs val="gap"/>
    <c:showDLblsOverMax val="0"/>
  </c:chart>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Зависимость</a:t>
            </a:r>
            <a:r>
              <a:rPr lang="ru-RU" sz="1200" baseline="0"/>
              <a:t> смены направления</a:t>
            </a:r>
            <a:r>
              <a:rPr lang="ru-RU" sz="1200"/>
              <a:t> от уровня предыдущего образования</a:t>
            </a:r>
          </a:p>
        </c:rich>
      </c:tx>
      <c:overlay val="0"/>
    </c:title>
    <c:autoTitleDeleted val="0"/>
    <c:plotArea>
      <c:layout/>
      <c:barChart>
        <c:barDir val="col"/>
        <c:grouping val="clustered"/>
        <c:varyColors val="0"/>
        <c:ser>
          <c:idx val="0"/>
          <c:order val="0"/>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Лист2!$G$790:$G$792</c:f>
              <c:strCache>
                <c:ptCount val="3"/>
                <c:pt idx="0">
                  <c:v>специалитет</c:v>
                </c:pt>
                <c:pt idx="1">
                  <c:v>бакалавриат</c:v>
                </c:pt>
                <c:pt idx="2">
                  <c:v>магистратура</c:v>
                </c:pt>
              </c:strCache>
            </c:strRef>
          </c:cat>
          <c:val>
            <c:numRef>
              <c:f>Лист2!$H$790:$H$792</c:f>
              <c:numCache>
                <c:formatCode>General</c:formatCode>
                <c:ptCount val="3"/>
                <c:pt idx="0">
                  <c:v>69.2</c:v>
                </c:pt>
                <c:pt idx="1">
                  <c:v>38.300000000000004</c:v>
                </c:pt>
                <c:pt idx="2">
                  <c:v>78.599999999999994</c:v>
                </c:pt>
              </c:numCache>
            </c:numRef>
          </c:val>
        </c:ser>
        <c:dLbls>
          <c:showLegendKey val="0"/>
          <c:showVal val="1"/>
          <c:showCatName val="0"/>
          <c:showSerName val="0"/>
          <c:showPercent val="0"/>
          <c:showBubbleSize val="0"/>
        </c:dLbls>
        <c:gapWidth val="150"/>
        <c:axId val="569857920"/>
        <c:axId val="571360000"/>
      </c:barChart>
      <c:catAx>
        <c:axId val="569857920"/>
        <c:scaling>
          <c:orientation val="minMax"/>
        </c:scaling>
        <c:delete val="0"/>
        <c:axPos val="b"/>
        <c:numFmt formatCode="General" sourceLinked="0"/>
        <c:majorTickMark val="out"/>
        <c:minorTickMark val="none"/>
        <c:tickLblPos val="nextTo"/>
        <c:crossAx val="571360000"/>
        <c:crosses val="autoZero"/>
        <c:auto val="1"/>
        <c:lblAlgn val="ctr"/>
        <c:lblOffset val="100"/>
        <c:noMultiLvlLbl val="0"/>
      </c:catAx>
      <c:valAx>
        <c:axId val="571360000"/>
        <c:scaling>
          <c:orientation val="minMax"/>
        </c:scaling>
        <c:delete val="0"/>
        <c:axPos val="l"/>
        <c:majorGridlines/>
        <c:title>
          <c:tx>
            <c:rich>
              <a:bodyPr rot="-5400000" vert="horz"/>
              <a:lstStyle/>
              <a:p>
                <a:pPr>
                  <a:defRPr/>
                </a:pPr>
                <a:r>
                  <a:rPr lang="ru-RU"/>
                  <a:t>Проценты, %</a:t>
                </a:r>
              </a:p>
            </c:rich>
          </c:tx>
          <c:overlay val="0"/>
        </c:title>
        <c:numFmt formatCode="General" sourceLinked="1"/>
        <c:majorTickMark val="out"/>
        <c:minorTickMark val="none"/>
        <c:tickLblPos val="nextTo"/>
        <c:crossAx val="569857920"/>
        <c:crosses val="autoZero"/>
        <c:crossBetween val="between"/>
      </c:valAx>
    </c:plotArea>
    <c:plotVisOnly val="1"/>
    <c:dispBlanksAs val="gap"/>
    <c:showDLblsOverMax val="0"/>
  </c:chart>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u="none" strike="noStrike" baseline="0">
                <a:effectLst/>
              </a:rPr>
              <a:t>Зависимость смены направления от года окончания вуза</a:t>
            </a:r>
            <a:endParaRPr lang="ru-RU" sz="1400"/>
          </a:p>
        </c:rich>
      </c:tx>
      <c:overlay val="0"/>
    </c:title>
    <c:autoTitleDeleted val="0"/>
    <c:plotArea>
      <c:layout/>
      <c:barChart>
        <c:barDir val="col"/>
        <c:grouping val="clustered"/>
        <c:varyColors val="0"/>
        <c:ser>
          <c:idx val="0"/>
          <c:order val="0"/>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Лист5!$K$2:$K$4</c:f>
              <c:strCache>
                <c:ptCount val="3"/>
                <c:pt idx="0">
                  <c:v>получили диплом ранее 2000 года</c:v>
                </c:pt>
                <c:pt idx="1">
                  <c:v>получили диплом с 2000 до 2008 года</c:v>
                </c:pt>
                <c:pt idx="2">
                  <c:v>получили доплом с 2009 по 2013 год</c:v>
                </c:pt>
              </c:strCache>
            </c:strRef>
          </c:cat>
          <c:val>
            <c:numRef>
              <c:f>Лист5!$N$2:$N$4</c:f>
              <c:numCache>
                <c:formatCode>0.0</c:formatCode>
                <c:ptCount val="3"/>
                <c:pt idx="0">
                  <c:v>88.118811881188108</c:v>
                </c:pt>
                <c:pt idx="1">
                  <c:v>78.609625668449226</c:v>
                </c:pt>
                <c:pt idx="2">
                  <c:v>45.364238410596002</c:v>
                </c:pt>
              </c:numCache>
            </c:numRef>
          </c:val>
        </c:ser>
        <c:dLbls>
          <c:showLegendKey val="0"/>
          <c:showVal val="1"/>
          <c:showCatName val="0"/>
          <c:showSerName val="0"/>
          <c:showPercent val="0"/>
          <c:showBubbleSize val="0"/>
        </c:dLbls>
        <c:gapWidth val="150"/>
        <c:axId val="571400192"/>
        <c:axId val="571402880"/>
      </c:barChart>
      <c:catAx>
        <c:axId val="571400192"/>
        <c:scaling>
          <c:orientation val="minMax"/>
        </c:scaling>
        <c:delete val="0"/>
        <c:axPos val="b"/>
        <c:numFmt formatCode="General" sourceLinked="0"/>
        <c:majorTickMark val="out"/>
        <c:minorTickMark val="none"/>
        <c:tickLblPos val="nextTo"/>
        <c:crossAx val="571402880"/>
        <c:crosses val="autoZero"/>
        <c:auto val="1"/>
        <c:lblAlgn val="ctr"/>
        <c:lblOffset val="100"/>
        <c:noMultiLvlLbl val="0"/>
      </c:catAx>
      <c:valAx>
        <c:axId val="571402880"/>
        <c:scaling>
          <c:orientation val="minMax"/>
        </c:scaling>
        <c:delete val="0"/>
        <c:axPos val="l"/>
        <c:majorGridlines/>
        <c:title>
          <c:tx>
            <c:rich>
              <a:bodyPr rot="-5400000" vert="horz"/>
              <a:lstStyle/>
              <a:p>
                <a:pPr>
                  <a:defRPr/>
                </a:pPr>
                <a:r>
                  <a:rPr lang="ru-RU" b="1"/>
                  <a:t>Проценты,</a:t>
                </a:r>
                <a:r>
                  <a:rPr lang="ru-RU" b="1" baseline="0"/>
                  <a:t> %</a:t>
                </a:r>
                <a:endParaRPr lang="ru-RU" b="1"/>
              </a:p>
            </c:rich>
          </c:tx>
          <c:overlay val="0"/>
        </c:title>
        <c:numFmt formatCode="0.0" sourceLinked="1"/>
        <c:majorTickMark val="out"/>
        <c:minorTickMark val="none"/>
        <c:tickLblPos val="nextTo"/>
        <c:crossAx val="571400192"/>
        <c:crosses val="autoZero"/>
        <c:crossBetween val="between"/>
      </c:valAx>
    </c:plotArea>
    <c:plotVisOnly val="1"/>
    <c:dispBlanksAs val="gap"/>
    <c:showDLblsOverMax val="0"/>
  </c:chart>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rPr>
              <a:t>Зависимость смены направления, при поступлении на бюджетные и коммерческие места </a:t>
            </a:r>
            <a:endParaRPr lang="ru-RU" sz="1200">
              <a:effectLst/>
            </a:endParaRPr>
          </a:p>
        </c:rich>
      </c:tx>
      <c:overlay val="0"/>
    </c:title>
    <c:autoTitleDeleted val="0"/>
    <c:plotArea>
      <c:layout/>
      <c:barChart>
        <c:barDir val="col"/>
        <c:grouping val="percentStacked"/>
        <c:varyColors val="0"/>
        <c:ser>
          <c:idx val="0"/>
          <c:order val="0"/>
          <c:tx>
            <c:strRef>
              <c:f>Лист4!$N$2</c:f>
              <c:strCache>
                <c:ptCount val="1"/>
                <c:pt idx="0">
                  <c:v>сменили направление</c:v>
                </c:pt>
              </c:strCache>
            </c:strRef>
          </c:tx>
          <c:invertIfNegative val="0"/>
          <c:dLbls>
            <c:dLbl>
              <c:idx val="0"/>
              <c:layout>
                <c:manualLayout>
                  <c:x val="2.7777603496774261E-3"/>
                  <c:y val="-0.2264473200179648"/>
                </c:manualLayout>
              </c:layout>
              <c:spPr/>
              <c:txPr>
                <a:bodyPr/>
                <a:lstStyle/>
                <a:p>
                  <a:pPr>
                    <a:defRPr sz="1200" b="1"/>
                  </a:pPr>
                  <a:endParaRPr lang="ru-RU"/>
                </a:p>
              </c:txPr>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8.3334901862366795E-3"/>
                  <c:y val="-0.23711503316831348"/>
                </c:manualLayout>
              </c:layout>
              <c:spPr/>
              <c:txPr>
                <a:bodyPr/>
                <a:lstStyle/>
                <a:p>
                  <a:pPr>
                    <a:defRPr sz="1200" b="1"/>
                  </a:pPr>
                  <a:endParaRPr lang="ru-RU"/>
                </a:p>
              </c:tx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Лист4!$O$1:$P$1</c:f>
              <c:strCache>
                <c:ptCount val="2"/>
                <c:pt idx="0">
                  <c:v>бюджет</c:v>
                </c:pt>
                <c:pt idx="1">
                  <c:v>коммерция</c:v>
                </c:pt>
              </c:strCache>
            </c:strRef>
          </c:cat>
          <c:val>
            <c:numRef>
              <c:f>Лист4!$O$2:$P$2</c:f>
              <c:numCache>
                <c:formatCode>General</c:formatCode>
                <c:ptCount val="2"/>
                <c:pt idx="0">
                  <c:v>49.7</c:v>
                </c:pt>
                <c:pt idx="1">
                  <c:v>54</c:v>
                </c:pt>
              </c:numCache>
            </c:numRef>
          </c:val>
        </c:ser>
        <c:ser>
          <c:idx val="1"/>
          <c:order val="1"/>
          <c:tx>
            <c:strRef>
              <c:f>Лист4!$N$3</c:f>
              <c:strCache>
                <c:ptCount val="1"/>
                <c:pt idx="0">
                  <c:v>продолжили обучение</c:v>
                </c:pt>
              </c:strCache>
            </c:strRef>
          </c:tx>
          <c:spPr>
            <a:noFill/>
          </c:spPr>
          <c:invertIfNegative val="0"/>
          <c:cat>
            <c:strRef>
              <c:f>Лист4!$O$1:$P$1</c:f>
              <c:strCache>
                <c:ptCount val="2"/>
                <c:pt idx="0">
                  <c:v>бюджет</c:v>
                </c:pt>
                <c:pt idx="1">
                  <c:v>коммерция</c:v>
                </c:pt>
              </c:strCache>
            </c:strRef>
          </c:cat>
          <c:val>
            <c:numRef>
              <c:f>Лист4!$O$3:$P$3</c:f>
              <c:numCache>
                <c:formatCode>General</c:formatCode>
                <c:ptCount val="2"/>
                <c:pt idx="0">
                  <c:v>50.3</c:v>
                </c:pt>
                <c:pt idx="1">
                  <c:v>46</c:v>
                </c:pt>
              </c:numCache>
            </c:numRef>
          </c:val>
        </c:ser>
        <c:dLbls>
          <c:showLegendKey val="0"/>
          <c:showVal val="0"/>
          <c:showCatName val="0"/>
          <c:showSerName val="0"/>
          <c:showPercent val="0"/>
          <c:showBubbleSize val="0"/>
        </c:dLbls>
        <c:gapWidth val="150"/>
        <c:overlap val="100"/>
        <c:axId val="572179200"/>
        <c:axId val="572180736"/>
      </c:barChart>
      <c:catAx>
        <c:axId val="572179200"/>
        <c:scaling>
          <c:orientation val="minMax"/>
        </c:scaling>
        <c:delete val="0"/>
        <c:axPos val="b"/>
        <c:numFmt formatCode="General" sourceLinked="0"/>
        <c:majorTickMark val="out"/>
        <c:minorTickMark val="none"/>
        <c:tickLblPos val="nextTo"/>
        <c:crossAx val="572180736"/>
        <c:crosses val="autoZero"/>
        <c:auto val="1"/>
        <c:lblAlgn val="ctr"/>
        <c:lblOffset val="100"/>
        <c:noMultiLvlLbl val="0"/>
      </c:catAx>
      <c:valAx>
        <c:axId val="572180736"/>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ru-RU" sz="1000" b="1" i="0" baseline="0">
                    <a:effectLst/>
                  </a:rPr>
                  <a:t>Проценты, %</a:t>
                </a:r>
                <a:endParaRPr lang="ru-RU" sz="1000">
                  <a:effectLst/>
                </a:endParaRPr>
              </a:p>
            </c:rich>
          </c:tx>
          <c:overlay val="0"/>
        </c:title>
        <c:numFmt formatCode="0%" sourceLinked="1"/>
        <c:majorTickMark val="out"/>
        <c:minorTickMark val="none"/>
        <c:tickLblPos val="nextTo"/>
        <c:crossAx val="572179200"/>
        <c:crosses val="autoZero"/>
        <c:crossBetween val="between"/>
      </c:valAx>
    </c:plotArea>
    <c:plotVisOnly val="1"/>
    <c:dispBlanksAs val="gap"/>
    <c:showDLblsOverMax val="0"/>
  </c:chart>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Таблицы!$B$421</c:f>
              <c:strCache>
                <c:ptCount val="1"/>
                <c:pt idx="0">
                  <c:v>Двойные дипломы</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Таблицы!$C$420:$E$420</c:f>
              <c:strCache>
                <c:ptCount val="3"/>
                <c:pt idx="0">
                  <c:v>2010-2011</c:v>
                </c:pt>
                <c:pt idx="1">
                  <c:v>2011-2012</c:v>
                </c:pt>
                <c:pt idx="2">
                  <c:v>2012-2013</c:v>
                </c:pt>
              </c:strCache>
            </c:strRef>
          </c:cat>
          <c:val>
            <c:numRef>
              <c:f>Таблицы!$C$421:$E$421</c:f>
              <c:numCache>
                <c:formatCode>General</c:formatCode>
                <c:ptCount val="3"/>
                <c:pt idx="0">
                  <c:v>33</c:v>
                </c:pt>
                <c:pt idx="1">
                  <c:v>70</c:v>
                </c:pt>
                <c:pt idx="2">
                  <c:v>65</c:v>
                </c:pt>
              </c:numCache>
            </c:numRef>
          </c:val>
        </c:ser>
        <c:ser>
          <c:idx val="1"/>
          <c:order val="1"/>
          <c:tx>
            <c:strRef>
              <c:f>Таблицы!$B$422</c:f>
              <c:strCache>
                <c:ptCount val="1"/>
                <c:pt idx="0">
                  <c:v>Краткосрочные программы</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Таблицы!$C$420:$E$420</c:f>
              <c:strCache>
                <c:ptCount val="3"/>
                <c:pt idx="0">
                  <c:v>2010-2011</c:v>
                </c:pt>
                <c:pt idx="1">
                  <c:v>2011-2012</c:v>
                </c:pt>
                <c:pt idx="2">
                  <c:v>2012-2013</c:v>
                </c:pt>
              </c:strCache>
            </c:strRef>
          </c:cat>
          <c:val>
            <c:numRef>
              <c:f>Таблицы!$C$422:$E$422</c:f>
              <c:numCache>
                <c:formatCode>General</c:formatCode>
                <c:ptCount val="3"/>
                <c:pt idx="0">
                  <c:v>155</c:v>
                </c:pt>
                <c:pt idx="1">
                  <c:v>402</c:v>
                </c:pt>
                <c:pt idx="2">
                  <c:v>389</c:v>
                </c:pt>
              </c:numCache>
            </c:numRef>
          </c:val>
        </c:ser>
        <c:ser>
          <c:idx val="2"/>
          <c:order val="2"/>
          <c:tx>
            <c:strRef>
              <c:f>Таблицы!$B$423</c:f>
              <c:strCache>
                <c:ptCount val="1"/>
                <c:pt idx="0">
                  <c:v>Программы включенного обучения</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Таблицы!$C$420:$E$420</c:f>
              <c:strCache>
                <c:ptCount val="3"/>
                <c:pt idx="0">
                  <c:v>2010-2011</c:v>
                </c:pt>
                <c:pt idx="1">
                  <c:v>2011-2012</c:v>
                </c:pt>
                <c:pt idx="2">
                  <c:v>2012-2013</c:v>
                </c:pt>
              </c:strCache>
            </c:strRef>
          </c:cat>
          <c:val>
            <c:numRef>
              <c:f>Таблицы!$C$423:$E$423</c:f>
              <c:numCache>
                <c:formatCode>General</c:formatCode>
                <c:ptCount val="3"/>
                <c:pt idx="0">
                  <c:v>61</c:v>
                </c:pt>
                <c:pt idx="1">
                  <c:v>82</c:v>
                </c:pt>
                <c:pt idx="2">
                  <c:v>166</c:v>
                </c:pt>
              </c:numCache>
            </c:numRef>
          </c:val>
        </c:ser>
        <c:dLbls>
          <c:showLegendKey val="0"/>
          <c:showVal val="0"/>
          <c:showCatName val="0"/>
          <c:showSerName val="0"/>
          <c:showPercent val="0"/>
          <c:showBubbleSize val="0"/>
        </c:dLbls>
        <c:gapWidth val="150"/>
        <c:axId val="572294272"/>
        <c:axId val="572295808"/>
      </c:barChart>
      <c:catAx>
        <c:axId val="572294272"/>
        <c:scaling>
          <c:orientation val="minMax"/>
        </c:scaling>
        <c:delete val="0"/>
        <c:axPos val="b"/>
        <c:numFmt formatCode="General" sourceLinked="0"/>
        <c:majorTickMark val="out"/>
        <c:minorTickMark val="none"/>
        <c:tickLblPos val="nextTo"/>
        <c:txPr>
          <a:bodyPr/>
          <a:lstStyle/>
          <a:p>
            <a:pPr>
              <a:defRPr b="1"/>
            </a:pPr>
            <a:endParaRPr lang="ru-RU"/>
          </a:p>
        </c:txPr>
        <c:crossAx val="572295808"/>
        <c:crosses val="autoZero"/>
        <c:auto val="1"/>
        <c:lblAlgn val="ctr"/>
        <c:lblOffset val="100"/>
        <c:noMultiLvlLbl val="0"/>
      </c:catAx>
      <c:valAx>
        <c:axId val="572295808"/>
        <c:scaling>
          <c:orientation val="minMax"/>
        </c:scaling>
        <c:delete val="0"/>
        <c:axPos val="l"/>
        <c:majorGridlines/>
        <c:numFmt formatCode="General" sourceLinked="1"/>
        <c:majorTickMark val="out"/>
        <c:minorTickMark val="none"/>
        <c:tickLblPos val="nextTo"/>
        <c:crossAx val="572294272"/>
        <c:crosses val="autoZero"/>
        <c:crossBetween val="between"/>
      </c:valAx>
    </c:plotArea>
    <c:legend>
      <c:legendPos val="r"/>
      <c:overlay val="0"/>
      <c:txPr>
        <a:bodyPr/>
        <a:lstStyle/>
        <a:p>
          <a:pPr>
            <a:defRPr b="1"/>
          </a:pPr>
          <a:endParaRPr lang="ru-RU"/>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5783AD-4199-4D12-9E8C-FAED3F3E85CA}" type="doc">
      <dgm:prSet loTypeId="urn:microsoft.com/office/officeart/2005/8/layout/arrow2" loCatId="process" qsTypeId="urn:microsoft.com/office/officeart/2005/8/quickstyle/3d3" qsCatId="3D" csTypeId="urn:microsoft.com/office/officeart/2005/8/colors/accent1_2" csCatId="accent1" phldr="1"/>
      <dgm:spPr/>
    </dgm:pt>
    <dgm:pt modelId="{4456D9D0-8A83-4BC1-803B-14295121BD45}">
      <dgm:prSet phldrT="[Текст]" custT="1"/>
      <dgm:spPr/>
      <dgm:t>
        <a:bodyPr/>
        <a:lstStyle/>
        <a:p>
          <a:r>
            <a:rPr lang="ru-RU" sz="1200" baseline="0"/>
            <a:t>20 студентов  2010/11 уч. г.</a:t>
          </a:r>
        </a:p>
      </dgm:t>
    </dgm:pt>
    <dgm:pt modelId="{D3F9F811-D63E-4C5F-B844-666DF03B7B82}" type="parTrans" cxnId="{AAEFB143-4DF6-4806-927A-0C51D394097D}">
      <dgm:prSet/>
      <dgm:spPr/>
      <dgm:t>
        <a:bodyPr/>
        <a:lstStyle/>
        <a:p>
          <a:endParaRPr lang="ru-RU"/>
        </a:p>
      </dgm:t>
    </dgm:pt>
    <dgm:pt modelId="{46076C73-A133-492F-A908-F20BBF07B1CB}" type="sibTrans" cxnId="{AAEFB143-4DF6-4806-927A-0C51D394097D}">
      <dgm:prSet/>
      <dgm:spPr/>
      <dgm:t>
        <a:bodyPr/>
        <a:lstStyle/>
        <a:p>
          <a:endParaRPr lang="ru-RU"/>
        </a:p>
      </dgm:t>
    </dgm:pt>
    <dgm:pt modelId="{0191796D-1E14-4F3C-AF0A-A55A8BDD6D3D}">
      <dgm:prSet phldrT="[Текст]" custT="1"/>
      <dgm:spPr/>
      <dgm:t>
        <a:bodyPr/>
        <a:lstStyle/>
        <a:p>
          <a:r>
            <a:rPr lang="ru-RU" sz="1200" baseline="0"/>
            <a:t>44 студента 2011/12 уч. г.</a:t>
          </a:r>
        </a:p>
      </dgm:t>
    </dgm:pt>
    <dgm:pt modelId="{FF4E9E35-B7AD-428C-9C62-00F1370071C5}" type="parTrans" cxnId="{E391DF78-1BFE-49BA-BE8C-CDFD001D9FA9}">
      <dgm:prSet/>
      <dgm:spPr/>
      <dgm:t>
        <a:bodyPr/>
        <a:lstStyle/>
        <a:p>
          <a:endParaRPr lang="ru-RU"/>
        </a:p>
      </dgm:t>
    </dgm:pt>
    <dgm:pt modelId="{C6F4431D-8517-4C2B-B6E4-E7D7BB8E76F0}" type="sibTrans" cxnId="{E391DF78-1BFE-49BA-BE8C-CDFD001D9FA9}">
      <dgm:prSet/>
      <dgm:spPr/>
      <dgm:t>
        <a:bodyPr/>
        <a:lstStyle/>
        <a:p>
          <a:endParaRPr lang="ru-RU"/>
        </a:p>
      </dgm:t>
    </dgm:pt>
    <dgm:pt modelId="{14DD94F8-4A93-4B59-8892-6B5E465B11E3}">
      <dgm:prSet phldrT="[Текст]" custT="1"/>
      <dgm:spPr/>
      <dgm:t>
        <a:bodyPr/>
        <a:lstStyle/>
        <a:p>
          <a:r>
            <a:rPr lang="ru-RU" sz="1200" baseline="0"/>
            <a:t>101 студент  2012/13 уч. г.</a:t>
          </a:r>
        </a:p>
      </dgm:t>
    </dgm:pt>
    <dgm:pt modelId="{53D24CE8-3923-412E-BE9A-0B633CCF5CBE}" type="parTrans" cxnId="{9AAC0989-4F05-459C-AE30-C473BD1B1778}">
      <dgm:prSet/>
      <dgm:spPr/>
      <dgm:t>
        <a:bodyPr/>
        <a:lstStyle/>
        <a:p>
          <a:endParaRPr lang="ru-RU"/>
        </a:p>
      </dgm:t>
    </dgm:pt>
    <dgm:pt modelId="{3A1D7745-7C44-4CE6-9864-796E43D931E8}" type="sibTrans" cxnId="{9AAC0989-4F05-459C-AE30-C473BD1B1778}">
      <dgm:prSet/>
      <dgm:spPr/>
      <dgm:t>
        <a:bodyPr/>
        <a:lstStyle/>
        <a:p>
          <a:endParaRPr lang="ru-RU"/>
        </a:p>
      </dgm:t>
    </dgm:pt>
    <dgm:pt modelId="{D5255D56-B1B2-4041-BD11-A4A0A77F11A2}" type="pres">
      <dgm:prSet presAssocID="{BB5783AD-4199-4D12-9E8C-FAED3F3E85CA}" presName="arrowDiagram" presStyleCnt="0">
        <dgm:presLayoutVars>
          <dgm:chMax val="5"/>
          <dgm:dir/>
          <dgm:resizeHandles val="exact"/>
        </dgm:presLayoutVars>
      </dgm:prSet>
      <dgm:spPr/>
    </dgm:pt>
    <dgm:pt modelId="{2FB01C46-08EA-4683-9F02-37321FE15A67}" type="pres">
      <dgm:prSet presAssocID="{BB5783AD-4199-4D12-9E8C-FAED3F3E85CA}" presName="arrow" presStyleLbl="bgShp" presStyleIdx="0" presStyleCnt="1" custLinFactNeighborX="-2108" custLinFactNeighborY="-6151"/>
      <dgm:spPr/>
    </dgm:pt>
    <dgm:pt modelId="{37160265-E065-4A5F-B746-F68DA2A523CE}" type="pres">
      <dgm:prSet presAssocID="{BB5783AD-4199-4D12-9E8C-FAED3F3E85CA}" presName="arrowDiagram3" presStyleCnt="0"/>
      <dgm:spPr/>
    </dgm:pt>
    <dgm:pt modelId="{BD4AF335-86FB-4C0D-9918-00C2CFCFECF8}" type="pres">
      <dgm:prSet presAssocID="{4456D9D0-8A83-4BC1-803B-14295121BD45}" presName="bullet3a" presStyleLbl="node1" presStyleIdx="0" presStyleCnt="3"/>
      <dgm:spPr/>
    </dgm:pt>
    <dgm:pt modelId="{278F2EF8-000E-4DDF-9221-1885E5466636}" type="pres">
      <dgm:prSet presAssocID="{4456D9D0-8A83-4BC1-803B-14295121BD45}" presName="textBox3a" presStyleLbl="revTx" presStyleIdx="0" presStyleCnt="3" custScaleX="141953" custScaleY="82622" custLinFactNeighborX="6872" custLinFactNeighborY="8689">
        <dgm:presLayoutVars>
          <dgm:bulletEnabled val="1"/>
        </dgm:presLayoutVars>
      </dgm:prSet>
      <dgm:spPr/>
      <dgm:t>
        <a:bodyPr/>
        <a:lstStyle/>
        <a:p>
          <a:endParaRPr lang="ru-RU"/>
        </a:p>
      </dgm:t>
    </dgm:pt>
    <dgm:pt modelId="{77125F4D-4784-43FE-9818-3AADC382F693}" type="pres">
      <dgm:prSet presAssocID="{0191796D-1E14-4F3C-AF0A-A55A8BDD6D3D}" presName="bullet3b" presStyleLbl="node1" presStyleIdx="1" presStyleCnt="3"/>
      <dgm:spPr/>
    </dgm:pt>
    <dgm:pt modelId="{6F217B97-394C-44E3-A9BC-C47079A846D4}" type="pres">
      <dgm:prSet presAssocID="{0191796D-1E14-4F3C-AF0A-A55A8BDD6D3D}" presName="textBox3b" presStyleLbl="revTx" presStyleIdx="1" presStyleCnt="3" custScaleX="154561" custScaleY="43355" custLinFactNeighborX="-3725" custLinFactNeighborY="-4863">
        <dgm:presLayoutVars>
          <dgm:bulletEnabled val="1"/>
        </dgm:presLayoutVars>
      </dgm:prSet>
      <dgm:spPr/>
      <dgm:t>
        <a:bodyPr/>
        <a:lstStyle/>
        <a:p>
          <a:endParaRPr lang="ru-RU"/>
        </a:p>
      </dgm:t>
    </dgm:pt>
    <dgm:pt modelId="{F593C0A5-2BD2-4F76-B79A-69C31AEB550A}" type="pres">
      <dgm:prSet presAssocID="{14DD94F8-4A93-4B59-8892-6B5E465B11E3}" presName="bullet3c" presStyleLbl="node1" presStyleIdx="2" presStyleCnt="3"/>
      <dgm:spPr/>
    </dgm:pt>
    <dgm:pt modelId="{E17E8C25-D3A5-4426-8E87-3FDF19FFDC22}" type="pres">
      <dgm:prSet presAssocID="{14DD94F8-4A93-4B59-8892-6B5E465B11E3}" presName="textBox3c" presStyleLbl="revTx" presStyleIdx="2" presStyleCnt="3" custScaleX="145156" custScaleY="34178" custLinFactNeighborX="-11556" custLinFactNeighborY="-8867">
        <dgm:presLayoutVars>
          <dgm:bulletEnabled val="1"/>
        </dgm:presLayoutVars>
      </dgm:prSet>
      <dgm:spPr/>
      <dgm:t>
        <a:bodyPr/>
        <a:lstStyle/>
        <a:p>
          <a:endParaRPr lang="ru-RU"/>
        </a:p>
      </dgm:t>
    </dgm:pt>
  </dgm:ptLst>
  <dgm:cxnLst>
    <dgm:cxn modelId="{51D7F3A5-7FD7-4780-89E9-6CFB0D107AEF}" type="presOf" srcId="{14DD94F8-4A93-4B59-8892-6B5E465B11E3}" destId="{E17E8C25-D3A5-4426-8E87-3FDF19FFDC22}" srcOrd="0" destOrd="0" presId="urn:microsoft.com/office/officeart/2005/8/layout/arrow2"/>
    <dgm:cxn modelId="{EE232764-209B-4354-92A8-A11CC27409EC}" type="presOf" srcId="{4456D9D0-8A83-4BC1-803B-14295121BD45}" destId="{278F2EF8-000E-4DDF-9221-1885E5466636}" srcOrd="0" destOrd="0" presId="urn:microsoft.com/office/officeart/2005/8/layout/arrow2"/>
    <dgm:cxn modelId="{AAEFB143-4DF6-4806-927A-0C51D394097D}" srcId="{BB5783AD-4199-4D12-9E8C-FAED3F3E85CA}" destId="{4456D9D0-8A83-4BC1-803B-14295121BD45}" srcOrd="0" destOrd="0" parTransId="{D3F9F811-D63E-4C5F-B844-666DF03B7B82}" sibTransId="{46076C73-A133-492F-A908-F20BBF07B1CB}"/>
    <dgm:cxn modelId="{6CA028DE-18F2-4CE3-BE3F-11EF4FD375DA}" type="presOf" srcId="{0191796D-1E14-4F3C-AF0A-A55A8BDD6D3D}" destId="{6F217B97-394C-44E3-A9BC-C47079A846D4}" srcOrd="0" destOrd="0" presId="urn:microsoft.com/office/officeart/2005/8/layout/arrow2"/>
    <dgm:cxn modelId="{E391DF78-1BFE-49BA-BE8C-CDFD001D9FA9}" srcId="{BB5783AD-4199-4D12-9E8C-FAED3F3E85CA}" destId="{0191796D-1E14-4F3C-AF0A-A55A8BDD6D3D}" srcOrd="1" destOrd="0" parTransId="{FF4E9E35-B7AD-428C-9C62-00F1370071C5}" sibTransId="{C6F4431D-8517-4C2B-B6E4-E7D7BB8E76F0}"/>
    <dgm:cxn modelId="{170C2E7E-905A-452A-B604-B7E9340B9748}" type="presOf" srcId="{BB5783AD-4199-4D12-9E8C-FAED3F3E85CA}" destId="{D5255D56-B1B2-4041-BD11-A4A0A77F11A2}" srcOrd="0" destOrd="0" presId="urn:microsoft.com/office/officeart/2005/8/layout/arrow2"/>
    <dgm:cxn modelId="{9AAC0989-4F05-459C-AE30-C473BD1B1778}" srcId="{BB5783AD-4199-4D12-9E8C-FAED3F3E85CA}" destId="{14DD94F8-4A93-4B59-8892-6B5E465B11E3}" srcOrd="2" destOrd="0" parTransId="{53D24CE8-3923-412E-BE9A-0B633CCF5CBE}" sibTransId="{3A1D7745-7C44-4CE6-9864-796E43D931E8}"/>
    <dgm:cxn modelId="{11E7EEF4-EB19-4E67-B16B-2CDB1385DD24}" type="presParOf" srcId="{D5255D56-B1B2-4041-BD11-A4A0A77F11A2}" destId="{2FB01C46-08EA-4683-9F02-37321FE15A67}" srcOrd="0" destOrd="0" presId="urn:microsoft.com/office/officeart/2005/8/layout/arrow2"/>
    <dgm:cxn modelId="{99430E4A-7A33-4AFB-A894-DBE14D058719}" type="presParOf" srcId="{D5255D56-B1B2-4041-BD11-A4A0A77F11A2}" destId="{37160265-E065-4A5F-B746-F68DA2A523CE}" srcOrd="1" destOrd="0" presId="urn:microsoft.com/office/officeart/2005/8/layout/arrow2"/>
    <dgm:cxn modelId="{B2949D5A-09D5-45A6-9387-255375610D82}" type="presParOf" srcId="{37160265-E065-4A5F-B746-F68DA2A523CE}" destId="{BD4AF335-86FB-4C0D-9918-00C2CFCFECF8}" srcOrd="0" destOrd="0" presId="urn:microsoft.com/office/officeart/2005/8/layout/arrow2"/>
    <dgm:cxn modelId="{506CAE7A-4B42-4A27-AB67-E2D1F5E749BA}" type="presParOf" srcId="{37160265-E065-4A5F-B746-F68DA2A523CE}" destId="{278F2EF8-000E-4DDF-9221-1885E5466636}" srcOrd="1" destOrd="0" presId="urn:microsoft.com/office/officeart/2005/8/layout/arrow2"/>
    <dgm:cxn modelId="{AED9CBE9-4B3B-4E72-9863-3B5EFACC2922}" type="presParOf" srcId="{37160265-E065-4A5F-B746-F68DA2A523CE}" destId="{77125F4D-4784-43FE-9818-3AADC382F693}" srcOrd="2" destOrd="0" presId="urn:microsoft.com/office/officeart/2005/8/layout/arrow2"/>
    <dgm:cxn modelId="{6B53A51B-AE42-4B33-A0D1-31DB8AE37E38}" type="presParOf" srcId="{37160265-E065-4A5F-B746-F68DA2A523CE}" destId="{6F217B97-394C-44E3-A9BC-C47079A846D4}" srcOrd="3" destOrd="0" presId="urn:microsoft.com/office/officeart/2005/8/layout/arrow2"/>
    <dgm:cxn modelId="{2FFD7EFE-5DD5-4F25-A0E7-1C2A705AD904}" type="presParOf" srcId="{37160265-E065-4A5F-B746-F68DA2A523CE}" destId="{F593C0A5-2BD2-4F76-B79A-69C31AEB550A}" srcOrd="4" destOrd="0" presId="urn:microsoft.com/office/officeart/2005/8/layout/arrow2"/>
    <dgm:cxn modelId="{4532C951-AD51-48ED-B58A-8911D360A110}" type="presParOf" srcId="{37160265-E065-4A5F-B746-F68DA2A523CE}" destId="{E17E8C25-D3A5-4426-8E87-3FDF19FFDC22}" srcOrd="5" destOrd="0" presId="urn:microsoft.com/office/officeart/2005/8/layout/arrow2"/>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B01C46-08EA-4683-9F02-37321FE15A67}">
      <dsp:nvSpPr>
        <dsp:cNvPr id="0" name=""/>
        <dsp:cNvSpPr/>
      </dsp:nvSpPr>
      <dsp:spPr>
        <a:xfrm>
          <a:off x="168503" y="0"/>
          <a:ext cx="3362960" cy="2101850"/>
        </a:xfrm>
        <a:prstGeom prst="swooshArrow">
          <a:avLst>
            <a:gd name="adj1" fmla="val 25000"/>
            <a:gd name="adj2" fmla="val 25000"/>
          </a:avLst>
        </a:prstGeom>
        <a:solidFill>
          <a:schemeClr val="accent1">
            <a:tint val="4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BD4AF335-86FB-4C0D-9918-00C2CFCFECF8}">
      <dsp:nvSpPr>
        <dsp:cNvPr id="0" name=""/>
        <dsp:cNvSpPr/>
      </dsp:nvSpPr>
      <dsp:spPr>
        <a:xfrm>
          <a:off x="666490" y="1450696"/>
          <a:ext cx="87436" cy="87436"/>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278F2EF8-000E-4DDF-9221-1885E5466636}">
      <dsp:nvSpPr>
        <dsp:cNvPr id="0" name=""/>
        <dsp:cNvSpPr/>
      </dsp:nvSpPr>
      <dsp:spPr>
        <a:xfrm>
          <a:off x="599690" y="1599975"/>
          <a:ext cx="1112300" cy="501874"/>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46331" tIns="0" rIns="0" bIns="0" numCol="1" spcCol="1270" anchor="t" anchorCtr="0">
          <a:noAutofit/>
        </a:bodyPr>
        <a:lstStyle/>
        <a:p>
          <a:pPr lvl="0" algn="l" defTabSz="533400">
            <a:lnSpc>
              <a:spcPct val="90000"/>
            </a:lnSpc>
            <a:spcBef>
              <a:spcPct val="0"/>
            </a:spcBef>
            <a:spcAft>
              <a:spcPct val="35000"/>
            </a:spcAft>
          </a:pPr>
          <a:r>
            <a:rPr lang="ru-RU" sz="1200" kern="1200" baseline="0"/>
            <a:t>20 студентов  2010/11 уч. г.</a:t>
          </a:r>
        </a:p>
      </dsp:txBody>
      <dsp:txXfrm>
        <a:off x="599690" y="1599975"/>
        <a:ext cx="1112300" cy="501874"/>
      </dsp:txXfrm>
    </dsp:sp>
    <dsp:sp modelId="{77125F4D-4784-43FE-9818-3AADC382F693}">
      <dsp:nvSpPr>
        <dsp:cNvPr id="0" name=""/>
        <dsp:cNvSpPr/>
      </dsp:nvSpPr>
      <dsp:spPr>
        <a:xfrm>
          <a:off x="1438290" y="879414"/>
          <a:ext cx="158059" cy="158059"/>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6F217B97-394C-44E3-A9BC-C47079A846D4}">
      <dsp:nvSpPr>
        <dsp:cNvPr id="0" name=""/>
        <dsp:cNvSpPr/>
      </dsp:nvSpPr>
      <dsp:spPr>
        <a:xfrm>
          <a:off x="1267071" y="1226681"/>
          <a:ext cx="1247477" cy="495723"/>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83752" tIns="0" rIns="0" bIns="0" numCol="1" spcCol="1270" anchor="t" anchorCtr="0">
          <a:noAutofit/>
        </a:bodyPr>
        <a:lstStyle/>
        <a:p>
          <a:pPr lvl="0" algn="l" defTabSz="533400">
            <a:lnSpc>
              <a:spcPct val="90000"/>
            </a:lnSpc>
            <a:spcBef>
              <a:spcPct val="0"/>
            </a:spcBef>
            <a:spcAft>
              <a:spcPct val="35000"/>
            </a:spcAft>
          </a:pPr>
          <a:r>
            <a:rPr lang="ru-RU" sz="1200" kern="1200" baseline="0"/>
            <a:t>44 студента 2011/12 уч. г.</a:t>
          </a:r>
        </a:p>
      </dsp:txBody>
      <dsp:txXfrm>
        <a:off x="1267071" y="1226681"/>
        <a:ext cx="1247477" cy="495723"/>
      </dsp:txXfrm>
    </dsp:sp>
    <dsp:sp modelId="{F593C0A5-2BD2-4F76-B79A-69C31AEB550A}">
      <dsp:nvSpPr>
        <dsp:cNvPr id="0" name=""/>
        <dsp:cNvSpPr/>
      </dsp:nvSpPr>
      <dsp:spPr>
        <a:xfrm>
          <a:off x="2366467" y="531768"/>
          <a:ext cx="218592" cy="218592"/>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E17E8C25-D3A5-4426-8E87-3FDF19FFDC22}">
      <dsp:nvSpPr>
        <dsp:cNvPr id="0" name=""/>
        <dsp:cNvSpPr/>
      </dsp:nvSpPr>
      <dsp:spPr>
        <a:xfrm>
          <a:off x="2200264" y="992295"/>
          <a:ext cx="1171569" cy="499267"/>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15828" tIns="0" rIns="0" bIns="0" numCol="1" spcCol="1270" anchor="t" anchorCtr="0">
          <a:noAutofit/>
        </a:bodyPr>
        <a:lstStyle/>
        <a:p>
          <a:pPr lvl="0" algn="l" defTabSz="533400">
            <a:lnSpc>
              <a:spcPct val="90000"/>
            </a:lnSpc>
            <a:spcBef>
              <a:spcPct val="0"/>
            </a:spcBef>
            <a:spcAft>
              <a:spcPct val="35000"/>
            </a:spcAft>
          </a:pPr>
          <a:r>
            <a:rPr lang="ru-RU" sz="1200" kern="1200" baseline="0"/>
            <a:t>101 студент  2012/13 уч. г.</a:t>
          </a:r>
        </a:p>
      </dsp:txBody>
      <dsp:txXfrm>
        <a:off x="2200264" y="992295"/>
        <a:ext cx="1171569" cy="499267"/>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в 2012/2013 учебном году</Abstract>
  <CompanyAddress>НИУ ВШЭ</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5223B8-41D2-43BB-84CF-CD8A1EAA3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202</Pages>
  <Words>38167</Words>
  <Characters>217554</Characters>
  <Application>Microsoft Office Word</Application>
  <DocSecurity>0</DocSecurity>
  <Lines>1812</Lines>
  <Paragraphs>510</Paragraphs>
  <ScaleCrop>false</ScaleCrop>
  <HeadingPairs>
    <vt:vector size="2" baseType="variant">
      <vt:variant>
        <vt:lpstr>Название</vt:lpstr>
      </vt:variant>
      <vt:variant>
        <vt:i4>1</vt:i4>
      </vt:variant>
    </vt:vector>
  </HeadingPairs>
  <TitlesOfParts>
    <vt:vector size="1" baseType="lpstr">
      <vt:lpstr>Отчет</vt:lpstr>
    </vt:vector>
  </TitlesOfParts>
  <Company>hse</Company>
  <LinksUpToDate>false</LinksUpToDate>
  <CharactersWithSpaces>255211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dc:title>
  <dc:creator>Алексей</dc:creator>
  <cp:lastModifiedBy>Анна Коровко</cp:lastModifiedBy>
  <cp:revision>32</cp:revision>
  <dcterms:created xsi:type="dcterms:W3CDTF">2013-12-04T07:33:00Z</dcterms:created>
  <dcterms:modified xsi:type="dcterms:W3CDTF">2013-12-05T14:05:00Z</dcterms:modified>
</cp:coreProperties>
</file>