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8" w:rsidRDefault="006924AC">
      <w:pPr>
        <w:rPr>
          <w:b/>
          <w:lang w:val="en-US"/>
        </w:rPr>
      </w:pPr>
      <w:r w:rsidRPr="006924AC">
        <w:rPr>
          <w:b/>
          <w:lang w:val="en-US"/>
        </w:rPr>
        <w:t>Comments for documents published in the previous years</w:t>
      </w:r>
    </w:p>
    <w:p w:rsidR="008C1645" w:rsidRPr="00DF5950" w:rsidRDefault="008C1645" w:rsidP="008C1645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Adam Z., Penikas H. </w:t>
      </w:r>
      <w:hyperlink r:id="rId5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the Financial Stability Board Consultative Document “Principles for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An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Effective Risk Appetite Framework”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Financial Stability Board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September 30, 2013.</w:t>
      </w:r>
    </w:p>
    <w:p w:rsidR="008C1645" w:rsidRPr="00DF5950" w:rsidRDefault="008C1645" w:rsidP="008C1645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Adam Z., Penikas H. </w:t>
      </w:r>
      <w:hyperlink r:id="rId6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“Revised Basel III leverage ratio framework and disclosure requirements”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September 20, 2013.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Malkov E., Penikas H. </w:t>
      </w:r>
      <w:hyperlink r:id="rId7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«Revisions to the Basel </w:t>
        </w:r>
        <w:proofErr w:type="spell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Securitisation</w:t>
        </w:r>
        <w:proofErr w:type="spell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Framework»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 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March 15, 2013.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Malkov E., Penikas H. </w:t>
      </w:r>
      <w:hyperlink r:id="rId8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Comments on Financial Stability Board Consultative Document «Strengthening Oversight and Regulation of Shadow Banking»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  // Financial Stability Board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January 14, 2013.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Penikas H. </w:t>
      </w:r>
      <w:hyperlink r:id="rId9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“Monitoring Indicators for Intraday Liquidity Management”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September 14,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Penikas H. </w:t>
      </w:r>
      <w:hyperlink r:id="rId10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“A Framework for Dealing with Domestic Systemically Important Banks”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August 01,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Penikas H. </w:t>
      </w:r>
      <w:hyperlink r:id="rId11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EBA consultation on the draft guidelines on the assessment of the suitability of members of the management body and key function holders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European Banking Authority Website, July 18,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Malkov E., Penikas H. </w:t>
      </w:r>
      <w:hyperlink r:id="rId12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«Principles for the Supervision of Financial Conglomerates»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March 16,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Penikas H. </w:t>
      </w:r>
      <w:hyperlink r:id="rId13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« The internal audit function in banks - consultative document»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March 2,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Nikitin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A., Penikas H.</w:t>
      </w:r>
      <w:r w:rsidRPr="00DF5950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 </w:t>
      </w:r>
      <w:hyperlink r:id="rId14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</w:t>
        </w:r>
        <w:proofErr w:type="gram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The</w:t>
        </w:r>
        <w:proofErr w:type="gram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Basel Committee on Banking Supervision Consultative Document " Application of Own Credit Risk Adjustments to Derivatives”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February 17, 2012.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Andrievskaya I., Lvov N., Malkov E., Penikas H. </w:t>
      </w:r>
      <w:hyperlink r:id="rId15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Comments on The Financial Stability Board Consultative Document «Principles for Sound Residential Mortgage Underwriting Practices»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Financial Stability Board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December 8, 2011.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Andrievskaya I., Lvov N., Malkov E., Penikas H. </w:t>
      </w:r>
      <w:hyperlink r:id="rId16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Comments on The Basel Committee on Banking Supervision Consultative Document «</w:t>
        </w:r>
        <w:proofErr w:type="spellStart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>Capitalisation</w:t>
        </w:r>
        <w:proofErr w:type="spellEnd"/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 of bank exposures to central counterparties»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November 25, 2011.</w:t>
      </w:r>
    </w:p>
    <w:p w:rsidR="008C1645" w:rsidRPr="00DF5950" w:rsidRDefault="008C1645" w:rsidP="008C1645">
      <w:pPr>
        <w:numPr>
          <w:ilvl w:val="0"/>
          <w:numId w:val="3"/>
        </w:numPr>
        <w:spacing w:before="120"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Aleskerov F., Andrievskaya I.,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Grigoriev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D., Lvov N., Malkov E.,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Nikitin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 A., Penikas H. </w:t>
      </w:r>
      <w:hyperlink r:id="rId17" w:history="1">
        <w:r w:rsidRPr="00DF5950">
          <w:rPr>
            <w:rFonts w:ascii="Tahoma" w:eastAsia="Times New Roman" w:hAnsi="Tahoma" w:cs="Tahoma"/>
            <w:color w:val="144391"/>
            <w:sz w:val="20"/>
            <w:u w:val="single"/>
            <w:lang w:val="en-US" w:eastAsia="ru-RU"/>
          </w:rPr>
          <w:t xml:space="preserve">Comments on the consultative document «Global systemically important banks: Assessment methodology and the additional loss absorbency requirement» </w:t>
        </w:r>
      </w:hyperlink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// Bank for International Settlements </w:t>
      </w:r>
      <w:proofErr w:type="spellStart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WebSite</w:t>
      </w:r>
      <w:proofErr w:type="spellEnd"/>
      <w:r w:rsidRPr="00DF5950">
        <w:rPr>
          <w:rFonts w:ascii="Tahoma" w:eastAsia="Times New Roman" w:hAnsi="Tahoma" w:cs="Tahoma"/>
          <w:color w:val="222222"/>
          <w:sz w:val="20"/>
          <w:lang w:val="en-US" w:eastAsia="ru-RU"/>
        </w:rPr>
        <w:t>, August 20, 2011.</w:t>
      </w:r>
    </w:p>
    <w:p w:rsidR="008C1645" w:rsidRPr="00DF5950" w:rsidRDefault="008C1645" w:rsidP="008C1645">
      <w:pPr>
        <w:rPr>
          <w:lang w:val="en-US"/>
        </w:rPr>
      </w:pPr>
    </w:p>
    <w:p w:rsidR="006924AC" w:rsidRPr="006924AC" w:rsidRDefault="006924AC">
      <w:pPr>
        <w:rPr>
          <w:b/>
          <w:lang w:val="en-US"/>
        </w:rPr>
      </w:pPr>
    </w:p>
    <w:sectPr w:rsidR="006924AC" w:rsidRPr="006924AC" w:rsidSect="00B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E11"/>
    <w:multiLevelType w:val="multilevel"/>
    <w:tmpl w:val="EC4CCA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6687D"/>
    <w:multiLevelType w:val="hybridMultilevel"/>
    <w:tmpl w:val="C58AE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544"/>
    <w:multiLevelType w:val="multilevel"/>
    <w:tmpl w:val="D29A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AC"/>
    <w:rsid w:val="005A6F0F"/>
    <w:rsid w:val="005F66D7"/>
    <w:rsid w:val="006924AC"/>
    <w:rsid w:val="008C1645"/>
    <w:rsid w:val="00B73773"/>
    <w:rsid w:val="00F4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6D7"/>
    <w:rPr>
      <w:color w:val="144391"/>
      <w:u w:val="single"/>
    </w:rPr>
  </w:style>
  <w:style w:type="paragraph" w:styleId="a4">
    <w:name w:val="Normal (Web)"/>
    <w:basedOn w:val="a"/>
    <w:uiPriority w:val="99"/>
    <w:semiHidden/>
    <w:unhideWhenUsed/>
    <w:rsid w:val="005F66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F6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2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alstabilityboard.org/publications/c_130129bv.pdf" TargetMode="External"/><Relationship Id="rId13" Type="http://schemas.openxmlformats.org/officeDocument/2006/relationships/hyperlink" Target="http://www.bis.org/publ/bcbs210/nruhso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.org/publ/bcbs236/hsoe.pdf" TargetMode="External"/><Relationship Id="rId12" Type="http://schemas.openxmlformats.org/officeDocument/2006/relationships/hyperlink" Target="http://www.bis.org/publ/joint27/nruhsoehr.pdf" TargetMode="External"/><Relationship Id="rId17" Type="http://schemas.openxmlformats.org/officeDocument/2006/relationships/hyperlink" Target="http://www.bis.org/publ/bcbs201/nruhso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s.org/publ/bcbs206/hso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s.org/publ/bcbs251/aorb.pdf" TargetMode="External"/><Relationship Id="rId11" Type="http://schemas.openxmlformats.org/officeDocument/2006/relationships/hyperlink" Target="http://eba.europa.eu/documents/10180/38240/26--HSE.pdf" TargetMode="External"/><Relationship Id="rId5" Type="http://schemas.openxmlformats.org/officeDocument/2006/relationships/hyperlink" Target="http://www.financialstabilityboard.org/publications/c_131011d.pdf" TargetMode="External"/><Relationship Id="rId15" Type="http://schemas.openxmlformats.org/officeDocument/2006/relationships/hyperlink" Target="http://www.hse.ru/data/2012/09/27/1244035829/HSE_Comments.doc" TargetMode="External"/><Relationship Id="rId10" Type="http://schemas.openxmlformats.org/officeDocument/2006/relationships/hyperlink" Target="http://www.bis.org/publ/bcbs224/hpnruhso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s.org/publ/bcbs225/nruhsoe.pdf" TargetMode="External"/><Relationship Id="rId14" Type="http://schemas.openxmlformats.org/officeDocument/2006/relationships/hyperlink" Target="http://www.bis.org/publ/bcbs214/hso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2014-03-04T19:49:00Z</dcterms:created>
  <dcterms:modified xsi:type="dcterms:W3CDTF">2014-03-04T19:52:00Z</dcterms:modified>
</cp:coreProperties>
</file>