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8C" w:rsidRPr="00C22D3A" w:rsidRDefault="00D02F8C" w:rsidP="00D02F8C">
      <w:pPr>
        <w:pStyle w:val="FR1"/>
        <w:tabs>
          <w:tab w:val="left" w:pos="5420"/>
        </w:tabs>
        <w:spacing w:before="0"/>
        <w:ind w:left="0" w:right="0"/>
        <w:rPr>
          <w:color w:val="000000" w:themeColor="text1"/>
          <w:sz w:val="24"/>
          <w:szCs w:val="24"/>
        </w:rPr>
      </w:pPr>
      <w:r w:rsidRPr="00C22D3A">
        <w:rPr>
          <w:color w:val="000000" w:themeColor="text1"/>
          <w:sz w:val="24"/>
          <w:szCs w:val="24"/>
        </w:rPr>
        <w:t>Правительство Российской Федерации</w:t>
      </w:r>
    </w:p>
    <w:p w:rsidR="00D02F8C" w:rsidRPr="00C22D3A" w:rsidRDefault="00D02F8C" w:rsidP="00D02F8C">
      <w:pPr>
        <w:pStyle w:val="FR1"/>
        <w:tabs>
          <w:tab w:val="left" w:pos="5420"/>
        </w:tabs>
        <w:spacing w:before="0"/>
        <w:ind w:left="0" w:right="0"/>
        <w:rPr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pStyle w:val="FR1"/>
        <w:tabs>
          <w:tab w:val="left" w:pos="5420"/>
        </w:tabs>
        <w:spacing w:before="0"/>
        <w:ind w:left="0" w:right="0"/>
        <w:rPr>
          <w:color w:val="000000" w:themeColor="text1"/>
          <w:sz w:val="24"/>
          <w:szCs w:val="24"/>
        </w:rPr>
      </w:pPr>
      <w:r w:rsidRPr="00C22D3A">
        <w:rPr>
          <w:color w:val="000000" w:themeColor="text1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D02F8C" w:rsidRPr="00C22D3A" w:rsidRDefault="00D02F8C" w:rsidP="00D02F8C">
      <w:pPr>
        <w:pStyle w:val="FR1"/>
        <w:tabs>
          <w:tab w:val="left" w:pos="5420"/>
        </w:tabs>
        <w:spacing w:before="0"/>
        <w:ind w:left="0" w:right="0"/>
        <w:rPr>
          <w:color w:val="000000" w:themeColor="text1"/>
          <w:sz w:val="24"/>
          <w:szCs w:val="24"/>
        </w:rPr>
      </w:pPr>
      <w:r w:rsidRPr="00C22D3A">
        <w:rPr>
          <w:color w:val="000000" w:themeColor="text1"/>
          <w:sz w:val="24"/>
          <w:szCs w:val="24"/>
        </w:rPr>
        <w:t>высшего профессионального образования</w:t>
      </w:r>
    </w:p>
    <w:p w:rsidR="00D02F8C" w:rsidRPr="00C22D3A" w:rsidRDefault="00D02F8C" w:rsidP="00D02F8C">
      <w:pPr>
        <w:pStyle w:val="FR1"/>
        <w:tabs>
          <w:tab w:val="left" w:pos="5420"/>
        </w:tabs>
        <w:spacing w:before="0"/>
        <w:ind w:left="0" w:right="0"/>
        <w:rPr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pStyle w:val="FR1"/>
        <w:spacing w:before="0"/>
        <w:ind w:left="0" w:right="-6"/>
        <w:rPr>
          <w:color w:val="000000" w:themeColor="text1"/>
          <w:sz w:val="24"/>
          <w:szCs w:val="24"/>
        </w:rPr>
      </w:pPr>
      <w:r w:rsidRPr="00C22D3A">
        <w:rPr>
          <w:color w:val="000000" w:themeColor="text1"/>
          <w:sz w:val="24"/>
          <w:szCs w:val="24"/>
        </w:rPr>
        <w:t xml:space="preserve">«Национальный исследовательский университет </w:t>
      </w:r>
      <w:r w:rsidRPr="00C22D3A">
        <w:rPr>
          <w:color w:val="000000" w:themeColor="text1"/>
          <w:sz w:val="24"/>
          <w:szCs w:val="24"/>
        </w:rPr>
        <w:br/>
        <w:t>«Высшая школа экономики»</w:t>
      </w:r>
    </w:p>
    <w:p w:rsidR="00D02F8C" w:rsidRPr="00C22D3A" w:rsidRDefault="00D02F8C" w:rsidP="00D02F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pStyle w:val="6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3A">
        <w:rPr>
          <w:rFonts w:ascii="Times New Roman" w:hAnsi="Times New Roman" w:cs="Times New Roman"/>
          <w:color w:val="000000" w:themeColor="text1"/>
          <w:sz w:val="24"/>
          <w:szCs w:val="24"/>
        </w:rPr>
        <w:t>Факультет прикладной политологии</w:t>
      </w:r>
    </w:p>
    <w:p w:rsidR="00D02F8C" w:rsidRPr="00C22D3A" w:rsidRDefault="00D02F8C" w:rsidP="00D02F8C">
      <w:pPr>
        <w:pStyle w:val="6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Кафедра политического поведения </w:t>
      </w:r>
    </w:p>
    <w:p w:rsidR="00D02F8C" w:rsidRPr="00C22D3A" w:rsidRDefault="00D02F8C" w:rsidP="00D02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pStyle w:val="6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3A">
        <w:rPr>
          <w:rFonts w:ascii="Times New Roman" w:hAnsi="Times New Roman" w:cs="Times New Roman"/>
          <w:color w:val="000000" w:themeColor="text1"/>
          <w:sz w:val="24"/>
          <w:szCs w:val="24"/>
        </w:rPr>
        <w:t>БАКАЛАВРСКАЯ РАБОТА</w:t>
      </w:r>
    </w:p>
    <w:p w:rsidR="00D02F8C" w:rsidRPr="00C22D3A" w:rsidRDefault="00D02F8C" w:rsidP="00D02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pStyle w:val="21"/>
        <w:jc w:val="center"/>
        <w:rPr>
          <w:color w:val="000000" w:themeColor="text1"/>
          <w:sz w:val="28"/>
          <w:szCs w:val="28"/>
        </w:rPr>
      </w:pPr>
      <w:r w:rsidRPr="00C22D3A">
        <w:rPr>
          <w:color w:val="000000" w:themeColor="text1"/>
          <w:sz w:val="28"/>
          <w:szCs w:val="28"/>
        </w:rPr>
        <w:t>На тему</w:t>
      </w:r>
    </w:p>
    <w:p w:rsidR="00D02F8C" w:rsidRPr="00C22D3A" w:rsidRDefault="00D02F8C" w:rsidP="00D02F8C">
      <w:pPr>
        <w:pStyle w:val="21"/>
        <w:jc w:val="center"/>
        <w:rPr>
          <w:color w:val="000000" w:themeColor="text1"/>
          <w:sz w:val="32"/>
          <w:szCs w:val="32"/>
        </w:rPr>
      </w:pPr>
      <w:r w:rsidRPr="00C22D3A">
        <w:rPr>
          <w:color w:val="000000" w:themeColor="text1"/>
          <w:sz w:val="32"/>
          <w:szCs w:val="32"/>
        </w:rPr>
        <w:t>Переход из публичной власти в частный сектор: политика регулирования конфликта интересов</w:t>
      </w:r>
    </w:p>
    <w:p w:rsidR="00D02F8C" w:rsidRPr="00C22D3A" w:rsidRDefault="00D02F8C" w:rsidP="00D02F8C">
      <w:pPr>
        <w:autoSpaceDE w:val="0"/>
        <w:autoSpaceDN w:val="0"/>
        <w:adjustRightInd w:val="0"/>
        <w:spacing w:before="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autoSpaceDE w:val="0"/>
        <w:autoSpaceDN w:val="0"/>
        <w:adjustRightInd w:val="0"/>
        <w:spacing w:before="3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C22D3A" w:rsidRDefault="00D02F8C" w:rsidP="008F2F72">
      <w:pPr>
        <w:autoSpaceDE w:val="0"/>
        <w:autoSpaceDN w:val="0"/>
        <w:adjustRightInd w:val="0"/>
        <w:spacing w:before="35"/>
        <w:ind w:left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C22D3A" w:rsidRDefault="00D02F8C" w:rsidP="008F2F72">
      <w:pPr>
        <w:tabs>
          <w:tab w:val="left" w:pos="8820"/>
        </w:tabs>
        <w:ind w:left="5812" w:right="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3A">
        <w:rPr>
          <w:rFonts w:ascii="Times New Roman" w:hAnsi="Times New Roman" w:cs="Times New Roman"/>
          <w:color w:val="000000" w:themeColor="text1"/>
          <w:sz w:val="24"/>
          <w:szCs w:val="24"/>
        </w:rPr>
        <w:t>Студентка группы № 443</w:t>
      </w:r>
    </w:p>
    <w:p w:rsidR="00D02F8C" w:rsidRPr="00C22D3A" w:rsidRDefault="00D02F8C" w:rsidP="008F2F72">
      <w:pPr>
        <w:tabs>
          <w:tab w:val="left" w:pos="8820"/>
        </w:tabs>
        <w:ind w:left="5812" w:right="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3A">
        <w:rPr>
          <w:rFonts w:ascii="Times New Roman" w:hAnsi="Times New Roman" w:cs="Times New Roman"/>
          <w:color w:val="000000" w:themeColor="text1"/>
          <w:sz w:val="24"/>
          <w:szCs w:val="24"/>
        </w:rPr>
        <w:t>Томилова Евгения Александровна</w:t>
      </w:r>
    </w:p>
    <w:p w:rsidR="00D02F8C" w:rsidRPr="00C22D3A" w:rsidRDefault="00D02F8C" w:rsidP="008F2F72">
      <w:pPr>
        <w:tabs>
          <w:tab w:val="left" w:pos="8820"/>
        </w:tabs>
        <w:ind w:left="5812" w:right="8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C22D3A" w:rsidRDefault="00D02F8C" w:rsidP="008F2F72">
      <w:pPr>
        <w:tabs>
          <w:tab w:val="left" w:pos="8820"/>
        </w:tabs>
        <w:ind w:left="5812" w:right="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3A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ВКР</w:t>
      </w:r>
    </w:p>
    <w:p w:rsidR="00D02F8C" w:rsidRPr="00C22D3A" w:rsidRDefault="00D02F8C" w:rsidP="008F2F72">
      <w:pPr>
        <w:tabs>
          <w:tab w:val="left" w:pos="8820"/>
        </w:tabs>
        <w:ind w:left="5812" w:right="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2D3A">
        <w:rPr>
          <w:rFonts w:ascii="Times New Roman" w:hAnsi="Times New Roman" w:cs="Times New Roman"/>
          <w:color w:val="000000" w:themeColor="text1"/>
          <w:sz w:val="24"/>
          <w:szCs w:val="24"/>
        </w:rPr>
        <w:t>Профессор НИУ ВШЭ Нисневич Юлий Анат</w:t>
      </w:r>
      <w:r w:rsidR="008F2F7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C22D3A">
        <w:rPr>
          <w:rFonts w:ascii="Times New Roman" w:hAnsi="Times New Roman" w:cs="Times New Roman"/>
          <w:color w:val="000000" w:themeColor="text1"/>
          <w:sz w:val="24"/>
          <w:szCs w:val="24"/>
        </w:rPr>
        <w:t>льевич</w:t>
      </w:r>
    </w:p>
    <w:p w:rsidR="00D02F8C" w:rsidRPr="00C22D3A" w:rsidRDefault="00D02F8C" w:rsidP="00D02F8C">
      <w:pPr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C22D3A" w:rsidRDefault="00D02F8C" w:rsidP="00D02F8C">
      <w:pPr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F8C" w:rsidRPr="008F2F72" w:rsidRDefault="00D02F8C" w:rsidP="008F2F72">
      <w:pPr>
        <w:spacing w:line="36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8F2F7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Москва - 2014</w:t>
      </w:r>
    </w:p>
    <w:sdt>
      <w:sdtPr>
        <w:rPr>
          <w:rFonts w:ascii="Times New Roman" w:hAnsi="Times New Roman" w:cs="Times New Roman"/>
          <w:color w:val="000000" w:themeColor="text1"/>
        </w:rPr>
        <w:id w:val="368719148"/>
        <w:docPartObj>
          <w:docPartGallery w:val="*6HXИмяК"/>
          <w:docPartUnique/>
        </w:docPartObj>
      </w:sdtPr>
      <w:sdtEndPr>
        <w:rPr>
          <w:rFonts w:eastAsiaTheme="minorHAnsi"/>
          <w:b w:val="0"/>
          <w:bCs w:val="0"/>
        </w:rPr>
      </w:sdtEndPr>
      <w:sdtContent>
        <w:p w:rsidR="00E404A3" w:rsidRPr="008F2F72" w:rsidRDefault="00E404A3" w:rsidP="008F2F72">
          <w:pPr>
            <w:pStyle w:val="af3"/>
            <w:spacing w:line="360" w:lineRule="auto"/>
            <w:rPr>
              <w:rFonts w:ascii="Times New Roman" w:hAnsi="Times New Roman" w:cs="Times New Roman"/>
              <w:color w:val="000000" w:themeColor="text1"/>
            </w:rPr>
          </w:pPr>
          <w:r w:rsidRPr="008F2F72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497908" w:rsidRPr="008F2F72" w:rsidRDefault="00E404A3" w:rsidP="008F2F7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8F2F7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8F2F7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F2F7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387518117" w:history="1">
            <w:r w:rsidR="00497908"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497908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97908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97908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_Toc387518117 \h </w:instrText>
            </w:r>
            <w:r w:rsidR="00497908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97908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97908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18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Теоретическое измерение конфликта интересов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_Toc387518118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27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2. Практики осуществления конфликта интересов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_Toc387518127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28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Прозрачность и конфликт интересов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_Toc387518128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29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Мониторинг строительных компаний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_Toc387518129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30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Владимир Коган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_Toc387518130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31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Герхард Шредер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_Toc387518131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32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3. Регулирование конфликта интересов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_Toc387518132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33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Борьба с </w:t>
            </w:r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post</w:t>
            </w:r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employment</w:t>
            </w:r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conflict</w:t>
            </w:r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of</w:t>
            </w:r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interest</w:t>
            </w:r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 xml:space="preserve"> в России.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_Toc387518133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39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Мониторинг комиссий по урегулированию конфликта интересов в федеральных министерствах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_Toc387518139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52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Регулирование конфликта интересов публичных должностных лиц федерального уровня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_Toc387518152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54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Зарубежное регулирование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_Toc387518154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55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_Toc387518155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56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_Toc387518156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57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приложений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_Toc387518157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58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_Toc387518158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7908" w:rsidRPr="008F2F72" w:rsidRDefault="00497908" w:rsidP="008F2F72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87518159" w:history="1">
            <w:r w:rsidRPr="008F2F7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_Toc387518159 \h </w:instrTex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F2F72"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Pr="008F2F7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04A3" w:rsidRPr="0081742E" w:rsidRDefault="00E404A3" w:rsidP="008F2F72">
          <w:pPr>
            <w:spacing w:line="36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8F2F7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D02F8C" w:rsidRPr="0081742E" w:rsidRDefault="00D02F8C" w:rsidP="0081742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7510C" w:rsidRPr="0081742E" w:rsidRDefault="0067510C" w:rsidP="0081742E">
      <w:pPr>
        <w:pStyle w:val="1"/>
        <w:spacing w:line="360" w:lineRule="auto"/>
        <w:rPr>
          <w:rFonts w:ascii="Times New Roman" w:hAnsi="Times New Roman" w:cs="Times New Roman"/>
          <w:color w:val="000000" w:themeColor="text1"/>
        </w:rPr>
      </w:pPr>
      <w:bookmarkStart w:id="0" w:name="_Toc387518117"/>
      <w:r w:rsidRPr="0081742E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0"/>
      <w:r w:rsidRPr="0081742E">
        <w:rPr>
          <w:rFonts w:ascii="Times New Roman" w:hAnsi="Times New Roman" w:cs="Times New Roman"/>
          <w:color w:val="000000" w:themeColor="text1"/>
        </w:rPr>
        <w:t xml:space="preserve"> </w:t>
      </w:r>
    </w:p>
    <w:p w:rsidR="0067510C" w:rsidRPr="0081742E" w:rsidRDefault="003833D7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государственной и муниципальной службы в России было и остается одной из ключевых тем повестки дня. Все больше внимания уделяется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чиновниками, правильностью заполнения ими деклараций и другими видами подотчетности перед обществом и государством.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Госслужба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 является достаточно привлекательным видом деятельности, но, к сожалению, одной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причиной может быть возможность для незаконного обогащения, а не желание служить обществу. В таком случае государственные служащие часто действуют не в интересах общества,  пред</w:t>
      </w:r>
      <w:r w:rsidR="00F70A0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почитая свои интересы и выгоды. В том числе подобное поведение может повлиять на снижение уровня доверия россиян к власти</w:t>
      </w:r>
      <w:r w:rsidR="00F70A08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F70A0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Российские политики все чаще используют проблему конфликта интересов для того, чтобы привлечь внимание к теме коррупции. Однако даже они не всегда понимают, что концепция конфликта интересов шире, чем принято в нашем законодательстве 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многом это связано с тем, что в российском законодательстве большое число пробелов и несогласованных нормативно-правовых актов, и регулирование конфликта интересов не является исключением.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При том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что в российской практике не раз отмечались случаи конфликта интересов, это область остается недостаточно отрегулированной.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 интересов при переходе из публичной власти в частный сектор происходит, когда государственный или муниципальный служащий идет в бизнес, в той области, которую он регулировал, будучи служащим. Ситуация становится совсем очевидной если за несколько месяцев до ухода чиновник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распределил государственные заказы или иные преимущества в пользу компании будущего работодателя.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этой ситуации у публичного должностного лица возникает противоречие: действовать в интересах общества или в собственных интересах. Это называется конфликтом интересов.</w:t>
      </w:r>
    </w:p>
    <w:p w:rsidR="0067510C" w:rsidRPr="0081742E" w:rsidRDefault="0067510C" w:rsidP="0081742E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необходимо прояснить, что понимается под понятием «публичное должностное лицо» (далее ПДЛ). Согласно Конвенц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ии ОО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 против коррупции, публичное должностное лицо это «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выполняющее какую-либо публичную функцию или предоставляющее какую-либо публичную услугу, как это определяется во внутреннем законодательстве Государства-участника и как это применяется в соответствующей области правового регулирования этого Государства-участника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742E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footnoteReference w:id="2"/>
      </w:r>
      <w:r w:rsidRPr="0081742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67510C" w:rsidRPr="0081742E" w:rsidRDefault="0067510C" w:rsidP="0081742E">
      <w:pPr>
        <w:spacing w:line="360" w:lineRule="auto"/>
        <w:jc w:val="both"/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742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Подобное определен</w:t>
      </w:r>
      <w:r w:rsidR="005959E2" w:rsidRPr="0081742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ие позволит распространить </w:t>
      </w:r>
      <w:proofErr w:type="spellStart"/>
      <w:r w:rsidR="005959E2" w:rsidRPr="0081742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анти</w:t>
      </w:r>
      <w:r w:rsidRPr="0081742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коррупционное</w:t>
      </w:r>
      <w:proofErr w:type="spellEnd"/>
      <w:r w:rsidRPr="0081742E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законодательство на большее число лиц.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современному положению дел в России может быть сформулирована проблема исследования: несмотря на высокий риск возникновения конфликта интересов при переходе из публичной власти в частный сектор, российское законодательство недостаточно регулирует подобные ситуации.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ходе исследования необходимо подтвердить или опровергнуть следующую гипотезу: недостаточное регулирование перехода с публичной службы в частный сектор ведет к распространению конфликта интересов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на защиту выносятся следующие положения: 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1: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Российское законодательство слишком узко трактует понятие «конфликт интересов».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H</w:t>
      </w: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2: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Российская трактовка понятия «конфликт интерес</w:t>
      </w:r>
      <w:r w:rsidR="005959E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ов» затрудняет эффективный </w:t>
      </w:r>
      <w:proofErr w:type="spellStart"/>
      <w:r w:rsidR="005959E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анти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коррупционный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за процессом перехода с публичной службы в частный сектор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Объектом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 является переход из публичной службы в частный сектор.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Предмет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исследования: конфликт интересов при переходе из публичной власти в частный сектор.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исследования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: оценить политику регулирования конфликта интересов при уходе из публичной службы в частный сектор для дальнейшей выработки рекомендаций.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необходимо выполнить следующие </w:t>
      </w: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510C" w:rsidRPr="0081742E" w:rsidRDefault="0067510C" w:rsidP="0081742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работы отечественных и зарубежных авторов посвященных теме конфликта интересов после ухода с публичной службы</w:t>
      </w:r>
      <w:r w:rsidR="004A7690" w:rsidRPr="00817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33D7" w:rsidRPr="0081742E" w:rsidRDefault="003833D7" w:rsidP="0081742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мониторинг  сайтов российских крупнейших компаний. Проанализировать биографии их руководства на предмет выявления возможного конфликта интересов.</w:t>
      </w:r>
    </w:p>
    <w:p w:rsidR="004A7690" w:rsidRPr="0081742E" w:rsidRDefault="0067510C" w:rsidP="0081742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Проанализировать российские и зарубежные кейсы конфликта интересов</w:t>
      </w:r>
      <w:r w:rsidR="004A7690" w:rsidRPr="00817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510C" w:rsidRPr="0081742E" w:rsidRDefault="0067510C" w:rsidP="0081742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методами регулирования конфликта интересов и проверит их эффективность в зарубежной практике</w:t>
      </w:r>
      <w:r w:rsidR="004A7690" w:rsidRPr="00817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7690" w:rsidRPr="0081742E" w:rsidRDefault="004A7690" w:rsidP="0081742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мониторинг сайтов комиссий по урегулированию трудовых споров и конфликта интересов при российских министерствах на предмете их прозрачности и соответствие требованиям закона.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источников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источников показал, что конфликт интересов при переходе из публичной службы в частный сектор не является популярной темой среди российских исследователей. Стоит отметить, что  большая часть работ,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посвященных конфликту интересов, рассматривает более явные виды этого явления, связанные с дружественными и родственными связями. Однако существуют и более полные исследования конфликта интересов. К ним можно отнести работы Дедова Д.И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Нисневича Ю.А.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Панфиловой Е.А.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проанализировать российское законодательство, чтобы определить, что понимается под конфликтом интересов и входит ли переход в частную сферу с публичной службы в это понятие. Для анализа были выбраны ФЗ №273 «О Противодействии коррупции», Национальный план противодействия коррупции, Указ Президента РФ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интересов». Кроме того, будут рассмотрены законы, касающиеся муниципальных служащих.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преодолеть недостаток информации в русскоязычных источниках, необходимо уделить больше внимание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иностранным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 В качестве примера регулирования конфликта интересов у ПДЛ, заканчивающих государственную службу, выбран пример Канады и Австралии. Анализ руководства по регулированию конфликта интересов у ПДЛ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(Канада),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уходящих с государственной службы показывает возможные способы решения проблемы в данной ситуации. 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 необходимо рассмотреть Конвенцию ООН против коррупции, чтобы определить понятие «публичное должностное лицо», отсутствующее в российском законодательстве. 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Также следует уделить внимание работам зарубежных исследователей, т.к. эти страны имеют больше возможностей для анализа практик регулирования конфликта интересов при уходе с публичной службы.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Norma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Houston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работе «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Conflicts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Interest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Laws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North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Carolina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Public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Officials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&amp;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Employees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различные виды конфликтов интересов, в том числе касающиеся последующего трудоустройства ПДЛ.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Jack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Maskell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статье «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Post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Employment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“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Revolving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Door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,”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Laws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Personnel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различные способы борьбы с возникновением конфликта интереса после покидание публичной службы в Соединенных Штатах.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Большой вклад в исследования конфликтов интересов после ухода с публичной службы внесли доклады ОЭСР, посвященные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политике. Наиболее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значительным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доклад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2011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«</w:t>
      </w:r>
      <w:bookmarkStart w:id="1" w:name="citation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Post-Public Employment: Good Practices for Preventing Conflict of Interest</w:t>
      </w:r>
      <w:bookmarkEnd w:id="1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footnoteReference w:id="9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нем рассматриваются не только возможные пути регулирования конфликтов интересов, но и кейсы стран изменивших свое законодательство.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Кроме того, необходимо изучить материалы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СМИ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посвященные самым заметным случаям проявления конфликта интересов, когда ПДЛ покидало свой пост. 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Методология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методологии исследования был выбран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неоинституцианолизм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т.к. предполагается провести анализ институтов: формальных и неформальных норм, позволяющих регулировать конфликт интересов при уходе публичных должностных лиц в бизнес. 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</w:p>
    <w:p w:rsidR="0067510C" w:rsidRPr="0081742E" w:rsidRDefault="0067510C" w:rsidP="0081742E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Анализ документов. Анализ зарубежного и российского законодательства, научных статей и публикаций, материалов СМИ.</w:t>
      </w:r>
    </w:p>
    <w:p w:rsidR="0067510C" w:rsidRPr="0081742E" w:rsidRDefault="0067510C" w:rsidP="0081742E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Case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study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Анализ российских и зарубежных случаев конфликта интересов при уходе с публичной службы и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для публичного должностного лица, так и для системы законодательства (появление способов регулирования данного вида конфликта интересов).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работы.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работы включает три главы, заключение и список использованной литературы.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первой главе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рассматривается базовые понятия, позволяющие разобраться в проблеме конфликта интересов. К ним можно отнести «конфликт интересов», « публичное должностное лицо». Отдельно следует выделить описание ситуации, в которой обнаруживается конфликт интересов у уходящего в бизнес публичного должностного лица и как это определяется в российском и зарубежном законодательстве.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Вторая глава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посвящена анализу российских и зарубежных кейсов данного вида конфликта интересов. На основе проведенного анализа выявлены институциональные факторы поведения публичного должностного лица в этой ситуации.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данной главе проанализированы данные мониторинга биографий руководителей крупнейших строительных компаний России с тем, чтобы определить насколько часто чиновники переходят в бизнес в той области, которую регулировали. Случаи, в которых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высока вероятность конфликта интересов у бывшего публичного лица рассмотрены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подробнее.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третьей главе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анализ  российского и зарубежного законодательства, регулирующего проблему конфликта интересов. Особое внимание уделено успешным зарубежным примерам и пробелам в российском законодательстве.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компаративного анализа составлена таблица, в которой сопоставлены основные элементы регулирования конфликта интересов при уходе с публичной службы в России и за рубежом.</w:t>
      </w:r>
    </w:p>
    <w:p w:rsidR="0067510C" w:rsidRPr="0081742E" w:rsidRDefault="0067510C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дополнение к этому сделан мониторинг сайтов федеральных министе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рств с т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ем, чтобы определить насколько прозрачна деятельность комиссий по соблюдению требований к служебному поведению федеральных государственных служащих и урегулированию конфликта интересов, а также выяснить, насколько часто публичные должностные лица получают разрешения на работу в частном секторе после увольнения с государственной службы. </w:t>
      </w:r>
    </w:p>
    <w:p w:rsidR="0067510C" w:rsidRPr="0081742E" w:rsidRDefault="0067510C" w:rsidP="0081742E">
      <w:pPr>
        <w:pStyle w:val="HTML"/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заключении содержатся основные выводы по каждой главе.</w:t>
      </w:r>
    </w:p>
    <w:p w:rsidR="0067510C" w:rsidRPr="0081742E" w:rsidRDefault="0067510C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исследование предполагает рассмотрение как теоретические, так и практические аспекты феномена конфликта интересов при переходе из публичной власти в частный сектор.</w:t>
      </w:r>
    </w:p>
    <w:p w:rsidR="00AF171D" w:rsidRPr="0081742E" w:rsidRDefault="002E6919" w:rsidP="0081742E">
      <w:pPr>
        <w:pStyle w:val="1"/>
        <w:spacing w:line="360" w:lineRule="auto"/>
        <w:rPr>
          <w:rFonts w:ascii="Times New Roman" w:hAnsi="Times New Roman" w:cs="Times New Roman"/>
          <w:color w:val="000000" w:themeColor="text1"/>
        </w:rPr>
      </w:pPr>
      <w:bookmarkStart w:id="2" w:name="_Toc387518118"/>
      <w:r w:rsidRPr="0081742E">
        <w:rPr>
          <w:rFonts w:ascii="Times New Roman" w:hAnsi="Times New Roman" w:cs="Times New Roman"/>
          <w:color w:val="000000" w:themeColor="text1"/>
        </w:rPr>
        <w:lastRenderedPageBreak/>
        <w:t>Глава 1</w:t>
      </w:r>
      <w:r w:rsidR="00937769" w:rsidRPr="0081742E">
        <w:rPr>
          <w:rFonts w:ascii="Times New Roman" w:hAnsi="Times New Roman" w:cs="Times New Roman"/>
          <w:color w:val="000000" w:themeColor="text1"/>
        </w:rPr>
        <w:t>. Теоретическое измерение конфликта интересов</w:t>
      </w:r>
      <w:bookmarkEnd w:id="2"/>
    </w:p>
    <w:p w:rsidR="002E6919" w:rsidRPr="0081742E" w:rsidRDefault="002E6919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приступить к анализу эмпирической базы необходимо разобраться с определениями основных понятий: «конфликт интересов», «публичное должностное лицо» и т.д. Для этого необходимо обратиться к российскому и зарубежному законодательству и провести компаративный анализ дефиниций.</w:t>
      </w:r>
    </w:p>
    <w:p w:rsidR="002E6919" w:rsidRPr="0081742E" w:rsidRDefault="002E6919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начала рассмотрим концепцию «публичного должностного лица». </w:t>
      </w:r>
      <w:r w:rsidR="00DC305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Обратимся к определению, приведенному в конвенц</w:t>
      </w:r>
      <w:proofErr w:type="gramStart"/>
      <w:r w:rsidR="00DC305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ии ОО</w:t>
      </w:r>
      <w:proofErr w:type="gramEnd"/>
      <w:r w:rsidR="00DC305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 против коррупции. В наиболее общем виде «</w:t>
      </w:r>
      <w:r w:rsidR="00DC3052"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«публичное должностное лицо» может означать любое лицо, выполняющее какую-либо публичную функцию или предоставляющее какую-либо публичную услугу</w:t>
      </w:r>
      <w:r w:rsidR="00DC3052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0"/>
      </w:r>
      <w:r w:rsidR="00DC305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Однако здесь используются оговорка, согласно которой государство самостоятельно определяет перечень лиц, входящих в эту категорию. Стоит отметить, что российское законодательство не использует данное определение, что сужает число лиц, на которых распространяется </w:t>
      </w:r>
      <w:proofErr w:type="spellStart"/>
      <w:r w:rsidR="00DC305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анти-коррупционное</w:t>
      </w:r>
      <w:proofErr w:type="spellEnd"/>
      <w:r w:rsidR="00DC305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законодательство.</w:t>
      </w:r>
    </w:p>
    <w:p w:rsidR="00EA2B99" w:rsidRPr="0081742E" w:rsidRDefault="00B036FE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387517108"/>
      <w:bookmarkStart w:id="4" w:name="_Toc387518119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Вместо единой концепции «публичного должностного лица» в российском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анти-коррупционном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законодательстве (в частности в </w:t>
      </w:r>
      <w:r w:rsidR="00116E1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ФЗ №273 «О Противодействии коррупции»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16E1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 следующий круг лиц, на которых распространяются требования закона: </w:t>
      </w:r>
      <w:r w:rsidR="00EA2B99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замещающие государственные должности Российской Федерации, государственные должности субъектов Российской Федерации, муниципальные должности; </w:t>
      </w:r>
      <w:proofErr w:type="gramStart"/>
      <w:r w:rsidR="00EA2B99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работники, замещающие должности в государственных корпорациях, иных организациях, создаваемых Российской Федерацией на основании федеральных законов, работники,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EA2B99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="00EA2B99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349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</w:t>
      </w:r>
      <w:r w:rsidR="006C349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предполагается охватить большое число публичных должностных лиц, однако далеко не всех, в основном это высшие должностн</w:t>
      </w:r>
      <w:r w:rsidR="00A4719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ые лица.</w:t>
      </w:r>
      <w:proofErr w:type="gramEnd"/>
      <w:r w:rsidR="00A4719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является одним из пробелов </w:t>
      </w:r>
      <w:proofErr w:type="spellStart"/>
      <w:r w:rsidR="00A4719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анти-коррупционного</w:t>
      </w:r>
      <w:proofErr w:type="spellEnd"/>
      <w:r w:rsidR="00A4719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законодательства.</w:t>
      </w:r>
      <w:bookmarkEnd w:id="3"/>
      <w:bookmarkEnd w:id="4"/>
    </w:p>
    <w:p w:rsidR="00A47196" w:rsidRPr="0081742E" w:rsidRDefault="00A47196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387517109"/>
      <w:bookmarkStart w:id="6" w:name="_Toc387518120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обратимся к определению такого явления как </w:t>
      </w: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конфликт интересов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52D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DC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ФЗ №</w:t>
      </w:r>
      <w:r w:rsidR="006F512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</w:t>
      </w:r>
      <w:r w:rsidR="00D86DC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 под конфликтом интересов подразумевается</w:t>
      </w:r>
      <w:r w:rsidR="00B9082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противоречие между личной заинтересованностью служащего и интересами общества и государства. Примечательно, что личная заинтересованность связана исключительно с материальными интересами, т.е. с получением денег, ценностей и имущества. Подобное уточнение существенно сокращает область регулирования конфликта интересов, исключая нематериальные выгоды, такие как </w:t>
      </w:r>
      <w:r w:rsidR="00FB019D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последующее </w:t>
      </w:r>
      <w:proofErr w:type="gramStart"/>
      <w:r w:rsidR="00FB019D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трудоустройство</w:t>
      </w:r>
      <w:proofErr w:type="gramEnd"/>
      <w:r w:rsidR="00FB019D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высокую позицию в компанию в области, которую регулирует чиновник.</w:t>
      </w:r>
      <w:bookmarkEnd w:id="5"/>
      <w:bookmarkEnd w:id="6"/>
    </w:p>
    <w:p w:rsidR="00DA2FEF" w:rsidRPr="0081742E" w:rsidRDefault="00DA2FEF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387517110"/>
      <w:bookmarkStart w:id="8" w:name="_Toc387518121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Похожее определение присутствует и в ФЗ №79 «О государственной гражданской службе Российской Федерации». Личная заинтересованность в данном законе расписана подробно в статье 19 п.3. Однако и в этом документе ею признается только материальная выгода, что может препятствовать борьбе с конфликтом интересов после ухода с публичной службы.</w:t>
      </w:r>
      <w:bookmarkEnd w:id="7"/>
      <w:bookmarkEnd w:id="8"/>
    </w:p>
    <w:p w:rsidR="00BF2488" w:rsidRPr="0081742E" w:rsidRDefault="00FB019D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387517111"/>
      <w:bookmarkStart w:id="10" w:name="_Toc387518122"/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Как уже было написано выше, в российском законодательстве отсутствует понятие конфликта интересов</w:t>
      </w:r>
      <w:r w:rsidR="00106A93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переходе из публичного в частный сектор, хотя описаны некоторые ограничения, препятствующие его возникновению.</w:t>
      </w:r>
      <w:proofErr w:type="gramEnd"/>
      <w:r w:rsidR="00106A93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зарубежных источниках это явление именуется по-разному</w:t>
      </w:r>
      <w:r w:rsidR="00305309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наиболее часто используется понятие «post-employment conflict of interest».</w:t>
      </w:r>
      <w:bookmarkEnd w:id="9"/>
      <w:bookmarkEnd w:id="10"/>
      <w:r w:rsidR="00305309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5128" w:rsidRPr="0081742E" w:rsidRDefault="006F5128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387517112"/>
      <w:bookmarkStart w:id="12" w:name="_Toc387518123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Зарубежное и международное законодательство имеет множество примеров </w:t>
      </w:r>
      <w:r w:rsidR="0009756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определений конфликта интересов («коллизии интересов»).</w:t>
      </w:r>
      <w:bookmarkEnd w:id="11"/>
      <w:bookmarkEnd w:id="12"/>
    </w:p>
    <w:p w:rsidR="0009756F" w:rsidRPr="0081742E" w:rsidRDefault="0009756F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387517113"/>
      <w:bookmarkStart w:id="14" w:name="_Toc387518124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всегда конфликт интересов признается как проявление </w:t>
      </w:r>
      <w:r w:rsidR="00F958F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коррупции (как в российском, так и в международном законодательстве), однако международные эксперты признают, что </w:t>
      </w:r>
      <w:r w:rsidR="00B701C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недобросовестное разрешение конфликта интересов порождает коррупцию</w:t>
      </w:r>
      <w:r w:rsidR="00B701C2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="00B701C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3"/>
      <w:bookmarkEnd w:id="14"/>
    </w:p>
    <w:p w:rsidR="00C62AB2" w:rsidRPr="0081742E" w:rsidRDefault="00C62AB2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387517114"/>
      <w:bookmarkStart w:id="16" w:name="_Toc387518125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Также необходимо упомянуть об эффекте «вращающихся дверей» (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revolving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door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), который вписывается в концепцию конфликта интересов после ухода с публичной службы.</w:t>
      </w:r>
      <w:r w:rsidR="007F67D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концепция описывает ситуацию беспрепятственного перехода из бизнеса на государственную службу и обратно. Фактически, чиновник выступает в роли лоббиста определенной </w:t>
      </w:r>
      <w:r w:rsidR="00802E2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компании, а не служит интересам общества, что и является показателем наличия конфликта интересов.</w:t>
      </w:r>
      <w:bookmarkEnd w:id="15"/>
      <w:bookmarkEnd w:id="16"/>
    </w:p>
    <w:p w:rsidR="00393188" w:rsidRPr="0081742E" w:rsidRDefault="007F67DF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387517115"/>
      <w:bookmarkStart w:id="18" w:name="_Toc387518126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Корме того, в качестве отдельного случая предлагают выделять «эффект шлепанцев»</w:t>
      </w:r>
      <w:r w:rsidR="002D7281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ситуации, когда чиновник достигнув определенной должности (например, министр), переходят работать в бизнес. Данное явление наиболее распространено у военных, которые достигнув высокого поста, переходят работать в компании ВПК</w:t>
      </w:r>
      <w:r w:rsidR="002D7281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="002D7281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476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Подобная практика</w:t>
      </w:r>
      <w:r w:rsidR="007224AD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широко распространена в Японии и получила название «</w:t>
      </w:r>
      <w:proofErr w:type="spellStart"/>
      <w:r w:rsidR="007224AD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амакудари</w:t>
      </w:r>
      <w:proofErr w:type="spellEnd"/>
      <w:r w:rsidR="007224AD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105D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(пер. «спуск с небес»)</w:t>
      </w:r>
      <w:r w:rsidR="007224AD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476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в отличи</w:t>
      </w:r>
      <w:proofErr w:type="gramStart"/>
      <w:r w:rsidR="0054476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54476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западных стран, где это считается предосудительным, в Японии это вызывает одобрение, т.к. позволяет гарантировать занятость после ухода с публичной службы</w:t>
      </w:r>
      <w:r w:rsidR="00544767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="0054476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7"/>
      <w:bookmarkEnd w:id="18"/>
    </w:p>
    <w:p w:rsidR="00393188" w:rsidRPr="0081742E" w:rsidRDefault="00393188" w:rsidP="0081742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93188" w:rsidRPr="0081742E" w:rsidRDefault="00393188" w:rsidP="0081742E">
      <w:pPr>
        <w:pStyle w:val="1"/>
        <w:spacing w:line="360" w:lineRule="auto"/>
        <w:rPr>
          <w:rFonts w:ascii="Times New Roman" w:hAnsi="Times New Roman" w:cs="Times New Roman"/>
          <w:color w:val="000000" w:themeColor="text1"/>
        </w:rPr>
      </w:pPr>
      <w:bookmarkStart w:id="19" w:name="_Toc387518127"/>
      <w:r w:rsidRPr="0081742E">
        <w:rPr>
          <w:rFonts w:ascii="Times New Roman" w:hAnsi="Times New Roman" w:cs="Times New Roman"/>
          <w:color w:val="000000" w:themeColor="text1"/>
        </w:rPr>
        <w:lastRenderedPageBreak/>
        <w:t>Глава 2. Практики осуществления конфликта интересов</w:t>
      </w:r>
      <w:bookmarkEnd w:id="19"/>
    </w:p>
    <w:p w:rsidR="00626F86" w:rsidRPr="0081742E" w:rsidRDefault="00626F86" w:rsidP="0081742E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Toc387518128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Прозрачность и конфликт интересов</w:t>
      </w:r>
      <w:bookmarkEnd w:id="20"/>
    </w:p>
    <w:p w:rsidR="00626F86" w:rsidRPr="0081742E" w:rsidRDefault="00626F86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Прежде чем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приступить к анализу сайтов крупнейших российских строительных компаний необходимо пояснить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связь между прозрачностью и механизмами регулирования конфликта интересов.</w:t>
      </w:r>
    </w:p>
    <w:p w:rsidR="00626F86" w:rsidRPr="0081742E" w:rsidRDefault="006D49C8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Прозрачность компаний и государственных органов  </w:t>
      </w:r>
      <w:r w:rsidR="00B7465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важным механизмом предотвращение конфликта интересов. Именно раскрытие информации показывает, что чиновник или компания не собираются использовать служебное положение публичного должностного лица в своих интересах.</w:t>
      </w:r>
    </w:p>
    <w:p w:rsidR="003E2F8E" w:rsidRPr="0081742E" w:rsidRDefault="003E2F8E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аспектом, подтверждающим необходимость заявления о конфликте интересов, является тот факт, что полный запрет на переход из публичной сферы в частый сектор является невозможным, поэтому необходимо использовать более </w:t>
      </w:r>
      <w:r w:rsidR="00394A29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гибкие способы регулирования.</w:t>
      </w:r>
    </w:p>
    <w:p w:rsidR="00394A29" w:rsidRPr="0081742E" w:rsidRDefault="00394A29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Публикация биографий руководителей компаний способно увеличить доверие к этой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фирме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у общества, так и у потенциальных инвесторов, для которых прозрачность, безусловно, является важным показателем при выборе проектов для инвестиций.</w:t>
      </w:r>
      <w:r w:rsidR="006E3DA1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в классификации </w:t>
      </w:r>
      <w:r w:rsidR="006E3DA1"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Standar</w:t>
      </w:r>
      <w:r w:rsidR="006B3F45"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6E3DA1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&amp; </w:t>
      </w:r>
      <w:r w:rsidR="006E3DA1"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Poor</w:t>
      </w:r>
      <w:r w:rsidR="006E3DA1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6E3DA1"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6B3F45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компонентов оценки прозрачности компании является наличие информации о руководстве</w:t>
      </w:r>
      <w:r w:rsidR="00414E92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="006B3F45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Соответственно </w:t>
      </w:r>
      <w:r w:rsidR="004B362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компании заинтересованные в инвестициях </w:t>
      </w:r>
    </w:p>
    <w:p w:rsidR="0056746C" w:rsidRPr="0081742E" w:rsidRDefault="00937769" w:rsidP="0081742E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Toc387518129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строительных компаний</w:t>
      </w:r>
      <w:bookmarkEnd w:id="21"/>
    </w:p>
    <w:p w:rsidR="0056746C" w:rsidRPr="0081742E" w:rsidRDefault="0056746C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Для выявления</w:t>
      </w:r>
      <w:r w:rsidR="00414E9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возможных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случаев конфликта интересов были проанализированы составы советов дир</w:t>
      </w:r>
      <w:r w:rsidR="002C4C7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екторов и правления крупных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частных </w:t>
      </w:r>
      <w:r w:rsidR="004B362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строительных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компаний России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335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списке присутствует 28 компаний занятых в строительной сфере: жилищное строительство, строительство дорог, производство строительных материалов и т.д.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76A1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Предпочтение отдавалось информации с официальных сайтов, если таковая имелась.</w:t>
      </w:r>
      <w:r w:rsidR="00050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4E92" w:rsidRPr="0081742E" w:rsidRDefault="00414E92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Выбор именно строительной отрасли для анализа был обусловлен рядом причин. Во-первых,</w:t>
      </w:r>
      <w:r w:rsidR="002C5393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строительство является одной из сфер с высокой долей коррупции, что отмечается даже в официальных заявлениях первых лиц государства</w:t>
      </w:r>
      <w:r w:rsidR="002C5393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="002C5393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Во-вторых, </w:t>
      </w:r>
      <w:r w:rsidR="00DB3F9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выбор этой сферы обусловлен результатом мониторинга комиссий по урегулированию конфликта интересов</w:t>
      </w:r>
      <w:r w:rsidR="00AA335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в ходе</w:t>
      </w:r>
      <w:r w:rsidR="00DB3F9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выяснилось, что министерство строительства не раскрывает информацию о </w:t>
      </w:r>
      <w:r w:rsidR="004F17E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составе и деятельности комиссии, что показалось весьма странным.</w:t>
      </w:r>
    </w:p>
    <w:p w:rsidR="00A95314" w:rsidRPr="0081742E" w:rsidRDefault="00A95314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Для анализа была разработана анкета (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</w:t>
      </w:r>
      <w:r w:rsidR="00D7380B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). В первую очередь нас интересовало наличие информации</w:t>
      </w:r>
      <w:r w:rsidR="004F17E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официального сайта компании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составе </w:t>
      </w:r>
      <w:r w:rsidR="004F17E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директоров и правления,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биографии их членов</w:t>
      </w:r>
      <w:r w:rsidR="004F17E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упоминание об опыте публичной службы, если таковой имелся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этого блока показывает стремление </w:t>
      </w:r>
      <w:r w:rsidR="00A1569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компании к прозрачности, что</w:t>
      </w:r>
      <w:r w:rsidR="004F17E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569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условно</w:t>
      </w:r>
      <w:r w:rsidR="004F17E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плюсом для выявления и разрешения конфликта интересов.</w:t>
      </w:r>
    </w:p>
    <w:p w:rsidR="004F17EA" w:rsidRPr="0081742E" w:rsidRDefault="004F17EA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Если сайт не предоставлял биографию руководства, поиск осуществлялся по открытым источникам. В результате мы получили данные о наличии или отсутствии связи тех или иных руководителей с государственными органами или муниципальными службами.</w:t>
      </w:r>
    </w:p>
    <w:p w:rsidR="00E07B27" w:rsidRPr="0081742E" w:rsidRDefault="00E07B27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Небезынтересно было проверить наличие этического кодекса компаний и его возможности регулировать возникающий конфликт интересов.</w:t>
      </w:r>
      <w:r w:rsidR="00450D3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</w:t>
      </w:r>
      <w:r w:rsidR="00450D3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внутреннего </w:t>
      </w:r>
      <w:proofErr w:type="spellStart"/>
      <w:r w:rsidR="00450D3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комплаенса</w:t>
      </w:r>
      <w:proofErr w:type="spellEnd"/>
      <w:r w:rsidR="00450D3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важным условием для работы с зарубежными партнерами, поэтому его наличие необходимо для крупных компаний.</w:t>
      </w:r>
    </w:p>
    <w:p w:rsidR="00450D3C" w:rsidRPr="0081742E" w:rsidRDefault="00450D3C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наконец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мониторинга проверялось, участвует ли компания в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госзакупках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Учитывая тот факт, что в большинстве случаев фирмы не сообщают об этом, использовался официальный сайт </w:t>
      </w:r>
      <w:hyperlink r:id="rId8" w:history="1"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zakupki</w:t>
        </w:r>
        <w:proofErr w:type="spellEnd"/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 Проверяя данные групп компаний, проверялась не только сама группа как отдельное юридическое лицо, но и фирмы входящие в ее состав.</w:t>
      </w:r>
    </w:p>
    <w:p w:rsidR="00EF5E33" w:rsidRPr="0081742E" w:rsidRDefault="00050A94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Изначально предполагалось исследовать да</w:t>
      </w:r>
      <w:r w:rsidR="00F34BA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компаний в середине списка, т.к. существовало предположение, что наиболее крупные компании, находящиеся </w:t>
      </w:r>
      <w:r w:rsidR="00EF5E33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на верхних строчках списка</w:t>
      </w:r>
      <w:r w:rsidR="00F34BA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отличаются прозрачностью, которая необходима </w:t>
      </w:r>
      <w:proofErr w:type="gramStart"/>
      <w:r w:rsidR="00F34BA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="00F34BA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34BA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ведение</w:t>
      </w:r>
      <w:proofErr w:type="gramEnd"/>
      <w:r w:rsidR="00F34BA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 с зарубежными компаниями, в то время как компании из середины списка привлекают меньше внимания, что способствует развитию к</w:t>
      </w:r>
      <w:r w:rsidR="004B362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оррупционных проявлений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5E33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Однако проверка первой компании – «</w:t>
      </w:r>
      <w:proofErr w:type="spellStart"/>
      <w:r w:rsidR="00EF5E33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Стройгазконсалтинг</w:t>
      </w:r>
      <w:proofErr w:type="spellEnd"/>
      <w:r w:rsidR="00EF5E33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 - показала, что исследовательские ожидание несколько завышены, поэтому н</w:t>
      </w:r>
      <w:r w:rsidR="008A782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еобходимо собрать данные всех 27</w:t>
      </w:r>
      <w:r w:rsidR="00EF5E33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фирм.</w:t>
      </w:r>
    </w:p>
    <w:p w:rsidR="008A7824" w:rsidRPr="0081742E" w:rsidRDefault="008A7824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мониторинга</w:t>
      </w:r>
      <w:r w:rsidR="0019602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19602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19602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 диаграмма 1)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17 из 27компаний раскрывают на сайте состав своего руководства (совет директор, правление, генеральный директор). Из них только 10 публикуют биографию руководителей. В 1 из 10 случаев компания не указывает на сайте, что ее директор является депутатом (Шишов Олег Владимирович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директор НПО Мостовик и депутат законодательного собрания Омской области).</w:t>
      </w:r>
    </w:p>
    <w:p w:rsidR="00E54632" w:rsidRPr="0081742E" w:rsidRDefault="00E54632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E0B3E" w:rsidRPr="0081742E" w:rsidRDefault="000E0B3E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Диаграмма 1. Размещение информации о руководстве на официальном сайте компании </w:t>
      </w:r>
    </w:p>
    <w:p w:rsidR="00941FB4" w:rsidRPr="0081742E" w:rsidRDefault="00941FB4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У 11 компаний среди членов руководства присутствует бывшее или действующее публичное должностное лицо, которое ранее (а в некоторых случаях в данный момент) занималось регулированием той области, в которой работает сейчас. В некоторых случаях человек переходил в бизнес, который курировал, сразу после ухода с публичной службы.</w:t>
      </w:r>
      <w:r w:rsidR="008368E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в 5 случаях на сайте об этом не упоминается, либо из-за отсутствия биографии человека, либо из-за ее неполного состава.</w:t>
      </w:r>
    </w:p>
    <w:p w:rsidR="008368E6" w:rsidRPr="0081742E" w:rsidRDefault="00777311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пунктом стала проверка внутреннего регулирования конфликта интересов. Как уже было написано ранее наличие этического кодекса важный пункт при работе с зарубежными партнерами. Результаты мониторинга этих пунктов несколько удивили, т</w:t>
      </w:r>
      <w:r w:rsidR="00BB3F6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.к. ожидалось, что у компаний, находящихся на верхних позициях </w:t>
      </w:r>
      <w:r w:rsidR="00BB3F60"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Forbes</w:t>
      </w:r>
      <w:r w:rsidR="00BB3F6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этический кодекс, а чем ниже компания в списке, тем ниже вероятность наличия у нее этического кодекса. В результате только у 3 компаний </w:t>
      </w:r>
      <w:r w:rsidR="00865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proofErr w:type="spellStart"/>
      <w:r w:rsidR="00865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Ренейссанс</w:t>
      </w:r>
      <w:proofErr w:type="spellEnd"/>
      <w:r w:rsidR="00865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65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Констракшн</w:t>
      </w:r>
      <w:proofErr w:type="spellEnd"/>
      <w:r w:rsidR="00865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», ГК ПИК и «</w:t>
      </w:r>
      <w:proofErr w:type="spellStart"/>
      <w:r w:rsidR="00865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Стройтрансгаз</w:t>
      </w:r>
      <w:proofErr w:type="spellEnd"/>
      <w:r w:rsidR="00865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</w:t>
      </w:r>
      <w:r w:rsidR="00BB3F6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на сайте представлен этический кодекс.</w:t>
      </w:r>
      <w:r w:rsidR="00865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списке из 27 </w:t>
      </w:r>
      <w:r w:rsidR="00865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компаний они занимают 9,10 и 25 место</w:t>
      </w:r>
      <w:r w:rsidR="00C7701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Приложение</w:t>
      </w:r>
      <w:proofErr w:type="gramStart"/>
      <w:r w:rsidR="00C83C8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01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="00865A9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281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 наличие этического кодекса не означает, что он, регулирует конфликт интересов. </w:t>
      </w:r>
      <w:r w:rsidR="00CE57F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Этический кодекс «</w:t>
      </w:r>
      <w:proofErr w:type="spellStart"/>
      <w:r w:rsidR="00CE57F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Ренейсанс</w:t>
      </w:r>
      <w:proofErr w:type="spellEnd"/>
      <w:r w:rsidR="00CE57F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57F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Констракшн</w:t>
      </w:r>
      <w:proofErr w:type="spellEnd"/>
      <w:r w:rsidR="00CE57F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 скорее является декларативным документом, в котором не прописаны механизмы достижение поставленных целей. ГК ПИК и «</w:t>
      </w:r>
      <w:proofErr w:type="spellStart"/>
      <w:r w:rsidR="00CE57F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Стройтрансгаз</w:t>
      </w:r>
      <w:proofErr w:type="spellEnd"/>
      <w:r w:rsidR="00CE57F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 более ответственно подошли к регулированию подобных ситуаций.</w:t>
      </w:r>
      <w:r w:rsidR="00F04C1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C2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</w:t>
      </w:r>
      <w:r w:rsidR="0046224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C1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ГК ПИК «ни прямо, ни косвенно не участвует в работе политических партий</w:t>
      </w:r>
      <w:r w:rsidR="00F04C10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 w:rsidR="00F04C1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E7C2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 </w:t>
      </w:r>
      <w:r w:rsidR="0046224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кодексе организации ничего не сказано про иные случаи конфликта интересов, в нем лишь присутствует общая формулировка, согласно которой </w:t>
      </w:r>
      <w:proofErr w:type="gramStart"/>
      <w:r w:rsidR="0046224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</w:t>
      </w:r>
      <w:proofErr w:type="gramEnd"/>
      <w:r w:rsidR="0046224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действуя от имени компании не должны действовать в личных интересах. Этический кодекс «</w:t>
      </w:r>
      <w:proofErr w:type="spellStart"/>
      <w:r w:rsidR="0046224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Стройтрансгаза</w:t>
      </w:r>
      <w:proofErr w:type="spellEnd"/>
      <w:r w:rsidR="0046224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 в качестве меры по борьбе с конфликтом интересов должен раскрывать информацию о нем совету директоров</w:t>
      </w:r>
      <w:r w:rsidR="00462246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 w:rsidR="0046224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но при этом не написаны возможные санкции за несоблюдение этого положения.</w:t>
      </w:r>
    </w:p>
    <w:p w:rsidR="0005008A" w:rsidRPr="0081742E" w:rsidRDefault="00F61584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1584" w:rsidRPr="0081742E" w:rsidRDefault="00F61584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Диаграмма 2. </w:t>
      </w:r>
      <w:r w:rsidR="00670A33"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Наличие этического кодекса, регулирующего конфликт интересов, на официальном сайте компании</w:t>
      </w:r>
    </w:p>
    <w:p w:rsidR="008368E6" w:rsidRPr="0081742E" w:rsidRDefault="00B44AC7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Примечательно, что при такой высокой степени непрозрачности только 3 из 27 компаний не участвуют государственных закупках. При этом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 крайне неинформативные сайты заключают контракты на суммы свыше 100000000 руб., что кажется достаточно подозрительным.</w:t>
      </w:r>
      <w:r w:rsidR="007B1B0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Обратимся к Таблице 1, в которой представлены результаты мониторинга строительных компаний с неизвестным руководством, но которые получают большие государственные заказы.</w:t>
      </w:r>
      <w:r w:rsidR="002C66F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проведенного мониторинга не удалось выяснить ни состав руководства, ни его биографию, используя все возможные источники.</w:t>
      </w:r>
    </w:p>
    <w:p w:rsidR="007B1B06" w:rsidRPr="0081742E" w:rsidRDefault="005C546A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1. Компании с неизвестным руководством, получающие государственные заказы</w:t>
      </w:r>
    </w:p>
    <w:tbl>
      <w:tblPr>
        <w:tblStyle w:val="ac"/>
        <w:tblW w:w="0" w:type="auto"/>
        <w:tblLook w:val="04A0"/>
      </w:tblPr>
      <w:tblGrid>
        <w:gridCol w:w="2043"/>
        <w:gridCol w:w="1566"/>
        <w:gridCol w:w="1566"/>
        <w:gridCol w:w="1528"/>
        <w:gridCol w:w="1332"/>
        <w:gridCol w:w="1536"/>
      </w:tblGrid>
      <w:tr w:rsidR="004A4C80" w:rsidRPr="0081742E" w:rsidTr="005C546A">
        <w:trPr>
          <w:trHeight w:val="1380"/>
        </w:trPr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компании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 руководства на сайте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Биография руководства на сайте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членов работавших на публичной службе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 ли этический кодекс на сайте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Принимает ли участие в </w:t>
            </w:r>
            <w:proofErr w:type="spellStart"/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госзакупках</w:t>
            </w:r>
            <w:proofErr w:type="spellEnd"/>
          </w:p>
        </w:tc>
      </w:tr>
      <w:tr w:rsidR="004A4C80" w:rsidRPr="0081742E" w:rsidTr="005C546A">
        <w:trPr>
          <w:trHeight w:val="557"/>
        </w:trPr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Стройгазмонтаж</w:t>
            </w:r>
            <w:proofErr w:type="spellEnd"/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данных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4A4C80" w:rsidRPr="0081742E" w:rsidTr="005C546A">
        <w:trPr>
          <w:trHeight w:val="457"/>
        </w:trPr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СУ-155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данных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4A4C80" w:rsidRPr="0081742E" w:rsidTr="005C546A">
        <w:trPr>
          <w:trHeight w:val="557"/>
        </w:trPr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Технониколь</w:t>
            </w:r>
            <w:proofErr w:type="spellEnd"/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A4C80"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 данных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4A4C80" w:rsidRPr="0081742E" w:rsidTr="005C546A">
        <w:trPr>
          <w:trHeight w:val="562"/>
        </w:trPr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Трансюжстрой</w:t>
            </w:r>
            <w:proofErr w:type="spellEnd"/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A4C80"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 данных</w:t>
            </w:r>
          </w:p>
        </w:tc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A4C80"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4A4C80" w:rsidRPr="0081742E" w:rsidTr="005C546A">
        <w:trPr>
          <w:trHeight w:val="543"/>
        </w:trPr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Велесстрой</w:t>
            </w:r>
            <w:proofErr w:type="spellEnd"/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A4C80"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 данных</w:t>
            </w:r>
          </w:p>
        </w:tc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A4C80"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</w:p>
        </w:tc>
        <w:tc>
          <w:tcPr>
            <w:tcW w:w="0" w:type="auto"/>
          </w:tcPr>
          <w:p w:rsidR="004A4C80" w:rsidRPr="0081742E" w:rsidRDefault="004A4C80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4A4C80" w:rsidRPr="0081742E" w:rsidTr="005C546A">
        <w:trPr>
          <w:trHeight w:val="423"/>
        </w:trPr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ГК </w:t>
            </w:r>
            <w:proofErr w:type="spellStart"/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Балтрос</w:t>
            </w:r>
            <w:proofErr w:type="spellEnd"/>
          </w:p>
        </w:tc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данных</w:t>
            </w:r>
          </w:p>
        </w:tc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0" w:type="auto"/>
          </w:tcPr>
          <w:p w:rsidR="004A4C80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5C546A" w:rsidRPr="0081742E" w:rsidTr="005C546A">
        <w:tblPrEx>
          <w:tblLook w:val="0000"/>
        </w:tblPrEx>
        <w:trPr>
          <w:trHeight w:val="468"/>
        </w:trPr>
        <w:tc>
          <w:tcPr>
            <w:tcW w:w="0" w:type="auto"/>
          </w:tcPr>
          <w:p w:rsidR="005C546A" w:rsidRPr="0081742E" w:rsidRDefault="005C546A" w:rsidP="0081742E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Группа АРКС</w:t>
            </w:r>
          </w:p>
        </w:tc>
        <w:tc>
          <w:tcPr>
            <w:tcW w:w="0" w:type="auto"/>
            <w:shd w:val="clear" w:color="auto" w:fill="auto"/>
          </w:tcPr>
          <w:p w:rsidR="005C546A" w:rsidRPr="0081742E" w:rsidRDefault="005C546A" w:rsidP="0081742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5C546A" w:rsidRPr="0081742E" w:rsidRDefault="005C546A" w:rsidP="0081742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5C546A" w:rsidRPr="0081742E" w:rsidRDefault="005C546A" w:rsidP="0081742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данных</w:t>
            </w:r>
          </w:p>
        </w:tc>
        <w:tc>
          <w:tcPr>
            <w:tcW w:w="0" w:type="auto"/>
            <w:shd w:val="clear" w:color="auto" w:fill="auto"/>
          </w:tcPr>
          <w:p w:rsidR="005C546A" w:rsidRPr="0081742E" w:rsidRDefault="005C546A" w:rsidP="0081742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5C546A" w:rsidRPr="0081742E" w:rsidRDefault="005C546A" w:rsidP="0081742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</w:tbl>
    <w:p w:rsidR="007B1B06" w:rsidRPr="0081742E" w:rsidRDefault="007B1B06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7F1" w:rsidRPr="0081742E" w:rsidRDefault="00DC77F1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более подробно случаи, в которых высока вероятность обнаружения конфликта интересов при переходе из публичного сектора в</w:t>
      </w:r>
      <w:r w:rsidR="005C546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частный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55C6" w:rsidRPr="0081742E" w:rsidRDefault="009255C6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НПО Мостовик.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компания уже является достаточно известной благодаря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антикоррупционным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исследованиям Алексея Навального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7337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мониторинга выяснились весьма любопытные факты. Например, Шишов Олег </w:t>
      </w:r>
      <w:proofErr w:type="gramStart"/>
      <w:r w:rsidR="0087337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Владимирович, являющийся генеральным директором компании по совместительству является</w:t>
      </w:r>
      <w:proofErr w:type="gramEnd"/>
      <w:r w:rsidR="0087337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депутатом законодательного собрания Омской области.</w:t>
      </w:r>
      <w:r w:rsidR="00EA63C5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в биографии на сайте об этом ничего не сказано. Однако в разделе «Контакты» указан телефон общественной приемной депутата Шишова О.В., что говорит о том, что биографии на сайте является неполной.  Исходя из полученных данных, можно сделать вывод, что у Шишова О.В. потенциальный конфликт интересов.</w:t>
      </w:r>
    </w:p>
    <w:p w:rsidR="009255C6" w:rsidRPr="0081742E" w:rsidRDefault="00EB2190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Обратимся к биографии заместителя генерального директора Бондаренко Николаю Сергеевичу. </w:t>
      </w:r>
      <w:r w:rsidR="0028109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До 1997 г. он проработал в НПО Мостовик, дойдя до должности начальника по производству. А в 1997 г. перешел в омское муниципальное учреждение «Дирекция строящегося метрополитена». Важно отметить, что строительством метрополитена занимается НПО Мостовик, в который Бондаренко Н.С. вернулся сразу после ухода из муниципального учреждения.</w:t>
      </w:r>
      <w:r w:rsidR="00CD1F9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Вполне возможно, что этот случай является примером «эффекта вращающейся двери».</w:t>
      </w:r>
    </w:p>
    <w:p w:rsidR="00132BE3" w:rsidRPr="0081742E" w:rsidRDefault="00132BE3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Группа ЛСР.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компания из Санкт-Петербурга, что немаловажно при анализе биографий ее руководства. </w:t>
      </w:r>
    </w:p>
    <w:p w:rsidR="00F45D5D" w:rsidRPr="0081742E" w:rsidRDefault="00132BE3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Вахмистров Александр Иванович, генеральный директор и председатель правления до прихода в компанию отвечал за градостроительную политику в администрации губернатора Санкт-Петербурга. В июне 2010 г. ушел с поста вице-губернатора Санкт-Петербурга, а в июле перешел в Группу ЛСР, став генеральным директором.</w:t>
      </w:r>
      <w:r w:rsidR="00F45D5D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Вполне возможно, что столь быстрый переход на высокую позицию в бизнес вызван потенциальным конфликтом интересов.</w:t>
      </w:r>
    </w:p>
    <w:p w:rsidR="00002C8B" w:rsidRPr="0081742E" w:rsidRDefault="00002C8B" w:rsidP="0081742E">
      <w:pPr>
        <w:pStyle w:val="4"/>
        <w:spacing w:before="0" w:beforeAutospacing="0" w:line="360" w:lineRule="auto"/>
        <w:rPr>
          <w:b w:val="0"/>
          <w:bCs w:val="0"/>
          <w:color w:val="000000" w:themeColor="text1"/>
          <w:sz w:val="28"/>
          <w:szCs w:val="28"/>
        </w:rPr>
      </w:pPr>
      <w:proofErr w:type="spellStart"/>
      <w:r w:rsidRPr="0081742E">
        <w:rPr>
          <w:b w:val="0"/>
          <w:color w:val="000000" w:themeColor="text1"/>
          <w:sz w:val="28"/>
          <w:szCs w:val="28"/>
        </w:rPr>
        <w:t>Кострица</w:t>
      </w:r>
      <w:proofErr w:type="spellEnd"/>
      <w:r w:rsidRPr="0081742E">
        <w:rPr>
          <w:b w:val="0"/>
          <w:color w:val="000000" w:themeColor="text1"/>
          <w:sz w:val="28"/>
          <w:szCs w:val="28"/>
        </w:rPr>
        <w:t xml:space="preserve"> Василий Максимович,</w:t>
      </w:r>
      <w:r w:rsidRPr="0081742E">
        <w:rPr>
          <w:color w:val="000000" w:themeColor="text1"/>
          <w:sz w:val="28"/>
          <w:szCs w:val="28"/>
        </w:rPr>
        <w:t xml:space="preserve"> </w:t>
      </w:r>
      <w:r w:rsidRPr="0081742E">
        <w:rPr>
          <w:b w:val="0"/>
          <w:bCs w:val="0"/>
          <w:color w:val="000000" w:themeColor="text1"/>
          <w:sz w:val="28"/>
          <w:szCs w:val="28"/>
        </w:rPr>
        <w:t>Заместитель генерального директора, управляющий  </w:t>
      </w:r>
      <w:proofErr w:type="spellStart"/>
      <w:proofErr w:type="gramStart"/>
      <w:r w:rsidRPr="0081742E">
        <w:rPr>
          <w:b w:val="0"/>
          <w:bCs w:val="0"/>
          <w:color w:val="000000" w:themeColor="text1"/>
          <w:sz w:val="28"/>
          <w:szCs w:val="28"/>
        </w:rPr>
        <w:t>бизнес-единиц</w:t>
      </w:r>
      <w:proofErr w:type="spellEnd"/>
      <w:proofErr w:type="gramEnd"/>
      <w:r w:rsidRPr="0081742E">
        <w:rPr>
          <w:b w:val="0"/>
          <w:bCs w:val="0"/>
          <w:color w:val="000000" w:themeColor="text1"/>
          <w:sz w:val="28"/>
          <w:szCs w:val="28"/>
        </w:rPr>
        <w:t xml:space="preserve"> "ЛСР. Базовые материалы  - </w:t>
      </w:r>
      <w:proofErr w:type="spellStart"/>
      <w:r w:rsidRPr="0081742E">
        <w:rPr>
          <w:b w:val="0"/>
          <w:bCs w:val="0"/>
          <w:color w:val="000000" w:themeColor="text1"/>
          <w:sz w:val="28"/>
          <w:szCs w:val="28"/>
        </w:rPr>
        <w:t>Северо-Запад</w:t>
      </w:r>
      <w:proofErr w:type="spellEnd"/>
      <w:r w:rsidRPr="0081742E">
        <w:rPr>
          <w:b w:val="0"/>
          <w:bCs w:val="0"/>
          <w:color w:val="000000" w:themeColor="text1"/>
          <w:sz w:val="28"/>
          <w:szCs w:val="28"/>
        </w:rPr>
        <w:t>" и "ЛСР. Цемент", помимо этого является действующим депутатом Законодательного собрания Ленинградской области, он также был депутатом 4 созыва</w:t>
      </w:r>
      <w:r w:rsidRPr="0081742E">
        <w:rPr>
          <w:rStyle w:val="a5"/>
          <w:b w:val="0"/>
          <w:bCs w:val="0"/>
          <w:color w:val="000000" w:themeColor="text1"/>
          <w:sz w:val="28"/>
          <w:szCs w:val="28"/>
        </w:rPr>
        <w:footnoteReference w:id="22"/>
      </w:r>
      <w:r w:rsidRPr="0081742E">
        <w:rPr>
          <w:b w:val="0"/>
          <w:bCs w:val="0"/>
          <w:color w:val="000000" w:themeColor="text1"/>
          <w:sz w:val="28"/>
          <w:szCs w:val="28"/>
        </w:rPr>
        <w:t>.</w:t>
      </w:r>
      <w:r w:rsidR="00D174CE" w:rsidRPr="0081742E">
        <w:rPr>
          <w:b w:val="0"/>
          <w:bCs w:val="0"/>
          <w:color w:val="000000" w:themeColor="text1"/>
          <w:sz w:val="28"/>
          <w:szCs w:val="28"/>
        </w:rPr>
        <w:t xml:space="preserve"> С уверенностью можно сказать, что у депутата потенциальный конфликт интересов.</w:t>
      </w:r>
    </w:p>
    <w:p w:rsidR="0028109F" w:rsidRPr="0081742E" w:rsidRDefault="00E73E87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Мурашов Борис Михайлович, заместитель генерального директора группы ЛСР. До прихода в частный сектор он курировал дорожное строительство и транспорт в Санкт-Петербурге (по 2012 г.), был помощником Министра регионального развития РФ, а в 2013 г. стал заместителем главы Госстроя. В этом же году он перешел в группу ЛСР.</w:t>
      </w:r>
      <w:r w:rsidR="00A744B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отметить, что переход из федеральных или региональных органов власти в руководство ЛСР является не такой уж редкой практикой, что вызывает подозрения.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593A" w:rsidRPr="0081742E" w:rsidRDefault="00DC77F1" w:rsidP="0081742E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Проведя мониторинг</w:t>
      </w:r>
      <w:r w:rsidR="005C546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получили следующие выводы. </w:t>
      </w:r>
      <w:r w:rsidR="007A218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Во-первых, </w:t>
      </w:r>
      <w:proofErr w:type="spellStart"/>
      <w:r w:rsidR="007A218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топовые</w:t>
      </w:r>
      <w:proofErr w:type="spellEnd"/>
      <w:r w:rsidR="007A218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 в строительной отрасли не стремятся раскрывать информацию о своих владельцах и менеджерах. Во-вторых, фирмы не используют </w:t>
      </w:r>
      <w:r w:rsidR="007A218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внутренний </w:t>
      </w:r>
      <w:proofErr w:type="spellStart"/>
      <w:r w:rsidR="007A218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комплаенс</w:t>
      </w:r>
      <w:proofErr w:type="spellEnd"/>
      <w:r w:rsidR="007A218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инструмент для урегулирования конфликта интересов.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отсутствие информации о руководстве и открытой отчетности не является препятствием для получения многомиллионных государственных заказов.</w:t>
      </w:r>
    </w:p>
    <w:p w:rsidR="001002F0" w:rsidRPr="0081742E" w:rsidRDefault="00937769" w:rsidP="0081742E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Toc387518130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Владимир Коган</w:t>
      </w:r>
      <w:bookmarkEnd w:id="22"/>
    </w:p>
    <w:p w:rsidR="001002F0" w:rsidRPr="0081742E" w:rsidRDefault="001002F0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Для того чтобы рассмотреть феномен «вращающейся двери», обратимся к биографии бывшего главы Федерального агентства по строительству и ЖКХ (позже преобразованного в министерство), Когана Владимира Игоревича.</w:t>
      </w:r>
    </w:p>
    <w:p w:rsidR="001002F0" w:rsidRPr="0081742E" w:rsidRDefault="001002F0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выдающуюся карьеру он начал достаточно скромно. С 1989 по 1990 гг. он работал механиком в ОТК Автобазы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Госкоминтуриста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СССР в Ленинграде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 достаточно быстро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изменил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интересы и занялся бизнесом.</w:t>
      </w:r>
    </w:p>
    <w:p w:rsidR="001002F0" w:rsidRPr="0081742E" w:rsidRDefault="001002F0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местом работы стала ассоциация предприятий и обществ «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Инверт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», в которой Коган был заместителем  директора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4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 Следует отметить, что после этого он всегда занимал высокие позиции.</w:t>
      </w:r>
    </w:p>
    <w:p w:rsidR="001002F0" w:rsidRPr="0081742E" w:rsidRDefault="001002F0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необходимо упомянуть о его неформальных связях, которые возможно пригодились Владимиру Когану в будущем. Именно в это время формируется кружок либеральных экономистов в Петербурге. Его представителями были Анатолий и Юрий Чубайсы, Алексей Кудрин, Александр Казаков.</w:t>
      </w:r>
    </w:p>
    <w:p w:rsidR="001002F0" w:rsidRPr="0081742E" w:rsidRDefault="001002F0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 сферой деятельности будущего руководителя федерального агентства стало банковское дело. Его компания стала акционером Промышленно-строительного банка в Санкт-Петербурге. По версии некоторых авторов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5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именно в этот момент Коган познакомился с Путиным,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который являлся заместителем Собчака и активно интересовался банковской системой в Санкт-Петербурге. Кроме того, возможно в этого же время он познакомился с Медведевым, будучи совладельцем компании «Илим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Палп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», где трудился нынешний глава правительства.</w:t>
      </w:r>
    </w:p>
    <w:p w:rsidR="001002F0" w:rsidRPr="0081742E" w:rsidRDefault="001002F0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Уже в 1996 г. он стал официально сотрудничать с правительством, участвуя в совете по вопросам банковской деятельности. К тому моменту его банк был уже достаточно крупной компанией, чтобы с его мнением считались в правительстве, хотя совет, конечно, был консультативным органом.</w:t>
      </w:r>
    </w:p>
    <w:p w:rsidR="001002F0" w:rsidRPr="0081742E" w:rsidRDefault="001002F0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Свидетельством растущего влияния Владимира Когана стало предложение создать ассоциацию коммерческих банков Санкт-Петербурга. В 1997 г. он возглавил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ФПГ «Северо-Западное продовольственное объединение «Вита»</w:t>
      </w:r>
      <w:r w:rsidRPr="008174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которое объединяло свыше 50 крупных предприятий в пищевой промышленности.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02F0" w:rsidRPr="0081742E" w:rsidRDefault="001002F0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объединением крупных компаний, которым руководил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Коган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«Банкирский дом «Санкт-Петербург»». Особо отметим тот факт, что вице-президентом компании была жена Сергея Степашина, главы Счетной палаты РФ.</w:t>
      </w:r>
    </w:p>
    <w:p w:rsidR="00EB5724" w:rsidRPr="0081742E" w:rsidRDefault="00EB5724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Примечательно, что вскоре после сдачи дамбы, Коган прекращает государственную службу и переходит в компанию «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Нефтегазиндустрия-менедмент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002F0" w:rsidRPr="0081742E" w:rsidRDefault="001002F0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2005 г. Коган возглавил Федеральное агентство по строительству и ЖКХ РФ</w:t>
      </w:r>
      <w:r w:rsidR="00396B8F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настоящий момент агентство преобразовано в министерство)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 А в 2008 г. он стал руководителем департамента Министерства регионального развития. На обеих должностях он курировал строительство дамбы в Петербурге, увеличив при этом ее бюджет в 2 раза (с 55 до 109 млрд. руб.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002F0" w:rsidRPr="0081742E" w:rsidRDefault="001002F0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приведенной биографии видно, что существует множество оснований для подозрения Коган в конфликте интересов. Личные знакомства с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представителями политической элиты страны позволили ему беспрепятственно переходить из бизнеса в политику и обратно, что и называется «эффект вращающейся двери». </w:t>
      </w:r>
    </w:p>
    <w:p w:rsidR="00DC77F1" w:rsidRPr="0081742E" w:rsidRDefault="00DC77F1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7F1" w:rsidRPr="0081742E" w:rsidRDefault="00DC77F1" w:rsidP="0081742E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Toc387518131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Герхард Шредер</w:t>
      </w:r>
      <w:bookmarkEnd w:id="23"/>
    </w:p>
    <w:p w:rsidR="00DC77F1" w:rsidRPr="0081742E" w:rsidRDefault="00DC77F1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Уход Герхарда шредера из публичной политики в </w:t>
      </w:r>
      <w:r w:rsidR="005D2A6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 является </w:t>
      </w:r>
      <w:proofErr w:type="spellStart"/>
      <w:r w:rsidR="005D2A6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христома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тийным</w:t>
      </w:r>
      <w:proofErr w:type="spellEnd"/>
      <w:r w:rsidR="005D2A6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примером конфликта  интересов при переходе из публичной политики в частный сектор.</w:t>
      </w:r>
    </w:p>
    <w:p w:rsidR="005D2A66" w:rsidRPr="0081742E" w:rsidRDefault="005D2A66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Незадолго до досрочных выборов в Бундестаг 2005 г.</w:t>
      </w:r>
      <w:r w:rsidR="0090729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10 дней до них)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которых его партии СДПГ, по оценкам экспертов, не могла получить много голосов, а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канцлерство Шредера заканчивалось, он подписал соглашение о строительстве Северо-Евразийского газопровода</w:t>
      </w:r>
      <w:r w:rsidR="00E5297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(СЕГ)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 Надо отметить, что в немецком обществе на тот момент не было консенсуса относительно необходимости заключения подобных соглашений с Россией.</w:t>
      </w:r>
    </w:p>
    <w:p w:rsidR="005D2A66" w:rsidRPr="0081742E" w:rsidRDefault="005D2A66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Особый интерес эта история вызвала в декабре 2005 г., когда выяснилось, что после ухода с поста канцлера Шредер возглавит комитет акционеров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North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European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Gas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Pipeline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Company</w:t>
      </w:r>
      <w:proofErr w:type="spellEnd"/>
      <w:r w:rsidR="00DA522A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7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компанией связанной с «Газпромом»</w:t>
      </w:r>
      <w:r w:rsidR="00E52970"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которая в том числе занимается СЕГ.</w:t>
      </w:r>
    </w:p>
    <w:p w:rsidR="009B1FF6" w:rsidRPr="0081742E" w:rsidRDefault="009B1FF6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Подобная ситуация вызвала интерес не только внутри страны, но и за рубежом, т.к. было весьма подозрительно, что Шредер перешел на работу в компанию, связанную с «Газпромом» меньше чем через полгода после подписанных с Россией соглашений.</w:t>
      </w:r>
      <w:r w:rsidR="00907298"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Многие стали высказывать подозрения</w:t>
      </w:r>
      <w:r w:rsidR="00FA5F3A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8"/>
      </w:r>
      <w:r w:rsidR="00907298"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 соглашение о строительстве СЕГ было </w:t>
      </w:r>
      <w:proofErr w:type="gramStart"/>
      <w:r w:rsidR="00907298"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подписана</w:t>
      </w:r>
      <w:proofErr w:type="gramEnd"/>
      <w:r w:rsidR="00907298"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 достижения договоренности о последующем трудоустройстве Шредера.</w:t>
      </w:r>
    </w:p>
    <w:p w:rsidR="006114BE" w:rsidRPr="0081742E" w:rsidRDefault="00FA5F3A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Гидо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Вестервелле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(глава СДПГ) обвинил Шредера в коррупции, однако тот подал в суд</w:t>
      </w:r>
      <w:r w:rsidR="007B1B06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9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выиграл дело, поэтому лидер СДПГ был обязан прекратить говорить о Шредере как о коррупционере.</w:t>
      </w:r>
    </w:p>
    <w:p w:rsidR="00FA5F3A" w:rsidRPr="0081742E" w:rsidRDefault="00FA5F3A" w:rsidP="0081742E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312C0" w:rsidRPr="0081742E" w:rsidRDefault="009F603C" w:rsidP="0081742E">
      <w:pPr>
        <w:pStyle w:val="1"/>
        <w:spacing w:line="360" w:lineRule="auto"/>
        <w:rPr>
          <w:rFonts w:ascii="Times New Roman" w:hAnsi="Times New Roman" w:cs="Times New Roman"/>
          <w:color w:val="000000" w:themeColor="text1"/>
        </w:rPr>
      </w:pPr>
      <w:bookmarkStart w:id="24" w:name="_Toc387518132"/>
      <w:r w:rsidRPr="0081742E">
        <w:rPr>
          <w:rFonts w:ascii="Times New Roman" w:hAnsi="Times New Roman" w:cs="Times New Roman"/>
          <w:color w:val="000000" w:themeColor="text1"/>
        </w:rPr>
        <w:t>Глава 3. Регулирование</w:t>
      </w:r>
      <w:r w:rsidR="00393188" w:rsidRPr="0081742E">
        <w:rPr>
          <w:rFonts w:ascii="Times New Roman" w:hAnsi="Times New Roman" w:cs="Times New Roman"/>
          <w:color w:val="000000" w:themeColor="text1"/>
        </w:rPr>
        <w:t xml:space="preserve"> конфликта интересов</w:t>
      </w:r>
      <w:bookmarkEnd w:id="24"/>
    </w:p>
    <w:p w:rsidR="009F603C" w:rsidRPr="0081742E" w:rsidRDefault="009F603C" w:rsidP="0081742E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Toc387518133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Борьба с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post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employment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conflict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interest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России.</w:t>
      </w:r>
      <w:bookmarkEnd w:id="25"/>
    </w:p>
    <w:p w:rsidR="000312C0" w:rsidRPr="0081742E" w:rsidRDefault="000312C0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Toc387517123"/>
      <w:bookmarkStart w:id="27" w:name="_Toc387518134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Для анализа политики регулирования конфликта интересов в России в первую очередь необходимо определить, как она реализуется на различных уровнях власти. В данном случае необходимо прибегнуть к разграничению публичных должностных лиц на политических и административных.</w:t>
      </w:r>
      <w:r w:rsidR="00045BA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Подобное разграничение позволит определить, для чего нужны различные требования для чиновников</w:t>
      </w:r>
      <w:r w:rsidR="00FB328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лиц, замещающих государственные должности.</w:t>
      </w:r>
      <w:bookmarkEnd w:id="26"/>
      <w:bookmarkEnd w:id="27"/>
    </w:p>
    <w:p w:rsidR="00045BA6" w:rsidRPr="0081742E" w:rsidRDefault="0043527F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_Toc387517124"/>
      <w:bookmarkStart w:id="29" w:name="_Toc387518135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Обратимся к теоретическому обоснованию подобных разграничений. Наиболее полно и убедительно они отражены в работе М.Вебера «Политика как призвание и профессия». </w:t>
      </w:r>
      <w:r w:rsidR="00E6405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выделял группу тех, кто живет для политики, и тех, кто живет, за счет политики. </w:t>
      </w:r>
      <w:r w:rsidR="00E207CA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Те, кто живут за счет политики, представляют собой профессиональную бюрократию, которая обеспечивает функционирование государства, но не определяет вектор его развития. Те же, кто живет ради политики, наоборот – должны всячески стремится к тому, чтоб</w:t>
      </w:r>
      <w:r w:rsidR="00F144F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ы не получать от нее доход, а жить за счет ренты, чтобы исключить влияние посто</w:t>
      </w:r>
      <w:r w:rsidR="002554D6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ронних факторов на свое решение, т.к. они определяют вектор развития страны.</w:t>
      </w:r>
      <w:bookmarkEnd w:id="28"/>
      <w:bookmarkEnd w:id="29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Toc387517125"/>
      <w:bookmarkStart w:id="31" w:name="_Toc387518136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уже упоминалось российское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 ряд мер по предотвращению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post-employment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conflict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interest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 в статье 12 ФЗ № 273 «О Противодействии коррупции» перечислены ограничения для дальнейшего трудоустройства публичных должностных лиц. В пункте 1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говорится о том, что чиновник в течение 2 лет после увольнения со службы может занимать должность в частной сфере в той области, которую он ранее регулировала с согласия комиссии по соблюдению требований к служебному поведению государственных или муниципальных служащих и урегулированию конфликта интересов. Однако суды по содержанию этого пункта согласие требуется в тех случаях, когда зарплата в частном секторе будет выше 100000 руб.</w:t>
      </w:r>
      <w:bookmarkEnd w:id="30"/>
      <w:bookmarkEnd w:id="31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_Toc387517126"/>
      <w:bookmarkStart w:id="33" w:name="_Toc387518137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Безусловно, само наличие подобных ограничений – достаточно позитивный шаг. Однако если использовать его в наших реалиях, станет очевидна его неэффективность. Приведем лишь некоторые возможные уловки, которые могут использовать (скорее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давно используют) недобросовестные чиновники. Во-первых, официально на новом рабочем месте бывший государственный служащий может зарабатывать меньше 100000 руб., но при этом часть заработка (свыше 100000 руб.) он  получит «в конверте», чтобы не вызывать подозрения у комиссии. Вероятность этого события выше, если чиновник имеет конфликт интересов с этой компанией.</w:t>
      </w:r>
      <w:bookmarkEnd w:id="32"/>
      <w:bookmarkEnd w:id="33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_Toc387517127"/>
      <w:bookmarkStart w:id="35" w:name="_Toc387518138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решения комиссии по урегулированию конфликта интересов может оказаться необъективным, т.к. она может быть подкуплена заинтересованной стороной (компанией-работодателем бывшего чиновника). При высокой коррумпированности системы исполнительной в Росс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недостаточной прозрачности, такой вариант развития событий выглядит вполне правдоподобным.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члены комиссии могут иметь конфликт интересов по отношению к служащему, чье дело будет рассматривать, хотя подобное противоречит положению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30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.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коррупционные риски от человеческого фактора также остаются весьма высокими, что приводит нас к выводу, что на данном этапе реализации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анти-коррупционной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разумнее отказаться от участия комиссии в рассмотрение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post-employment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conflict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interest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сохранив при этом ограничение в 2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занимание должностей в компании в той области, которую чиновник ранее регулировал.</w:t>
      </w:r>
      <w:r w:rsidR="00A03A59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бы не стало слишком резким изменением, однако подготовило бы почву для дальнейшего пересмотра законодательства, регулирующего «эффект вращающейся двери».</w:t>
      </w:r>
      <w:bookmarkEnd w:id="34"/>
      <w:bookmarkEnd w:id="35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Однако даже если решение комиссии по урегулированию конфликта интересов оказалось объективным окончательное решение принимает руководитель, за исключением случаев предусматривающих административную ответственность. Согласно Положению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31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руководитель обязан рассмотреть решение комиссии и «вправе учесть в пределах своей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содержащиеся в нем рекомендации», т.е. принятие мер остается на его личное усмотрение. При этом решение руководителя принимается без обсуждения. </w:t>
      </w:r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Важным показателем является тот факт, что комиссия не рассматривает анонимные заявления, что снижает количество потенциальных обращений. Отсутствие анонимности заявителя делает его уязвимым: его могут начать притеснять, угрожать различными мерами воздействия, вплоть до увольнения.</w:t>
      </w:r>
    </w:p>
    <w:p w:rsidR="00A03A59" w:rsidRPr="0081742E" w:rsidRDefault="00A03A59" w:rsidP="008174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обратимся к временному ограничению на занятие должностей в частной сфере. Является ли двухлетний период достаточным для того, чтобы предотвратить использование своего служебного положения бывшим чиновником? Да, но только для совсем очевидных случаев передачи контрактов, собственности и иных привилегий компании будущего работодателя в остальных случаях подобная мера не столь эффективна. Кроме того, подобные ограничения могут не распространяться на компании с большой долей государственного капитала. Это видно не только из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практики, Япония сталкива</w:t>
      </w:r>
      <w:r w:rsidR="00D12543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лась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подобными проблемами, стараясь соблюдать </w:t>
      </w:r>
      <w:r w:rsidR="00C5665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законы, призванные бороться с конфликтом интересов</w:t>
      </w:r>
      <w:r w:rsidR="00D12543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32"/>
      </w:r>
      <w:r w:rsidR="00C5665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7732" w:rsidRPr="0081742E" w:rsidRDefault="00547732" w:rsidP="0081742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пунктом критики регулирования «эффекта вращающейся двери» в России является отсутствие законодательства, регулирующего лоббистскую деятельность. В первую очередь закон о лоббизме ограничил число лиц, защищающих позиции коммерческих и некоммерческих организаций, что позволило бы увеличить ответственность чиновников, занимающихся лоббизмом в пользу будущего работодателя.</w:t>
      </w:r>
    </w:p>
    <w:p w:rsidR="009F603C" w:rsidRPr="0081742E" w:rsidRDefault="00937769" w:rsidP="0081742E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_Toc387518139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</w:t>
      </w:r>
      <w:r w:rsidR="009F603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комиссий по урегулированию конфликта интересов в федеральных министерствах</w:t>
      </w:r>
      <w:bookmarkEnd w:id="36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_Toc387517129"/>
      <w:bookmarkStart w:id="38" w:name="_Toc387518140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проверки предположения о непрозрачности деятельности комиссий по урегулирования конфликта интересов были выбраны соответствующие комиссии в 21 из 22 федеральных министерств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33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т.к. деятельность министе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рств пр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ивлекает большое внимание, и, следовательно, их сайты должны отличатся большой прозрачностью.</w:t>
      </w:r>
      <w:bookmarkEnd w:id="37"/>
      <w:bookmarkEnd w:id="38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_Toc387517130"/>
      <w:bookmarkStart w:id="40" w:name="_Toc387518141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Для мониторинга была разработана соответствующая анкета (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</w:t>
      </w:r>
      <w:r w:rsidR="00D7380B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целью которой было узнать, в какой степени деятельность комиссии отражена в материалах на официальном сайте. </w:t>
      </w:r>
      <w:r w:rsidR="00C4088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сведения помогли ответить на вопрос: насколько прозрачен процесс переходу публичного должност</w:t>
      </w:r>
      <w:r w:rsidR="0082718D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4088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ого лица в частный сектор.</w:t>
      </w:r>
      <w:bookmarkEnd w:id="39"/>
      <w:bookmarkEnd w:id="40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_Toc387517131"/>
      <w:bookmarkStart w:id="42" w:name="_Toc387518142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то, что у большинства сайтов (20 из 21) есть раздел посвященный деятельности комиссии по урегулированию трудовых споров и разрешению конфликта интересов, его наполнение не всегда даже содержит положение о его работе. У </w:t>
      </w:r>
      <w:r w:rsidR="00C4088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 оно находиться в других разделах, а у 1 его нет вообще.</w:t>
      </w:r>
      <w:bookmarkEnd w:id="41"/>
      <w:bookmarkEnd w:id="42"/>
    </w:p>
    <w:p w:rsidR="000757DA" w:rsidRPr="0081742E" w:rsidRDefault="000757DA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_Toc387517132"/>
      <w:bookmarkStart w:id="44" w:name="_Toc387518143"/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Кроме того, 5 из 21 министерств не раскрывают полностью состав комиссии: в некоторых случаях не указаны фамилии членов, а есть только их должности (Министерство обороны)</w:t>
      </w:r>
      <w:r w:rsidR="009D33E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другом случае представлены лишь изменения состава комиссии (Министерство экономического развития)</w:t>
      </w:r>
      <w:r w:rsidR="009D33E2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3 случаях информация о составе комиссии отсутствует полностью (МИД, Министерство промышленности и торговли, Мин</w:t>
      </w:r>
      <w:r w:rsidR="00937DB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истерство строительства и ЖКХ).</w:t>
      </w:r>
      <w:bookmarkEnd w:id="43"/>
      <w:bookmarkEnd w:id="44"/>
      <w:proofErr w:type="gramEnd"/>
    </w:p>
    <w:p w:rsidR="009F603C" w:rsidRPr="0081742E" w:rsidRDefault="00C40882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_Toc387517133"/>
      <w:bookmarkStart w:id="46" w:name="_Toc387518144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У большинства</w:t>
      </w:r>
      <w:r w:rsidR="00CE060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</w:t>
      </w:r>
      <w:r w:rsidR="009F603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на сайте размещены</w:t>
      </w:r>
      <w:r w:rsidR="009F603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отчеты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деятельности комиссии</w:t>
      </w:r>
      <w:r w:rsidR="009F603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: обобщенные за определенный период либо о каждом заседании отдельно</w:t>
      </w:r>
      <w:r w:rsidR="00CE060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CE060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proofErr w:type="gramEnd"/>
      <w:r w:rsidR="00CE060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диаграмма </w:t>
      </w:r>
      <w:r w:rsidR="00DE04D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E0607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F603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отметить, что понятие «отчет» в проведенном мониторинге понимается крайне широко. Под ним подразумевается упоминание на сайте об одном или нескольких заседаниях комиссии, что в строгом смысле не всегда соответствует понятию «отчет», а скорее является новостью</w:t>
      </w:r>
      <w:r w:rsidR="00E934E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45"/>
      <w:bookmarkEnd w:id="46"/>
    </w:p>
    <w:p w:rsidR="00E51470" w:rsidRPr="0081742E" w:rsidRDefault="00E51470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0607" w:rsidRPr="0081742E" w:rsidRDefault="00DE04D0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7" w:name="_Toc387517134"/>
      <w:bookmarkStart w:id="48" w:name="_Toc387518145"/>
      <w:r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Диаграмма 3</w:t>
      </w:r>
      <w:r w:rsidR="00CE0607"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Размещение отчетов о деятельности в </w:t>
      </w:r>
      <w:proofErr w:type="gramStart"/>
      <w:r w:rsidR="00CE0607"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разделе</w:t>
      </w:r>
      <w:proofErr w:type="gramEnd"/>
      <w:r w:rsidR="00CE0607"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комиссии по урегулированию конфликта интересов</w:t>
      </w:r>
      <w:bookmarkEnd w:id="47"/>
      <w:bookmarkEnd w:id="48"/>
      <w:r w:rsidR="00CE0607" w:rsidRPr="008174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34E0" w:rsidRPr="0081742E" w:rsidRDefault="00E934E0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_Toc387517135"/>
      <w:bookmarkStart w:id="50" w:name="_Toc387518146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Только у 5 из 21 комиссий представлена информация об их деятельности в 2012 г., что в свою очередь демонстрирует нежелание министерств полностью освещать свою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антикоррупционную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деятельность.</w:t>
      </w:r>
      <w:r w:rsidR="00D05E8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отметить, что отсутствие информации за предшествующий период свойственно не только </w:t>
      </w:r>
      <w:proofErr w:type="gramStart"/>
      <w:r w:rsidR="00D05E8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разделам</w:t>
      </w:r>
      <w:proofErr w:type="gramEnd"/>
      <w:r w:rsidR="00D05E8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посвященным деятельности комиссии, но и разделам открывающим сведения о доходах чиновников.</w:t>
      </w:r>
      <w:bookmarkEnd w:id="49"/>
      <w:bookmarkEnd w:id="50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_Toc387517136"/>
      <w:bookmarkStart w:id="52" w:name="_Toc387518147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 следует упомянуть состав этих отчетов. В некоторых случаях  (например, комиссии в МВД) предоставляют число обращений в комиссии по различным вопросам за определенный период и общее число тех, к кому советуется применить дисциплинарные меры. Это дает определенную картину происходящего, однако остаются без ответа важные вопросы: какое количество дисциплинарных взысканий было применено в каждой группе обращений? Какие решения были приняты при запросах на разрешение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НКО или частном секторе бывшему чиновнику? Какие аргументы «за» и «против» использовались?</w:t>
      </w:r>
      <w:bookmarkEnd w:id="51"/>
      <w:bookmarkEnd w:id="52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_Toc387517137"/>
      <w:bookmarkStart w:id="54" w:name="_Toc387518148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Другая группа представляла отчеты с таблицами по количеству обращений и решениям по ним. В них так же не ясна мотивировка решения комиссии.</w:t>
      </w:r>
      <w:bookmarkEnd w:id="53"/>
      <w:bookmarkEnd w:id="54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_Toc387517138"/>
      <w:bookmarkStart w:id="56" w:name="_Toc387518149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Третья группа отчетов представляла собой подобие выписки из протокола заседания. Однако отличалось неконкретностью в формулировках. Например, «рассматривалось обращение чиновников» - по этой формулировке крайне сложно понять, какое количество государственных служащих обратилось в комиссию.</w:t>
      </w:r>
      <w:bookmarkEnd w:id="55"/>
      <w:bookmarkEnd w:id="56"/>
    </w:p>
    <w:p w:rsidR="009F603C" w:rsidRPr="0081742E" w:rsidRDefault="009F603C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_Toc387517139"/>
      <w:bookmarkStart w:id="58" w:name="_Toc387518150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6B3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наконец</w:t>
      </w:r>
      <w:r w:rsidR="00136B3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последняя группа отчетов больше походила на протокол заседания, но без упоминания фамилий конкретных людей, а также упускала аргументацию сторон. Однако</w:t>
      </w:r>
      <w:r w:rsidR="00136B30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несмотря на недостатки,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является самой прозрачной группой отчетов.</w:t>
      </w:r>
      <w:bookmarkEnd w:id="57"/>
      <w:bookmarkEnd w:id="58"/>
    </w:p>
    <w:p w:rsidR="009F603C" w:rsidRPr="0081742E" w:rsidRDefault="009F603C" w:rsidP="0081742E">
      <w:pPr>
        <w:pStyle w:val="HTML"/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данном случае необходимо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упомянуть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Положении в статье 21 указано, что «члены  комиссии и лица,  участвовавшие в ее заседании,  не вправе разглашать сведения,  ставшие им известными  в  ходе  работы комиссии»</w:t>
      </w:r>
      <w:r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34"/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Данное указание является, пожалуй, наиболее серьезным препятствием для раскрытия информации о ходе заседания. Безусловно, главным аргументов в данном случае является защита интересов служащего, чье дело рассматривается. Однако данные относящиеся к деятельности государственного служащего должны публиковаться в случаях, когда могут пострадать общественные интересы. К этим случаям относится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post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employment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conflict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interest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 Общество должно быть уверено, что чиновник не принес в жертву его интересы, чтобы перейти на работу в частную компанию или в некоммерческий сектор.</w:t>
      </w:r>
    </w:p>
    <w:p w:rsidR="009F603C" w:rsidRPr="0081742E" w:rsidRDefault="009F603C" w:rsidP="0081742E">
      <w:pPr>
        <w:pStyle w:val="HTML"/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проведения мониторинга комиссий, которые представили отчеты о своей работе, было обнаружено </w:t>
      </w:r>
      <w:r w:rsidR="00BC5539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лишь незначительное число 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r w:rsidR="00BC5539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публичному должностному лицу в переходе в частный или некоммерческий сектор. Таким образом, комиссия по урегулированию конфликта интересов вряд ли является серьезным препятствием для ухода чиновника в бизнес.</w:t>
      </w:r>
    </w:p>
    <w:p w:rsidR="00162C74" w:rsidRPr="0081742E" w:rsidRDefault="00162C74" w:rsidP="0081742E">
      <w:pPr>
        <w:pStyle w:val="HTML"/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даже поверхностный взгляд на Положения о комиссиях в министерствах показал, что </w:t>
      </w:r>
      <w:r w:rsidR="00BF2F7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из них в той или иной мере противоречат Положению, опубликованному в Указе президента, что возможно будет интересно для других исследователей. </w:t>
      </w:r>
      <w:proofErr w:type="gramStart"/>
      <w:r w:rsidR="00BF2F7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Так, например, в Положении комиссии в МЧС указано, что «заседание комиссии считается правомочным, если на нем присутствует не менее 2/3 от общего числа комиссии»</w:t>
      </w:r>
      <w:r w:rsidR="0011762A" w:rsidRPr="0081742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35"/>
      </w:r>
      <w:r w:rsidR="00BF2F7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то время как в Положении из Указа президента  есть дополнение к этому пункту о том, что недопустимо проводить заседание, </w:t>
      </w:r>
      <w:r w:rsidR="00BF2F7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если на нем присутствуют только чиновники, входящие в состав комиссии.</w:t>
      </w:r>
      <w:proofErr w:type="gramEnd"/>
      <w:r w:rsidR="00BF2F7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Невыполнение данного требования ставит под сомнение объективность принятого решения.</w:t>
      </w:r>
    </w:p>
    <w:p w:rsidR="002749AC" w:rsidRPr="0081742E" w:rsidRDefault="002749AC" w:rsidP="0081742E">
      <w:pPr>
        <w:pStyle w:val="HTML"/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анализа полученных данных хотелось бы отметить наиболее выдающиеся как в положительном, так и в отрицательном смысле результаты по комиссиям в министерствах.</w:t>
      </w:r>
    </w:p>
    <w:p w:rsidR="002749AC" w:rsidRPr="0081742E" w:rsidRDefault="003248A3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_Toc387517140"/>
      <w:bookmarkStart w:id="60" w:name="_Toc387518151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Неприятным сюрпризом стали результаты комиссии</w:t>
      </w:r>
      <w:r w:rsidR="002749A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урегулированию конфликта интересов в Министерстве строительства и жилищно-коммунального хозяйства Российской Федерации. На их сайте никаким образом не упоминается деятельность этой организации. При условии, что строительство было и остается одной из </w:t>
      </w:r>
      <w:proofErr w:type="gramStart"/>
      <w:r w:rsidR="002749A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самый</w:t>
      </w:r>
      <w:proofErr w:type="gramEnd"/>
      <w:r w:rsidR="002749AC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коррупционных областей в России, непрозрачность министерства в данном случае является показателем нежелания изменить сложившуюся ситуацию.</w:t>
      </w:r>
      <w:bookmarkEnd w:id="59"/>
      <w:bookmarkEnd w:id="60"/>
    </w:p>
    <w:p w:rsidR="009F603C" w:rsidRPr="0081742E" w:rsidRDefault="005D2DB1" w:rsidP="0081742E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_Toc387518152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Регулирование конфликта интересов публичных должностных лиц федерального уровня</w:t>
      </w:r>
      <w:bookmarkEnd w:id="61"/>
    </w:p>
    <w:p w:rsidR="005D2DB1" w:rsidRPr="0081742E" w:rsidRDefault="005D2DB1" w:rsidP="0081742E">
      <w:pPr>
        <w:autoSpaceDE w:val="0"/>
        <w:autoSpaceDN w:val="0"/>
        <w:adjustRightInd w:val="0"/>
        <w:spacing w:after="100" w:afterAutospacing="1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_Toc387517142"/>
      <w:bookmarkStart w:id="63" w:name="_Toc387518153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Как уже писалось выше, в России за регулирование конфликта интересов отвечают различные организации в зависимости от уровня органа. Конфликт интересов у высших должностных лиц (лиц, замещающих должности) регулирует Управление Президента Российской Федерации по вопросам противодействия коррупции, возглавляемое Олегом Анатольевичем Плохим.</w:t>
      </w:r>
      <w:bookmarkEnd w:id="62"/>
      <w:bookmarkEnd w:id="63"/>
    </w:p>
    <w:p w:rsidR="00FF49BF" w:rsidRPr="0081742E" w:rsidRDefault="00FF49BF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Это ведомство создано совсем недавно – Указ № 878 был подписан президентом 3 декабря 2013 г.</w:t>
      </w:r>
      <w:r w:rsidR="006072E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что возможно объясняет недостаток информац</w:t>
      </w:r>
      <w:proofErr w:type="gramStart"/>
      <w:r w:rsidR="006072E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ии о е</w:t>
      </w:r>
      <w:proofErr w:type="gramEnd"/>
      <w:r w:rsidR="006072E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го деятельности. В настоящий момент управление не имеет собственного официального сайта, а лишь упоминается на официальном</w:t>
      </w:r>
      <w:r w:rsidR="000C13F4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Администрации Президента, что создает серьезные препятствия для анализа его деятельности.</w:t>
      </w:r>
    </w:p>
    <w:p w:rsidR="00A03A59" w:rsidRPr="0081742E" w:rsidRDefault="00A03A59" w:rsidP="0081742E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_Toc387518154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Зарубежное регулирование</w:t>
      </w:r>
      <w:bookmarkEnd w:id="64"/>
    </w:p>
    <w:p w:rsidR="00C24040" w:rsidRPr="0081742E" w:rsidRDefault="00C24040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зарубежной практике нет универсальных способов регулирования конфликта интересов после ухода из публичной службы. Страны самостоятельно выбирают набор ограничительных мер и санкций за их несоблюдение.</w:t>
      </w:r>
    </w:p>
    <w:p w:rsidR="00726DFB" w:rsidRPr="0081742E" w:rsidRDefault="008D303B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Особенностями регулирования «вращающихся дверей» в США является ответственность компаний, нанимающих бывших публичных должностных лиц. Именно </w:t>
      </w:r>
      <w:r w:rsidR="00726DFB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proofErr w:type="gramStart"/>
      <w:r w:rsidR="00726DFB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большей степени заинтересованы в отсутствии подозрений к процессу перехода из публичной сферы в их компанию</w:t>
      </w:r>
      <w:proofErr w:type="gramEnd"/>
      <w:r w:rsidR="00B77AB5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т.к. в случае обнаружения конфликта интересов им грозят серьезные штрафы и </w:t>
      </w:r>
      <w:proofErr w:type="spellStart"/>
      <w:r w:rsidR="00B77AB5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репутационные</w:t>
      </w:r>
      <w:proofErr w:type="spellEnd"/>
      <w:r w:rsidR="00B77AB5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потери.</w:t>
      </w:r>
    </w:p>
    <w:p w:rsidR="00C22D3A" w:rsidRPr="0081742E" w:rsidRDefault="00282EF1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предотвращения «эффекта вращающейся двери» во Франции действует временное ограничение для публичных должностных лиц, покидающих государственную служ</w:t>
      </w:r>
      <w:r w:rsidR="00A03A59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бу. Они не имеют право в течение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лет после увольнения не работать в частном секторе.</w:t>
      </w:r>
    </w:p>
    <w:p w:rsidR="00C22D3A" w:rsidRPr="0081742E" w:rsidRDefault="00C22D3A" w:rsidP="0081742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F6C6D" w:rsidRPr="0081742E" w:rsidRDefault="00AA0414" w:rsidP="0081742E">
      <w:pPr>
        <w:pStyle w:val="1"/>
        <w:spacing w:line="360" w:lineRule="auto"/>
        <w:rPr>
          <w:rFonts w:ascii="Times New Roman" w:hAnsi="Times New Roman" w:cs="Times New Roman"/>
          <w:color w:val="000000" w:themeColor="text1"/>
        </w:rPr>
      </w:pPr>
      <w:bookmarkStart w:id="65" w:name="_Toc387518155"/>
      <w:r w:rsidRPr="0081742E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65"/>
    </w:p>
    <w:p w:rsidR="00AA0414" w:rsidRPr="0081742E" w:rsidRDefault="00AA0414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Конфликт интересов при переходе их публичной власти в частный сектор является одной из важнейших проблем в России и за рубежом. Ввиду этого страны принимают различные меры для его регулирования, чтобы не допустить увеличения проявлений коррупции.</w:t>
      </w:r>
    </w:p>
    <w:p w:rsidR="00AA0414" w:rsidRPr="0081742E" w:rsidRDefault="00AA0414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проведенного исследования удалось доказать, что недостаточное регулирование процесса перехода с публичной службы в частный сектор ведет к распространению проявлений конфликта интересов.  В результате были выявлены основные пробе</w:t>
      </w:r>
      <w:r w:rsidR="00B06EF8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лы российского законодательства, мешающие эффективно разрешать конфликт интересов.</w:t>
      </w:r>
    </w:p>
    <w:p w:rsidR="0081742E" w:rsidRPr="0081742E" w:rsidRDefault="0081742E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нормативно-правовой базы регулирования конфликта интересов в России продемонстрировал узость трактовки понятия «конфликт интересов», что ведет к снижению эффективности мер по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антикоррупционному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контролю над процессом перехода публичного должностного лица в бизнес.</w:t>
      </w:r>
    </w:p>
    <w:p w:rsidR="00B06EF8" w:rsidRPr="0081742E" w:rsidRDefault="00B06EF8" w:rsidP="008174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Помимо этого был проведен</w:t>
      </w:r>
      <w:r w:rsidR="0081742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ы два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</w:t>
      </w:r>
      <w:r w:rsidR="0081742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 </w:t>
      </w:r>
      <w:r w:rsidR="0081742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строительных компаний</w:t>
      </w:r>
      <w:r w:rsidR="0081742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комиссий по разрешению конфликта интересов)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которы</w:t>
      </w:r>
      <w:r w:rsidR="0081742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</w:t>
      </w:r>
      <w:r w:rsidR="0081742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процесс перехода в бизнес бывших чиновников является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очень н</w:t>
      </w:r>
      <w:r w:rsidR="0081742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прозрачным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процессом</w:t>
      </w:r>
      <w:r w:rsidR="0081742E"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нуждается в большей открытости.</w:t>
      </w:r>
    </w:p>
    <w:p w:rsidR="009761B4" w:rsidRPr="0081742E" w:rsidRDefault="009761B4" w:rsidP="0081742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6EF8" w:rsidRPr="0081742E" w:rsidRDefault="00B06EF8" w:rsidP="0081742E">
      <w:pPr>
        <w:spacing w:line="360" w:lineRule="auto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31B55" w:rsidRPr="0081742E" w:rsidRDefault="00431B55" w:rsidP="0081742E">
      <w:pPr>
        <w:pStyle w:val="1"/>
        <w:spacing w:line="360" w:lineRule="auto"/>
        <w:rPr>
          <w:rFonts w:ascii="Times New Roman" w:hAnsi="Times New Roman" w:cs="Times New Roman"/>
          <w:color w:val="000000" w:themeColor="text1"/>
        </w:rPr>
      </w:pPr>
      <w:bookmarkStart w:id="66" w:name="_Toc387518156"/>
      <w:r w:rsidRPr="0081742E">
        <w:rPr>
          <w:rFonts w:ascii="Times New Roman" w:hAnsi="Times New Roman" w:cs="Times New Roman"/>
          <w:color w:val="000000" w:themeColor="text1"/>
        </w:rPr>
        <w:lastRenderedPageBreak/>
        <w:t>Список использованных источников</w:t>
      </w:r>
      <w:bookmarkEnd w:id="66"/>
    </w:p>
    <w:p w:rsidR="0048277B" w:rsidRPr="0081742E" w:rsidRDefault="0048277B" w:rsidP="0081742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78F" w:rsidRPr="0081742E" w:rsidRDefault="0083478F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Кодекс корпоративного управление (поведения) ОАО «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Стройтрансгаз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3478F" w:rsidRPr="0081742E" w:rsidRDefault="0083478F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Кодекс этики ОАО «Группа компаний ПИК»</w:t>
      </w:r>
    </w:p>
    <w:p w:rsidR="001E15AE" w:rsidRPr="0081742E" w:rsidRDefault="001E15AE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Конвенция ООН против коррупции </w:t>
      </w:r>
    </w:p>
    <w:p w:rsidR="007547A3" w:rsidRPr="0081742E" w:rsidRDefault="007547A3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комиссии Министерства Российской Федера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ции по делам гражданской обороны, чрезвычайным ситуациям и ликвидации последствий стихийных бедствий по организации работы по противодействию коррупции. </w:t>
      </w:r>
    </w:p>
    <w:p w:rsidR="004F5E7C" w:rsidRPr="0081742E" w:rsidRDefault="004F5E7C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ОЭСР по разрешению конфликта интересов на государственной службе – URL: http://www.oecd.org/gov/ethics/49106105.pdf</w:t>
      </w:r>
    </w:p>
    <w:p w:rsidR="007547A3" w:rsidRPr="0081742E" w:rsidRDefault="007547A3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 президента № 821. Положение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интересов. </w:t>
      </w:r>
    </w:p>
    <w:p w:rsidR="001E15AE" w:rsidRPr="0081742E" w:rsidRDefault="001E15AE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№273 «О Противодействии коррупции»</w:t>
      </w:r>
    </w:p>
    <w:p w:rsidR="0083478F" w:rsidRPr="0081742E" w:rsidRDefault="0083478F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 крупнейших частных компаний России – 2013//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Forbes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26.09.2013 – URL: http://www.forbes.ru/rating/200-krupneishikh-chastnykh-kompanii-rossii-2013/2013?full=1&amp;table=1</w:t>
      </w:r>
    </w:p>
    <w:p w:rsidR="007547A3" w:rsidRPr="0081742E" w:rsidRDefault="007547A3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Анисимцев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 За рубежом. Япония: обеспечение прозрачности («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транпарентности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 административно-государственного управления// Государство и право, №6, Июнь 2003, с.61 – URL: </w:t>
      </w:r>
      <w:hyperlink r:id="rId12" w:history="1"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http://www.ebiblioteka.ru/browse/doc/5119912</w:t>
        </w:r>
      </w:hyperlink>
    </w:p>
    <w:p w:rsidR="00FA6FB3" w:rsidRPr="0081742E" w:rsidRDefault="00FA6FB3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Банкир из Петербурга: как Владимир Коган пробивается в высшую лигу//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Forbes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hyperlink r:id="rId13" w:history="1"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URL:http://www.forbes.ru/milliardery/248465-bankir-iz-peterburga-kak-vladimir-kogan-probivaetsya-v-vysshuyu-biznes-ligu</w:t>
        </w:r>
      </w:hyperlink>
    </w:p>
    <w:p w:rsidR="00FA6FB3" w:rsidRPr="0081742E" w:rsidRDefault="00FA6FB3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по-шрёдеровски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// DW.DE. 01.04.2006 - URL: http://dw.de/p/8BRc</w:t>
      </w:r>
    </w:p>
    <w:p w:rsidR="0083478F" w:rsidRPr="0081742E" w:rsidRDefault="0083478F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Биография Владимира Когана// РИА Новости, 13.09.2013 – URL: http://ria.ru/spravka/20130913/961931664.html</w:t>
      </w:r>
    </w:p>
    <w:p w:rsidR="00FA6FB3" w:rsidRPr="0081742E" w:rsidRDefault="00FA6FB3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Близкий к Путину бизнесмен Коган покинул Госстрой после конфликта с Медведевым// Телеканал Дождь – URL: http://tvrain.ru/articles/blizkij_k_putinu_biznesmen_kogan_pokinul_gosstroj_posle_konflikta_s_medvedevym-334705/</w:t>
      </w:r>
    </w:p>
    <w:p w:rsidR="00FA6FB3" w:rsidRPr="0081742E" w:rsidRDefault="00FA6FB3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Герхард Шредер пытается восстановить доброе имя// DW.DE, 20.03.2006 – URL: http://dw.de/p/88S6</w:t>
      </w:r>
    </w:p>
    <w:p w:rsidR="004F5E7C" w:rsidRPr="0081742E" w:rsidRDefault="004F5E7C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Головщинский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К.И.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Коррупциногенность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ном. Конфликт интересов как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коррупциногенный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 // Фонд ИНДЕМ, Москва, 2001,  42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6FB3" w:rsidRPr="0081742E" w:rsidRDefault="00FA6FB3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Дамба подорожала на 26,7 млрд. руб.// Ведомости, 01.03.2011 – URL: http://www.vedomosti.ru/newspaper/article/255803/damba_podorozhala_na_267_mlrd_rub</w:t>
      </w:r>
    </w:p>
    <w:p w:rsidR="00D848E2" w:rsidRPr="0081742E" w:rsidRDefault="00781711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Доверия россиян к институтам власти и общества// Левада-Центр – URL: http://www.levada.ru/24-11-2011/doverie-rossiyan-institutam-vlasti-i-obshchestva </w:t>
      </w:r>
    </w:p>
    <w:p w:rsidR="00D848E2" w:rsidRPr="0081742E" w:rsidRDefault="00D848E2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Дедов Д. И. Конфликт интересов – М.: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Волтерс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Клувер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2004. – 273 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15AE" w:rsidRPr="0081742E" w:rsidRDefault="001E15AE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Елена Панфилова: Главное узнаем из... приговоров // Аргументы и факты – URL: http://www.aif.ru/money/corruption/38146</w:t>
      </w:r>
    </w:p>
    <w:p w:rsidR="001E15AE" w:rsidRPr="0081742E" w:rsidRDefault="001E15AE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Елена Панфилова «Путин хочет борьбы с коррупцией там, где ему важно» - Новая Газета – URL: </w:t>
      </w:r>
      <w:hyperlink r:id="rId14" w:history="1"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http://www.novayagazeta.ru/politics/57741.html</w:t>
        </w:r>
      </w:hyperlink>
    </w:p>
    <w:p w:rsidR="0083478F" w:rsidRPr="0081742E" w:rsidRDefault="0083478F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Зинкевич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Прозрачность раскрытия информации российскими компаниями: обзор докладов, представленных на Второй Международной Конференции: «Корпоративное управление и устойчивое развитие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бизнеса</w:t>
      </w:r>
      <w:proofErr w:type="gram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:с</w:t>
      </w:r>
      <w:proofErr w:type="gram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тратегические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роли советов директоров»// Корпоративные финансы №4, 2007, с. 76-84 -</w:t>
      </w: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cr/>
        <w:t xml:space="preserve">URL:  </w:t>
      </w:r>
      <w:hyperlink r:id="rId15" w:history="1"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http://ecsocman.hse.ru/data/305/878/1219/4_zinkevich_76_85.pdf</w:t>
        </w:r>
      </w:hyperlink>
    </w:p>
    <w:p w:rsidR="00FA6FB3" w:rsidRPr="0081742E" w:rsidRDefault="00FA6FB3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Коган Владимир Игоревич//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Lobbying.ru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URL: http://lobbying.ru/persons.php?id=390</w:t>
      </w:r>
    </w:p>
    <w:p w:rsidR="0083478F" w:rsidRPr="0081742E" w:rsidRDefault="0083478F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Навальный включил «Мостовик» в число чемпионов по «олимпийскому распилу»//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СуперОмск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27.01.2014 – URL: http://superomsk.ru/news/6226</w:t>
      </w:r>
    </w:p>
    <w:p w:rsidR="00D848E2" w:rsidRPr="0081742E" w:rsidRDefault="00D848E2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Нисневич Ю.А. Гражданская позиция и активность как движущая сила гражданского контроля: Российский и зарубежный опыт. – URL: </w:t>
      </w:r>
      <w:hyperlink r:id="rId16" w:history="1"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http://www.hse.ru/pubs/lib/data/access/ticket/1391658514e7ecead9081952af5c9a04857ad763fa/Artnis77.pdf</w:t>
        </w:r>
      </w:hyperlink>
    </w:p>
    <w:p w:rsidR="00D848E2" w:rsidRPr="0081742E" w:rsidRDefault="00D848E2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Нисневич Ю. А. Гражданский контроль как механизм противодействия коррупции: проблемы реализации в России // Полис (Политические исследования). 2011. № 1. С. 165-176.</w:t>
      </w:r>
    </w:p>
    <w:p w:rsidR="0083478F" w:rsidRPr="0081742E" w:rsidRDefault="0083478F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Общий список депутатов 1-го, 2-го, 3-го, 4-го и 5-го созывов// Официальный сайт Законодательного собрания Ленинградской области – URL: http://www.lenoblzaks.ru/static/folder/-rus-common-common2-simplefolder40303_15515-/17011/1</w:t>
      </w:r>
    </w:p>
    <w:p w:rsidR="0083478F" w:rsidRPr="0081742E" w:rsidRDefault="0083478F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Путин: борьба с коррупцией в жилищном строительстве неэффективна// РИА Новости, 20.08.2010 – URL: http://ria.ru/economy/20100820/267314958.html</w:t>
      </w:r>
    </w:p>
    <w:p w:rsidR="004F5E7C" w:rsidRPr="0081742E" w:rsidRDefault="004F5E7C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Сапрыкин Д.А. Япония. Труден путь децентрализации// Азия и Африка сегодня,  № 1, Январь  2011, C. 31 – URL: </w:t>
      </w:r>
      <w:hyperlink r:id="rId17" w:history="1"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http://www.ebiblioteka.ru/browse/doc/24235027</w:t>
        </w:r>
      </w:hyperlink>
    </w:p>
    <w:p w:rsidR="0083478F" w:rsidRPr="0081742E" w:rsidRDefault="0083478F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Шишов Олег Владимирович//Официальный сайт Законодательного собрания Омской области – URL: http://www.omsk-parlament.ru/?sid=328587</w:t>
      </w:r>
    </w:p>
    <w:p w:rsidR="00FA6FB3" w:rsidRPr="0081742E" w:rsidRDefault="00FA6FB3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Шредер поступил на службу в «Газпром»//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Lenta.ru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</w:rPr>
        <w:t>, 13/12/2005 – URL: http://lenta.ru/articles/2005/12/13/million/</w:t>
      </w:r>
    </w:p>
    <w:p w:rsidR="001E15AE" w:rsidRPr="0081742E" w:rsidRDefault="00D848E2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Application Guide for Post-Employment under the “Policy on Conflict of Interest and Post-Employment” – URL: </w:t>
      </w:r>
      <w:hyperlink r:id="rId18" w:history="1"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http://www.tbs-sct.gc.ca/gui/agcipe-gaciam-eng.asp</w:t>
        </w:r>
      </w:hyperlink>
    </w:p>
    <w:p w:rsidR="001E15AE" w:rsidRPr="0081742E" w:rsidRDefault="001E15AE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Jack </w:t>
      </w:r>
      <w:proofErr w:type="spellStart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Maskell</w:t>
      </w:r>
      <w:proofErr w:type="spellEnd"/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Post-Employment, “Revolving Door”, Laws for Federal Personnel// Congressional Research Service, 2010 – URL: http://www.fas.org/sgp/crs/misc/97-875.pdf</w:t>
      </w:r>
    </w:p>
    <w:p w:rsidR="001E15AE" w:rsidRPr="0081742E" w:rsidRDefault="001E15AE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Norma R. Houston. Conflicts of Interest Laws for North Carolina Public Officials &amp; Employees// School of government – URL: http://www.sog.unc.edu/sites/www.sog.unc.edu/files/Conflicts%20Legal%20Summary%20-%20MASTER_0.pdf</w:t>
      </w:r>
    </w:p>
    <w:p w:rsidR="001E15AE" w:rsidRPr="0081742E" w:rsidRDefault="001E15AE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Post-Public Employment: Good Practices for Preventing Conflict of Interest// OECD – URL: </w:t>
      </w:r>
      <w:hyperlink r:id="rId19" w:history="1">
        <w:r w:rsidRPr="008174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http://www.oecd-ilibrary.org/governance/post-public-employment_9789264056701-en</w:t>
        </w:r>
      </w:hyperlink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D848E2" w:rsidRPr="0081742E" w:rsidRDefault="00D848E2" w:rsidP="0081742E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174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Regulation of conflicts of interest and business appointments in Canada// House of Commons – URL: http://www.publications.parliament.uk/pa/cm201213/cmselect/cmpubadm/404/40411.htm </w:t>
      </w:r>
    </w:p>
    <w:p w:rsidR="00F83B00" w:rsidRPr="00C22D3A" w:rsidRDefault="00F83B00" w:rsidP="00F83B0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7A3" w:rsidRPr="00C22D3A" w:rsidRDefault="007547A3" w:rsidP="007547A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47A3" w:rsidRPr="00C22D3A" w:rsidSect="00937769">
          <w:foot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37769" w:rsidRPr="00C22D3A" w:rsidRDefault="00937769" w:rsidP="00937769">
      <w:pPr>
        <w:pStyle w:val="1"/>
        <w:rPr>
          <w:rFonts w:ascii="Times New Roman" w:hAnsi="Times New Roman" w:cs="Times New Roman"/>
          <w:color w:val="000000" w:themeColor="text1"/>
        </w:rPr>
      </w:pPr>
      <w:bookmarkStart w:id="67" w:name="_Toc387518157"/>
      <w:r w:rsidRPr="00C22D3A">
        <w:rPr>
          <w:rFonts w:ascii="Times New Roman" w:hAnsi="Times New Roman" w:cs="Times New Roman"/>
          <w:color w:val="000000" w:themeColor="text1"/>
        </w:rPr>
        <w:lastRenderedPageBreak/>
        <w:t>Список приложений</w:t>
      </w:r>
      <w:bookmarkEnd w:id="67"/>
    </w:p>
    <w:p w:rsidR="00F9463D" w:rsidRPr="00C22D3A" w:rsidRDefault="009761B4" w:rsidP="0048277B">
      <w:pPr>
        <w:pStyle w:val="2"/>
        <w:rPr>
          <w:rFonts w:ascii="Times New Roman" w:hAnsi="Times New Roman" w:cs="Times New Roman"/>
          <w:color w:val="000000" w:themeColor="text1"/>
        </w:rPr>
      </w:pPr>
      <w:bookmarkStart w:id="68" w:name="_Toc387518158"/>
      <w:r w:rsidRPr="00C22D3A">
        <w:rPr>
          <w:rFonts w:ascii="Times New Roman" w:hAnsi="Times New Roman" w:cs="Times New Roman"/>
          <w:color w:val="000000" w:themeColor="text1"/>
        </w:rPr>
        <w:t>Приложение 1</w:t>
      </w:r>
      <w:bookmarkEnd w:id="68"/>
    </w:p>
    <w:tbl>
      <w:tblPr>
        <w:tblW w:w="0" w:type="auto"/>
        <w:tblLook w:val="04A0"/>
      </w:tblPr>
      <w:tblGrid>
        <w:gridCol w:w="1397"/>
        <w:gridCol w:w="998"/>
        <w:gridCol w:w="985"/>
        <w:gridCol w:w="962"/>
        <w:gridCol w:w="3369"/>
        <w:gridCol w:w="850"/>
        <w:gridCol w:w="905"/>
        <w:gridCol w:w="965"/>
        <w:gridCol w:w="4355"/>
      </w:tblGrid>
      <w:tr w:rsidR="00F9463D" w:rsidRPr="00C22D3A" w:rsidTr="00F9463D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 Название компании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 Имеется ли информация о составе совета директоров и правления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 Есть ли биография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4. Есть ли упоминание о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госслужбе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на сайте в биографии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5. Доля членов СД и правления работавших в госсекторе в этой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6. Есть ли этический кодекс на сайте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7. Этический кодекс регулирует конфликт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8. Участвует в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госзакупках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Комментарий</w:t>
            </w:r>
          </w:p>
        </w:tc>
      </w:tr>
      <w:tr w:rsidR="00F9463D" w:rsidRPr="00C22D3A" w:rsidTr="00F9463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Стройгазконсалтинг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у президента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президента 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5% (1 из 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да, для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Росавтодор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Потапов http://www.zr.ru/content/news/445403-dvizhenije_pri_rekonstrukcii_trassy_m9_baltija_ne_ostanovitsa_ni_na_den/</w:t>
            </w:r>
          </w:p>
        </w:tc>
      </w:tr>
      <w:tr w:rsidR="00F9463D" w:rsidRPr="00C22D3A" w:rsidTr="00F9463D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Стройгазмонтаж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данных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казан только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Горюхин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документов на сайте</w:t>
            </w:r>
          </w:p>
        </w:tc>
      </w:tr>
      <w:tr w:rsidR="00F9463D" w:rsidRPr="00C22D3A" w:rsidTr="00F9463D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Мостотрест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10% (2 из 21)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Лапшов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Богатырев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многие из РЖД </w:t>
            </w:r>
          </w:p>
        </w:tc>
      </w:tr>
      <w:tr w:rsidR="00F9463D" w:rsidRPr="00C22D3A" w:rsidTr="00F9463D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Ташир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http://www.forbes.ru/sobytiya/lyudi/230937-kak-milliarder-karapetyan-udvoil-svoi-biznes-vo-vremya-krizisa что-то с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газпромом</w:t>
            </w:r>
            <w:proofErr w:type="spellEnd"/>
          </w:p>
        </w:tc>
      </w:tr>
      <w:tr w:rsidR="00F9463D" w:rsidRPr="00C22D3A" w:rsidTr="00F9463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Главстрой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20% (4 из 20) Печенкин, Олейник, Саркисян,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Чекурова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9463D" w:rsidRPr="00C22D3A" w:rsidTr="00F9463D">
        <w:trPr>
          <w:trHeight w:val="4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СК Мост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генерального директора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14 % (1 из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РОМАШОВ Игорь Валерьевич - бывший руководитель Федерального агентства железнодорожного транспорта (2006-2008), а сейчас председатель Совета Директоров ОАО СК МОСТ, Михаил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Кенин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(член Совета Директоров) -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аффилирован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Единой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Росиией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Г. Тимченко. По данным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Форбс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2012 году структуры «СК Мост» получили госзаказы на 25 </w:t>
            </w:r>
            <w:proofErr w:type="spellStart"/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млрд</w:t>
            </w:r>
            <w:proofErr w:type="spellEnd"/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рублей. Крупнейший подряд — реконструкция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Рокского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тоннеля на границе Южной Осетии с Грузией. Также компания получила подряд на строительство части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Кожуховской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линии московского метро.  http://www.forbes.ru/profile/vladimir-kostylev Помимо сын экс-министра транспорта России Сергея Франка (Франк Глеб Сергеевич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F9463D" w:rsidRPr="00C22D3A" w:rsidTr="00F9463D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АСПЭК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17% (2 из 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Наговицын - гендиректор с 2011 года, а 2009 – 2010 Начальник Управления УССТ № 2 (г. </w:t>
            </w: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Москва).</w:t>
            </w:r>
          </w:p>
        </w:tc>
      </w:tr>
      <w:tr w:rsidR="00F9463D" w:rsidRPr="00C22D3A" w:rsidTr="00F9463D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СУ-155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нет данных, 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указан</w:t>
            </w:r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только генеральный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 компаний и минимум информации</w:t>
            </w:r>
          </w:p>
        </w:tc>
      </w:tr>
      <w:tr w:rsidR="00F9463D" w:rsidRPr="00C22D3A" w:rsidTr="00F9463D">
        <w:trPr>
          <w:trHeight w:val="3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Ренейссанс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Констракшн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Там сплошные иностранцы, я не думаю что они очень чистые, но не конфликт интересов</w:t>
            </w:r>
          </w:p>
        </w:tc>
      </w:tr>
      <w:tr w:rsidR="00F9463D" w:rsidRPr="00C22D3A" w:rsidTr="00F9463D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ГК ПИК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9463D" w:rsidRPr="00C22D3A" w:rsidTr="00F9463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 ЛСР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36% (8 из 22) Андросов, Вахмистров,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Волчецкая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Винник,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Кострица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Логинов, Мурашов,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Сорокко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руководители из федерального агентства  Госстрой,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минобороны+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питерские ведомства</w:t>
            </w:r>
          </w:p>
        </w:tc>
      </w:tr>
      <w:tr w:rsidR="00F9463D" w:rsidRPr="00C22D3A" w:rsidTr="00F9463D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Технониколь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нигде нет данных про руководителей</w:t>
            </w:r>
          </w:p>
        </w:tc>
      </w:tr>
      <w:tr w:rsidR="00F9463D" w:rsidRPr="00C22D3A" w:rsidTr="00F9463D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Евроцемент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17% (2 из 12)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Григориадис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Гуськов Кондратенко в Госснабе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9463D" w:rsidRPr="00C22D3A" w:rsidTr="00F9463D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МРТС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через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яндекс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список сотрудников</w:t>
            </w:r>
          </w:p>
        </w:tc>
      </w:tr>
      <w:tr w:rsidR="00F9463D" w:rsidRPr="00C22D3A" w:rsidTr="00F9463D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Глобалстрой-инжиниринг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11% 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из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9463D" w:rsidRPr="00C22D3A" w:rsidTr="00F9463D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Мортон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9463D" w:rsidRPr="00C22D3A" w:rsidTr="00F9463D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ДСК-1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7% (1 из 14) Романенко Ирина http://dgp.mos.ru/about/staff/romanenko_irina_borisovna/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сложно найти биографии в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инете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есть действующие работники госорганов</w:t>
            </w:r>
          </w:p>
        </w:tc>
      </w:tr>
      <w:tr w:rsidR="00F9463D" w:rsidRPr="00C22D3A" w:rsidTr="00F9463D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Трансюжстрой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участвуют в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курпных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проектах Олимпиада, Универсиада. Вообще нет информации</w:t>
            </w:r>
          </w:p>
        </w:tc>
      </w:tr>
      <w:tr w:rsidR="00F9463D" w:rsidRPr="00C22D3A" w:rsidTr="00F9463D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Ингеоком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 ли они поменялись, то ли 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неполная</w:t>
            </w:r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информция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9463D" w:rsidRPr="00C22D3A" w:rsidTr="00F9463D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Капитал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9463D" w:rsidRPr="00C22D3A" w:rsidTr="00F9463D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НПО Мостовик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выборочно, у Шишова 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22% (4 из 18) Шишов,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Бондаренко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,А</w:t>
            </w:r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рхипов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Литвинов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9463D" w:rsidRPr="00C22D3A" w:rsidTr="00F9463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ФСК Лидер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связи с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госстроем</w:t>
            </w:r>
            <w:proofErr w:type="spellEnd"/>
          </w:p>
        </w:tc>
      </w:tr>
      <w:tr w:rsidR="00F9463D" w:rsidRPr="00C22D3A" w:rsidTr="00F9463D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Crocus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совета директоров, информация о правлении заканчивается на президенте и его сын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е(</w:t>
            </w:r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вице-президенте)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очень плохой сайт, крайне мало информации, практически никакой документации на сайте.</w:t>
            </w:r>
          </w:p>
        </w:tc>
      </w:tr>
      <w:tr w:rsidR="00F9463D" w:rsidRPr="00C22D3A" w:rsidTr="00F9463D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Велесстрой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Велесстрой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 работал на всех крупных стройках "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Транснефти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": ВСТО (обе очереди, включая ответвление на Китай), БТС-1 и -2,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Пурпе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Самотлор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За вклад в строительство ВСТО президент группы компаний "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Велесстрой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" Михайло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Перенчевич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его первый заместитель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Крешимир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Филипович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руководитель проекта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Златко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Пенич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награждены орденом Дружбы. При этом никакой информации о руководстве и какой-либо документации на сайте нет.</w:t>
            </w:r>
          </w:p>
        </w:tc>
      </w:tr>
      <w:tr w:rsidR="00F9463D" w:rsidRPr="00C22D3A" w:rsidTr="00F9463D">
        <w:trPr>
          <w:trHeight w:val="3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Стройтрансгаз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(3 из 9) СД, это 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РОМАШОВ Игорь Валерьевич (СК МОСТ) - бывший руководитель Федерального агентства железнодорожного транспорта (2006-2008),  с 2008 руководитель 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Роснефти</w:t>
            </w:r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 сейчас председатель совета директоров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Стройтрансгаза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еще есть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Кенин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Михаил Борисович, о нем написано выше в другой компании, Михаил Владимирович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Хряпов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C 2004 по 2010 г М.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Хряпов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М.В. Управляющий директор по энергетическому строительству)- М.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Хряпов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входит в состав экспертного совета при Комитете по энергетике Государственной думы РФ.</w:t>
            </w:r>
          </w:p>
        </w:tc>
      </w:tr>
      <w:tr w:rsidR="00F9463D" w:rsidRPr="00C22D3A" w:rsidTr="00F9463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ГК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Балтрос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биографии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кодекса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9463D" w:rsidRPr="00C22D3A" w:rsidTr="00F9463D">
        <w:trPr>
          <w:trHeight w:val="1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Группа АРКС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информации о составе СД и 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63D" w:rsidRPr="00C22D3A" w:rsidRDefault="00F9463D" w:rsidP="00F94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Владимир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Лавленцев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С 2004 — работа в правительстве Москвы, был первым заместителем главы столичного Департамента городского заказа капитального строительства 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2010 года). Компания стала терять заказы после отставки Лужкова. Сейчас её купил Тимченко.</w:t>
            </w:r>
          </w:p>
        </w:tc>
      </w:tr>
    </w:tbl>
    <w:p w:rsidR="009761B4" w:rsidRPr="00C22D3A" w:rsidRDefault="009761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3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E1161" w:rsidRPr="00C22D3A" w:rsidRDefault="009761B4" w:rsidP="0048277B">
      <w:pPr>
        <w:pStyle w:val="2"/>
        <w:rPr>
          <w:rFonts w:ascii="Times New Roman" w:hAnsi="Times New Roman" w:cs="Times New Roman"/>
          <w:color w:val="000000" w:themeColor="text1"/>
        </w:rPr>
      </w:pPr>
      <w:bookmarkStart w:id="69" w:name="_Toc387518159"/>
      <w:r w:rsidRPr="00C22D3A">
        <w:rPr>
          <w:rFonts w:ascii="Times New Roman" w:hAnsi="Times New Roman" w:cs="Times New Roman"/>
          <w:color w:val="000000" w:themeColor="text1"/>
        </w:rPr>
        <w:lastRenderedPageBreak/>
        <w:t>Приложение 2</w:t>
      </w:r>
      <w:bookmarkEnd w:id="69"/>
    </w:p>
    <w:tbl>
      <w:tblPr>
        <w:tblW w:w="13920" w:type="dxa"/>
        <w:tblInd w:w="103" w:type="dxa"/>
        <w:tblLook w:val="04A0"/>
      </w:tblPr>
      <w:tblGrid>
        <w:gridCol w:w="2040"/>
        <w:gridCol w:w="1564"/>
        <w:gridCol w:w="1525"/>
        <w:gridCol w:w="1643"/>
        <w:gridCol w:w="1151"/>
        <w:gridCol w:w="1369"/>
        <w:gridCol w:w="3818"/>
        <w:gridCol w:w="1573"/>
      </w:tblGrid>
      <w:tr w:rsidR="009761B4" w:rsidRPr="00C22D3A" w:rsidTr="009761B4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Министерство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Раздел на сайте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состав комиссии указан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протоколы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анонсы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данные за 2012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Комментарий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положение в разделе</w:t>
            </w:r>
          </w:p>
        </w:tc>
      </w:tr>
      <w:tr w:rsidR="009761B4" w:rsidRPr="00C22D3A" w:rsidTr="009761B4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МВД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статистика случаев без указания данных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МЧС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есть телефон. Нет </w:t>
            </w:r>
            <w:proofErr w:type="gram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пометки</w:t>
            </w:r>
            <w:proofErr w:type="gram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без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нечиновников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собираться нельзя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да, выписки из протокола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9761B4" w:rsidRPr="00C22D3A" w:rsidTr="009761B4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Минобороны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да, без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отчеты за 2 пол 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Минюст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отчеты в форме новостей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Минздрав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есть обращение с просьбой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предоставять</w:t>
            </w:r>
            <w:proofErr w:type="spellEnd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материалы для комиссии от граждан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5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Минкульт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да, выписки из протокола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неполные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даже цифр, просто "служащие"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Минобрнауки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да, трудно найти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отчеты, есть телефон доверия, но не аноним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Минприроды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есть информация о </w:t>
            </w: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заседениях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Минпромторг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документы искать через поиск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Министерство по ДВ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отчетов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Минрегион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по последнему заседанию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9761B4" w:rsidRPr="00C22D3A" w:rsidTr="009761B4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Минкомсвязь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да, выписки из протокола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отчет за 2 квартал 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Минсельхоз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да?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отчет за 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Минспорта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отчеты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Минстрой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даже через поиск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Минтранс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обращение к гражданам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Минтруд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отчеты о заседании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6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Минфин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да, выписки из протокола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отчеты о заседании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МЭР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нет, только изменения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отчеты по заседаниям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761B4" w:rsidRPr="00C22D3A" w:rsidTr="009761B4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Минэнерго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61B4" w:rsidRPr="00C22D3A" w:rsidRDefault="009761B4" w:rsidP="00976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22D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</w:tbl>
    <w:p w:rsidR="009761B4" w:rsidRPr="00C22D3A" w:rsidRDefault="009761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61B4" w:rsidRPr="00C22D3A" w:rsidSect="009761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76" w:rsidRDefault="00FF1B76" w:rsidP="00DC3052">
      <w:pPr>
        <w:spacing w:after="0" w:line="240" w:lineRule="auto"/>
      </w:pPr>
      <w:r>
        <w:separator/>
      </w:r>
    </w:p>
  </w:endnote>
  <w:endnote w:type="continuationSeparator" w:id="0">
    <w:p w:rsidR="00FF1B76" w:rsidRDefault="00FF1B76" w:rsidP="00DC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719144"/>
      <w:docPartObj>
        <w:docPartGallery w:val="Общ"/>
        <w:docPartUnique/>
      </w:docPartObj>
    </w:sdtPr>
    <w:sdtContent>
      <w:p w:rsidR="00497908" w:rsidRDefault="00497908">
        <w:pPr>
          <w:pStyle w:val="af1"/>
          <w:jc w:val="center"/>
        </w:pPr>
        <w:fldSimple w:instr=" PAGE   \* MERGEFORMAT ">
          <w:r w:rsidR="008F2F72">
            <w:rPr>
              <w:noProof/>
            </w:rPr>
            <w:t>47</w:t>
          </w:r>
        </w:fldSimple>
      </w:p>
    </w:sdtContent>
  </w:sdt>
  <w:p w:rsidR="00497908" w:rsidRDefault="0049790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76" w:rsidRDefault="00FF1B76" w:rsidP="00DC3052">
      <w:pPr>
        <w:spacing w:after="0" w:line="240" w:lineRule="auto"/>
      </w:pPr>
      <w:r>
        <w:separator/>
      </w:r>
    </w:p>
  </w:footnote>
  <w:footnote w:type="continuationSeparator" w:id="0">
    <w:p w:rsidR="00FF1B76" w:rsidRDefault="00FF1B76" w:rsidP="00DC3052">
      <w:pPr>
        <w:spacing w:after="0" w:line="240" w:lineRule="auto"/>
      </w:pPr>
      <w:r>
        <w:continuationSeparator/>
      </w:r>
    </w:p>
  </w:footnote>
  <w:footnote w:id="1">
    <w:p w:rsidR="00497908" w:rsidRPr="00FD374C" w:rsidRDefault="00497908">
      <w:pPr>
        <w:pStyle w:val="a3"/>
      </w:pPr>
      <w:r>
        <w:rPr>
          <w:rStyle w:val="a5"/>
        </w:rPr>
        <w:footnoteRef/>
      </w:r>
      <w:r w:rsidRPr="00FD374C">
        <w:t xml:space="preserve"> </w:t>
      </w:r>
      <w:r>
        <w:t>Доверия россиян к институтам власти и общества</w:t>
      </w:r>
      <w:r w:rsidRPr="00FD374C">
        <w:t xml:space="preserve">// </w:t>
      </w:r>
      <w:r>
        <w:t xml:space="preserve">Левада-Центр – </w:t>
      </w:r>
      <w:r>
        <w:rPr>
          <w:lang w:val="en-US"/>
        </w:rPr>
        <w:t>URL</w:t>
      </w:r>
      <w:r w:rsidRPr="00FD374C">
        <w:t xml:space="preserve">: </w:t>
      </w:r>
      <w:r w:rsidRPr="00F70A08">
        <w:rPr>
          <w:lang w:val="en-US"/>
        </w:rPr>
        <w:t>http</w:t>
      </w:r>
      <w:r w:rsidRPr="00FD374C">
        <w:t>://</w:t>
      </w:r>
      <w:r w:rsidRPr="00F70A08">
        <w:rPr>
          <w:lang w:val="en-US"/>
        </w:rPr>
        <w:t>www</w:t>
      </w:r>
      <w:r w:rsidRPr="00FD374C">
        <w:t>.</w:t>
      </w:r>
      <w:proofErr w:type="spellStart"/>
      <w:r w:rsidRPr="00F70A08">
        <w:rPr>
          <w:lang w:val="en-US"/>
        </w:rPr>
        <w:t>levada</w:t>
      </w:r>
      <w:proofErr w:type="spellEnd"/>
      <w:r w:rsidRPr="00FD374C">
        <w:t>.</w:t>
      </w:r>
      <w:proofErr w:type="spellStart"/>
      <w:r w:rsidRPr="00F70A08">
        <w:rPr>
          <w:lang w:val="en-US"/>
        </w:rPr>
        <w:t>ru</w:t>
      </w:r>
      <w:proofErr w:type="spellEnd"/>
      <w:r w:rsidRPr="00FD374C">
        <w:t>/24-11-2011/</w:t>
      </w:r>
      <w:proofErr w:type="spellStart"/>
      <w:r w:rsidRPr="00F70A08">
        <w:rPr>
          <w:lang w:val="en-US"/>
        </w:rPr>
        <w:t>doverie</w:t>
      </w:r>
      <w:proofErr w:type="spellEnd"/>
      <w:r w:rsidRPr="00FD374C">
        <w:t>-</w:t>
      </w:r>
      <w:proofErr w:type="spellStart"/>
      <w:r w:rsidRPr="00F70A08">
        <w:rPr>
          <w:lang w:val="en-US"/>
        </w:rPr>
        <w:t>rossiyan</w:t>
      </w:r>
      <w:proofErr w:type="spellEnd"/>
      <w:r w:rsidRPr="00FD374C">
        <w:t>-</w:t>
      </w:r>
      <w:proofErr w:type="spellStart"/>
      <w:r w:rsidRPr="00F70A08">
        <w:rPr>
          <w:lang w:val="en-US"/>
        </w:rPr>
        <w:t>institutam</w:t>
      </w:r>
      <w:proofErr w:type="spellEnd"/>
      <w:r w:rsidRPr="00FD374C">
        <w:t>-</w:t>
      </w:r>
      <w:proofErr w:type="spellStart"/>
      <w:r w:rsidRPr="00F70A08">
        <w:rPr>
          <w:lang w:val="en-US"/>
        </w:rPr>
        <w:t>vlasti</w:t>
      </w:r>
      <w:proofErr w:type="spellEnd"/>
      <w:r w:rsidRPr="00FD374C">
        <w:t>-</w:t>
      </w:r>
      <w:proofErr w:type="spellStart"/>
      <w:r w:rsidRPr="00F70A08">
        <w:rPr>
          <w:lang w:val="en-US"/>
        </w:rPr>
        <w:t>i</w:t>
      </w:r>
      <w:proofErr w:type="spellEnd"/>
      <w:r w:rsidRPr="00FD374C">
        <w:t>-</w:t>
      </w:r>
      <w:proofErr w:type="spellStart"/>
      <w:r w:rsidRPr="00F70A08">
        <w:rPr>
          <w:lang w:val="en-US"/>
        </w:rPr>
        <w:t>obshchestva</w:t>
      </w:r>
      <w:proofErr w:type="spellEnd"/>
    </w:p>
  </w:footnote>
  <w:footnote w:id="2">
    <w:p w:rsidR="00497908" w:rsidRDefault="00497908" w:rsidP="0067510C">
      <w:pPr>
        <w:pStyle w:val="a3"/>
      </w:pPr>
      <w:r>
        <w:rPr>
          <w:rStyle w:val="a5"/>
        </w:rPr>
        <w:footnoteRef/>
      </w:r>
      <w:r>
        <w:rPr>
          <w:lang w:val="en-US"/>
        </w:rPr>
        <w:t xml:space="preserve"> </w:t>
      </w:r>
      <w:proofErr w:type="gramStart"/>
      <w:r>
        <w:rPr>
          <w:rStyle w:val="ab"/>
          <w:sz w:val="22"/>
          <w:szCs w:val="22"/>
          <w:lang w:val="en-US"/>
        </w:rPr>
        <w:t>United Nations Convention against Corruption</w:t>
      </w:r>
      <w:r>
        <w:rPr>
          <w:rStyle w:val="apple-converted-space"/>
          <w:rFonts w:ascii="Times New Roman" w:hAnsi="Times New Roman" w:cs="Times New Roman"/>
          <w:bCs/>
          <w:sz w:val="22"/>
          <w:szCs w:val="22"/>
          <w:lang w:val="en-US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bCs/>
          <w:sz w:val="22"/>
          <w:szCs w:val="22"/>
          <w:lang w:val="en-US"/>
        </w:rPr>
        <w:t>Chapter</w:t>
      </w:r>
      <w:r>
        <w:rPr>
          <w:rStyle w:val="apple-converted-space"/>
          <w:rFonts w:ascii="Times New Roman" w:hAnsi="Times New Roman" w:cs="Times New Roman"/>
          <w:bCs/>
          <w:sz w:val="22"/>
          <w:szCs w:val="22"/>
        </w:rPr>
        <w:t xml:space="preserve"> 1.</w:t>
      </w:r>
      <w:proofErr w:type="gramEnd"/>
      <w:r>
        <w:rPr>
          <w:rStyle w:val="apple-converted-space"/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Style w:val="apple-converted-space"/>
          <w:rFonts w:ascii="Times New Roman" w:hAnsi="Times New Roman" w:cs="Times New Roman"/>
          <w:bCs/>
          <w:sz w:val="22"/>
          <w:szCs w:val="22"/>
          <w:lang w:val="en-US"/>
        </w:rPr>
        <w:t>Article</w:t>
      </w:r>
      <w:r>
        <w:rPr>
          <w:rStyle w:val="apple-converted-space"/>
          <w:rFonts w:ascii="Times New Roman" w:hAnsi="Times New Roman" w:cs="Times New Roman"/>
          <w:bCs/>
          <w:sz w:val="22"/>
          <w:szCs w:val="22"/>
        </w:rPr>
        <w:t xml:space="preserve"> 2</w:t>
      </w:r>
    </w:p>
  </w:footnote>
  <w:footnote w:id="3">
    <w:p w:rsidR="00497908" w:rsidRPr="008A47C3" w:rsidRDefault="00497908" w:rsidP="0067510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8A47C3">
        <w:rPr>
          <w:rStyle w:val="a4"/>
          <w:rFonts w:ascii="Times New Roman" w:hAnsi="Times New Roman" w:cs="Times New Roman"/>
          <w:vertAlign w:val="superscript"/>
        </w:rPr>
        <w:footnoteRef/>
      </w:r>
      <w:r w:rsidRPr="008A47C3">
        <w:rPr>
          <w:rFonts w:ascii="Times New Roman" w:hAnsi="Times New Roman" w:cs="Times New Roman"/>
        </w:rPr>
        <w:t xml:space="preserve"> Дедов Д. И. Конфликт интересов – М.: </w:t>
      </w:r>
      <w:proofErr w:type="spellStart"/>
      <w:r w:rsidRPr="008A47C3">
        <w:rPr>
          <w:rFonts w:ascii="Times New Roman" w:hAnsi="Times New Roman" w:cs="Times New Roman"/>
        </w:rPr>
        <w:t>Волтерс</w:t>
      </w:r>
      <w:proofErr w:type="spellEnd"/>
      <w:r w:rsidRPr="008A47C3">
        <w:rPr>
          <w:rFonts w:ascii="Times New Roman" w:hAnsi="Times New Roman" w:cs="Times New Roman"/>
        </w:rPr>
        <w:t xml:space="preserve"> </w:t>
      </w:r>
      <w:proofErr w:type="spellStart"/>
      <w:r w:rsidRPr="008A47C3">
        <w:rPr>
          <w:rFonts w:ascii="Times New Roman" w:hAnsi="Times New Roman" w:cs="Times New Roman"/>
        </w:rPr>
        <w:t>Клувер</w:t>
      </w:r>
      <w:proofErr w:type="spellEnd"/>
      <w:r w:rsidRPr="008A47C3">
        <w:rPr>
          <w:rFonts w:ascii="Times New Roman" w:hAnsi="Times New Roman" w:cs="Times New Roman"/>
        </w:rPr>
        <w:t xml:space="preserve">, 2004. – 273 </w:t>
      </w:r>
      <w:proofErr w:type="gramStart"/>
      <w:r w:rsidRPr="008A47C3">
        <w:rPr>
          <w:rFonts w:ascii="Times New Roman" w:hAnsi="Times New Roman" w:cs="Times New Roman"/>
        </w:rPr>
        <w:t>с</w:t>
      </w:r>
      <w:proofErr w:type="gramEnd"/>
      <w:r w:rsidRPr="008A47C3">
        <w:rPr>
          <w:rFonts w:ascii="Times New Roman" w:hAnsi="Times New Roman" w:cs="Times New Roman"/>
        </w:rPr>
        <w:t>.</w:t>
      </w:r>
    </w:p>
  </w:footnote>
  <w:footnote w:id="4">
    <w:p w:rsidR="00497908" w:rsidRPr="008A47C3" w:rsidRDefault="00497908" w:rsidP="0067510C">
      <w:pPr>
        <w:pStyle w:val="a3"/>
        <w:rPr>
          <w:rFonts w:ascii="Times New Roman" w:hAnsi="Times New Roman" w:cs="Times New Roman"/>
        </w:rPr>
      </w:pPr>
      <w:r w:rsidRPr="008A47C3">
        <w:rPr>
          <w:rStyle w:val="a5"/>
          <w:rFonts w:ascii="Times New Roman" w:hAnsi="Times New Roman" w:cs="Times New Roman"/>
        </w:rPr>
        <w:footnoteRef/>
      </w:r>
      <w:r w:rsidRPr="008A47C3">
        <w:rPr>
          <w:rFonts w:ascii="Times New Roman" w:hAnsi="Times New Roman" w:cs="Times New Roman"/>
        </w:rPr>
        <w:t xml:space="preserve"> Нисневич Ю.А. Гражданская позиция и активность как движущая сила гражданского контроля: Российский и зарубежный опыт. – </w:t>
      </w:r>
      <w:r w:rsidRPr="008A47C3">
        <w:rPr>
          <w:rFonts w:ascii="Times New Roman" w:hAnsi="Times New Roman" w:cs="Times New Roman"/>
          <w:lang w:val="en-US"/>
        </w:rPr>
        <w:t>URL</w:t>
      </w:r>
      <w:r w:rsidRPr="008A47C3">
        <w:rPr>
          <w:rFonts w:ascii="Times New Roman" w:hAnsi="Times New Roman" w:cs="Times New Roman"/>
        </w:rPr>
        <w:t xml:space="preserve">: </w:t>
      </w:r>
      <w:hyperlink r:id="rId1" w:history="1">
        <w:r w:rsidRPr="008A47C3">
          <w:rPr>
            <w:rStyle w:val="a7"/>
            <w:rFonts w:ascii="Times New Roman" w:hAnsi="Times New Roman" w:cs="Times New Roman"/>
            <w:lang w:val="en-US"/>
          </w:rPr>
          <w:t>http</w:t>
        </w:r>
        <w:r w:rsidRPr="008A47C3">
          <w:rPr>
            <w:rStyle w:val="a7"/>
            <w:rFonts w:ascii="Times New Roman" w:hAnsi="Times New Roman" w:cs="Times New Roman"/>
          </w:rPr>
          <w:t>://</w:t>
        </w:r>
        <w:r w:rsidRPr="008A47C3">
          <w:rPr>
            <w:rStyle w:val="a7"/>
            <w:rFonts w:ascii="Times New Roman" w:hAnsi="Times New Roman" w:cs="Times New Roman"/>
            <w:lang w:val="en-US"/>
          </w:rPr>
          <w:t>www</w:t>
        </w:r>
        <w:r w:rsidRPr="008A47C3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8A47C3">
          <w:rPr>
            <w:rStyle w:val="a7"/>
            <w:rFonts w:ascii="Times New Roman" w:hAnsi="Times New Roman" w:cs="Times New Roman"/>
            <w:lang w:val="en-US"/>
          </w:rPr>
          <w:t>hse</w:t>
        </w:r>
        <w:proofErr w:type="spellEnd"/>
        <w:r w:rsidRPr="008A47C3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8A47C3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8A47C3">
          <w:rPr>
            <w:rStyle w:val="a7"/>
            <w:rFonts w:ascii="Times New Roman" w:hAnsi="Times New Roman" w:cs="Times New Roman"/>
          </w:rPr>
          <w:t>/</w:t>
        </w:r>
        <w:r w:rsidRPr="008A47C3">
          <w:rPr>
            <w:rStyle w:val="a7"/>
            <w:rFonts w:ascii="Times New Roman" w:hAnsi="Times New Roman" w:cs="Times New Roman"/>
            <w:lang w:val="en-US"/>
          </w:rPr>
          <w:t>pubs</w:t>
        </w:r>
        <w:r w:rsidRPr="008A47C3">
          <w:rPr>
            <w:rStyle w:val="a7"/>
            <w:rFonts w:ascii="Times New Roman" w:hAnsi="Times New Roman" w:cs="Times New Roman"/>
          </w:rPr>
          <w:t>/</w:t>
        </w:r>
        <w:r w:rsidRPr="008A47C3">
          <w:rPr>
            <w:rStyle w:val="a7"/>
            <w:rFonts w:ascii="Times New Roman" w:hAnsi="Times New Roman" w:cs="Times New Roman"/>
            <w:lang w:val="en-US"/>
          </w:rPr>
          <w:t>lib</w:t>
        </w:r>
        <w:r w:rsidRPr="008A47C3">
          <w:rPr>
            <w:rStyle w:val="a7"/>
            <w:rFonts w:ascii="Times New Roman" w:hAnsi="Times New Roman" w:cs="Times New Roman"/>
          </w:rPr>
          <w:t>/</w:t>
        </w:r>
        <w:r w:rsidRPr="008A47C3">
          <w:rPr>
            <w:rStyle w:val="a7"/>
            <w:rFonts w:ascii="Times New Roman" w:hAnsi="Times New Roman" w:cs="Times New Roman"/>
            <w:lang w:val="en-US"/>
          </w:rPr>
          <w:t>data</w:t>
        </w:r>
        <w:r w:rsidRPr="008A47C3">
          <w:rPr>
            <w:rStyle w:val="a7"/>
            <w:rFonts w:ascii="Times New Roman" w:hAnsi="Times New Roman" w:cs="Times New Roman"/>
          </w:rPr>
          <w:t>/</w:t>
        </w:r>
        <w:r w:rsidRPr="008A47C3">
          <w:rPr>
            <w:rStyle w:val="a7"/>
            <w:rFonts w:ascii="Times New Roman" w:hAnsi="Times New Roman" w:cs="Times New Roman"/>
            <w:lang w:val="en-US"/>
          </w:rPr>
          <w:t>access</w:t>
        </w:r>
        <w:r w:rsidRPr="008A47C3">
          <w:rPr>
            <w:rStyle w:val="a7"/>
            <w:rFonts w:ascii="Times New Roman" w:hAnsi="Times New Roman" w:cs="Times New Roman"/>
          </w:rPr>
          <w:t>/</w:t>
        </w:r>
        <w:r w:rsidRPr="008A47C3">
          <w:rPr>
            <w:rStyle w:val="a7"/>
            <w:rFonts w:ascii="Times New Roman" w:hAnsi="Times New Roman" w:cs="Times New Roman"/>
            <w:lang w:val="en-US"/>
          </w:rPr>
          <w:t>ticket</w:t>
        </w:r>
        <w:r w:rsidRPr="008A47C3">
          <w:rPr>
            <w:rStyle w:val="a7"/>
            <w:rFonts w:ascii="Times New Roman" w:hAnsi="Times New Roman" w:cs="Times New Roman"/>
          </w:rPr>
          <w:t>/1391658514</w:t>
        </w:r>
        <w:r w:rsidRPr="008A47C3">
          <w:rPr>
            <w:rStyle w:val="a7"/>
            <w:rFonts w:ascii="Times New Roman" w:hAnsi="Times New Roman" w:cs="Times New Roman"/>
            <w:lang w:val="en-US"/>
          </w:rPr>
          <w:t>e</w:t>
        </w:r>
        <w:r w:rsidRPr="008A47C3">
          <w:rPr>
            <w:rStyle w:val="a7"/>
            <w:rFonts w:ascii="Times New Roman" w:hAnsi="Times New Roman" w:cs="Times New Roman"/>
          </w:rPr>
          <w:t>7</w:t>
        </w:r>
        <w:proofErr w:type="spellStart"/>
        <w:r w:rsidRPr="008A47C3">
          <w:rPr>
            <w:rStyle w:val="a7"/>
            <w:rFonts w:ascii="Times New Roman" w:hAnsi="Times New Roman" w:cs="Times New Roman"/>
            <w:lang w:val="en-US"/>
          </w:rPr>
          <w:t>ecead</w:t>
        </w:r>
        <w:proofErr w:type="spellEnd"/>
        <w:r w:rsidRPr="008A47C3">
          <w:rPr>
            <w:rStyle w:val="a7"/>
            <w:rFonts w:ascii="Times New Roman" w:hAnsi="Times New Roman" w:cs="Times New Roman"/>
          </w:rPr>
          <w:t>9081952</w:t>
        </w:r>
        <w:proofErr w:type="spellStart"/>
        <w:r w:rsidRPr="008A47C3">
          <w:rPr>
            <w:rStyle w:val="a7"/>
            <w:rFonts w:ascii="Times New Roman" w:hAnsi="Times New Roman" w:cs="Times New Roman"/>
            <w:lang w:val="en-US"/>
          </w:rPr>
          <w:t>af</w:t>
        </w:r>
        <w:proofErr w:type="spellEnd"/>
        <w:r w:rsidRPr="008A47C3">
          <w:rPr>
            <w:rStyle w:val="a7"/>
            <w:rFonts w:ascii="Times New Roman" w:hAnsi="Times New Roman" w:cs="Times New Roman"/>
          </w:rPr>
          <w:t>5</w:t>
        </w:r>
        <w:r w:rsidRPr="008A47C3">
          <w:rPr>
            <w:rStyle w:val="a7"/>
            <w:rFonts w:ascii="Times New Roman" w:hAnsi="Times New Roman" w:cs="Times New Roman"/>
            <w:lang w:val="en-US"/>
          </w:rPr>
          <w:t>c</w:t>
        </w:r>
        <w:r w:rsidRPr="008A47C3">
          <w:rPr>
            <w:rStyle w:val="a7"/>
            <w:rFonts w:ascii="Times New Roman" w:hAnsi="Times New Roman" w:cs="Times New Roman"/>
          </w:rPr>
          <w:t>9</w:t>
        </w:r>
        <w:r w:rsidRPr="008A47C3">
          <w:rPr>
            <w:rStyle w:val="a7"/>
            <w:rFonts w:ascii="Times New Roman" w:hAnsi="Times New Roman" w:cs="Times New Roman"/>
            <w:lang w:val="en-US"/>
          </w:rPr>
          <w:t>a</w:t>
        </w:r>
        <w:r w:rsidRPr="008A47C3">
          <w:rPr>
            <w:rStyle w:val="a7"/>
            <w:rFonts w:ascii="Times New Roman" w:hAnsi="Times New Roman" w:cs="Times New Roman"/>
          </w:rPr>
          <w:t>04857</w:t>
        </w:r>
        <w:r w:rsidRPr="008A47C3">
          <w:rPr>
            <w:rStyle w:val="a7"/>
            <w:rFonts w:ascii="Times New Roman" w:hAnsi="Times New Roman" w:cs="Times New Roman"/>
            <w:lang w:val="en-US"/>
          </w:rPr>
          <w:t>ad</w:t>
        </w:r>
        <w:r w:rsidRPr="008A47C3">
          <w:rPr>
            <w:rStyle w:val="a7"/>
            <w:rFonts w:ascii="Times New Roman" w:hAnsi="Times New Roman" w:cs="Times New Roman"/>
          </w:rPr>
          <w:t>763</w:t>
        </w:r>
        <w:proofErr w:type="spellStart"/>
        <w:r w:rsidRPr="008A47C3">
          <w:rPr>
            <w:rStyle w:val="a7"/>
            <w:rFonts w:ascii="Times New Roman" w:hAnsi="Times New Roman" w:cs="Times New Roman"/>
            <w:lang w:val="en-US"/>
          </w:rPr>
          <w:t>fa</w:t>
        </w:r>
        <w:proofErr w:type="spellEnd"/>
        <w:r w:rsidRPr="008A47C3">
          <w:rPr>
            <w:rStyle w:val="a7"/>
            <w:rFonts w:ascii="Times New Roman" w:hAnsi="Times New Roman" w:cs="Times New Roman"/>
          </w:rPr>
          <w:t>/</w:t>
        </w:r>
        <w:proofErr w:type="spellStart"/>
        <w:r w:rsidRPr="008A47C3">
          <w:rPr>
            <w:rStyle w:val="a7"/>
            <w:rFonts w:ascii="Times New Roman" w:hAnsi="Times New Roman" w:cs="Times New Roman"/>
            <w:lang w:val="en-US"/>
          </w:rPr>
          <w:t>Artnis</w:t>
        </w:r>
        <w:proofErr w:type="spellEnd"/>
        <w:r w:rsidRPr="008A47C3">
          <w:rPr>
            <w:rStyle w:val="a7"/>
            <w:rFonts w:ascii="Times New Roman" w:hAnsi="Times New Roman" w:cs="Times New Roman"/>
          </w:rPr>
          <w:t>77.</w:t>
        </w:r>
        <w:proofErr w:type="spellStart"/>
        <w:r w:rsidRPr="008A47C3">
          <w:rPr>
            <w:rStyle w:val="a7"/>
            <w:rFonts w:ascii="Times New Roman" w:hAnsi="Times New Roman" w:cs="Times New Roman"/>
            <w:lang w:val="en-US"/>
          </w:rPr>
          <w:t>pdf</w:t>
        </w:r>
        <w:proofErr w:type="spellEnd"/>
      </w:hyperlink>
    </w:p>
    <w:p w:rsidR="00497908" w:rsidRPr="00CF2594" w:rsidRDefault="00497908" w:rsidP="0067510C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8A47C3">
        <w:rPr>
          <w:rStyle w:val="nowrap"/>
          <w:rFonts w:ascii="Times New Roman" w:hAnsi="Times New Roman" w:cs="Times New Roman"/>
          <w:color w:val="333333"/>
          <w:bdr w:val="none" w:sz="0" w:space="0" w:color="auto" w:frame="1"/>
        </w:rPr>
        <w:t>Нисневич Ю. А.</w:t>
      </w:r>
      <w:r w:rsidRPr="008A47C3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8A47C3">
        <w:rPr>
          <w:rFonts w:ascii="Times New Roman" w:hAnsi="Times New Roman" w:cs="Times New Roman"/>
          <w:bdr w:val="none" w:sz="0" w:space="0" w:color="auto" w:frame="1"/>
        </w:rPr>
        <w:t>Гражданский контроль как механизм противодействия коррупции: проблемы реализации в России</w:t>
      </w:r>
      <w:r w:rsidRPr="008A47C3">
        <w:rPr>
          <w:rFonts w:ascii="Times New Roman" w:hAnsi="Times New Roman" w:cs="Times New Roman"/>
          <w:color w:val="333333"/>
        </w:rPr>
        <w:t> // Полис (Политические исследования). 2011. № 1. С. 165-176.</w:t>
      </w:r>
    </w:p>
  </w:footnote>
  <w:footnote w:id="5">
    <w:p w:rsidR="00497908" w:rsidRPr="008A47C3" w:rsidRDefault="00497908" w:rsidP="0067510C">
      <w:pPr>
        <w:pStyle w:val="a3"/>
        <w:rPr>
          <w:rFonts w:ascii="Times New Roman" w:hAnsi="Times New Roman" w:cs="Times New Roman"/>
        </w:rPr>
      </w:pPr>
      <w:r w:rsidRPr="008A47C3">
        <w:rPr>
          <w:rStyle w:val="a5"/>
          <w:rFonts w:ascii="Times New Roman" w:hAnsi="Times New Roman" w:cs="Times New Roman"/>
        </w:rPr>
        <w:footnoteRef/>
      </w:r>
      <w:r w:rsidRPr="008A47C3">
        <w:rPr>
          <w:rFonts w:ascii="Times New Roman" w:hAnsi="Times New Roman" w:cs="Times New Roman"/>
        </w:rPr>
        <w:t xml:space="preserve"> Елена Панфилова «Путин хочет борьбы с коррупцией там, где ему важно» - Новая Газета – </w:t>
      </w:r>
      <w:r w:rsidRPr="008A47C3">
        <w:rPr>
          <w:rFonts w:ascii="Times New Roman" w:hAnsi="Times New Roman" w:cs="Times New Roman"/>
          <w:lang w:val="en-US"/>
        </w:rPr>
        <w:t>URL</w:t>
      </w:r>
      <w:r w:rsidRPr="008A47C3">
        <w:rPr>
          <w:rFonts w:ascii="Times New Roman" w:hAnsi="Times New Roman" w:cs="Times New Roman"/>
        </w:rPr>
        <w:t xml:space="preserve">: </w:t>
      </w:r>
      <w:hyperlink r:id="rId2" w:history="1">
        <w:r w:rsidRPr="008A47C3">
          <w:rPr>
            <w:rStyle w:val="a7"/>
            <w:rFonts w:ascii="Times New Roman" w:hAnsi="Times New Roman" w:cs="Times New Roman"/>
            <w:lang w:val="en-US"/>
          </w:rPr>
          <w:t>http</w:t>
        </w:r>
        <w:r w:rsidRPr="008A47C3">
          <w:rPr>
            <w:rStyle w:val="a7"/>
            <w:rFonts w:ascii="Times New Roman" w:hAnsi="Times New Roman" w:cs="Times New Roman"/>
          </w:rPr>
          <w:t>://</w:t>
        </w:r>
        <w:r w:rsidRPr="008A47C3">
          <w:rPr>
            <w:rStyle w:val="a7"/>
            <w:rFonts w:ascii="Times New Roman" w:hAnsi="Times New Roman" w:cs="Times New Roman"/>
            <w:lang w:val="en-US"/>
          </w:rPr>
          <w:t>www</w:t>
        </w:r>
        <w:r w:rsidRPr="008A47C3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8A47C3">
          <w:rPr>
            <w:rStyle w:val="a7"/>
            <w:rFonts w:ascii="Times New Roman" w:hAnsi="Times New Roman" w:cs="Times New Roman"/>
            <w:lang w:val="en-US"/>
          </w:rPr>
          <w:t>novayagazeta</w:t>
        </w:r>
        <w:proofErr w:type="spellEnd"/>
        <w:r w:rsidRPr="008A47C3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8A47C3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Pr="008A47C3">
          <w:rPr>
            <w:rStyle w:val="a7"/>
            <w:rFonts w:ascii="Times New Roman" w:hAnsi="Times New Roman" w:cs="Times New Roman"/>
          </w:rPr>
          <w:t>/</w:t>
        </w:r>
        <w:r w:rsidRPr="008A47C3">
          <w:rPr>
            <w:rStyle w:val="a7"/>
            <w:rFonts w:ascii="Times New Roman" w:hAnsi="Times New Roman" w:cs="Times New Roman"/>
            <w:lang w:val="en-US"/>
          </w:rPr>
          <w:t>politics</w:t>
        </w:r>
        <w:r w:rsidRPr="008A47C3">
          <w:rPr>
            <w:rStyle w:val="a7"/>
            <w:rFonts w:ascii="Times New Roman" w:hAnsi="Times New Roman" w:cs="Times New Roman"/>
          </w:rPr>
          <w:t>/57741.</w:t>
        </w:r>
        <w:r w:rsidRPr="008A47C3">
          <w:rPr>
            <w:rStyle w:val="a7"/>
            <w:rFonts w:ascii="Times New Roman" w:hAnsi="Times New Roman" w:cs="Times New Roman"/>
            <w:lang w:val="en-US"/>
          </w:rPr>
          <w:t>html</w:t>
        </w:r>
      </w:hyperlink>
    </w:p>
    <w:p w:rsidR="00497908" w:rsidRPr="008A47C3" w:rsidRDefault="00497908" w:rsidP="0067510C">
      <w:pPr>
        <w:rPr>
          <w:rFonts w:ascii="Times New Roman" w:hAnsi="Times New Roman" w:cs="Times New Roman"/>
          <w:sz w:val="20"/>
          <w:szCs w:val="20"/>
        </w:rPr>
      </w:pPr>
      <w:r w:rsidRPr="008A47C3">
        <w:rPr>
          <w:rFonts w:ascii="Times New Roman" w:hAnsi="Times New Roman" w:cs="Times New Roman"/>
          <w:sz w:val="20"/>
          <w:szCs w:val="20"/>
        </w:rPr>
        <w:t xml:space="preserve">Елена Панфилова: Главное узнаем из... приговоров // Аргументы и факты – </w:t>
      </w:r>
      <w:r w:rsidRPr="008A47C3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8A47C3">
        <w:rPr>
          <w:rFonts w:ascii="Times New Roman" w:hAnsi="Times New Roman" w:cs="Times New Roman"/>
          <w:sz w:val="20"/>
          <w:szCs w:val="20"/>
        </w:rPr>
        <w:t xml:space="preserve">: </w:t>
      </w:r>
      <w:r w:rsidRPr="008A47C3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8A47C3">
        <w:rPr>
          <w:rFonts w:ascii="Times New Roman" w:hAnsi="Times New Roman" w:cs="Times New Roman"/>
          <w:sz w:val="20"/>
          <w:szCs w:val="20"/>
        </w:rPr>
        <w:t>://</w:t>
      </w:r>
      <w:r w:rsidRPr="008A47C3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8A47C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A47C3">
        <w:rPr>
          <w:rFonts w:ascii="Times New Roman" w:hAnsi="Times New Roman" w:cs="Times New Roman"/>
          <w:sz w:val="20"/>
          <w:szCs w:val="20"/>
          <w:lang w:val="en-US"/>
        </w:rPr>
        <w:t>aif</w:t>
      </w:r>
      <w:proofErr w:type="spellEnd"/>
      <w:r w:rsidRPr="008A47C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8A47C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8A47C3">
        <w:rPr>
          <w:rFonts w:ascii="Times New Roman" w:hAnsi="Times New Roman" w:cs="Times New Roman"/>
          <w:sz w:val="20"/>
          <w:szCs w:val="20"/>
        </w:rPr>
        <w:t>/</w:t>
      </w:r>
      <w:r w:rsidRPr="008A47C3">
        <w:rPr>
          <w:rFonts w:ascii="Times New Roman" w:hAnsi="Times New Roman" w:cs="Times New Roman"/>
          <w:sz w:val="20"/>
          <w:szCs w:val="20"/>
          <w:lang w:val="en-US"/>
        </w:rPr>
        <w:t>money</w:t>
      </w:r>
      <w:r w:rsidRPr="008A47C3">
        <w:rPr>
          <w:rFonts w:ascii="Times New Roman" w:hAnsi="Times New Roman" w:cs="Times New Roman"/>
          <w:sz w:val="20"/>
          <w:szCs w:val="20"/>
        </w:rPr>
        <w:t>/</w:t>
      </w:r>
      <w:r w:rsidRPr="008A47C3">
        <w:rPr>
          <w:rFonts w:ascii="Times New Roman" w:hAnsi="Times New Roman" w:cs="Times New Roman"/>
          <w:sz w:val="20"/>
          <w:szCs w:val="20"/>
          <w:lang w:val="en-US"/>
        </w:rPr>
        <w:t>corruption</w:t>
      </w:r>
      <w:r w:rsidRPr="008A47C3">
        <w:rPr>
          <w:rFonts w:ascii="Times New Roman" w:hAnsi="Times New Roman" w:cs="Times New Roman"/>
          <w:sz w:val="20"/>
          <w:szCs w:val="20"/>
        </w:rPr>
        <w:t>/38146</w:t>
      </w:r>
    </w:p>
  </w:footnote>
  <w:footnote w:id="6">
    <w:p w:rsidR="00497908" w:rsidRPr="00BA6E81" w:rsidRDefault="00497908" w:rsidP="0067510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A47C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A47C3">
        <w:rPr>
          <w:rFonts w:ascii="Times New Roman" w:hAnsi="Times New Roman" w:cs="Times New Roman"/>
          <w:sz w:val="20"/>
          <w:szCs w:val="20"/>
          <w:lang w:val="en-US"/>
        </w:rPr>
        <w:t xml:space="preserve"> Application Guide for Post-Employment under the “Policy on Conflict of Interest and Post-Employment” – URL: </w:t>
      </w:r>
      <w:hyperlink r:id="rId3" w:history="1">
        <w:r w:rsidRPr="00362AEB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http://www.tbs-sct.gc.ca/gui/agcipe-gaciam-eng.asp</w:t>
        </w:r>
      </w:hyperlink>
    </w:p>
    <w:p w:rsidR="00497908" w:rsidRPr="00315596" w:rsidRDefault="00497908" w:rsidP="0067510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1559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Regulation of conflicts of interest and business appointments in Canada</w:t>
      </w:r>
      <w:r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// House of Commons – URL: </w:t>
      </w:r>
      <w:r w:rsidRPr="00315596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http://www.publications.parliament.uk/pa/cm201213/cmselect/cmpubadm/404/40411.htm</w:t>
      </w:r>
    </w:p>
  </w:footnote>
  <w:footnote w:id="7">
    <w:p w:rsidR="00497908" w:rsidRPr="008634EF" w:rsidRDefault="00497908" w:rsidP="006751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a5"/>
        </w:rPr>
        <w:footnoteRef/>
      </w:r>
      <w:r w:rsidRPr="008634EF">
        <w:rPr>
          <w:lang w:val="en-US"/>
        </w:rPr>
        <w:t xml:space="preserve"> </w:t>
      </w:r>
      <w:r w:rsidRPr="008634EF">
        <w:rPr>
          <w:rFonts w:ascii="Times New Roman" w:hAnsi="Times New Roman" w:cs="Times New Roman"/>
          <w:sz w:val="20"/>
          <w:szCs w:val="20"/>
          <w:lang w:val="en-US"/>
        </w:rPr>
        <w:t>Norma R. Houston. Conflicts of Interest Laws for North Carolina Public Officials &amp; Employees</w:t>
      </w:r>
      <w:r>
        <w:rPr>
          <w:rFonts w:ascii="Times New Roman" w:hAnsi="Times New Roman" w:cs="Times New Roman"/>
          <w:sz w:val="20"/>
          <w:szCs w:val="20"/>
          <w:lang w:val="en-US"/>
        </w:rPr>
        <w:t>// School of government – URL:</w:t>
      </w:r>
      <w:r w:rsidRPr="008634EF">
        <w:rPr>
          <w:rFonts w:ascii="Times New Roman" w:hAnsi="Times New Roman" w:cs="Times New Roman"/>
          <w:sz w:val="20"/>
          <w:szCs w:val="20"/>
          <w:lang w:val="en-US"/>
        </w:rPr>
        <w:t xml:space="preserve"> http://www.sog.unc.edu/sites/www.sog.unc.edu/files/Conflicts%20Legal%20Summary%20-%20MASTER_0.pdf</w:t>
      </w:r>
    </w:p>
  </w:footnote>
  <w:footnote w:id="8">
    <w:p w:rsidR="00497908" w:rsidRPr="003B66A4" w:rsidRDefault="00497908" w:rsidP="0067510C">
      <w:pPr>
        <w:pStyle w:val="a3"/>
        <w:rPr>
          <w:lang w:val="en-US"/>
        </w:rPr>
      </w:pPr>
      <w:r>
        <w:rPr>
          <w:rStyle w:val="a5"/>
        </w:rPr>
        <w:footnoteRef/>
      </w:r>
      <w:r w:rsidRPr="003B66A4">
        <w:rPr>
          <w:lang w:val="en-US"/>
        </w:rPr>
        <w:t xml:space="preserve"> </w:t>
      </w:r>
      <w:r>
        <w:rPr>
          <w:lang w:val="en-US"/>
        </w:rPr>
        <w:t xml:space="preserve">Jack </w:t>
      </w:r>
      <w:proofErr w:type="spellStart"/>
      <w:r>
        <w:rPr>
          <w:lang w:val="en-US"/>
        </w:rPr>
        <w:t>Maskell</w:t>
      </w:r>
      <w:proofErr w:type="spellEnd"/>
      <w:r>
        <w:rPr>
          <w:lang w:val="en-US"/>
        </w:rPr>
        <w:t xml:space="preserve">. Post-Employment, “Revolving Door”, Laws for Federal Personnel// </w:t>
      </w:r>
      <w:r w:rsidRPr="003B66A4">
        <w:rPr>
          <w:lang w:val="en-US"/>
        </w:rPr>
        <w:t>Congressional Research Service</w:t>
      </w:r>
      <w:r>
        <w:rPr>
          <w:lang w:val="en-US"/>
        </w:rPr>
        <w:t xml:space="preserve">, 2010 – URL: </w:t>
      </w:r>
      <w:r w:rsidRPr="003B66A4">
        <w:rPr>
          <w:lang w:val="en-US"/>
        </w:rPr>
        <w:t>http://www.fas.org/sgp/crs/misc/97-875.pdf</w:t>
      </w:r>
    </w:p>
  </w:footnote>
  <w:footnote w:id="9">
    <w:p w:rsidR="00497908" w:rsidRPr="009B061E" w:rsidRDefault="00497908" w:rsidP="0067510C">
      <w:pPr>
        <w:pStyle w:val="a3"/>
        <w:rPr>
          <w:b/>
          <w:lang w:val="en-US"/>
        </w:rPr>
      </w:pPr>
      <w:r w:rsidRPr="009B061E">
        <w:rPr>
          <w:rStyle w:val="a5"/>
        </w:rPr>
        <w:footnoteRef/>
      </w:r>
      <w:r w:rsidRPr="009B061E">
        <w:rPr>
          <w:lang w:val="en-US"/>
        </w:rPr>
        <w:t xml:space="preserve"> </w:t>
      </w:r>
      <w:r w:rsidRPr="009B061E">
        <w:rPr>
          <w:rFonts w:ascii="Times New Roman" w:hAnsi="Times New Roman" w:cs="Times New Roman"/>
          <w:bdr w:val="none" w:sz="0" w:space="0" w:color="auto" w:frame="1"/>
          <w:lang w:val="en-US"/>
        </w:rPr>
        <w:t>Post-Public Employment: Good Practices for Preventing Conflict of Interes</w:t>
      </w:r>
      <w:r>
        <w:rPr>
          <w:rFonts w:ascii="Times New Roman" w:hAnsi="Times New Roman" w:cs="Times New Roman"/>
          <w:bdr w:val="none" w:sz="0" w:space="0" w:color="auto" w:frame="1"/>
          <w:lang w:val="en-US"/>
        </w:rPr>
        <w:t xml:space="preserve">t// OECD – URL: </w:t>
      </w:r>
      <w:hyperlink r:id="rId4" w:history="1">
        <w:r w:rsidRPr="009D26EC">
          <w:rPr>
            <w:rStyle w:val="a7"/>
            <w:rFonts w:ascii="Times New Roman" w:hAnsi="Times New Roman" w:cs="Times New Roman"/>
            <w:bdr w:val="none" w:sz="0" w:space="0" w:color="auto" w:frame="1"/>
            <w:lang w:val="en-US"/>
          </w:rPr>
          <w:t>http://www.oecd-ilibrary.org/governance/post-public-employment_9789264056701-en</w:t>
        </w:r>
      </w:hyperlink>
      <w:r>
        <w:rPr>
          <w:rFonts w:ascii="Times New Roman" w:hAnsi="Times New Roman" w:cs="Times New Roman"/>
          <w:bdr w:val="none" w:sz="0" w:space="0" w:color="auto" w:frame="1"/>
          <w:lang w:val="en-US"/>
        </w:rPr>
        <w:t xml:space="preserve"> </w:t>
      </w:r>
    </w:p>
  </w:footnote>
  <w:footnote w:id="10">
    <w:p w:rsidR="00497908" w:rsidRDefault="00497908">
      <w:pPr>
        <w:pStyle w:val="a3"/>
      </w:pPr>
      <w:r>
        <w:rPr>
          <w:rStyle w:val="a5"/>
        </w:rPr>
        <w:footnoteRef/>
      </w:r>
      <w:r>
        <w:t xml:space="preserve"> Конвенция ООН против коррупции</w:t>
      </w:r>
    </w:p>
  </w:footnote>
  <w:footnote w:id="11">
    <w:p w:rsidR="00497908" w:rsidRPr="007224AD" w:rsidRDefault="00497908">
      <w:pPr>
        <w:pStyle w:val="a3"/>
      </w:pPr>
      <w:r>
        <w:rPr>
          <w:rStyle w:val="a5"/>
        </w:rPr>
        <w:footnoteRef/>
      </w:r>
      <w:r>
        <w:t xml:space="preserve"> </w:t>
      </w:r>
      <w:r w:rsidRPr="007224AD">
        <w:rPr>
          <w:rFonts w:ascii="Times New Roman" w:hAnsi="Times New Roman" w:cs="Times New Roman"/>
        </w:rPr>
        <w:t>ФЗ №273 «О Противодействии коррупции»</w:t>
      </w:r>
    </w:p>
  </w:footnote>
  <w:footnote w:id="12">
    <w:p w:rsidR="00497908" w:rsidRDefault="00497908">
      <w:pPr>
        <w:pStyle w:val="a3"/>
      </w:pPr>
      <w:r>
        <w:rPr>
          <w:rStyle w:val="a5"/>
        </w:rPr>
        <w:footnoteRef/>
      </w:r>
      <w:r>
        <w:t xml:space="preserve"> Руководство ОЭСР по разрешению конфликта интересов на государственной службе – </w:t>
      </w:r>
      <w:r>
        <w:rPr>
          <w:lang w:val="en-US"/>
        </w:rPr>
        <w:t>URL</w:t>
      </w:r>
      <w:r w:rsidRPr="00B679B1">
        <w:t xml:space="preserve">: </w:t>
      </w:r>
      <w:r w:rsidRPr="00B701C2">
        <w:t>http://www.oecd.org/gov/ethics/49106105.pdf</w:t>
      </w:r>
    </w:p>
  </w:footnote>
  <w:footnote w:id="13">
    <w:p w:rsidR="00497908" w:rsidRDefault="00497908" w:rsidP="001002F0">
      <w:pPr>
        <w:pStyle w:val="a3"/>
        <w:tabs>
          <w:tab w:val="left" w:pos="5781"/>
        </w:tabs>
      </w:pPr>
      <w:r>
        <w:rPr>
          <w:rStyle w:val="a5"/>
        </w:rPr>
        <w:footnoteRef/>
      </w:r>
      <w:r>
        <w:t xml:space="preserve"> </w:t>
      </w:r>
      <w:proofErr w:type="spellStart"/>
      <w:r>
        <w:t>Головщинский</w:t>
      </w:r>
      <w:proofErr w:type="spellEnd"/>
      <w:r>
        <w:t xml:space="preserve"> К.И. </w:t>
      </w:r>
      <w:proofErr w:type="spellStart"/>
      <w:r>
        <w:t>Коррупциногенность</w:t>
      </w:r>
      <w:proofErr w:type="spellEnd"/>
      <w:r>
        <w:t xml:space="preserve"> правовых ном. Конфликт интересов как </w:t>
      </w:r>
      <w:proofErr w:type="spellStart"/>
      <w:r>
        <w:t>коррупциногенный</w:t>
      </w:r>
      <w:proofErr w:type="spellEnd"/>
      <w:r>
        <w:t xml:space="preserve"> фактор</w:t>
      </w:r>
      <w:r w:rsidRPr="00746D28">
        <w:t xml:space="preserve"> //</w:t>
      </w:r>
      <w:r>
        <w:t xml:space="preserve"> Фонд ИНДЕМ, Москва, 2001,  с. 30-31 </w:t>
      </w:r>
    </w:p>
  </w:footnote>
  <w:footnote w:id="14">
    <w:p w:rsidR="00497908" w:rsidRPr="00544767" w:rsidRDefault="00497908" w:rsidP="0014420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4420E">
        <w:rPr>
          <w:color w:val="000000" w:themeColor="text1"/>
        </w:rPr>
        <w:t xml:space="preserve">Сапрыкин Д.А. Япония. Труден путь децентрализации// </w:t>
      </w:r>
      <w:r w:rsidRPr="0014420E">
        <w:rPr>
          <w:rFonts w:cs="Arial"/>
          <w:color w:val="000000" w:themeColor="text1"/>
          <w:shd w:val="clear" w:color="auto" w:fill="FFFFFF"/>
        </w:rPr>
        <w:t xml:space="preserve">Азия и Африка сегодня,  № 1, Январь  2011, C. 31 – </w:t>
      </w:r>
      <w:r w:rsidRPr="0014420E">
        <w:rPr>
          <w:rFonts w:cs="Arial"/>
          <w:color w:val="000000" w:themeColor="text1"/>
          <w:shd w:val="clear" w:color="auto" w:fill="FFFFFF"/>
          <w:lang w:val="en-US"/>
        </w:rPr>
        <w:t>URL</w:t>
      </w:r>
      <w:r w:rsidRPr="0014420E">
        <w:rPr>
          <w:rFonts w:cs="Arial"/>
          <w:color w:val="000000" w:themeColor="text1"/>
          <w:shd w:val="clear" w:color="auto" w:fill="FFFFFF"/>
        </w:rPr>
        <w:t xml:space="preserve">: </w:t>
      </w:r>
      <w:hyperlink r:id="rId5" w:history="1">
        <w:r w:rsidRPr="0014420E">
          <w:rPr>
            <w:color w:val="000000" w:themeColor="text1"/>
          </w:rPr>
          <w:t>http://www.ebiblioteka.ru/browse/doc/24235027</w:t>
        </w:r>
      </w:hyperlink>
    </w:p>
  </w:footnote>
  <w:footnote w:id="15">
    <w:p w:rsidR="00497908" w:rsidRDefault="00497908" w:rsidP="0014420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t>Зинкевич</w:t>
      </w:r>
      <w:proofErr w:type="spellEnd"/>
      <w:r>
        <w:t xml:space="preserve"> Н.В. Прозрачность раскрытия информации российскими компаниями: обзор докладов, представленных на Второй Международной Конференции: «Корпоративное управление и устойчивое развитие </w:t>
      </w:r>
      <w:proofErr w:type="spellStart"/>
      <w:r>
        <w:t>ьизнеса</w:t>
      </w:r>
      <w:proofErr w:type="gramStart"/>
      <w:r>
        <w:t>:с</w:t>
      </w:r>
      <w:proofErr w:type="gramEnd"/>
      <w:r>
        <w:t>тратегические</w:t>
      </w:r>
      <w:proofErr w:type="spellEnd"/>
      <w:r>
        <w:t xml:space="preserve"> роли советов директоров»</w:t>
      </w:r>
      <w:r w:rsidRPr="0014420E">
        <w:t xml:space="preserve">// </w:t>
      </w:r>
      <w:r>
        <w:t>Корпоративные финансы №4, 2007, с. 77-78 -</w:t>
      </w:r>
      <w:r>
        <w:cr/>
      </w:r>
      <w:r>
        <w:rPr>
          <w:lang w:val="en-US"/>
        </w:rPr>
        <w:t>URL</w:t>
      </w:r>
      <w:r w:rsidRPr="0014420E">
        <w:t xml:space="preserve">: </w:t>
      </w:r>
      <w:r w:rsidRPr="00414E92">
        <w:t xml:space="preserve"> http://ecsocman.hse.ru/data/305/878/1219/4_zinkevich_76_85.pdf </w:t>
      </w:r>
    </w:p>
  </w:footnote>
  <w:footnote w:id="16">
    <w:p w:rsidR="00497908" w:rsidRPr="0073444A" w:rsidRDefault="00497908" w:rsidP="0014420E">
      <w:pPr>
        <w:pStyle w:val="a3"/>
        <w:jc w:val="both"/>
      </w:pPr>
      <w:r>
        <w:rPr>
          <w:rStyle w:val="a5"/>
        </w:rPr>
        <w:footnoteRef/>
      </w:r>
      <w:r>
        <w:t xml:space="preserve"> 200 крупнейших частных компаний России</w:t>
      </w:r>
      <w:r w:rsidRPr="0073444A">
        <w:t xml:space="preserve"> – 2013//</w:t>
      </w:r>
      <w:r>
        <w:t xml:space="preserve"> </w:t>
      </w:r>
      <w:r>
        <w:rPr>
          <w:lang w:val="en-US"/>
        </w:rPr>
        <w:t>Forbes</w:t>
      </w:r>
      <w:r w:rsidRPr="0073444A">
        <w:t xml:space="preserve">, 26.09.2013 – </w:t>
      </w:r>
      <w:r>
        <w:rPr>
          <w:lang w:val="en-US"/>
        </w:rPr>
        <w:t>URL</w:t>
      </w:r>
      <w:r w:rsidRPr="0073444A">
        <w:t xml:space="preserve">: </w:t>
      </w:r>
      <w:r w:rsidRPr="0073444A">
        <w:rPr>
          <w:lang w:val="en-US"/>
        </w:rPr>
        <w:t>http</w:t>
      </w:r>
      <w:r w:rsidRPr="0073444A">
        <w:t>://</w:t>
      </w:r>
      <w:r w:rsidRPr="0073444A">
        <w:rPr>
          <w:lang w:val="en-US"/>
        </w:rPr>
        <w:t>www</w:t>
      </w:r>
      <w:r w:rsidRPr="0073444A">
        <w:t>.</w:t>
      </w:r>
      <w:proofErr w:type="spellStart"/>
      <w:r w:rsidRPr="0073444A">
        <w:rPr>
          <w:lang w:val="en-US"/>
        </w:rPr>
        <w:t>forbes</w:t>
      </w:r>
      <w:proofErr w:type="spellEnd"/>
      <w:r w:rsidRPr="0073444A">
        <w:t>.</w:t>
      </w:r>
      <w:proofErr w:type="spellStart"/>
      <w:r w:rsidRPr="0073444A">
        <w:rPr>
          <w:lang w:val="en-US"/>
        </w:rPr>
        <w:t>ru</w:t>
      </w:r>
      <w:proofErr w:type="spellEnd"/>
      <w:r w:rsidRPr="0073444A">
        <w:t>/</w:t>
      </w:r>
      <w:r w:rsidRPr="0073444A">
        <w:rPr>
          <w:lang w:val="en-US"/>
        </w:rPr>
        <w:t>rating</w:t>
      </w:r>
      <w:r w:rsidRPr="0073444A">
        <w:t>/200-</w:t>
      </w:r>
      <w:proofErr w:type="spellStart"/>
      <w:r w:rsidRPr="0073444A">
        <w:rPr>
          <w:lang w:val="en-US"/>
        </w:rPr>
        <w:t>krupneishikh</w:t>
      </w:r>
      <w:proofErr w:type="spellEnd"/>
      <w:r w:rsidRPr="0073444A">
        <w:t>-</w:t>
      </w:r>
      <w:proofErr w:type="spellStart"/>
      <w:r w:rsidRPr="0073444A">
        <w:rPr>
          <w:lang w:val="en-US"/>
        </w:rPr>
        <w:t>chastnykh</w:t>
      </w:r>
      <w:proofErr w:type="spellEnd"/>
      <w:r w:rsidRPr="0073444A">
        <w:t>-</w:t>
      </w:r>
      <w:proofErr w:type="spellStart"/>
      <w:r w:rsidRPr="0073444A">
        <w:rPr>
          <w:lang w:val="en-US"/>
        </w:rPr>
        <w:t>kompanii</w:t>
      </w:r>
      <w:proofErr w:type="spellEnd"/>
      <w:r w:rsidRPr="0073444A">
        <w:t>-</w:t>
      </w:r>
      <w:proofErr w:type="spellStart"/>
      <w:r w:rsidRPr="0073444A">
        <w:rPr>
          <w:lang w:val="en-US"/>
        </w:rPr>
        <w:t>rossii</w:t>
      </w:r>
      <w:proofErr w:type="spellEnd"/>
      <w:r w:rsidRPr="0073444A">
        <w:t>-2013/2013?</w:t>
      </w:r>
      <w:r w:rsidRPr="0073444A">
        <w:rPr>
          <w:lang w:val="en-US"/>
        </w:rPr>
        <w:t>full</w:t>
      </w:r>
      <w:r w:rsidRPr="0073444A">
        <w:t>=1&amp;</w:t>
      </w:r>
      <w:r w:rsidRPr="0073444A">
        <w:rPr>
          <w:lang w:val="en-US"/>
        </w:rPr>
        <w:t>table</w:t>
      </w:r>
      <w:r w:rsidRPr="0073444A">
        <w:t>=1</w:t>
      </w:r>
    </w:p>
  </w:footnote>
  <w:footnote w:id="17">
    <w:p w:rsidR="00497908" w:rsidRDefault="00497908">
      <w:pPr>
        <w:pStyle w:val="a3"/>
      </w:pPr>
      <w:r>
        <w:rPr>
          <w:rStyle w:val="a5"/>
        </w:rPr>
        <w:footnoteRef/>
      </w:r>
      <w:r>
        <w:t xml:space="preserve"> Путин: борьба с коррупцией в жилищном строительстве неэффективна</w:t>
      </w:r>
      <w:r w:rsidRPr="005B39F6">
        <w:t xml:space="preserve">// </w:t>
      </w:r>
      <w:r>
        <w:t xml:space="preserve">РИА Новости, 20.08.2010 – </w:t>
      </w:r>
      <w:r>
        <w:rPr>
          <w:lang w:val="en-US"/>
        </w:rPr>
        <w:t>URL</w:t>
      </w:r>
      <w:r w:rsidRPr="00E5416D">
        <w:t>:</w:t>
      </w:r>
      <w:r w:rsidRPr="005B39F6">
        <w:t xml:space="preserve"> </w:t>
      </w:r>
      <w:r w:rsidRPr="002C5393">
        <w:t>http://ria.ru/economy/20100820/267314958.html</w:t>
      </w:r>
    </w:p>
  </w:footnote>
  <w:footnote w:id="18">
    <w:p w:rsidR="00497908" w:rsidRDefault="00497908">
      <w:pPr>
        <w:pStyle w:val="a3"/>
      </w:pPr>
      <w:r>
        <w:rPr>
          <w:rStyle w:val="a5"/>
        </w:rPr>
        <w:footnoteRef/>
      </w:r>
      <w:r>
        <w:t>Шишов Олег Владимирович</w:t>
      </w:r>
      <w:r w:rsidRPr="00A70B27">
        <w:t>//</w:t>
      </w:r>
      <w:r>
        <w:t>Официальный сайт Законодательного собрания Омской области</w:t>
      </w:r>
      <w:r w:rsidRPr="00A70B27">
        <w:t xml:space="preserve"> – </w:t>
      </w:r>
      <w:r>
        <w:rPr>
          <w:lang w:val="en-US"/>
        </w:rPr>
        <w:t>URL</w:t>
      </w:r>
      <w:r w:rsidRPr="00A70B27">
        <w:t>:</w:t>
      </w:r>
      <w:r>
        <w:t xml:space="preserve"> </w:t>
      </w:r>
      <w:r w:rsidRPr="00A70B27">
        <w:t>http://www.omsk-parlament.ru/?sid=3285</w:t>
      </w:r>
      <w:r w:rsidRPr="008A7824">
        <w:t>87</w:t>
      </w:r>
    </w:p>
    <w:p w:rsidR="00497908" w:rsidRDefault="00497908">
      <w:pPr>
        <w:pStyle w:val="a3"/>
      </w:pPr>
    </w:p>
  </w:footnote>
  <w:footnote w:id="19">
    <w:p w:rsidR="00497908" w:rsidRDefault="00497908">
      <w:pPr>
        <w:pStyle w:val="a3"/>
      </w:pPr>
      <w:r>
        <w:rPr>
          <w:rStyle w:val="a5"/>
        </w:rPr>
        <w:footnoteRef/>
      </w:r>
      <w:r>
        <w:t xml:space="preserve"> Кодекс этики ОАО «Группа компаний ПИК»</w:t>
      </w:r>
    </w:p>
  </w:footnote>
  <w:footnote w:id="20">
    <w:p w:rsidR="00497908" w:rsidRDefault="00497908">
      <w:pPr>
        <w:pStyle w:val="a3"/>
      </w:pPr>
      <w:r>
        <w:rPr>
          <w:rStyle w:val="a5"/>
        </w:rPr>
        <w:footnoteRef/>
      </w:r>
      <w:r>
        <w:t xml:space="preserve"> Кодекс корпоративного управление (поведения) ОАО «</w:t>
      </w:r>
      <w:proofErr w:type="spellStart"/>
      <w:r>
        <w:t>Стройтрансгаз</w:t>
      </w:r>
      <w:proofErr w:type="spellEnd"/>
      <w:r>
        <w:t xml:space="preserve">» </w:t>
      </w:r>
    </w:p>
  </w:footnote>
  <w:footnote w:id="21">
    <w:p w:rsidR="00497908" w:rsidRDefault="00497908" w:rsidP="00BA5A50">
      <w:pPr>
        <w:pStyle w:val="1"/>
        <w:shd w:val="clear" w:color="auto" w:fill="FFFFFF"/>
        <w:spacing w:before="0" w:after="318"/>
        <w:textAlignment w:val="baseline"/>
      </w:pPr>
      <w:r w:rsidRPr="0086217D">
        <w:rPr>
          <w:rStyle w:val="a5"/>
          <w:rFonts w:ascii="Times New Roman" w:hAnsi="Times New Roman" w:cs="Times New Roman"/>
          <w:b w:val="0"/>
          <w:sz w:val="20"/>
          <w:szCs w:val="20"/>
        </w:rPr>
        <w:footnoteRef/>
      </w:r>
      <w:r>
        <w:t xml:space="preserve"> </w:t>
      </w:r>
      <w:r w:rsidRPr="00BA5A5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Навальный включил «Мостовик» в число чемпионов по «олимпийскому распилу»//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СуперОмск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27.01.2014 –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URL</w:t>
      </w:r>
      <w:r w:rsidRPr="00BA5A50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: http://superomsk.ru/news/6226</w:t>
      </w:r>
    </w:p>
  </w:footnote>
  <w:footnote w:id="22">
    <w:p w:rsidR="00497908" w:rsidRDefault="00497908" w:rsidP="0086217D">
      <w:pPr>
        <w:pStyle w:val="2"/>
        <w:shd w:val="clear" w:color="auto" w:fill="FFFFFF"/>
        <w:spacing w:before="0" w:after="167" w:line="352" w:lineRule="atLeast"/>
        <w:rPr>
          <w:rFonts w:ascii="Arial" w:hAnsi="Arial" w:cs="Arial"/>
          <w:b w:val="0"/>
          <w:bCs w:val="0"/>
          <w:color w:val="75838E"/>
          <w:sz w:val="27"/>
          <w:szCs w:val="27"/>
        </w:rPr>
      </w:pPr>
      <w:r w:rsidRPr="0086217D">
        <w:rPr>
          <w:rStyle w:val="a5"/>
          <w:rFonts w:ascii="Times New Roman" w:hAnsi="Times New Roman" w:cs="Times New Roman"/>
          <w:b w:val="0"/>
          <w:color w:val="000000" w:themeColor="text1"/>
          <w:sz w:val="20"/>
          <w:szCs w:val="20"/>
        </w:rPr>
        <w:footnoteRef/>
      </w:r>
      <w:r w:rsidRPr="0086217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Общий список депутатов 1-го, 2-го, 3-го, 4-го и 5-го созывов//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Официальный сайт Законодательного собрания Ленинградской области</w:t>
      </w:r>
      <w:r w:rsidRPr="0086217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–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URL</w:t>
      </w:r>
      <w:r w:rsidRPr="0086217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: http://www.lenoblzaks.ru/static/folder/-rus-common-common2-simplefolder40303_15515-/17011/1</w:t>
      </w:r>
    </w:p>
    <w:p w:rsidR="00497908" w:rsidRDefault="00497908">
      <w:pPr>
        <w:pStyle w:val="a3"/>
      </w:pPr>
    </w:p>
  </w:footnote>
  <w:footnote w:id="23">
    <w:p w:rsidR="00497908" w:rsidRDefault="00497908" w:rsidP="00DF364E">
      <w:pPr>
        <w:pStyle w:val="a3"/>
        <w:jc w:val="both"/>
      </w:pPr>
      <w:r>
        <w:rPr>
          <w:rStyle w:val="a5"/>
        </w:rPr>
        <w:footnoteRef/>
      </w:r>
      <w:r>
        <w:t xml:space="preserve"> Биография Владимира Когана</w:t>
      </w:r>
      <w:r w:rsidRPr="00DD0334">
        <w:t>//</w:t>
      </w:r>
      <w:r>
        <w:t xml:space="preserve"> РИА Новости, 13.09.2013 – </w:t>
      </w:r>
      <w:r>
        <w:rPr>
          <w:lang w:val="en-US"/>
        </w:rPr>
        <w:t>URL</w:t>
      </w:r>
      <w:r w:rsidRPr="00DD0334">
        <w:t xml:space="preserve">: </w:t>
      </w:r>
      <w:r w:rsidRPr="007A40AF">
        <w:t>http://ria.ru/spravka/20130913/961931664.html</w:t>
      </w:r>
    </w:p>
  </w:footnote>
  <w:footnote w:id="24">
    <w:p w:rsidR="00497908" w:rsidRDefault="00497908" w:rsidP="00DF364E">
      <w:pPr>
        <w:pStyle w:val="a3"/>
        <w:jc w:val="both"/>
      </w:pPr>
      <w:r>
        <w:rPr>
          <w:rStyle w:val="a5"/>
        </w:rPr>
        <w:footnoteRef/>
      </w:r>
      <w:r>
        <w:t xml:space="preserve"> Коган Владимир Игоревич</w:t>
      </w:r>
      <w:r w:rsidRPr="00AE3F31">
        <w:t xml:space="preserve">// </w:t>
      </w:r>
      <w:r>
        <w:rPr>
          <w:lang w:val="en-US"/>
        </w:rPr>
        <w:t>Lobbying</w:t>
      </w:r>
      <w:r w:rsidRPr="00AE3F31">
        <w:t>.</w:t>
      </w:r>
      <w:proofErr w:type="spellStart"/>
      <w:r>
        <w:rPr>
          <w:lang w:val="en-US"/>
        </w:rPr>
        <w:t>ru</w:t>
      </w:r>
      <w:proofErr w:type="spellEnd"/>
      <w:r w:rsidRPr="00AE3F31">
        <w:t xml:space="preserve"> – </w:t>
      </w:r>
      <w:r>
        <w:rPr>
          <w:lang w:val="en-US"/>
        </w:rPr>
        <w:t>URL</w:t>
      </w:r>
      <w:r w:rsidRPr="00AE3F31">
        <w:t xml:space="preserve">: </w:t>
      </w:r>
      <w:r w:rsidRPr="007A40AF">
        <w:t>http://lobbying.ru/persons.php?id=390</w:t>
      </w:r>
    </w:p>
  </w:footnote>
  <w:footnote w:id="25">
    <w:p w:rsidR="00497908" w:rsidRPr="00EC033F" w:rsidRDefault="00497908" w:rsidP="00DF364E">
      <w:pPr>
        <w:pStyle w:val="a3"/>
        <w:jc w:val="both"/>
      </w:pPr>
      <w:r>
        <w:rPr>
          <w:rStyle w:val="a5"/>
        </w:rPr>
        <w:footnoteRef/>
      </w:r>
      <w:r>
        <w:t xml:space="preserve"> Банкир из Петербурга: как Владимир Коган пробивается в высшую лигу</w:t>
      </w:r>
      <w:r w:rsidRPr="00DF364E">
        <w:t xml:space="preserve">// </w:t>
      </w:r>
      <w:r>
        <w:rPr>
          <w:lang w:val="en-US"/>
        </w:rPr>
        <w:t>Forbes</w:t>
      </w:r>
      <w:r w:rsidRPr="00DF364E">
        <w:t xml:space="preserve"> – </w:t>
      </w:r>
      <w:hyperlink r:id="rId6" w:history="1">
        <w:r w:rsidRPr="00E008FD">
          <w:rPr>
            <w:rStyle w:val="a7"/>
            <w:lang w:val="en-US"/>
          </w:rPr>
          <w:t>URL</w:t>
        </w:r>
        <w:r w:rsidRPr="00E008FD">
          <w:rPr>
            <w:rStyle w:val="a7"/>
          </w:rPr>
          <w:t>:http://www.forbes.ru/milliardery/248465-bankir-iz-peterburga-kak-vladimir-kogan-probivaetsya-v-vysshuyu-biznes-ligu</w:t>
        </w:r>
      </w:hyperlink>
    </w:p>
    <w:p w:rsidR="00497908" w:rsidRPr="00EC033F" w:rsidRDefault="00497908" w:rsidP="00DF364E">
      <w:pPr>
        <w:pStyle w:val="a3"/>
        <w:jc w:val="both"/>
      </w:pPr>
      <w:r>
        <w:t>Близкий к Путину бизнесмен Коган покинул Госстрой после конфликта с Медведевым</w:t>
      </w:r>
      <w:r w:rsidRPr="00EC033F">
        <w:t xml:space="preserve">// </w:t>
      </w:r>
      <w:r>
        <w:t xml:space="preserve">Телеканал Дождь – </w:t>
      </w:r>
      <w:r>
        <w:rPr>
          <w:lang w:val="en-US"/>
        </w:rPr>
        <w:t>URL</w:t>
      </w:r>
      <w:r w:rsidRPr="00EC033F">
        <w:t xml:space="preserve">: </w:t>
      </w:r>
      <w:r w:rsidRPr="00EC033F">
        <w:rPr>
          <w:lang w:val="en-US"/>
        </w:rPr>
        <w:t>http</w:t>
      </w:r>
      <w:r w:rsidRPr="00EC033F">
        <w:t>://</w:t>
      </w:r>
      <w:proofErr w:type="spellStart"/>
      <w:r w:rsidRPr="00EC033F">
        <w:rPr>
          <w:lang w:val="en-US"/>
        </w:rPr>
        <w:t>tvrain</w:t>
      </w:r>
      <w:proofErr w:type="spellEnd"/>
      <w:r w:rsidRPr="00EC033F">
        <w:t>.</w:t>
      </w:r>
      <w:proofErr w:type="spellStart"/>
      <w:r w:rsidRPr="00EC033F">
        <w:rPr>
          <w:lang w:val="en-US"/>
        </w:rPr>
        <w:t>ru</w:t>
      </w:r>
      <w:proofErr w:type="spellEnd"/>
      <w:r w:rsidRPr="00EC033F">
        <w:t>/</w:t>
      </w:r>
      <w:r w:rsidRPr="00EC033F">
        <w:rPr>
          <w:lang w:val="en-US"/>
        </w:rPr>
        <w:t>articles</w:t>
      </w:r>
      <w:r w:rsidRPr="00EC033F">
        <w:t>/</w:t>
      </w:r>
      <w:proofErr w:type="spellStart"/>
      <w:r w:rsidRPr="00EC033F">
        <w:rPr>
          <w:lang w:val="en-US"/>
        </w:rPr>
        <w:t>blizkij</w:t>
      </w:r>
      <w:proofErr w:type="spellEnd"/>
      <w:r w:rsidRPr="00EC033F">
        <w:t>_</w:t>
      </w:r>
      <w:r w:rsidRPr="00EC033F">
        <w:rPr>
          <w:lang w:val="en-US"/>
        </w:rPr>
        <w:t>k</w:t>
      </w:r>
      <w:r w:rsidRPr="00EC033F">
        <w:t>_</w:t>
      </w:r>
      <w:proofErr w:type="spellStart"/>
      <w:r w:rsidRPr="00EC033F">
        <w:rPr>
          <w:lang w:val="en-US"/>
        </w:rPr>
        <w:t>putinu</w:t>
      </w:r>
      <w:proofErr w:type="spellEnd"/>
      <w:r w:rsidRPr="00EC033F">
        <w:t>_</w:t>
      </w:r>
      <w:proofErr w:type="spellStart"/>
      <w:r w:rsidRPr="00EC033F">
        <w:rPr>
          <w:lang w:val="en-US"/>
        </w:rPr>
        <w:t>biznesmen</w:t>
      </w:r>
      <w:proofErr w:type="spellEnd"/>
      <w:r w:rsidRPr="00EC033F">
        <w:t>_</w:t>
      </w:r>
      <w:proofErr w:type="spellStart"/>
      <w:r w:rsidRPr="00EC033F">
        <w:rPr>
          <w:lang w:val="en-US"/>
        </w:rPr>
        <w:t>kogan</w:t>
      </w:r>
      <w:proofErr w:type="spellEnd"/>
      <w:r w:rsidRPr="00EC033F">
        <w:t>_</w:t>
      </w:r>
      <w:proofErr w:type="spellStart"/>
      <w:r w:rsidRPr="00EC033F">
        <w:rPr>
          <w:lang w:val="en-US"/>
        </w:rPr>
        <w:t>pokinul</w:t>
      </w:r>
      <w:proofErr w:type="spellEnd"/>
      <w:r w:rsidRPr="00EC033F">
        <w:t>_</w:t>
      </w:r>
      <w:proofErr w:type="spellStart"/>
      <w:r w:rsidRPr="00EC033F">
        <w:rPr>
          <w:lang w:val="en-US"/>
        </w:rPr>
        <w:t>gosstroj</w:t>
      </w:r>
      <w:proofErr w:type="spellEnd"/>
      <w:r w:rsidRPr="00EC033F">
        <w:t>_</w:t>
      </w:r>
      <w:proofErr w:type="spellStart"/>
      <w:r w:rsidRPr="00EC033F">
        <w:rPr>
          <w:lang w:val="en-US"/>
        </w:rPr>
        <w:t>posle</w:t>
      </w:r>
      <w:proofErr w:type="spellEnd"/>
      <w:r w:rsidRPr="00EC033F">
        <w:t>_</w:t>
      </w:r>
      <w:proofErr w:type="spellStart"/>
      <w:r w:rsidRPr="00EC033F">
        <w:rPr>
          <w:lang w:val="en-US"/>
        </w:rPr>
        <w:t>konflikta</w:t>
      </w:r>
      <w:proofErr w:type="spellEnd"/>
      <w:r w:rsidRPr="00EC033F">
        <w:t>_</w:t>
      </w:r>
      <w:r w:rsidRPr="00EC033F">
        <w:rPr>
          <w:lang w:val="en-US"/>
        </w:rPr>
        <w:t>s</w:t>
      </w:r>
      <w:r w:rsidRPr="00EC033F">
        <w:t>_</w:t>
      </w:r>
      <w:proofErr w:type="spellStart"/>
      <w:r w:rsidRPr="00EC033F">
        <w:rPr>
          <w:lang w:val="en-US"/>
        </w:rPr>
        <w:t>medvedevym</w:t>
      </w:r>
      <w:proofErr w:type="spellEnd"/>
      <w:r w:rsidRPr="00EC033F">
        <w:t>-334705/</w:t>
      </w:r>
    </w:p>
  </w:footnote>
  <w:footnote w:id="26">
    <w:p w:rsidR="00497908" w:rsidRDefault="00497908" w:rsidP="008702D1">
      <w:pPr>
        <w:pStyle w:val="a3"/>
        <w:jc w:val="both"/>
      </w:pPr>
      <w:r>
        <w:rPr>
          <w:rStyle w:val="a5"/>
        </w:rPr>
        <w:footnoteRef/>
      </w:r>
      <w:r>
        <w:t>Дамба подорожала на 26,7 млрд. руб.</w:t>
      </w:r>
      <w:r w:rsidRPr="00EC033F">
        <w:t xml:space="preserve">// </w:t>
      </w:r>
      <w:r>
        <w:t xml:space="preserve">Ведомости, 01.03.2011 – </w:t>
      </w:r>
      <w:r>
        <w:rPr>
          <w:lang w:val="en-US"/>
        </w:rPr>
        <w:t>URL</w:t>
      </w:r>
      <w:r w:rsidRPr="00EC033F">
        <w:t xml:space="preserve">: </w:t>
      </w:r>
      <w:r w:rsidRPr="00BE11A8">
        <w:t>http://www.vedomosti.ru/newspaper/article/255803/damba_podorozhala_na_267_mlrd_rub</w:t>
      </w:r>
    </w:p>
  </w:footnote>
  <w:footnote w:id="27">
    <w:p w:rsidR="00497908" w:rsidRPr="00EC033F" w:rsidRDefault="00497908" w:rsidP="008702D1">
      <w:pPr>
        <w:pStyle w:val="a3"/>
        <w:jc w:val="both"/>
      </w:pPr>
      <w:r>
        <w:rPr>
          <w:rStyle w:val="a5"/>
        </w:rPr>
        <w:footnoteRef/>
      </w:r>
      <w:r>
        <w:t xml:space="preserve"> Бизнес </w:t>
      </w:r>
      <w:proofErr w:type="spellStart"/>
      <w:r>
        <w:t>по-шрёдеровски</w:t>
      </w:r>
      <w:proofErr w:type="spellEnd"/>
      <w:r w:rsidRPr="00EC033F">
        <w:t xml:space="preserve">// </w:t>
      </w:r>
      <w:r>
        <w:rPr>
          <w:lang w:val="en-US"/>
        </w:rPr>
        <w:t>DW</w:t>
      </w:r>
      <w:r w:rsidRPr="00EC033F">
        <w:t>.</w:t>
      </w:r>
      <w:r>
        <w:rPr>
          <w:lang w:val="en-US"/>
        </w:rPr>
        <w:t>DE</w:t>
      </w:r>
      <w:r w:rsidRPr="00EC033F">
        <w:t>. 01.04.</w:t>
      </w:r>
      <w:r w:rsidRPr="008702D1">
        <w:t>2006</w:t>
      </w:r>
      <w:r w:rsidRPr="00EC033F">
        <w:t xml:space="preserve"> - </w:t>
      </w:r>
      <w:r>
        <w:rPr>
          <w:lang w:val="en-US"/>
        </w:rPr>
        <w:t>URL</w:t>
      </w:r>
      <w:r w:rsidRPr="00EC033F">
        <w:t xml:space="preserve">: </w:t>
      </w:r>
      <w:r w:rsidRPr="00EC033F">
        <w:rPr>
          <w:rFonts w:ascii="Times New Roman" w:hAnsi="Times New Roman" w:cs="Times New Roman"/>
          <w:color w:val="000000" w:themeColor="text1"/>
          <w:shd w:val="clear" w:color="auto" w:fill="FFFFFF"/>
        </w:rPr>
        <w:t>http://dw.de/p/8BRc</w:t>
      </w:r>
    </w:p>
  </w:footnote>
  <w:footnote w:id="28">
    <w:p w:rsidR="00497908" w:rsidRPr="0037684B" w:rsidRDefault="00497908">
      <w:pPr>
        <w:pStyle w:val="a3"/>
      </w:pPr>
      <w:r>
        <w:rPr>
          <w:rStyle w:val="a5"/>
        </w:rPr>
        <w:footnoteRef/>
      </w:r>
      <w:r w:rsidRPr="0037684B">
        <w:t xml:space="preserve"> </w:t>
      </w:r>
      <w:r>
        <w:t>Шредер поступил на службу в «Газпром»</w:t>
      </w:r>
      <w:r w:rsidRPr="00614FEC">
        <w:t xml:space="preserve">// </w:t>
      </w:r>
      <w:proofErr w:type="spellStart"/>
      <w:r>
        <w:rPr>
          <w:lang w:val="en-US"/>
        </w:rPr>
        <w:t>Lenta</w:t>
      </w:r>
      <w:proofErr w:type="spellEnd"/>
      <w:r w:rsidRPr="00614FEC">
        <w:t>.</w:t>
      </w:r>
      <w:proofErr w:type="spellStart"/>
      <w:r>
        <w:rPr>
          <w:lang w:val="en-US"/>
        </w:rPr>
        <w:t>ru</w:t>
      </w:r>
      <w:proofErr w:type="spellEnd"/>
      <w:r w:rsidRPr="00614FEC">
        <w:t xml:space="preserve">, 13/12/2005 – </w:t>
      </w:r>
      <w:r>
        <w:rPr>
          <w:lang w:val="en-US"/>
        </w:rPr>
        <w:t>URL</w:t>
      </w:r>
      <w:r w:rsidRPr="00614FEC">
        <w:t xml:space="preserve">: </w:t>
      </w:r>
      <w:r w:rsidRPr="00EC033F">
        <w:rPr>
          <w:lang w:val="en-US"/>
        </w:rPr>
        <w:t>http</w:t>
      </w:r>
      <w:r w:rsidRPr="0037684B">
        <w:t>://</w:t>
      </w:r>
      <w:proofErr w:type="spellStart"/>
      <w:r w:rsidRPr="00EC033F">
        <w:rPr>
          <w:lang w:val="en-US"/>
        </w:rPr>
        <w:t>lenta</w:t>
      </w:r>
      <w:proofErr w:type="spellEnd"/>
      <w:r w:rsidRPr="0037684B">
        <w:t>.</w:t>
      </w:r>
      <w:proofErr w:type="spellStart"/>
      <w:r w:rsidRPr="00EC033F">
        <w:rPr>
          <w:lang w:val="en-US"/>
        </w:rPr>
        <w:t>ru</w:t>
      </w:r>
      <w:proofErr w:type="spellEnd"/>
      <w:r w:rsidRPr="0037684B">
        <w:t>/</w:t>
      </w:r>
      <w:r w:rsidRPr="00EC033F">
        <w:rPr>
          <w:lang w:val="en-US"/>
        </w:rPr>
        <w:t>articles</w:t>
      </w:r>
      <w:r w:rsidRPr="0037684B">
        <w:t>/2005/12/13/</w:t>
      </w:r>
      <w:r w:rsidRPr="00EC033F">
        <w:rPr>
          <w:lang w:val="en-US"/>
        </w:rPr>
        <w:t>million</w:t>
      </w:r>
      <w:r w:rsidRPr="0037684B">
        <w:t>/</w:t>
      </w:r>
    </w:p>
  </w:footnote>
  <w:footnote w:id="29">
    <w:p w:rsidR="00497908" w:rsidRPr="007B1B06" w:rsidRDefault="00497908">
      <w:pPr>
        <w:pStyle w:val="a3"/>
        <w:rPr>
          <w:color w:val="000000" w:themeColor="text1"/>
        </w:rPr>
      </w:pPr>
      <w:r w:rsidRPr="007B1B06">
        <w:rPr>
          <w:rStyle w:val="a5"/>
          <w:color w:val="000000" w:themeColor="text1"/>
        </w:rPr>
        <w:footnoteRef/>
      </w:r>
      <w:r w:rsidRPr="007B1B06">
        <w:rPr>
          <w:color w:val="000000" w:themeColor="text1"/>
        </w:rPr>
        <w:t xml:space="preserve"> </w:t>
      </w:r>
      <w:r>
        <w:rPr>
          <w:color w:val="000000" w:themeColor="text1"/>
        </w:rPr>
        <w:t>Герхард Шредер пытается восстановить доброе имя</w:t>
      </w:r>
      <w:r w:rsidRPr="00614FEC">
        <w:rPr>
          <w:color w:val="000000" w:themeColor="text1"/>
        </w:rPr>
        <w:t xml:space="preserve">// </w:t>
      </w:r>
      <w:r>
        <w:rPr>
          <w:color w:val="000000" w:themeColor="text1"/>
          <w:lang w:val="en-US"/>
        </w:rPr>
        <w:t>DW</w:t>
      </w:r>
      <w:r w:rsidRPr="00614FEC">
        <w:rPr>
          <w:color w:val="000000" w:themeColor="text1"/>
        </w:rPr>
        <w:t>.</w:t>
      </w:r>
      <w:r>
        <w:rPr>
          <w:color w:val="000000" w:themeColor="text1"/>
          <w:lang w:val="en-US"/>
        </w:rPr>
        <w:t>DE</w:t>
      </w:r>
      <w:r w:rsidRPr="00614FEC">
        <w:rPr>
          <w:color w:val="000000" w:themeColor="text1"/>
        </w:rPr>
        <w:t xml:space="preserve">, 20.03.2006 – </w:t>
      </w:r>
      <w:r>
        <w:rPr>
          <w:color w:val="000000" w:themeColor="text1"/>
          <w:lang w:val="en-US"/>
        </w:rPr>
        <w:t>URL</w:t>
      </w:r>
      <w:r w:rsidRPr="00614FEC">
        <w:rPr>
          <w:color w:val="000000" w:themeColor="text1"/>
        </w:rPr>
        <w:t>:</w:t>
      </w:r>
      <w:proofErr w:type="spellStart"/>
      <w:r w:rsidRPr="007B1B06">
        <w:rPr>
          <w:rFonts w:ascii="Arial" w:hAnsi="Arial" w:cs="Arial"/>
          <w:color w:val="000000" w:themeColor="text1"/>
          <w:shd w:val="clear" w:color="auto" w:fill="FFFFFF"/>
        </w:rPr>
        <w:t>http</w:t>
      </w:r>
      <w:proofErr w:type="spellEnd"/>
      <w:r w:rsidRPr="007B1B06">
        <w:rPr>
          <w:rFonts w:ascii="Arial" w:hAnsi="Arial" w:cs="Arial"/>
          <w:color w:val="000000" w:themeColor="text1"/>
          <w:shd w:val="clear" w:color="auto" w:fill="FFFFFF"/>
        </w:rPr>
        <w:t>://</w:t>
      </w:r>
      <w:proofErr w:type="spellStart"/>
      <w:r w:rsidRPr="007B1B06">
        <w:rPr>
          <w:rFonts w:ascii="Arial" w:hAnsi="Arial" w:cs="Arial"/>
          <w:color w:val="000000" w:themeColor="text1"/>
          <w:shd w:val="clear" w:color="auto" w:fill="FFFFFF"/>
        </w:rPr>
        <w:t>dw.de</w:t>
      </w:r>
      <w:proofErr w:type="spellEnd"/>
      <w:r w:rsidRPr="007B1B06">
        <w:rPr>
          <w:rFonts w:ascii="Arial" w:hAnsi="Arial" w:cs="Arial"/>
          <w:color w:val="000000" w:themeColor="text1"/>
          <w:shd w:val="clear" w:color="auto" w:fill="FFFFFF"/>
        </w:rPr>
        <w:t>/</w:t>
      </w:r>
      <w:proofErr w:type="spellStart"/>
      <w:r w:rsidRPr="007B1B06">
        <w:rPr>
          <w:rFonts w:ascii="Arial" w:hAnsi="Arial" w:cs="Arial"/>
          <w:color w:val="000000" w:themeColor="text1"/>
          <w:shd w:val="clear" w:color="auto" w:fill="FFFFFF"/>
        </w:rPr>
        <w:t>p</w:t>
      </w:r>
      <w:proofErr w:type="spellEnd"/>
      <w:r w:rsidRPr="007B1B06">
        <w:rPr>
          <w:rFonts w:ascii="Arial" w:hAnsi="Arial" w:cs="Arial"/>
          <w:color w:val="000000" w:themeColor="text1"/>
          <w:shd w:val="clear" w:color="auto" w:fill="FFFFFF"/>
        </w:rPr>
        <w:t>/88S6</w:t>
      </w:r>
    </w:p>
  </w:footnote>
  <w:footnote w:id="30">
    <w:p w:rsidR="00497908" w:rsidRPr="00192507" w:rsidRDefault="00497908" w:rsidP="009F603C">
      <w:pPr>
        <w:pStyle w:val="a3"/>
      </w:pPr>
      <w:r>
        <w:rPr>
          <w:rStyle w:val="a5"/>
        </w:rPr>
        <w:footnoteRef/>
      </w:r>
      <w:r>
        <w:t xml:space="preserve"> </w:t>
      </w:r>
      <w:r w:rsidRPr="001E637D">
        <w:rPr>
          <w:rFonts w:ascii="Times New Roman" w:hAnsi="Times New Roman" w:cs="Times New Roman"/>
          <w:shd w:val="clear" w:color="auto" w:fill="FFFFFF"/>
        </w:rPr>
        <w:t>Положение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интересов. Указ президента</w:t>
      </w:r>
      <w:r w:rsidRPr="0048277B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№821</w:t>
      </w:r>
    </w:p>
  </w:footnote>
  <w:footnote w:id="31">
    <w:p w:rsidR="00497908" w:rsidRDefault="00497908" w:rsidP="009F603C">
      <w:pPr>
        <w:pStyle w:val="a3"/>
      </w:pPr>
      <w:r>
        <w:rPr>
          <w:rStyle w:val="a5"/>
        </w:rPr>
        <w:footnoteRef/>
      </w:r>
      <w:r>
        <w:t xml:space="preserve"> См. там же</w:t>
      </w:r>
    </w:p>
  </w:footnote>
  <w:footnote w:id="32">
    <w:p w:rsidR="00497908" w:rsidRPr="00D12543" w:rsidRDefault="00497908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Анисимцев</w:t>
      </w:r>
      <w:proofErr w:type="spellEnd"/>
      <w:r>
        <w:t xml:space="preserve"> Н. В. За рубежом. Япония: обеспечение прозрачности («</w:t>
      </w:r>
      <w:proofErr w:type="spellStart"/>
      <w:r>
        <w:t>транпарентности</w:t>
      </w:r>
      <w:proofErr w:type="spellEnd"/>
      <w:r>
        <w:t>») административно-государственного управления</w:t>
      </w:r>
      <w:r w:rsidRPr="00D12543">
        <w:t>//</w:t>
      </w:r>
      <w:r>
        <w:t xml:space="preserve"> Государство и право, №6, Июнь 2003, с.61 – </w:t>
      </w:r>
      <w:r>
        <w:rPr>
          <w:lang w:val="en-US"/>
        </w:rPr>
        <w:t>URL</w:t>
      </w:r>
      <w:r w:rsidRPr="00D12543">
        <w:t xml:space="preserve">: </w:t>
      </w:r>
      <w:hyperlink r:id="rId7" w:history="1">
        <w:r w:rsidRPr="00192507">
          <w:rPr>
            <w:rStyle w:val="a7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http://www.ebiblioteka.ru/browse/doc/5119912</w:t>
        </w:r>
      </w:hyperlink>
    </w:p>
  </w:footnote>
  <w:footnote w:id="33">
    <w:p w:rsidR="00497908" w:rsidRDefault="00497908" w:rsidP="009F603C">
      <w:pPr>
        <w:pStyle w:val="a3"/>
      </w:pPr>
      <w:r>
        <w:rPr>
          <w:rStyle w:val="a5"/>
        </w:rPr>
        <w:footnoteRef/>
      </w:r>
      <w:r>
        <w:t xml:space="preserve"> Министерство по делам Крыма не учитывалось, т.к. пока не имеет собственного сайта</w:t>
      </w:r>
    </w:p>
  </w:footnote>
  <w:footnote w:id="34">
    <w:p w:rsidR="00497908" w:rsidRDefault="00497908" w:rsidP="009F603C">
      <w:pPr>
        <w:pStyle w:val="a3"/>
      </w:pPr>
      <w:r>
        <w:rPr>
          <w:rStyle w:val="a5"/>
        </w:rPr>
        <w:footnoteRef/>
      </w:r>
      <w:r>
        <w:t xml:space="preserve"> </w:t>
      </w:r>
      <w:r w:rsidRPr="001E637D">
        <w:rPr>
          <w:rFonts w:ascii="Times New Roman" w:hAnsi="Times New Roman" w:cs="Times New Roman"/>
          <w:shd w:val="clear" w:color="auto" w:fill="FFFFFF"/>
        </w:rPr>
        <w:t>Положение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интересов. Указ президента</w:t>
      </w:r>
      <w:r>
        <w:rPr>
          <w:rFonts w:ascii="Times New Roman" w:hAnsi="Times New Roman" w:cs="Times New Roman"/>
          <w:shd w:val="clear" w:color="auto" w:fill="FFFFFF"/>
        </w:rPr>
        <w:t xml:space="preserve"> №821</w:t>
      </w:r>
    </w:p>
  </w:footnote>
  <w:footnote w:id="35">
    <w:p w:rsidR="00497908" w:rsidRDefault="00497908">
      <w:pPr>
        <w:pStyle w:val="a3"/>
      </w:pPr>
      <w:r>
        <w:rPr>
          <w:rStyle w:val="a5"/>
        </w:rPr>
        <w:footnoteRef/>
      </w:r>
      <w:r>
        <w:t xml:space="preserve"> </w:t>
      </w:r>
      <w:r w:rsidRPr="0011762A">
        <w:rPr>
          <w:rFonts w:ascii="Times New Roman" w:hAnsi="Times New Roman" w:cs="Times New Roman"/>
          <w:color w:val="000000"/>
          <w:shd w:val="clear" w:color="auto" w:fill="FFFFFF"/>
        </w:rPr>
        <w:t>Положение о комиссии Министерства Российской Федера</w:t>
      </w:r>
      <w:r w:rsidRPr="0011762A">
        <w:rPr>
          <w:rFonts w:ascii="Times New Roman" w:hAnsi="Times New Roman" w:cs="Times New Roman"/>
          <w:color w:val="000000"/>
          <w:shd w:val="clear" w:color="auto" w:fill="FFFFFF"/>
        </w:rPr>
        <w:softHyphen/>
        <w:t xml:space="preserve">ции по делам гражданской обороны, чрезвычайным ситуациям и ликвидации последствий стихийных бедствий по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организации работы по </w:t>
      </w:r>
      <w:r w:rsidRPr="0011762A">
        <w:rPr>
          <w:rFonts w:ascii="Times New Roman" w:hAnsi="Times New Roman" w:cs="Times New Roman"/>
          <w:color w:val="000000"/>
          <w:shd w:val="clear" w:color="auto" w:fill="FFFFFF"/>
        </w:rPr>
        <w:t>противодействию коррупции</w:t>
      </w:r>
      <w:r>
        <w:rPr>
          <w:rStyle w:val="apple-converted-space"/>
          <w:rFonts w:ascii="Arial" w:hAnsi="Arial" w:cs="Arial"/>
          <w:color w:val="000000"/>
          <w:sz w:val="35"/>
          <w:szCs w:val="35"/>
          <w:shd w:val="clear" w:color="auto" w:fill="FFFFFF"/>
        </w:rPr>
        <w:t>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5BCE"/>
    <w:multiLevelType w:val="hybridMultilevel"/>
    <w:tmpl w:val="6990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52282"/>
    <w:multiLevelType w:val="hybridMultilevel"/>
    <w:tmpl w:val="0D605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7E19"/>
    <w:multiLevelType w:val="hybridMultilevel"/>
    <w:tmpl w:val="B978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7E56FB"/>
    <w:multiLevelType w:val="hybridMultilevel"/>
    <w:tmpl w:val="ABB83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919"/>
    <w:rsid w:val="00002C55"/>
    <w:rsid w:val="00002C8B"/>
    <w:rsid w:val="00011F77"/>
    <w:rsid w:val="00030704"/>
    <w:rsid w:val="000312C0"/>
    <w:rsid w:val="00045BA6"/>
    <w:rsid w:val="0005008A"/>
    <w:rsid w:val="00050A94"/>
    <w:rsid w:val="00062439"/>
    <w:rsid w:val="00065E32"/>
    <w:rsid w:val="000710F3"/>
    <w:rsid w:val="00072FC3"/>
    <w:rsid w:val="000757DA"/>
    <w:rsid w:val="0009756F"/>
    <w:rsid w:val="000B2E64"/>
    <w:rsid w:val="000C13F4"/>
    <w:rsid w:val="000C71D2"/>
    <w:rsid w:val="000D4B0E"/>
    <w:rsid w:val="000E0B3E"/>
    <w:rsid w:val="000E7B37"/>
    <w:rsid w:val="001002F0"/>
    <w:rsid w:val="00106A93"/>
    <w:rsid w:val="00116E1F"/>
    <w:rsid w:val="0011762A"/>
    <w:rsid w:val="00125483"/>
    <w:rsid w:val="00132BE3"/>
    <w:rsid w:val="00136B30"/>
    <w:rsid w:val="001421C0"/>
    <w:rsid w:val="0014420E"/>
    <w:rsid w:val="00162758"/>
    <w:rsid w:val="00162C74"/>
    <w:rsid w:val="00167443"/>
    <w:rsid w:val="00180CB5"/>
    <w:rsid w:val="001834E3"/>
    <w:rsid w:val="0019111C"/>
    <w:rsid w:val="00192507"/>
    <w:rsid w:val="00196028"/>
    <w:rsid w:val="00197585"/>
    <w:rsid w:val="001E15AE"/>
    <w:rsid w:val="001E637D"/>
    <w:rsid w:val="001E6D55"/>
    <w:rsid w:val="002052DF"/>
    <w:rsid w:val="00217EF6"/>
    <w:rsid w:val="00224A8D"/>
    <w:rsid w:val="00237849"/>
    <w:rsid w:val="00240D05"/>
    <w:rsid w:val="00243299"/>
    <w:rsid w:val="002554D6"/>
    <w:rsid w:val="002557CD"/>
    <w:rsid w:val="00257C33"/>
    <w:rsid w:val="002633C3"/>
    <w:rsid w:val="002749AC"/>
    <w:rsid w:val="0028109F"/>
    <w:rsid w:val="00282EF1"/>
    <w:rsid w:val="002C4C7E"/>
    <w:rsid w:val="002C4E51"/>
    <w:rsid w:val="002C5393"/>
    <w:rsid w:val="002C66FF"/>
    <w:rsid w:val="002D7281"/>
    <w:rsid w:val="002E6919"/>
    <w:rsid w:val="00305309"/>
    <w:rsid w:val="003248A3"/>
    <w:rsid w:val="00325B69"/>
    <w:rsid w:val="00343D3B"/>
    <w:rsid w:val="00374913"/>
    <w:rsid w:val="0037684B"/>
    <w:rsid w:val="003833D7"/>
    <w:rsid w:val="00393188"/>
    <w:rsid w:val="00394A29"/>
    <w:rsid w:val="00396B8F"/>
    <w:rsid w:val="003B604F"/>
    <w:rsid w:val="003E2F8E"/>
    <w:rsid w:val="00410A0E"/>
    <w:rsid w:val="00414E92"/>
    <w:rsid w:val="00424C1F"/>
    <w:rsid w:val="00431B55"/>
    <w:rsid w:val="0043527F"/>
    <w:rsid w:val="004376F9"/>
    <w:rsid w:val="00441DA5"/>
    <w:rsid w:val="00450D3C"/>
    <w:rsid w:val="004525BC"/>
    <w:rsid w:val="0045661C"/>
    <w:rsid w:val="00462246"/>
    <w:rsid w:val="004641D8"/>
    <w:rsid w:val="00476868"/>
    <w:rsid w:val="00480F92"/>
    <w:rsid w:val="0048277B"/>
    <w:rsid w:val="00497908"/>
    <w:rsid w:val="004A12FC"/>
    <w:rsid w:val="004A4C80"/>
    <w:rsid w:val="004A7690"/>
    <w:rsid w:val="004B19BD"/>
    <w:rsid w:val="004B362F"/>
    <w:rsid w:val="004B3C06"/>
    <w:rsid w:val="004C48D7"/>
    <w:rsid w:val="004E4F60"/>
    <w:rsid w:val="004F17EA"/>
    <w:rsid w:val="004F5E7C"/>
    <w:rsid w:val="004F71E1"/>
    <w:rsid w:val="005244F5"/>
    <w:rsid w:val="00544767"/>
    <w:rsid w:val="005462EA"/>
    <w:rsid w:val="00547732"/>
    <w:rsid w:val="0056746C"/>
    <w:rsid w:val="005959E2"/>
    <w:rsid w:val="005A44DB"/>
    <w:rsid w:val="005B39F6"/>
    <w:rsid w:val="005B498A"/>
    <w:rsid w:val="005C546A"/>
    <w:rsid w:val="005D2A66"/>
    <w:rsid w:val="005D2DB1"/>
    <w:rsid w:val="005E375C"/>
    <w:rsid w:val="005E6C6C"/>
    <w:rsid w:val="005E7C28"/>
    <w:rsid w:val="006072EE"/>
    <w:rsid w:val="006114BE"/>
    <w:rsid w:val="00614FEC"/>
    <w:rsid w:val="00626D96"/>
    <w:rsid w:val="00626F86"/>
    <w:rsid w:val="00630433"/>
    <w:rsid w:val="006506DA"/>
    <w:rsid w:val="00650C8A"/>
    <w:rsid w:val="00654730"/>
    <w:rsid w:val="006652D9"/>
    <w:rsid w:val="00670A33"/>
    <w:rsid w:val="0067510C"/>
    <w:rsid w:val="006B3F45"/>
    <w:rsid w:val="006C349F"/>
    <w:rsid w:val="006D49C8"/>
    <w:rsid w:val="006E24AE"/>
    <w:rsid w:val="006E3DA1"/>
    <w:rsid w:val="006E7733"/>
    <w:rsid w:val="006F5128"/>
    <w:rsid w:val="006F6C6D"/>
    <w:rsid w:val="0072120B"/>
    <w:rsid w:val="007224AD"/>
    <w:rsid w:val="00726DFB"/>
    <w:rsid w:val="00730D04"/>
    <w:rsid w:val="0073444A"/>
    <w:rsid w:val="007368EA"/>
    <w:rsid w:val="00746D28"/>
    <w:rsid w:val="007547A3"/>
    <w:rsid w:val="00764D1A"/>
    <w:rsid w:val="00777311"/>
    <w:rsid w:val="00781711"/>
    <w:rsid w:val="007A2187"/>
    <w:rsid w:val="007B1B06"/>
    <w:rsid w:val="007E64BE"/>
    <w:rsid w:val="007F67DF"/>
    <w:rsid w:val="00802E27"/>
    <w:rsid w:val="0081742E"/>
    <w:rsid w:val="0082718D"/>
    <w:rsid w:val="0083478F"/>
    <w:rsid w:val="008368E6"/>
    <w:rsid w:val="008531ED"/>
    <w:rsid w:val="00857FF5"/>
    <w:rsid w:val="0086217D"/>
    <w:rsid w:val="00865A94"/>
    <w:rsid w:val="008702D1"/>
    <w:rsid w:val="00873374"/>
    <w:rsid w:val="008955F3"/>
    <w:rsid w:val="008A2817"/>
    <w:rsid w:val="008A7824"/>
    <w:rsid w:val="008C5764"/>
    <w:rsid w:val="008C60F3"/>
    <w:rsid w:val="008D303B"/>
    <w:rsid w:val="008E1161"/>
    <w:rsid w:val="008F2F72"/>
    <w:rsid w:val="008F7E9D"/>
    <w:rsid w:val="00907298"/>
    <w:rsid w:val="009255C6"/>
    <w:rsid w:val="00937769"/>
    <w:rsid w:val="00937DB0"/>
    <w:rsid w:val="00941FB4"/>
    <w:rsid w:val="009761B4"/>
    <w:rsid w:val="009936E1"/>
    <w:rsid w:val="009B143A"/>
    <w:rsid w:val="009B1EC3"/>
    <w:rsid w:val="009B1FF6"/>
    <w:rsid w:val="009D1201"/>
    <w:rsid w:val="009D33E2"/>
    <w:rsid w:val="009F603C"/>
    <w:rsid w:val="00A03A59"/>
    <w:rsid w:val="00A1569C"/>
    <w:rsid w:val="00A47196"/>
    <w:rsid w:val="00A54673"/>
    <w:rsid w:val="00A65D77"/>
    <w:rsid w:val="00A70B27"/>
    <w:rsid w:val="00A744B0"/>
    <w:rsid w:val="00A95314"/>
    <w:rsid w:val="00AA0414"/>
    <w:rsid w:val="00AA3357"/>
    <w:rsid w:val="00AD0EBA"/>
    <w:rsid w:val="00AE3F31"/>
    <w:rsid w:val="00AF105D"/>
    <w:rsid w:val="00AF171D"/>
    <w:rsid w:val="00AF2351"/>
    <w:rsid w:val="00B036FE"/>
    <w:rsid w:val="00B0692F"/>
    <w:rsid w:val="00B06EF8"/>
    <w:rsid w:val="00B169FD"/>
    <w:rsid w:val="00B20F69"/>
    <w:rsid w:val="00B254D1"/>
    <w:rsid w:val="00B44AC7"/>
    <w:rsid w:val="00B44E72"/>
    <w:rsid w:val="00B52C7D"/>
    <w:rsid w:val="00B53C21"/>
    <w:rsid w:val="00B679B1"/>
    <w:rsid w:val="00B701C2"/>
    <w:rsid w:val="00B74658"/>
    <w:rsid w:val="00B776A1"/>
    <w:rsid w:val="00B77AB5"/>
    <w:rsid w:val="00B90822"/>
    <w:rsid w:val="00BA5A50"/>
    <w:rsid w:val="00BA7FAA"/>
    <w:rsid w:val="00BB3F60"/>
    <w:rsid w:val="00BC5539"/>
    <w:rsid w:val="00BF16EF"/>
    <w:rsid w:val="00BF2488"/>
    <w:rsid w:val="00BF2F78"/>
    <w:rsid w:val="00C22D3A"/>
    <w:rsid w:val="00C24040"/>
    <w:rsid w:val="00C25953"/>
    <w:rsid w:val="00C26BA0"/>
    <w:rsid w:val="00C40882"/>
    <w:rsid w:val="00C420DC"/>
    <w:rsid w:val="00C50DF3"/>
    <w:rsid w:val="00C56650"/>
    <w:rsid w:val="00C62AB2"/>
    <w:rsid w:val="00C7701A"/>
    <w:rsid w:val="00C83C8A"/>
    <w:rsid w:val="00C84DB8"/>
    <w:rsid w:val="00C8674D"/>
    <w:rsid w:val="00C86A72"/>
    <w:rsid w:val="00C915A8"/>
    <w:rsid w:val="00CD1F97"/>
    <w:rsid w:val="00CE0607"/>
    <w:rsid w:val="00CE57FA"/>
    <w:rsid w:val="00CF0A12"/>
    <w:rsid w:val="00D02F8C"/>
    <w:rsid w:val="00D05E80"/>
    <w:rsid w:val="00D12543"/>
    <w:rsid w:val="00D174CE"/>
    <w:rsid w:val="00D40D60"/>
    <w:rsid w:val="00D47F70"/>
    <w:rsid w:val="00D602B3"/>
    <w:rsid w:val="00D7380B"/>
    <w:rsid w:val="00D7634C"/>
    <w:rsid w:val="00D848E2"/>
    <w:rsid w:val="00D86DC8"/>
    <w:rsid w:val="00D916A4"/>
    <w:rsid w:val="00DA2FEF"/>
    <w:rsid w:val="00DA4BD7"/>
    <w:rsid w:val="00DA522A"/>
    <w:rsid w:val="00DB3F9A"/>
    <w:rsid w:val="00DC3052"/>
    <w:rsid w:val="00DC77F1"/>
    <w:rsid w:val="00DD0334"/>
    <w:rsid w:val="00DE04D0"/>
    <w:rsid w:val="00DE745C"/>
    <w:rsid w:val="00DF0006"/>
    <w:rsid w:val="00DF364E"/>
    <w:rsid w:val="00DF4358"/>
    <w:rsid w:val="00E07B27"/>
    <w:rsid w:val="00E207CA"/>
    <w:rsid w:val="00E404A3"/>
    <w:rsid w:val="00E51470"/>
    <w:rsid w:val="00E51C72"/>
    <w:rsid w:val="00E52970"/>
    <w:rsid w:val="00E5416D"/>
    <w:rsid w:val="00E54632"/>
    <w:rsid w:val="00E6405A"/>
    <w:rsid w:val="00E73E87"/>
    <w:rsid w:val="00E90B18"/>
    <w:rsid w:val="00E934E0"/>
    <w:rsid w:val="00EA2B99"/>
    <w:rsid w:val="00EA63C5"/>
    <w:rsid w:val="00EB2190"/>
    <w:rsid w:val="00EB5724"/>
    <w:rsid w:val="00EC033F"/>
    <w:rsid w:val="00ED2D5E"/>
    <w:rsid w:val="00EE1C49"/>
    <w:rsid w:val="00EF5E33"/>
    <w:rsid w:val="00EF77CA"/>
    <w:rsid w:val="00F04C10"/>
    <w:rsid w:val="00F070DC"/>
    <w:rsid w:val="00F144FC"/>
    <w:rsid w:val="00F34BA2"/>
    <w:rsid w:val="00F45D5D"/>
    <w:rsid w:val="00F612F5"/>
    <w:rsid w:val="00F61584"/>
    <w:rsid w:val="00F70A08"/>
    <w:rsid w:val="00F83B00"/>
    <w:rsid w:val="00F9463D"/>
    <w:rsid w:val="00F958FF"/>
    <w:rsid w:val="00FA593A"/>
    <w:rsid w:val="00FA5F3A"/>
    <w:rsid w:val="00FA6FB3"/>
    <w:rsid w:val="00FB019D"/>
    <w:rsid w:val="00FB328A"/>
    <w:rsid w:val="00FD374C"/>
    <w:rsid w:val="00FF1B76"/>
    <w:rsid w:val="00FF4912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1D"/>
  </w:style>
  <w:style w:type="paragraph" w:styleId="1">
    <w:name w:val="heading 1"/>
    <w:basedOn w:val="a"/>
    <w:next w:val="a"/>
    <w:link w:val="10"/>
    <w:uiPriority w:val="9"/>
    <w:qFormat/>
    <w:rsid w:val="00BA5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02C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qFormat/>
    <w:rsid w:val="00DC30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C30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C3052"/>
    <w:rPr>
      <w:vertAlign w:val="superscript"/>
    </w:rPr>
  </w:style>
  <w:style w:type="paragraph" w:customStyle="1" w:styleId="a6">
    <w:name w:val="Основной+"/>
    <w:basedOn w:val="a"/>
    <w:autoRedefine/>
    <w:rsid w:val="00343D3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E6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63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1762A"/>
  </w:style>
  <w:style w:type="character" w:styleId="a7">
    <w:name w:val="Hyperlink"/>
    <w:basedOn w:val="a0"/>
    <w:uiPriority w:val="99"/>
    <w:unhideWhenUsed/>
    <w:rsid w:val="0054476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11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470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67510C"/>
    <w:rPr>
      <w:i/>
      <w:iCs/>
    </w:rPr>
  </w:style>
  <w:style w:type="character" w:customStyle="1" w:styleId="nowrap">
    <w:name w:val="nowrap"/>
    <w:basedOn w:val="a0"/>
    <w:rsid w:val="0067510C"/>
  </w:style>
  <w:style w:type="table" w:styleId="ac">
    <w:name w:val="Table Grid"/>
    <w:basedOn w:val="a1"/>
    <w:uiPriority w:val="59"/>
    <w:rsid w:val="007B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02C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2F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semiHidden/>
    <w:rsid w:val="00D02F8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02F8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D02F8C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7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Subtitle"/>
    <w:basedOn w:val="a"/>
    <w:next w:val="a"/>
    <w:link w:val="ae"/>
    <w:uiPriority w:val="11"/>
    <w:qFormat/>
    <w:rsid w:val="00937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37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93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37769"/>
  </w:style>
  <w:style w:type="paragraph" w:styleId="af1">
    <w:name w:val="footer"/>
    <w:basedOn w:val="a"/>
    <w:link w:val="af2"/>
    <w:uiPriority w:val="99"/>
    <w:unhideWhenUsed/>
    <w:rsid w:val="0093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7769"/>
  </w:style>
  <w:style w:type="paragraph" w:styleId="af3">
    <w:name w:val="TOC Heading"/>
    <w:basedOn w:val="1"/>
    <w:next w:val="a"/>
    <w:uiPriority w:val="39"/>
    <w:semiHidden/>
    <w:unhideWhenUsed/>
    <w:qFormat/>
    <w:rsid w:val="009377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3776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404A3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URL:http://www.forbes.ru/milliardery/248465-bankir-iz-peterburga-kak-vladimir-kogan-probivaetsya-v-vysshuyu-biznes-ligu" TargetMode="External"/><Relationship Id="rId18" Type="http://schemas.openxmlformats.org/officeDocument/2006/relationships/hyperlink" Target="http://www.tbs-sct.gc.ca/gui/agcipe-gaciam-eng.as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92.242.59.41:2101/browse/doc/5119912" TargetMode="External"/><Relationship Id="rId17" Type="http://schemas.openxmlformats.org/officeDocument/2006/relationships/hyperlink" Target="http://92.242.59.41:2101/browse/doc/242350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se.ru/pubs/lib/data/access/ticket/1391658514e7ecead9081952af5c9a04857ad763fa/Artnis7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ecsocman.hse.ru/data/305/878/1219/4_zinkevich_76_85.pdf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www.oecd-ilibrary.org/governance/post-public-employment_9789264056701-en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novayagazeta.ru/politics/57741.htm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bs-sct.gc.ca/gui/agcipe-gaciam-eng.asp" TargetMode="External"/><Relationship Id="rId7" Type="http://schemas.openxmlformats.org/officeDocument/2006/relationships/hyperlink" Target="http://92.242.59.41:2101/browse/doc/5119912" TargetMode="External"/><Relationship Id="rId2" Type="http://schemas.openxmlformats.org/officeDocument/2006/relationships/hyperlink" Target="http://www.novayagazeta.ru/politics/57741.html" TargetMode="External"/><Relationship Id="rId1" Type="http://schemas.openxmlformats.org/officeDocument/2006/relationships/hyperlink" Target="http://www.hse.ru/pubs/lib/data/access/ticket/1391658514e7ecead9081952af5c9a04857ad763fa/Artnis77.pdf" TargetMode="External"/><Relationship Id="rId6" Type="http://schemas.openxmlformats.org/officeDocument/2006/relationships/hyperlink" Target="URL:http://www.forbes.ru/milliardery/248465-bankir-iz-peterburga-kak-vladimir-kogan-probivaetsya-v-vysshuyu-biznes-ligu" TargetMode="External"/><Relationship Id="rId5" Type="http://schemas.openxmlformats.org/officeDocument/2006/relationships/hyperlink" Target="http://92.242.59.41:2101/browse/doc/24235027" TargetMode="External"/><Relationship Id="rId4" Type="http://schemas.openxmlformats.org/officeDocument/2006/relationships/hyperlink" Target="http://www.oecd-ilibrary.org/governance/post-public-employment_9789264056701-e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Информация о руководстве компании на сайте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Нет информации о руководстве</c:v>
                </c:pt>
                <c:pt idx="1">
                  <c:v>Указану ФИО руководства, без биографий</c:v>
                </c:pt>
                <c:pt idx="2">
                  <c:v>ФИО руководства и биографии</c:v>
                </c:pt>
                <c:pt idx="3">
                  <c:v>ФИО руководства и неполные биографии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Наличие этического кодекса на сайте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Лист1!$A$2:$A$5</c:f>
              <c:strCache>
                <c:ptCount val="3"/>
                <c:pt idx="0">
                  <c:v>Нет</c:v>
                </c:pt>
                <c:pt idx="1">
                  <c:v>Есть, но не регулирует конфликт интересов</c:v>
                </c:pt>
                <c:pt idx="2">
                  <c:v>Есть, регулирует конфликт интересов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Размещение отчетов о деятельности</c:v>
                </c:pt>
              </c:strCache>
            </c:strRef>
          </c:tx>
          <c:dLbls>
            <c:dLbl>
              <c:idx val="0"/>
              <c:layout>
                <c:manualLayout>
                  <c:x val="-0.13490193934091571"/>
                  <c:y val="-0.16403637045369329"/>
                </c:manualLayout>
              </c:layout>
              <c:showVal val="1"/>
            </c:dLbl>
            <c:dLbl>
              <c:idx val="1"/>
              <c:layout>
                <c:manualLayout>
                  <c:x val="0.12953393846602512"/>
                  <c:y val="7.4478190226221735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aseline="0">
                    <a:solidFill>
                      <a:schemeClr val="bg1">
                        <a:lumMod val="85000"/>
                      </a:schemeClr>
                    </a:solidFill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Есть в разделе</c:v>
                </c:pt>
                <c:pt idx="1">
                  <c:v>Нет в разделе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7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D379-699F-4687-A919-47B33D04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6856</TotalTime>
  <Pages>48</Pages>
  <Words>7372</Words>
  <Characters>50948</Characters>
  <Application>Microsoft Office Word</Application>
  <DocSecurity>0</DocSecurity>
  <Lines>717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253</cp:revision>
  <dcterms:created xsi:type="dcterms:W3CDTF">2014-04-21T06:57:00Z</dcterms:created>
  <dcterms:modified xsi:type="dcterms:W3CDTF">2014-05-10T16:49:00Z</dcterms:modified>
</cp:coreProperties>
</file>