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E4" w:rsidRPr="008577E4" w:rsidRDefault="008577E4" w:rsidP="008577E4">
      <w:pPr>
        <w:pStyle w:val="Corpotesto"/>
        <w:tabs>
          <w:tab w:val="left" w:pos="1080"/>
        </w:tabs>
        <w:jc w:val="right"/>
        <w:rPr>
          <w:b/>
          <w:sz w:val="20"/>
          <w:szCs w:val="20"/>
          <w:lang w:val="en-GB"/>
        </w:rPr>
      </w:pPr>
      <w:r w:rsidRPr="008577E4">
        <w:rPr>
          <w:b/>
          <w:sz w:val="20"/>
          <w:szCs w:val="20"/>
          <w:lang w:val="en-GB"/>
        </w:rPr>
        <w:t>Luca Bianchi</w:t>
      </w:r>
    </w:p>
    <w:p w:rsidR="008577E4" w:rsidRPr="008577E4" w:rsidRDefault="008577E4" w:rsidP="008577E4">
      <w:pPr>
        <w:spacing w:line="240" w:lineRule="auto"/>
        <w:jc w:val="right"/>
        <w:rPr>
          <w:rFonts w:ascii="Times New Roman" w:hAnsi="Times New Roman" w:cs="Times New Roman"/>
          <w:b/>
          <w:sz w:val="20"/>
          <w:szCs w:val="20"/>
          <w:lang w:val="en-GB"/>
        </w:rPr>
      </w:pPr>
      <w:r w:rsidRPr="008577E4">
        <w:rPr>
          <w:rFonts w:ascii="Times New Roman" w:hAnsi="Times New Roman" w:cs="Times New Roman"/>
          <w:b/>
          <w:sz w:val="20"/>
          <w:szCs w:val="20"/>
          <w:lang w:val="en-GB"/>
        </w:rPr>
        <w:t xml:space="preserve">From pope Urban VIII to bishop </w:t>
      </w:r>
      <w:r w:rsidRPr="008577E4">
        <w:rPr>
          <w:rFonts w:ascii="Times New Roman" w:hAnsi="Times New Roman" w:cs="Times New Roman"/>
          <w:b/>
          <w:sz w:val="20"/>
          <w:szCs w:val="20"/>
          <w:lang w:val="en-US"/>
        </w:rPr>
        <w:t>É</w:t>
      </w:r>
      <w:r w:rsidRPr="008577E4">
        <w:rPr>
          <w:rFonts w:ascii="Times New Roman" w:hAnsi="Times New Roman" w:cs="Times New Roman"/>
          <w:b/>
          <w:sz w:val="20"/>
          <w:szCs w:val="20"/>
          <w:lang w:val="en-GB"/>
        </w:rPr>
        <w:t>tienne Tempier: the strange history of the “doctrine of double truth”</w:t>
      </w:r>
    </w:p>
    <w:p w:rsidR="008577E4" w:rsidRPr="008577E4" w:rsidRDefault="008577E4" w:rsidP="00BA553E">
      <w:pPr>
        <w:pStyle w:val="Corpotesto"/>
        <w:tabs>
          <w:tab w:val="left" w:pos="1080"/>
        </w:tabs>
        <w:jc w:val="left"/>
        <w:rPr>
          <w:smallCaps/>
          <w:sz w:val="20"/>
          <w:szCs w:val="20"/>
          <w:lang w:val="en-GB"/>
        </w:rPr>
      </w:pPr>
    </w:p>
    <w:p w:rsidR="00BA553E" w:rsidRPr="008577E4" w:rsidRDefault="00BA553E" w:rsidP="00BA553E">
      <w:pPr>
        <w:pStyle w:val="Corpotesto"/>
        <w:tabs>
          <w:tab w:val="left" w:pos="1080"/>
        </w:tabs>
        <w:jc w:val="left"/>
        <w:rPr>
          <w:smallCaps/>
          <w:sz w:val="20"/>
          <w:szCs w:val="20"/>
          <w:lang w:val="en-GB"/>
        </w:rPr>
      </w:pPr>
      <w:r w:rsidRPr="008577E4">
        <w:rPr>
          <w:smallCaps/>
          <w:sz w:val="20"/>
          <w:szCs w:val="20"/>
          <w:lang w:val="en-GB"/>
        </w:rPr>
        <w:t>1.</w:t>
      </w:r>
    </w:p>
    <w:p w:rsidR="00BA553E" w:rsidRPr="008577E4" w:rsidRDefault="00D15D54" w:rsidP="00BA553E">
      <w:pPr>
        <w:pStyle w:val="Corpotesto"/>
        <w:tabs>
          <w:tab w:val="left" w:pos="1080"/>
        </w:tabs>
        <w:jc w:val="left"/>
        <w:rPr>
          <w:sz w:val="20"/>
          <w:szCs w:val="20"/>
          <w:lang w:val="en-GB"/>
        </w:rPr>
      </w:pPr>
      <w:r w:rsidRPr="008577E4">
        <w:rPr>
          <w:smallCaps/>
          <w:sz w:val="20"/>
          <w:szCs w:val="20"/>
          <w:lang w:val="en-GB"/>
        </w:rPr>
        <w:t>“</w:t>
      </w:r>
      <w:r w:rsidR="00BA553E" w:rsidRPr="008577E4">
        <w:rPr>
          <w:smallCaps/>
          <w:sz w:val="20"/>
          <w:szCs w:val="20"/>
          <w:lang w:val="en-GB"/>
        </w:rPr>
        <w:t>Barberini :</w:t>
      </w:r>
      <w:r w:rsidR="00BA553E" w:rsidRPr="008577E4">
        <w:rPr>
          <w:sz w:val="20"/>
          <w:szCs w:val="20"/>
          <w:lang w:val="en-GB"/>
        </w:rPr>
        <w:t xml:space="preserve"> And yet – even as I admire Jupiter and her moons, this host of extravagant heavenly beauty, I cannot help but wonder how you will make this astronomy of yours fit in with Holy Scripture.</w:t>
      </w:r>
    </w:p>
    <w:p w:rsidR="00BA553E" w:rsidRPr="008577E4" w:rsidRDefault="00BA553E" w:rsidP="00BA553E">
      <w:pPr>
        <w:pStyle w:val="Corpotesto"/>
        <w:tabs>
          <w:tab w:val="left" w:pos="1080"/>
        </w:tabs>
        <w:jc w:val="left"/>
        <w:rPr>
          <w:sz w:val="20"/>
          <w:szCs w:val="20"/>
          <w:lang w:val="en-GB"/>
        </w:rPr>
      </w:pPr>
      <w:r w:rsidRPr="008577E4">
        <w:rPr>
          <w:smallCaps/>
          <w:sz w:val="20"/>
          <w:szCs w:val="20"/>
          <w:lang w:val="en-GB"/>
        </w:rPr>
        <w:t>Galileo</w:t>
      </w:r>
      <w:r w:rsidRPr="008577E4">
        <w:rPr>
          <w:sz w:val="20"/>
          <w:szCs w:val="20"/>
          <w:lang w:val="en-GB"/>
        </w:rPr>
        <w:t>: I do not anticipate any great difficulty.</w:t>
      </w:r>
    </w:p>
    <w:p w:rsidR="00BA553E" w:rsidRPr="008577E4" w:rsidRDefault="00BA553E" w:rsidP="00BA553E">
      <w:pPr>
        <w:pStyle w:val="Corpotesto"/>
        <w:tabs>
          <w:tab w:val="left" w:pos="1080"/>
        </w:tabs>
        <w:jc w:val="left"/>
        <w:rPr>
          <w:sz w:val="20"/>
          <w:szCs w:val="20"/>
          <w:lang w:val="en-GB"/>
        </w:rPr>
      </w:pPr>
      <w:r w:rsidRPr="008577E4">
        <w:rPr>
          <w:smallCaps/>
          <w:sz w:val="20"/>
          <w:szCs w:val="20"/>
          <w:lang w:val="en-GB"/>
        </w:rPr>
        <w:t>Barberini :</w:t>
      </w:r>
      <w:r w:rsidRPr="008577E4">
        <w:rPr>
          <w:sz w:val="20"/>
          <w:szCs w:val="20"/>
          <w:lang w:val="en-GB"/>
        </w:rPr>
        <w:t xml:space="preserve"> How so ? Or do you intend to advance a doctrine of double truth?</w:t>
      </w:r>
    </w:p>
    <w:p w:rsidR="00BA553E" w:rsidRPr="008577E4" w:rsidRDefault="00BA553E" w:rsidP="00BA553E">
      <w:pPr>
        <w:pStyle w:val="Corpotesto"/>
        <w:tabs>
          <w:tab w:val="left" w:pos="1080"/>
        </w:tabs>
        <w:jc w:val="left"/>
        <w:rPr>
          <w:sz w:val="20"/>
          <w:szCs w:val="20"/>
          <w:lang w:val="en-GB"/>
        </w:rPr>
      </w:pPr>
      <w:r w:rsidRPr="008577E4">
        <w:rPr>
          <w:smallCaps/>
          <w:sz w:val="20"/>
          <w:szCs w:val="20"/>
          <w:lang w:val="en-GB"/>
        </w:rPr>
        <w:t>Galileo</w:t>
      </w:r>
      <w:r w:rsidRPr="008577E4">
        <w:rPr>
          <w:sz w:val="20"/>
          <w:szCs w:val="20"/>
          <w:lang w:val="en-GB"/>
        </w:rPr>
        <w:t>: A doctrine of double truth?</w:t>
      </w:r>
    </w:p>
    <w:p w:rsidR="00BA553E" w:rsidRPr="008577E4" w:rsidRDefault="00BA553E" w:rsidP="00BA553E">
      <w:pPr>
        <w:pStyle w:val="Corpotesto"/>
        <w:tabs>
          <w:tab w:val="left" w:pos="1080"/>
        </w:tabs>
        <w:jc w:val="left"/>
        <w:rPr>
          <w:sz w:val="20"/>
          <w:szCs w:val="20"/>
          <w:lang w:val="en-GB"/>
        </w:rPr>
      </w:pPr>
      <w:r w:rsidRPr="008577E4">
        <w:rPr>
          <w:smallCaps/>
          <w:sz w:val="20"/>
          <w:szCs w:val="20"/>
          <w:lang w:val="en-GB"/>
        </w:rPr>
        <w:t>Barberini</w:t>
      </w:r>
      <w:r w:rsidRPr="008577E4">
        <w:rPr>
          <w:sz w:val="20"/>
          <w:szCs w:val="20"/>
          <w:lang w:val="en-GB"/>
        </w:rPr>
        <w:t xml:space="preserve">: Two contradicting truths, existing side by side – one religious, the other scientific. Each valid in its </w:t>
      </w:r>
      <w:r w:rsidRPr="008577E4">
        <w:rPr>
          <w:i/>
          <w:iCs/>
          <w:sz w:val="20"/>
          <w:szCs w:val="20"/>
          <w:lang w:val="en-GB"/>
        </w:rPr>
        <w:t>own</w:t>
      </w:r>
      <w:r w:rsidRPr="008577E4">
        <w:rPr>
          <w:sz w:val="20"/>
          <w:szCs w:val="20"/>
          <w:lang w:val="en-GB"/>
        </w:rPr>
        <w:t xml:space="preserve"> category, but false in the other.</w:t>
      </w:r>
    </w:p>
    <w:p w:rsidR="00BA553E" w:rsidRPr="008577E4" w:rsidRDefault="00BA553E" w:rsidP="00BA553E">
      <w:pPr>
        <w:pStyle w:val="Corpotesto"/>
        <w:tabs>
          <w:tab w:val="left" w:pos="1080"/>
        </w:tabs>
        <w:jc w:val="left"/>
        <w:rPr>
          <w:sz w:val="20"/>
          <w:szCs w:val="20"/>
          <w:lang w:val="en-GB"/>
        </w:rPr>
      </w:pPr>
      <w:r w:rsidRPr="008577E4">
        <w:rPr>
          <w:smallCaps/>
          <w:sz w:val="20"/>
          <w:szCs w:val="20"/>
          <w:lang w:val="en-GB"/>
        </w:rPr>
        <w:t>Galileo</w:t>
      </w:r>
      <w:r w:rsidRPr="008577E4">
        <w:rPr>
          <w:sz w:val="20"/>
          <w:szCs w:val="20"/>
          <w:lang w:val="en-GB"/>
        </w:rPr>
        <w:t>: Such theological juggling bewilders me.</w:t>
      </w:r>
    </w:p>
    <w:p w:rsidR="00BA553E" w:rsidRPr="008577E4" w:rsidRDefault="00BA553E" w:rsidP="00BA553E">
      <w:pPr>
        <w:pStyle w:val="Corpotesto"/>
        <w:tabs>
          <w:tab w:val="left" w:pos="1080"/>
        </w:tabs>
        <w:jc w:val="left"/>
        <w:rPr>
          <w:sz w:val="20"/>
          <w:szCs w:val="20"/>
          <w:lang w:val="en-GB"/>
        </w:rPr>
      </w:pPr>
      <w:r w:rsidRPr="008577E4">
        <w:rPr>
          <w:smallCaps/>
          <w:sz w:val="20"/>
          <w:szCs w:val="20"/>
          <w:lang w:val="en-GB"/>
        </w:rPr>
        <w:t>Barberini</w:t>
      </w:r>
      <w:r w:rsidRPr="008577E4">
        <w:rPr>
          <w:sz w:val="20"/>
          <w:szCs w:val="20"/>
          <w:lang w:val="en-GB"/>
        </w:rPr>
        <w:t>: It’s really very simple once you get the knack of it (</w:t>
      </w:r>
      <w:r w:rsidRPr="008577E4">
        <w:rPr>
          <w:i/>
          <w:iCs/>
          <w:sz w:val="20"/>
          <w:szCs w:val="20"/>
          <w:lang w:val="en-GB"/>
        </w:rPr>
        <w:t>They laugh.</w:t>
      </w:r>
      <w:r w:rsidRPr="008577E4">
        <w:rPr>
          <w:sz w:val="20"/>
          <w:szCs w:val="20"/>
          <w:lang w:val="en-GB"/>
        </w:rPr>
        <w:t>)</w:t>
      </w:r>
      <w:r w:rsidR="00D15D54" w:rsidRPr="008577E4">
        <w:rPr>
          <w:sz w:val="20"/>
          <w:szCs w:val="20"/>
          <w:lang w:val="en-GB"/>
        </w:rPr>
        <w:t>”</w:t>
      </w:r>
    </w:p>
    <w:p w:rsidR="00BA553E" w:rsidRPr="008577E4" w:rsidRDefault="00BA553E" w:rsidP="00BA553E">
      <w:pPr>
        <w:pStyle w:val="Corpotesto"/>
        <w:tabs>
          <w:tab w:val="left" w:pos="1080"/>
        </w:tabs>
        <w:jc w:val="left"/>
        <w:rPr>
          <w:sz w:val="20"/>
          <w:szCs w:val="20"/>
          <w:lang w:val="en-US"/>
        </w:rPr>
      </w:pPr>
    </w:p>
    <w:p w:rsidR="00BA553E" w:rsidRPr="008577E4" w:rsidRDefault="00BA553E" w:rsidP="00BA553E">
      <w:pPr>
        <w:pStyle w:val="Corpotesto"/>
        <w:tabs>
          <w:tab w:val="left" w:pos="1080"/>
        </w:tabs>
        <w:rPr>
          <w:b/>
          <w:bCs/>
          <w:smallCaps/>
          <w:sz w:val="20"/>
          <w:szCs w:val="20"/>
          <w:lang w:val="en-GB"/>
        </w:rPr>
      </w:pPr>
      <w:r w:rsidRPr="008577E4">
        <w:rPr>
          <w:sz w:val="20"/>
          <w:szCs w:val="20"/>
          <w:lang w:val="en-GB"/>
        </w:rPr>
        <w:t xml:space="preserve">B. Stavis, </w:t>
      </w:r>
      <w:r w:rsidRPr="008577E4">
        <w:rPr>
          <w:i/>
          <w:iCs/>
          <w:sz w:val="20"/>
          <w:szCs w:val="20"/>
          <w:lang w:val="en-GB"/>
        </w:rPr>
        <w:t>Lamp at Midnight. A Play about Galileo</w:t>
      </w:r>
      <w:r w:rsidR="005474EA" w:rsidRPr="008577E4">
        <w:rPr>
          <w:sz w:val="20"/>
          <w:szCs w:val="20"/>
          <w:lang w:val="en-GB"/>
        </w:rPr>
        <w:t>, I, 4, New York-</w:t>
      </w:r>
      <w:r w:rsidRPr="008577E4">
        <w:rPr>
          <w:sz w:val="20"/>
          <w:szCs w:val="20"/>
          <w:lang w:val="en-GB"/>
        </w:rPr>
        <w:t>Lond</w:t>
      </w:r>
      <w:r w:rsidR="005474EA" w:rsidRPr="008577E4">
        <w:rPr>
          <w:sz w:val="20"/>
          <w:szCs w:val="20"/>
          <w:lang w:val="en-GB"/>
        </w:rPr>
        <w:t>on</w:t>
      </w:r>
      <w:r w:rsidRPr="008577E4">
        <w:rPr>
          <w:sz w:val="20"/>
          <w:szCs w:val="20"/>
          <w:lang w:val="en-GB"/>
        </w:rPr>
        <w:t xml:space="preserve"> 1966, p. 34.</w:t>
      </w:r>
    </w:p>
    <w:p w:rsidR="00BA553E" w:rsidRPr="008577E4" w:rsidRDefault="00BA553E" w:rsidP="00BA553E">
      <w:pPr>
        <w:pStyle w:val="Corpotesto"/>
        <w:tabs>
          <w:tab w:val="left" w:pos="1080"/>
        </w:tabs>
        <w:jc w:val="left"/>
        <w:rPr>
          <w:sz w:val="20"/>
          <w:szCs w:val="20"/>
          <w:lang w:val="en-GB"/>
        </w:rPr>
      </w:pPr>
    </w:p>
    <w:p w:rsidR="00A45982" w:rsidRPr="008577E4" w:rsidRDefault="00BA553E" w:rsidP="00A45982">
      <w:pPr>
        <w:pStyle w:val="Testonotaapidipagina"/>
        <w:jc w:val="both"/>
        <w:rPr>
          <w:rFonts w:ascii="Times New Roman" w:hAnsi="Times New Roman" w:cs="Times New Roman"/>
          <w:lang w:val="it-IT"/>
        </w:rPr>
      </w:pPr>
      <w:r w:rsidRPr="008577E4">
        <w:rPr>
          <w:rFonts w:ascii="Times New Roman" w:hAnsi="Times New Roman" w:cs="Times New Roman"/>
          <w:lang w:val="it-IT"/>
        </w:rPr>
        <w:t>2.</w:t>
      </w:r>
      <w:r w:rsidR="00A45982" w:rsidRPr="008577E4">
        <w:rPr>
          <w:rFonts w:ascii="Times New Roman" w:hAnsi="Times New Roman" w:cs="Times New Roman"/>
          <w:lang w:val="it-IT"/>
        </w:rPr>
        <w:t xml:space="preserve"> </w:t>
      </w:r>
    </w:p>
    <w:p w:rsidR="00D15D54" w:rsidRPr="008577E4" w:rsidRDefault="00124067" w:rsidP="00A45982">
      <w:pPr>
        <w:pStyle w:val="Testonotaapidipagina"/>
        <w:jc w:val="both"/>
        <w:rPr>
          <w:rFonts w:ascii="Times New Roman" w:hAnsi="Times New Roman" w:cs="Times New Roman"/>
          <w:lang w:val="it-IT"/>
        </w:rPr>
      </w:pPr>
      <w:r w:rsidRPr="008577E4">
        <w:rPr>
          <w:rFonts w:ascii="Times New Roman" w:hAnsi="Times New Roman" w:cs="Times New Roman"/>
          <w:lang w:val="it-IT"/>
        </w:rPr>
        <w:t>2a. “</w:t>
      </w:r>
      <w:r w:rsidR="00A45982" w:rsidRPr="008577E4">
        <w:rPr>
          <w:rFonts w:ascii="Times New Roman" w:hAnsi="Times New Roman" w:cs="Times New Roman"/>
          <w:lang w:val="it-IT"/>
        </w:rPr>
        <w:t xml:space="preserve">[…] poi che </w:t>
      </w:r>
      <w:r w:rsidR="00A45982" w:rsidRPr="008577E4">
        <w:rPr>
          <w:rFonts w:ascii="Times New Roman" w:hAnsi="Times New Roman" w:cs="Times New Roman"/>
          <w:i/>
          <w:lang w:val="it-IT"/>
        </w:rPr>
        <w:t xml:space="preserve">due veri </w:t>
      </w:r>
      <w:r w:rsidR="00D15D54" w:rsidRPr="008577E4">
        <w:rPr>
          <w:rFonts w:ascii="Times New Roman" w:hAnsi="Times New Roman" w:cs="Times New Roman"/>
          <w:i/>
          <w:lang w:val="it-IT"/>
        </w:rPr>
        <w:t>non possono mai contrariarsi</w:t>
      </w:r>
      <w:r w:rsidRPr="008577E4">
        <w:rPr>
          <w:rFonts w:ascii="Times New Roman" w:hAnsi="Times New Roman" w:cs="Times New Roman"/>
          <w:lang w:val="it-IT"/>
        </w:rPr>
        <w:t>”</w:t>
      </w:r>
    </w:p>
    <w:p w:rsidR="00D15D54" w:rsidRPr="008577E4" w:rsidRDefault="00D15D54" w:rsidP="00A45982">
      <w:pPr>
        <w:pStyle w:val="Testonotaapidipagina"/>
        <w:jc w:val="both"/>
        <w:rPr>
          <w:rFonts w:ascii="Times New Roman" w:hAnsi="Times New Roman" w:cs="Times New Roman"/>
          <w:lang w:val="it-IT"/>
        </w:rPr>
      </w:pPr>
    </w:p>
    <w:p w:rsidR="00A45982" w:rsidRPr="008577E4" w:rsidRDefault="008577E4" w:rsidP="00A45982">
      <w:pPr>
        <w:pStyle w:val="Testonotaapidipagina"/>
        <w:jc w:val="both"/>
        <w:rPr>
          <w:rFonts w:ascii="Times New Roman" w:hAnsi="Times New Roman" w:cs="Times New Roman"/>
          <w:lang w:val="it-IT"/>
        </w:rPr>
      </w:pPr>
      <w:r w:rsidRPr="008577E4">
        <w:rPr>
          <w:rFonts w:ascii="Times New Roman" w:hAnsi="Times New Roman" w:cs="Times New Roman"/>
          <w:iCs/>
          <w:lang w:val="it-IT"/>
        </w:rPr>
        <w:t xml:space="preserve">Galileo Galilei, </w:t>
      </w:r>
      <w:r w:rsidR="00A45982" w:rsidRPr="008577E4">
        <w:rPr>
          <w:rFonts w:ascii="Times New Roman" w:hAnsi="Times New Roman" w:cs="Times New Roman"/>
          <w:i/>
          <w:iCs/>
          <w:lang w:val="it-IT"/>
        </w:rPr>
        <w:t>Lettera a Madama Cristina di Lorena</w:t>
      </w:r>
      <w:r w:rsidR="00A45982" w:rsidRPr="008577E4">
        <w:rPr>
          <w:rFonts w:ascii="Times New Roman" w:hAnsi="Times New Roman" w:cs="Times New Roman"/>
          <w:lang w:val="it-IT"/>
        </w:rPr>
        <w:t xml:space="preserve">, in </w:t>
      </w:r>
      <w:r w:rsidR="00A45982" w:rsidRPr="008577E4">
        <w:rPr>
          <w:rFonts w:ascii="Times New Roman" w:hAnsi="Times New Roman" w:cs="Times New Roman"/>
          <w:i/>
          <w:iCs/>
          <w:lang w:val="it-IT"/>
        </w:rPr>
        <w:t>Le Opere di Galileo Galilei</w:t>
      </w:r>
      <w:r w:rsidR="00A45982" w:rsidRPr="008577E4">
        <w:rPr>
          <w:rFonts w:ascii="Times New Roman" w:hAnsi="Times New Roman" w:cs="Times New Roman"/>
          <w:lang w:val="it-IT"/>
        </w:rPr>
        <w:t xml:space="preserve">, </w:t>
      </w:r>
      <w:r w:rsidR="00FC418E" w:rsidRPr="008577E4">
        <w:rPr>
          <w:rFonts w:ascii="Times New Roman" w:hAnsi="Times New Roman" w:cs="Times New Roman"/>
          <w:lang w:val="it-IT"/>
        </w:rPr>
        <w:t xml:space="preserve">ed. A. Favaro, </w:t>
      </w:r>
      <w:r w:rsidR="00A45982" w:rsidRPr="008577E4">
        <w:rPr>
          <w:rFonts w:ascii="Times New Roman" w:hAnsi="Times New Roman" w:cs="Times New Roman"/>
          <w:lang w:val="it-IT"/>
        </w:rPr>
        <w:t xml:space="preserve">vol. 5, p. 330. </w:t>
      </w:r>
    </w:p>
    <w:p w:rsidR="00D15D54" w:rsidRPr="008577E4" w:rsidRDefault="00D15D54" w:rsidP="00A45982">
      <w:pPr>
        <w:pStyle w:val="Testonotaapidipagina"/>
        <w:jc w:val="both"/>
        <w:rPr>
          <w:rFonts w:ascii="Times New Roman" w:hAnsi="Times New Roman" w:cs="Times New Roman"/>
          <w:lang w:val="it-IT"/>
        </w:rPr>
      </w:pPr>
    </w:p>
    <w:p w:rsidR="00D15D54" w:rsidRPr="008577E4" w:rsidRDefault="00124067" w:rsidP="00A45982">
      <w:pPr>
        <w:pStyle w:val="Testonotaapidipagina"/>
        <w:jc w:val="both"/>
        <w:rPr>
          <w:rFonts w:ascii="Times New Roman" w:hAnsi="Times New Roman" w:cs="Times New Roman"/>
          <w:lang w:val="it-IT"/>
        </w:rPr>
      </w:pPr>
      <w:r w:rsidRPr="008577E4">
        <w:rPr>
          <w:rFonts w:ascii="Times New Roman" w:hAnsi="Times New Roman" w:cs="Times New Roman"/>
          <w:lang w:val="it-IT"/>
        </w:rPr>
        <w:t>2b. “</w:t>
      </w:r>
      <w:r w:rsidR="00A45982" w:rsidRPr="008577E4">
        <w:rPr>
          <w:rFonts w:ascii="Times New Roman" w:hAnsi="Times New Roman" w:cs="Times New Roman"/>
          <w:lang w:val="it-IT"/>
        </w:rPr>
        <w:t xml:space="preserve">[…] perchè chiara cosa è che </w:t>
      </w:r>
      <w:r w:rsidR="00A45982" w:rsidRPr="008577E4">
        <w:rPr>
          <w:rFonts w:ascii="Times New Roman" w:hAnsi="Times New Roman" w:cs="Times New Roman"/>
          <w:i/>
          <w:lang w:val="it-IT"/>
        </w:rPr>
        <w:t>due ve</w:t>
      </w:r>
      <w:r w:rsidR="00D15D54" w:rsidRPr="008577E4">
        <w:rPr>
          <w:rFonts w:ascii="Times New Roman" w:hAnsi="Times New Roman" w:cs="Times New Roman"/>
          <w:i/>
          <w:lang w:val="it-IT"/>
        </w:rPr>
        <w:t>ri non si posson contrariare</w:t>
      </w:r>
      <w:r w:rsidRPr="008577E4">
        <w:rPr>
          <w:rFonts w:ascii="Times New Roman" w:hAnsi="Times New Roman" w:cs="Times New Roman"/>
          <w:lang w:val="it-IT"/>
        </w:rPr>
        <w:t>”</w:t>
      </w:r>
    </w:p>
    <w:p w:rsidR="00D15D54" w:rsidRPr="008577E4" w:rsidRDefault="00D15D54" w:rsidP="00A45982">
      <w:pPr>
        <w:pStyle w:val="Testonotaapidipagina"/>
        <w:jc w:val="both"/>
        <w:rPr>
          <w:rFonts w:ascii="Times New Roman" w:hAnsi="Times New Roman" w:cs="Times New Roman"/>
          <w:lang w:val="it-IT"/>
        </w:rPr>
      </w:pPr>
    </w:p>
    <w:p w:rsidR="00A45982" w:rsidRPr="008577E4" w:rsidRDefault="008577E4" w:rsidP="00A45982">
      <w:pPr>
        <w:pStyle w:val="Testonotaapidipagina"/>
        <w:jc w:val="both"/>
        <w:rPr>
          <w:rFonts w:ascii="Times New Roman" w:hAnsi="Times New Roman" w:cs="Times New Roman"/>
          <w:lang w:val="it-IT"/>
        </w:rPr>
      </w:pPr>
      <w:r w:rsidRPr="008577E4">
        <w:rPr>
          <w:rFonts w:ascii="Times New Roman" w:hAnsi="Times New Roman" w:cs="Times New Roman"/>
          <w:lang w:val="it-IT"/>
        </w:rPr>
        <w:t xml:space="preserve">Galileo Galilei, </w:t>
      </w:r>
      <w:r w:rsidR="00A45982" w:rsidRPr="008577E4">
        <w:rPr>
          <w:rFonts w:ascii="Times New Roman" w:hAnsi="Times New Roman" w:cs="Times New Roman"/>
          <w:i/>
          <w:lang w:val="it-IT"/>
        </w:rPr>
        <w:t>Dialogo</w:t>
      </w:r>
      <w:r w:rsidR="00A45982" w:rsidRPr="008577E4">
        <w:rPr>
          <w:rFonts w:ascii="Times New Roman" w:hAnsi="Times New Roman" w:cs="Times New Roman"/>
          <w:lang w:val="it-IT"/>
        </w:rPr>
        <w:t xml:space="preserve">, in </w:t>
      </w:r>
      <w:r w:rsidR="00A45982" w:rsidRPr="008577E4">
        <w:rPr>
          <w:rFonts w:ascii="Times New Roman" w:hAnsi="Times New Roman" w:cs="Times New Roman"/>
          <w:i/>
          <w:iCs/>
          <w:lang w:val="it-IT"/>
        </w:rPr>
        <w:t>Le Opere di Galileo Galilei</w:t>
      </w:r>
      <w:r w:rsidR="00A45982" w:rsidRPr="008577E4">
        <w:rPr>
          <w:rFonts w:ascii="Times New Roman" w:hAnsi="Times New Roman" w:cs="Times New Roman"/>
          <w:lang w:val="it-IT"/>
        </w:rPr>
        <w:t xml:space="preserve">, </w:t>
      </w:r>
      <w:r w:rsidR="00D15D54" w:rsidRPr="008577E4">
        <w:rPr>
          <w:rFonts w:ascii="Times New Roman" w:hAnsi="Times New Roman" w:cs="Times New Roman"/>
          <w:lang w:val="it-IT"/>
        </w:rPr>
        <w:t xml:space="preserve">ed. A. Favaro, </w:t>
      </w:r>
      <w:r w:rsidR="00A45982" w:rsidRPr="008577E4">
        <w:rPr>
          <w:rFonts w:ascii="Times New Roman" w:hAnsi="Times New Roman" w:cs="Times New Roman"/>
          <w:lang w:val="it-IT"/>
        </w:rPr>
        <w:t xml:space="preserve">vol. 7, p. 80. </w:t>
      </w:r>
    </w:p>
    <w:p w:rsidR="00BA553E" w:rsidRPr="008577E4" w:rsidRDefault="00BA553E" w:rsidP="00BA553E">
      <w:pPr>
        <w:pStyle w:val="Corpotesto"/>
        <w:tabs>
          <w:tab w:val="left" w:pos="1080"/>
        </w:tabs>
        <w:jc w:val="left"/>
        <w:rPr>
          <w:sz w:val="20"/>
          <w:szCs w:val="20"/>
        </w:rPr>
      </w:pPr>
    </w:p>
    <w:p w:rsidR="00A45982" w:rsidRPr="008577E4" w:rsidRDefault="00A45982" w:rsidP="00BA553E">
      <w:pPr>
        <w:pStyle w:val="Corpotesto"/>
        <w:tabs>
          <w:tab w:val="left" w:pos="1080"/>
        </w:tabs>
        <w:jc w:val="left"/>
        <w:rPr>
          <w:sz w:val="20"/>
          <w:szCs w:val="20"/>
        </w:rPr>
      </w:pPr>
    </w:p>
    <w:p w:rsidR="00A45982" w:rsidRPr="008577E4" w:rsidRDefault="00A45982" w:rsidP="00BA553E">
      <w:pPr>
        <w:pStyle w:val="Corpotesto"/>
        <w:tabs>
          <w:tab w:val="left" w:pos="1080"/>
        </w:tabs>
        <w:jc w:val="left"/>
        <w:rPr>
          <w:sz w:val="20"/>
          <w:szCs w:val="20"/>
        </w:rPr>
      </w:pPr>
      <w:r w:rsidRPr="008577E4">
        <w:rPr>
          <w:sz w:val="20"/>
          <w:szCs w:val="20"/>
        </w:rPr>
        <w:t>3.</w:t>
      </w:r>
    </w:p>
    <w:p w:rsidR="00BA553E" w:rsidRPr="008577E4" w:rsidRDefault="00124067" w:rsidP="00BA553E">
      <w:pPr>
        <w:pStyle w:val="Corpotesto"/>
        <w:tabs>
          <w:tab w:val="left" w:pos="1080"/>
        </w:tabs>
        <w:rPr>
          <w:sz w:val="20"/>
          <w:szCs w:val="20"/>
        </w:rPr>
      </w:pPr>
      <w:r w:rsidRPr="008577E4">
        <w:rPr>
          <w:sz w:val="20"/>
          <w:szCs w:val="20"/>
        </w:rPr>
        <w:t>“</w:t>
      </w:r>
      <w:r w:rsidR="00BA553E" w:rsidRPr="008577E4">
        <w:rPr>
          <w:sz w:val="20"/>
          <w:szCs w:val="20"/>
        </w:rPr>
        <w:t xml:space="preserve">Atque haec Argumentis quae fere in loco versari solent. Quibus profligatis, eo demum lubrice confugiunt haud pauci aduersae opinionis Patroni, ut Terra moueri, et Solem stare verum esse affirment, </w:t>
      </w:r>
      <w:r w:rsidR="00BA553E" w:rsidRPr="008577E4">
        <w:rPr>
          <w:i/>
          <w:iCs/>
          <w:sz w:val="20"/>
          <w:szCs w:val="20"/>
        </w:rPr>
        <w:t>secundum Philosophiam</w:t>
      </w:r>
      <w:r w:rsidR="00BA553E" w:rsidRPr="008577E4">
        <w:rPr>
          <w:sz w:val="20"/>
          <w:szCs w:val="20"/>
        </w:rPr>
        <w:t xml:space="preserve"> (ut ipsi aiunt)</w:t>
      </w:r>
      <w:r w:rsidR="00BA553E" w:rsidRPr="008577E4">
        <w:rPr>
          <w:i/>
          <w:iCs/>
          <w:sz w:val="20"/>
          <w:szCs w:val="20"/>
        </w:rPr>
        <w:t xml:space="preserve"> quiquid sit secundum Theologiam</w:t>
      </w:r>
      <w:r w:rsidR="00BA553E" w:rsidRPr="008577E4">
        <w:rPr>
          <w:sz w:val="20"/>
          <w:szCs w:val="20"/>
        </w:rPr>
        <w:t xml:space="preserve">; quam vero Philosophiam Deus bone? Scilicet hac </w:t>
      </w:r>
      <w:r w:rsidR="00BA553E" w:rsidRPr="008577E4">
        <w:rPr>
          <w:i/>
          <w:iCs/>
          <w:sz w:val="20"/>
          <w:szCs w:val="20"/>
        </w:rPr>
        <w:t>ingeniosa distinctione</w:t>
      </w:r>
      <w:r w:rsidR="00BA553E" w:rsidRPr="008577E4">
        <w:rPr>
          <w:sz w:val="20"/>
          <w:szCs w:val="20"/>
        </w:rPr>
        <w:t xml:space="preserve">, se rem totam confecisse arbitrantur, </w:t>
      </w:r>
      <w:r w:rsidR="00BA553E" w:rsidRPr="008577E4">
        <w:rPr>
          <w:i/>
          <w:iCs/>
          <w:sz w:val="20"/>
          <w:szCs w:val="20"/>
        </w:rPr>
        <w:t>non intelligentes nihil esse Verum secundum Philosophiam, nisi etiam sit verum secundum Theologiam,</w:t>
      </w:r>
      <w:r w:rsidR="00BA553E" w:rsidRPr="008577E4">
        <w:rPr>
          <w:sz w:val="20"/>
          <w:szCs w:val="20"/>
        </w:rPr>
        <w:t xml:space="preserve"> </w:t>
      </w:r>
      <w:r w:rsidR="00BA553E" w:rsidRPr="008577E4">
        <w:rPr>
          <w:i/>
          <w:iCs/>
          <w:sz w:val="20"/>
          <w:szCs w:val="20"/>
        </w:rPr>
        <w:t>Verum enim non contradicit Vero</w:t>
      </w:r>
      <w:r w:rsidR="00BA553E" w:rsidRPr="008577E4">
        <w:rPr>
          <w:sz w:val="20"/>
          <w:szCs w:val="20"/>
        </w:rPr>
        <w:t xml:space="preserve">, quemadmodum dicitur, </w:t>
      </w:r>
      <w:r w:rsidR="00BA553E" w:rsidRPr="008577E4">
        <w:rPr>
          <w:i/>
          <w:iCs/>
          <w:sz w:val="20"/>
          <w:szCs w:val="20"/>
        </w:rPr>
        <w:t>In Decr. Concil. Lateran. Sess. 8.</w:t>
      </w:r>
      <w:r w:rsidR="00BA553E" w:rsidRPr="008577E4">
        <w:rPr>
          <w:sz w:val="20"/>
          <w:szCs w:val="20"/>
        </w:rPr>
        <w:t xml:space="preserve"> quando omnis creata Veritas est participatio quaedam aeternae Veritatis, in qua non est confusio, neque falsitas, </w:t>
      </w:r>
      <w:r w:rsidR="00BA553E" w:rsidRPr="008577E4">
        <w:rPr>
          <w:i/>
          <w:iCs/>
          <w:sz w:val="20"/>
          <w:szCs w:val="20"/>
        </w:rPr>
        <w:t>Tenebrae non sunt ullae</w:t>
      </w:r>
      <w:r w:rsidRPr="008577E4">
        <w:rPr>
          <w:sz w:val="20"/>
          <w:szCs w:val="20"/>
        </w:rPr>
        <w:t>”</w:t>
      </w:r>
    </w:p>
    <w:p w:rsidR="00BA553E" w:rsidRPr="008577E4" w:rsidRDefault="00BA553E" w:rsidP="00BA553E">
      <w:pPr>
        <w:pStyle w:val="Corpotesto"/>
        <w:tabs>
          <w:tab w:val="left" w:pos="1080"/>
        </w:tabs>
        <w:rPr>
          <w:sz w:val="20"/>
          <w:szCs w:val="20"/>
        </w:rPr>
      </w:pPr>
    </w:p>
    <w:p w:rsidR="00BA553E" w:rsidRPr="008577E4" w:rsidRDefault="00BA553E" w:rsidP="00BA553E">
      <w:pPr>
        <w:pStyle w:val="Corpotesto"/>
        <w:tabs>
          <w:tab w:val="left" w:pos="1080"/>
        </w:tabs>
        <w:rPr>
          <w:sz w:val="20"/>
          <w:szCs w:val="20"/>
        </w:rPr>
      </w:pPr>
      <w:r w:rsidRPr="008577E4">
        <w:rPr>
          <w:sz w:val="20"/>
          <w:szCs w:val="20"/>
        </w:rPr>
        <w:t xml:space="preserve">Melchior Inchofer, </w:t>
      </w:r>
      <w:r w:rsidRPr="008577E4">
        <w:rPr>
          <w:i/>
          <w:iCs/>
          <w:sz w:val="20"/>
          <w:szCs w:val="20"/>
        </w:rPr>
        <w:t>Tractatus Syllepticus</w:t>
      </w:r>
      <w:r w:rsidRPr="008577E4">
        <w:rPr>
          <w:sz w:val="20"/>
          <w:szCs w:val="20"/>
        </w:rPr>
        <w:t xml:space="preserve">, </w:t>
      </w:r>
      <w:r w:rsidR="00D15D54" w:rsidRPr="008577E4">
        <w:rPr>
          <w:sz w:val="20"/>
          <w:szCs w:val="20"/>
        </w:rPr>
        <w:t xml:space="preserve">Romae, L. Grignanus, 1633, </w:t>
      </w:r>
      <w:r w:rsidR="008577E4" w:rsidRPr="008577E4">
        <w:rPr>
          <w:sz w:val="20"/>
          <w:szCs w:val="20"/>
        </w:rPr>
        <w:t>p</w:t>
      </w:r>
      <w:r w:rsidRPr="008577E4">
        <w:rPr>
          <w:sz w:val="20"/>
          <w:szCs w:val="20"/>
        </w:rPr>
        <w:t>p. 91-92</w:t>
      </w:r>
      <w:r w:rsidR="00D15D54" w:rsidRPr="008577E4">
        <w:rPr>
          <w:sz w:val="20"/>
          <w:szCs w:val="20"/>
        </w:rPr>
        <w:t>.</w:t>
      </w:r>
    </w:p>
    <w:p w:rsidR="00B61E3C" w:rsidRPr="008577E4" w:rsidRDefault="00B61E3C" w:rsidP="00BA553E">
      <w:pPr>
        <w:pStyle w:val="Corpotesto"/>
        <w:tabs>
          <w:tab w:val="left" w:pos="1080"/>
        </w:tabs>
        <w:rPr>
          <w:sz w:val="20"/>
          <w:szCs w:val="20"/>
        </w:rPr>
      </w:pPr>
    </w:p>
    <w:p w:rsidR="00B61E3C" w:rsidRPr="008577E4" w:rsidRDefault="00A45982" w:rsidP="00BA553E">
      <w:pPr>
        <w:pStyle w:val="Corpotesto"/>
        <w:tabs>
          <w:tab w:val="left" w:pos="1080"/>
        </w:tabs>
        <w:rPr>
          <w:sz w:val="20"/>
          <w:szCs w:val="20"/>
        </w:rPr>
      </w:pPr>
      <w:r w:rsidRPr="008577E4">
        <w:rPr>
          <w:sz w:val="20"/>
          <w:szCs w:val="20"/>
        </w:rPr>
        <w:t>4</w:t>
      </w:r>
      <w:r w:rsidR="00B61E3C" w:rsidRPr="008577E4">
        <w:rPr>
          <w:sz w:val="20"/>
          <w:szCs w:val="20"/>
        </w:rPr>
        <w:t xml:space="preserve">. </w:t>
      </w:r>
    </w:p>
    <w:p w:rsidR="00D15D54" w:rsidRPr="008577E4" w:rsidRDefault="00D15D54" w:rsidP="00BA553E">
      <w:pPr>
        <w:pStyle w:val="Corpotesto"/>
        <w:tabs>
          <w:tab w:val="left" w:pos="1080"/>
        </w:tabs>
        <w:rPr>
          <w:sz w:val="20"/>
          <w:szCs w:val="20"/>
        </w:rPr>
      </w:pPr>
      <w:r w:rsidRPr="008577E4">
        <w:rPr>
          <w:sz w:val="20"/>
          <w:szCs w:val="20"/>
        </w:rPr>
        <w:t>4a</w:t>
      </w:r>
      <w:r w:rsidR="00124067" w:rsidRPr="008577E4">
        <w:rPr>
          <w:sz w:val="20"/>
          <w:szCs w:val="20"/>
        </w:rPr>
        <w:t xml:space="preserve">. </w:t>
      </w:r>
      <w:r w:rsidRPr="008577E4">
        <w:rPr>
          <w:sz w:val="20"/>
          <w:szCs w:val="20"/>
        </w:rPr>
        <w:t>“</w:t>
      </w:r>
      <w:r w:rsidR="00A45982" w:rsidRPr="008577E4">
        <w:rPr>
          <w:sz w:val="20"/>
          <w:szCs w:val="20"/>
        </w:rPr>
        <w:t xml:space="preserve">[…] et nonnulli temere philosophantes, </w:t>
      </w:r>
      <w:r w:rsidR="00A45982" w:rsidRPr="008577E4">
        <w:rPr>
          <w:i/>
          <w:iCs/>
          <w:sz w:val="20"/>
          <w:szCs w:val="20"/>
        </w:rPr>
        <w:t>secundum saltem philosophiam verum id asseverent</w:t>
      </w:r>
      <w:r w:rsidR="00A45982" w:rsidRPr="008577E4">
        <w:rPr>
          <w:sz w:val="20"/>
          <w:szCs w:val="20"/>
        </w:rPr>
        <w:t>; contra hujusmodi pestem opportuna remedia adhibere cupientes, hoc sacro approbante concilio damnamus et reprobamus omnem asserentem animam intellectivam mortalem esse, aut unicam in cunctis hominibus, e</w:t>
      </w:r>
      <w:r w:rsidRPr="008577E4">
        <w:rPr>
          <w:sz w:val="20"/>
          <w:szCs w:val="20"/>
        </w:rPr>
        <w:t>t haec in dubium vertentes […]”</w:t>
      </w:r>
      <w:r w:rsidR="00A45982" w:rsidRPr="008577E4">
        <w:rPr>
          <w:sz w:val="20"/>
          <w:szCs w:val="20"/>
        </w:rPr>
        <w:t xml:space="preserve"> </w:t>
      </w:r>
    </w:p>
    <w:p w:rsidR="00D15D54" w:rsidRPr="008577E4" w:rsidRDefault="00D15D54" w:rsidP="00BA553E">
      <w:pPr>
        <w:pStyle w:val="Corpotesto"/>
        <w:tabs>
          <w:tab w:val="left" w:pos="1080"/>
        </w:tabs>
        <w:rPr>
          <w:sz w:val="20"/>
          <w:szCs w:val="20"/>
        </w:rPr>
      </w:pPr>
    </w:p>
    <w:p w:rsidR="00A45982" w:rsidRPr="008577E4" w:rsidRDefault="00A45982" w:rsidP="00BA553E">
      <w:pPr>
        <w:pStyle w:val="Corpotesto"/>
        <w:tabs>
          <w:tab w:val="left" w:pos="1080"/>
        </w:tabs>
        <w:rPr>
          <w:sz w:val="20"/>
          <w:szCs w:val="20"/>
          <w:lang w:val="fr-FR"/>
        </w:rPr>
      </w:pPr>
      <w:r w:rsidRPr="008577E4">
        <w:rPr>
          <w:i/>
          <w:iCs/>
          <w:sz w:val="20"/>
          <w:szCs w:val="20"/>
        </w:rPr>
        <w:t>Sacrorum conciliorum nova et amplissima collectio</w:t>
      </w:r>
      <w:r w:rsidR="00D15D54" w:rsidRPr="008577E4">
        <w:rPr>
          <w:sz w:val="20"/>
          <w:szCs w:val="20"/>
        </w:rPr>
        <w:t xml:space="preserve">, ed. </w:t>
      </w:r>
      <w:r w:rsidR="00D15D54" w:rsidRPr="008577E4">
        <w:rPr>
          <w:sz w:val="20"/>
          <w:szCs w:val="20"/>
          <w:lang w:val="fr-FR"/>
        </w:rPr>
        <w:t xml:space="preserve">J.D. Mansi, </w:t>
      </w:r>
      <w:r w:rsidRPr="008577E4">
        <w:rPr>
          <w:sz w:val="20"/>
          <w:szCs w:val="20"/>
          <w:lang w:val="fr-FR"/>
        </w:rPr>
        <w:t>vol. 32, c. 842.</w:t>
      </w:r>
    </w:p>
    <w:p w:rsidR="00D15D54" w:rsidRPr="008577E4" w:rsidRDefault="00D15D54" w:rsidP="00BA553E">
      <w:pPr>
        <w:pStyle w:val="Corpotesto"/>
        <w:tabs>
          <w:tab w:val="left" w:pos="1080"/>
        </w:tabs>
        <w:rPr>
          <w:sz w:val="20"/>
          <w:szCs w:val="20"/>
          <w:lang w:val="fr-FR"/>
        </w:rPr>
      </w:pPr>
    </w:p>
    <w:p w:rsidR="00D15D54" w:rsidRPr="008577E4" w:rsidRDefault="00D15D54" w:rsidP="00D15D54">
      <w:pPr>
        <w:pStyle w:val="Corpotesto"/>
        <w:tabs>
          <w:tab w:val="left" w:pos="1080"/>
        </w:tabs>
        <w:rPr>
          <w:sz w:val="20"/>
          <w:szCs w:val="20"/>
          <w:lang w:val="fr-FR"/>
        </w:rPr>
      </w:pPr>
      <w:r w:rsidRPr="008577E4">
        <w:rPr>
          <w:sz w:val="20"/>
          <w:szCs w:val="20"/>
          <w:lang w:val="fr-FR"/>
        </w:rPr>
        <w:t>4b</w:t>
      </w:r>
      <w:r w:rsidR="00124067" w:rsidRPr="008577E4">
        <w:rPr>
          <w:sz w:val="20"/>
          <w:szCs w:val="20"/>
          <w:lang w:val="fr-FR"/>
        </w:rPr>
        <w:t xml:space="preserve">. </w:t>
      </w:r>
      <w:r w:rsidRPr="008577E4">
        <w:rPr>
          <w:sz w:val="20"/>
          <w:szCs w:val="20"/>
          <w:lang w:val="fr-FR"/>
        </w:rPr>
        <w:t>“</w:t>
      </w:r>
      <w:r w:rsidRPr="008577E4">
        <w:rPr>
          <w:i/>
          <w:iCs/>
          <w:sz w:val="20"/>
          <w:szCs w:val="20"/>
          <w:lang w:val="fr-FR"/>
        </w:rPr>
        <w:t>Cumque verum vero minime contradicat omnem assertionem veritati illuminatae fidei contrariam, omnino falsam esse definimus,</w:t>
      </w:r>
      <w:r w:rsidRPr="008577E4">
        <w:rPr>
          <w:sz w:val="20"/>
          <w:szCs w:val="20"/>
          <w:lang w:val="fr-FR"/>
        </w:rPr>
        <w:t xml:space="preserve"> et ut aliter dogmatizare non liceat, districtius inhibemus, omnesque hujusmodi erroris assertionibus inhaerentes, veluti damnatissimas haereses seminantes, per omnia, ut detestabiles et abhominabiles haereticos et infideles, catholicam fidem labefactantes, vitandos et puniendos fore decernimus”</w:t>
      </w:r>
    </w:p>
    <w:p w:rsidR="00D15D54" w:rsidRPr="008577E4" w:rsidRDefault="00D15D54" w:rsidP="00D15D54">
      <w:pPr>
        <w:pStyle w:val="Corpotesto"/>
        <w:tabs>
          <w:tab w:val="left" w:pos="1080"/>
        </w:tabs>
        <w:rPr>
          <w:sz w:val="20"/>
          <w:szCs w:val="20"/>
          <w:lang w:val="fr-FR"/>
        </w:rPr>
      </w:pPr>
    </w:p>
    <w:p w:rsidR="00D15D54" w:rsidRPr="008577E4" w:rsidRDefault="00D15D54" w:rsidP="00D15D54">
      <w:pPr>
        <w:pStyle w:val="Corpotesto"/>
        <w:tabs>
          <w:tab w:val="left" w:pos="1080"/>
        </w:tabs>
        <w:rPr>
          <w:sz w:val="20"/>
          <w:szCs w:val="20"/>
          <w:lang w:val="fr-FR"/>
        </w:rPr>
      </w:pPr>
      <w:r w:rsidRPr="008577E4">
        <w:rPr>
          <w:i/>
          <w:sz w:val="20"/>
          <w:szCs w:val="20"/>
          <w:lang w:val="fr-FR"/>
        </w:rPr>
        <w:t>Ibidem</w:t>
      </w:r>
      <w:r w:rsidRPr="008577E4">
        <w:rPr>
          <w:sz w:val="20"/>
          <w:szCs w:val="20"/>
          <w:lang w:val="fr-FR"/>
        </w:rPr>
        <w:t>.</w:t>
      </w:r>
    </w:p>
    <w:p w:rsidR="00124067" w:rsidRPr="008577E4" w:rsidRDefault="00124067" w:rsidP="00D15D54">
      <w:pPr>
        <w:pStyle w:val="Corpotesto"/>
        <w:tabs>
          <w:tab w:val="left" w:pos="1080"/>
        </w:tabs>
        <w:rPr>
          <w:sz w:val="20"/>
          <w:szCs w:val="20"/>
          <w:lang w:val="fr-FR"/>
        </w:rPr>
      </w:pPr>
    </w:p>
    <w:p w:rsidR="00124067" w:rsidRPr="008577E4" w:rsidRDefault="00124067" w:rsidP="00D15D54">
      <w:pPr>
        <w:pStyle w:val="Corpotesto"/>
        <w:tabs>
          <w:tab w:val="left" w:pos="1080"/>
        </w:tabs>
        <w:rPr>
          <w:sz w:val="20"/>
          <w:szCs w:val="20"/>
          <w:lang w:val="fr-FR"/>
        </w:rPr>
      </w:pPr>
      <w:r w:rsidRPr="008577E4">
        <w:rPr>
          <w:sz w:val="20"/>
          <w:szCs w:val="20"/>
          <w:lang w:val="fr-FR"/>
        </w:rPr>
        <w:t xml:space="preserve">4c. “Insuper omnibus et singulis philosophis in universitatibus studiorum generalium, et alibi publice legentibus, districte praecipiendo mandamus, ut cum philosophorum principia aut conclusiones, in quibus a recta fide deviare noscuntur, auditoribus suis legerint, seu explanaverint, quale hoc est de animae immortalitate aut unitate, et mundi aeternitate, ac alia hujusmodi, </w:t>
      </w:r>
      <w:r w:rsidRPr="008577E4">
        <w:rPr>
          <w:iCs/>
          <w:sz w:val="20"/>
          <w:szCs w:val="20"/>
          <w:lang w:val="fr-FR"/>
        </w:rPr>
        <w:t>teneantur eisdem veritatem religionis Christianae omni conatu manifestam facere, et persuadendo pro posse docere, ac omni studio</w:t>
      </w:r>
      <w:r w:rsidRPr="008577E4">
        <w:rPr>
          <w:i/>
          <w:iCs/>
          <w:sz w:val="20"/>
          <w:szCs w:val="20"/>
          <w:lang w:val="fr-FR"/>
        </w:rPr>
        <w:t xml:space="preserve"> hujusmodi philosophorum argumenta, cum omnia solubilia existant, pro viribus excludere atque resolvere</w:t>
      </w:r>
      <w:r w:rsidRPr="008577E4">
        <w:rPr>
          <w:sz w:val="20"/>
          <w:szCs w:val="20"/>
          <w:lang w:val="fr-FR"/>
        </w:rPr>
        <w:t>”</w:t>
      </w:r>
    </w:p>
    <w:p w:rsidR="00124067" w:rsidRPr="008577E4" w:rsidRDefault="00124067" w:rsidP="00D15D54">
      <w:pPr>
        <w:pStyle w:val="Corpotesto"/>
        <w:tabs>
          <w:tab w:val="left" w:pos="1080"/>
        </w:tabs>
        <w:rPr>
          <w:sz w:val="20"/>
          <w:szCs w:val="20"/>
          <w:lang w:val="fr-FR"/>
        </w:rPr>
      </w:pPr>
    </w:p>
    <w:p w:rsidR="00124067" w:rsidRPr="008577E4" w:rsidRDefault="00124067" w:rsidP="00BA553E">
      <w:pPr>
        <w:pStyle w:val="Corpotesto"/>
        <w:tabs>
          <w:tab w:val="left" w:pos="1080"/>
        </w:tabs>
        <w:rPr>
          <w:i/>
          <w:sz w:val="20"/>
          <w:szCs w:val="20"/>
        </w:rPr>
      </w:pPr>
      <w:r w:rsidRPr="008577E4">
        <w:rPr>
          <w:i/>
          <w:sz w:val="20"/>
          <w:szCs w:val="20"/>
        </w:rPr>
        <w:t>Ibidem.</w:t>
      </w:r>
    </w:p>
    <w:p w:rsidR="00124067" w:rsidRPr="008577E4" w:rsidRDefault="00124067" w:rsidP="00BA553E">
      <w:pPr>
        <w:pStyle w:val="Corpotesto"/>
        <w:tabs>
          <w:tab w:val="left" w:pos="1080"/>
        </w:tabs>
        <w:rPr>
          <w:sz w:val="20"/>
          <w:szCs w:val="20"/>
        </w:rPr>
      </w:pPr>
    </w:p>
    <w:p w:rsidR="00C002D4" w:rsidRPr="008577E4" w:rsidRDefault="00D15D54" w:rsidP="00BA553E">
      <w:pPr>
        <w:pStyle w:val="Corpotesto"/>
        <w:tabs>
          <w:tab w:val="left" w:pos="1080"/>
        </w:tabs>
        <w:rPr>
          <w:sz w:val="20"/>
          <w:szCs w:val="20"/>
        </w:rPr>
      </w:pPr>
      <w:r w:rsidRPr="008577E4">
        <w:rPr>
          <w:sz w:val="20"/>
          <w:szCs w:val="20"/>
        </w:rPr>
        <w:lastRenderedPageBreak/>
        <w:t>5</w:t>
      </w:r>
      <w:r w:rsidR="00C002D4" w:rsidRPr="008577E4">
        <w:rPr>
          <w:sz w:val="20"/>
          <w:szCs w:val="20"/>
        </w:rPr>
        <w:t>.</w:t>
      </w:r>
    </w:p>
    <w:p w:rsidR="00D15D54" w:rsidRPr="008577E4" w:rsidRDefault="00D15D54" w:rsidP="00BA553E">
      <w:pPr>
        <w:pStyle w:val="Corpotesto"/>
        <w:tabs>
          <w:tab w:val="left" w:pos="1080"/>
        </w:tabs>
        <w:rPr>
          <w:sz w:val="20"/>
          <w:szCs w:val="20"/>
        </w:rPr>
      </w:pPr>
    </w:p>
    <w:p w:rsidR="00EC31A5" w:rsidRPr="008577E4" w:rsidRDefault="00D15D54" w:rsidP="00BA553E">
      <w:pPr>
        <w:pStyle w:val="Corpotesto"/>
        <w:tabs>
          <w:tab w:val="left" w:pos="1080"/>
        </w:tabs>
        <w:rPr>
          <w:sz w:val="20"/>
          <w:szCs w:val="20"/>
        </w:rPr>
      </w:pPr>
      <w:r w:rsidRPr="008577E4">
        <w:rPr>
          <w:sz w:val="20"/>
          <w:szCs w:val="20"/>
        </w:rPr>
        <w:t>“</w:t>
      </w:r>
      <w:r w:rsidR="00C002D4" w:rsidRPr="008577E4">
        <w:rPr>
          <w:sz w:val="20"/>
          <w:szCs w:val="20"/>
        </w:rPr>
        <w:t xml:space="preserve">Ma poiché da questo S. Off.o, per aver io, dopo l’essermi stato con precetto dall’istesso giuridicamente intimato che omninamente dovessi lasciar la falsa opinione che il sole stia al centro del mondo e che non si muova e che la terra non sia centro del mondo e che si muova, e che non potessi tenere, difendere nè insegnare in qualsivoglia modo, nè in voce nè in scritto, la detta falsa dottrina, e dopo l’essermi notificato che detta dottrina è contraria alla Sacra Scrittura, scritto e dato alle stampe un libro nel quale tratto l’istessa dottrina già dannata e </w:t>
      </w:r>
      <w:r w:rsidR="00C002D4" w:rsidRPr="008577E4">
        <w:rPr>
          <w:i/>
          <w:iCs/>
          <w:sz w:val="20"/>
          <w:szCs w:val="20"/>
        </w:rPr>
        <w:t>apporto ragioni con molta efficacia a favor di essa, senza apportare alcuna solutione</w:t>
      </w:r>
      <w:r w:rsidR="00C002D4" w:rsidRPr="008577E4">
        <w:rPr>
          <w:sz w:val="20"/>
          <w:szCs w:val="20"/>
        </w:rPr>
        <w:t>, sono stato vehementemente sospettato d’heresia [...]</w:t>
      </w:r>
      <w:r w:rsidRPr="008577E4">
        <w:rPr>
          <w:sz w:val="20"/>
          <w:szCs w:val="20"/>
        </w:rPr>
        <w:t>”</w:t>
      </w:r>
    </w:p>
    <w:p w:rsidR="00EC31A5" w:rsidRPr="008577E4" w:rsidRDefault="00EC31A5" w:rsidP="00BA553E">
      <w:pPr>
        <w:pStyle w:val="Corpotesto"/>
        <w:tabs>
          <w:tab w:val="left" w:pos="1080"/>
        </w:tabs>
        <w:rPr>
          <w:sz w:val="20"/>
          <w:szCs w:val="20"/>
        </w:rPr>
      </w:pPr>
    </w:p>
    <w:p w:rsidR="00C002D4" w:rsidRPr="008577E4" w:rsidRDefault="00C002D4" w:rsidP="00BA553E">
      <w:pPr>
        <w:pStyle w:val="Corpotesto"/>
        <w:tabs>
          <w:tab w:val="left" w:pos="1080"/>
        </w:tabs>
        <w:rPr>
          <w:sz w:val="20"/>
          <w:szCs w:val="20"/>
        </w:rPr>
      </w:pPr>
      <w:r w:rsidRPr="008577E4">
        <w:rPr>
          <w:i/>
          <w:iCs/>
          <w:sz w:val="20"/>
          <w:szCs w:val="20"/>
        </w:rPr>
        <w:t>Le Opere di Galileo Galilei</w:t>
      </w:r>
      <w:r w:rsidRPr="008577E4">
        <w:rPr>
          <w:sz w:val="20"/>
          <w:szCs w:val="20"/>
        </w:rPr>
        <w:t xml:space="preserve">, </w:t>
      </w:r>
      <w:r w:rsidR="008577E4" w:rsidRPr="008577E4">
        <w:rPr>
          <w:sz w:val="20"/>
          <w:szCs w:val="20"/>
        </w:rPr>
        <w:t>ed. A. F</w:t>
      </w:r>
      <w:r w:rsidR="00D15D54" w:rsidRPr="008577E4">
        <w:rPr>
          <w:sz w:val="20"/>
          <w:szCs w:val="20"/>
        </w:rPr>
        <w:t xml:space="preserve">avaro, </w:t>
      </w:r>
      <w:r w:rsidRPr="008577E4">
        <w:rPr>
          <w:sz w:val="20"/>
          <w:szCs w:val="20"/>
        </w:rPr>
        <w:t>vol. 19, p. 406.</w:t>
      </w:r>
    </w:p>
    <w:p w:rsidR="006B04EE" w:rsidRPr="008577E4" w:rsidRDefault="006B04EE" w:rsidP="00BA553E">
      <w:pPr>
        <w:pStyle w:val="Corpotesto"/>
        <w:tabs>
          <w:tab w:val="left" w:pos="1080"/>
        </w:tabs>
        <w:rPr>
          <w:sz w:val="20"/>
          <w:szCs w:val="20"/>
        </w:rPr>
      </w:pPr>
    </w:p>
    <w:p w:rsidR="006B04EE" w:rsidRPr="008577E4" w:rsidRDefault="00D15D54" w:rsidP="00BA553E">
      <w:pPr>
        <w:pStyle w:val="Corpotesto"/>
        <w:tabs>
          <w:tab w:val="left" w:pos="1080"/>
        </w:tabs>
        <w:rPr>
          <w:sz w:val="20"/>
          <w:szCs w:val="20"/>
        </w:rPr>
      </w:pPr>
      <w:r w:rsidRPr="008577E4">
        <w:rPr>
          <w:sz w:val="20"/>
          <w:szCs w:val="20"/>
        </w:rPr>
        <w:t>6</w:t>
      </w:r>
      <w:r w:rsidR="006B04EE" w:rsidRPr="008577E4">
        <w:rPr>
          <w:sz w:val="20"/>
          <w:szCs w:val="20"/>
        </w:rPr>
        <w:t>.</w:t>
      </w:r>
    </w:p>
    <w:p w:rsidR="00D15D54" w:rsidRPr="008577E4" w:rsidRDefault="00D15D54" w:rsidP="00BA553E">
      <w:pPr>
        <w:pStyle w:val="Corpotesto"/>
        <w:tabs>
          <w:tab w:val="left" w:pos="1080"/>
        </w:tabs>
        <w:rPr>
          <w:sz w:val="20"/>
          <w:szCs w:val="20"/>
        </w:rPr>
      </w:pPr>
      <w:r w:rsidRPr="008577E4">
        <w:rPr>
          <w:sz w:val="20"/>
          <w:szCs w:val="20"/>
        </w:rPr>
        <w:t>6a: “Omnia vera vero consonant”</w:t>
      </w:r>
    </w:p>
    <w:p w:rsidR="00D15D54" w:rsidRPr="008577E4" w:rsidRDefault="00D15D54" w:rsidP="00BA553E">
      <w:pPr>
        <w:pStyle w:val="Corpotesto"/>
        <w:tabs>
          <w:tab w:val="left" w:pos="1080"/>
        </w:tabs>
        <w:rPr>
          <w:sz w:val="20"/>
          <w:szCs w:val="20"/>
        </w:rPr>
      </w:pPr>
    </w:p>
    <w:p w:rsidR="006B04EE" w:rsidRPr="008577E4" w:rsidRDefault="006B04EE" w:rsidP="00BA553E">
      <w:pPr>
        <w:pStyle w:val="Corpotesto"/>
        <w:tabs>
          <w:tab w:val="left" w:pos="1080"/>
        </w:tabs>
        <w:rPr>
          <w:sz w:val="20"/>
          <w:szCs w:val="20"/>
          <w:lang w:val="en-US"/>
        </w:rPr>
      </w:pPr>
      <w:r w:rsidRPr="008577E4">
        <w:rPr>
          <w:i/>
          <w:sz w:val="20"/>
          <w:szCs w:val="20"/>
          <w:lang w:val="en-US"/>
        </w:rPr>
        <w:t>Auctoritates Aristotelis</w:t>
      </w:r>
      <w:r w:rsidRPr="008577E4">
        <w:rPr>
          <w:sz w:val="20"/>
          <w:szCs w:val="20"/>
          <w:lang w:val="en-US"/>
        </w:rPr>
        <w:t>, ed. J. Hamesse, p. 233 §15</w:t>
      </w:r>
    </w:p>
    <w:p w:rsidR="00D15D54" w:rsidRPr="008577E4" w:rsidRDefault="00D15D54" w:rsidP="00BA553E">
      <w:pPr>
        <w:pStyle w:val="Corpotesto"/>
        <w:tabs>
          <w:tab w:val="left" w:pos="1080"/>
        </w:tabs>
        <w:rPr>
          <w:sz w:val="20"/>
          <w:szCs w:val="20"/>
          <w:lang w:val="en-US"/>
        </w:rPr>
      </w:pPr>
    </w:p>
    <w:p w:rsidR="00D15D54" w:rsidRPr="008577E4" w:rsidRDefault="00D15D54" w:rsidP="00BA553E">
      <w:pPr>
        <w:pStyle w:val="Corpotesto"/>
        <w:tabs>
          <w:tab w:val="left" w:pos="1080"/>
        </w:tabs>
        <w:rPr>
          <w:sz w:val="20"/>
          <w:szCs w:val="20"/>
          <w:lang w:val="en-US"/>
        </w:rPr>
      </w:pPr>
    </w:p>
    <w:p w:rsidR="00D93B8D" w:rsidRPr="008577E4" w:rsidRDefault="00D15D54" w:rsidP="00BA553E">
      <w:pPr>
        <w:pStyle w:val="Corpotesto"/>
        <w:tabs>
          <w:tab w:val="left" w:pos="1080"/>
        </w:tabs>
        <w:rPr>
          <w:color w:val="000000"/>
          <w:sz w:val="20"/>
          <w:szCs w:val="20"/>
          <w:lang w:val="en-US"/>
        </w:rPr>
      </w:pPr>
      <w:r w:rsidRPr="008577E4">
        <w:rPr>
          <w:sz w:val="20"/>
          <w:szCs w:val="20"/>
          <w:lang w:val="en-US"/>
        </w:rPr>
        <w:t>6b:  “</w:t>
      </w:r>
      <w:r w:rsidR="006B04EE" w:rsidRPr="008577E4">
        <w:rPr>
          <w:sz w:val="20"/>
          <w:szCs w:val="20"/>
          <w:lang w:val="en-US"/>
        </w:rPr>
        <w:t>I</w:t>
      </w:r>
      <w:r w:rsidR="006B04EE" w:rsidRPr="008577E4">
        <w:rPr>
          <w:color w:val="000000"/>
          <w:sz w:val="20"/>
          <w:szCs w:val="20"/>
          <w:lang w:val="en-US"/>
        </w:rPr>
        <w:t>f a proposition be true, all the facts harmonize with it, but if it is false, it is quickly seen to be discordant with them”</w:t>
      </w:r>
    </w:p>
    <w:p w:rsidR="00D93B8D" w:rsidRPr="008577E4" w:rsidRDefault="00D93B8D" w:rsidP="00BA553E">
      <w:pPr>
        <w:pStyle w:val="Corpotesto"/>
        <w:tabs>
          <w:tab w:val="left" w:pos="1080"/>
        </w:tabs>
        <w:rPr>
          <w:color w:val="000000"/>
          <w:sz w:val="20"/>
          <w:szCs w:val="20"/>
          <w:lang w:val="en-US"/>
        </w:rPr>
      </w:pPr>
    </w:p>
    <w:p w:rsidR="00562416" w:rsidRPr="008577E4" w:rsidRDefault="008577E4" w:rsidP="00BA553E">
      <w:pPr>
        <w:pStyle w:val="Corpotesto"/>
        <w:tabs>
          <w:tab w:val="left" w:pos="1080"/>
        </w:tabs>
        <w:rPr>
          <w:color w:val="000000"/>
          <w:sz w:val="20"/>
          <w:szCs w:val="20"/>
        </w:rPr>
      </w:pPr>
      <w:r w:rsidRPr="008577E4">
        <w:rPr>
          <w:iCs/>
          <w:sz w:val="20"/>
          <w:szCs w:val="20"/>
        </w:rPr>
        <w:t xml:space="preserve">Aristotle, </w:t>
      </w:r>
      <w:r w:rsidRPr="008577E4">
        <w:rPr>
          <w:i/>
          <w:iCs/>
          <w:sz w:val="20"/>
          <w:szCs w:val="20"/>
        </w:rPr>
        <w:t>Nic</w:t>
      </w:r>
      <w:r w:rsidR="00562416" w:rsidRPr="008577E4">
        <w:rPr>
          <w:i/>
          <w:iCs/>
          <w:sz w:val="20"/>
          <w:szCs w:val="20"/>
        </w:rPr>
        <w:t xml:space="preserve">omachean Ethics </w:t>
      </w:r>
      <w:r w:rsidR="00562416" w:rsidRPr="008577E4">
        <w:rPr>
          <w:sz w:val="20"/>
          <w:szCs w:val="20"/>
        </w:rPr>
        <w:t>I, 8, 1098b 10-11</w:t>
      </w:r>
      <w:r w:rsidR="00D93B8D" w:rsidRPr="008577E4">
        <w:rPr>
          <w:sz w:val="20"/>
          <w:szCs w:val="20"/>
        </w:rPr>
        <w:t xml:space="preserve"> </w:t>
      </w:r>
      <w:r w:rsidR="00D93B8D" w:rsidRPr="008577E4">
        <w:rPr>
          <w:color w:val="000000"/>
          <w:sz w:val="20"/>
          <w:szCs w:val="20"/>
        </w:rPr>
        <w:t xml:space="preserve">(Grosseteste’s translation: </w:t>
      </w:r>
      <w:r w:rsidR="00D93B8D" w:rsidRPr="008577E4">
        <w:rPr>
          <w:sz w:val="20"/>
          <w:szCs w:val="20"/>
        </w:rPr>
        <w:t>“</w:t>
      </w:r>
      <w:r w:rsidR="00D93B8D" w:rsidRPr="008577E4">
        <w:rPr>
          <w:i/>
          <w:iCs/>
          <w:sz w:val="20"/>
          <w:szCs w:val="20"/>
        </w:rPr>
        <w:t xml:space="preserve">Vero </w:t>
      </w:r>
      <w:r w:rsidR="00D93B8D" w:rsidRPr="008577E4">
        <w:rPr>
          <w:sz w:val="20"/>
          <w:szCs w:val="20"/>
        </w:rPr>
        <w:t>quidem enim</w:t>
      </w:r>
      <w:r w:rsidR="00D93B8D" w:rsidRPr="008577E4">
        <w:rPr>
          <w:i/>
          <w:iCs/>
          <w:sz w:val="20"/>
          <w:szCs w:val="20"/>
        </w:rPr>
        <w:t xml:space="preserve"> omnia consonant existencia, falso autem cito dissonat vero</w:t>
      </w:r>
      <w:r w:rsidRPr="008577E4">
        <w:rPr>
          <w:sz w:val="20"/>
          <w:szCs w:val="20"/>
        </w:rPr>
        <w:t xml:space="preserve">”, </w:t>
      </w:r>
      <w:r w:rsidR="00D93B8D" w:rsidRPr="008577E4">
        <w:rPr>
          <w:sz w:val="20"/>
          <w:szCs w:val="20"/>
        </w:rPr>
        <w:t>AL, vol. 26, 1-3, p. 385)</w:t>
      </w:r>
      <w:r w:rsidR="00562416" w:rsidRPr="008577E4">
        <w:rPr>
          <w:sz w:val="20"/>
          <w:szCs w:val="20"/>
        </w:rPr>
        <w:t>.</w:t>
      </w:r>
    </w:p>
    <w:p w:rsidR="00D15D54" w:rsidRPr="008577E4" w:rsidRDefault="00D15D54" w:rsidP="00BA553E">
      <w:pPr>
        <w:pStyle w:val="Corpotesto"/>
        <w:tabs>
          <w:tab w:val="left" w:pos="1080"/>
        </w:tabs>
        <w:rPr>
          <w:color w:val="000000"/>
          <w:sz w:val="20"/>
          <w:szCs w:val="20"/>
        </w:rPr>
      </w:pPr>
    </w:p>
    <w:p w:rsidR="00981F7F" w:rsidRPr="008577E4" w:rsidRDefault="00D15D54" w:rsidP="00BA553E">
      <w:pPr>
        <w:pStyle w:val="Corpotesto"/>
        <w:tabs>
          <w:tab w:val="left" w:pos="1080"/>
        </w:tabs>
        <w:rPr>
          <w:color w:val="000000"/>
          <w:sz w:val="20"/>
          <w:szCs w:val="20"/>
          <w:lang w:val="en-US"/>
        </w:rPr>
      </w:pPr>
      <w:r w:rsidRPr="008577E4">
        <w:rPr>
          <w:color w:val="000000"/>
          <w:sz w:val="20"/>
          <w:szCs w:val="20"/>
          <w:lang w:val="en-US"/>
        </w:rPr>
        <w:t>6</w:t>
      </w:r>
      <w:r w:rsidR="00981F7F" w:rsidRPr="008577E4">
        <w:rPr>
          <w:color w:val="000000"/>
          <w:sz w:val="20"/>
          <w:szCs w:val="20"/>
          <w:lang w:val="en-US"/>
        </w:rPr>
        <w:t>c: “Everything that is true must in ever</w:t>
      </w:r>
      <w:r w:rsidR="00562416" w:rsidRPr="008577E4">
        <w:rPr>
          <w:color w:val="000000"/>
          <w:sz w:val="20"/>
          <w:szCs w:val="20"/>
          <w:lang w:val="en-US"/>
        </w:rPr>
        <w:t>y respect agree with itself”</w:t>
      </w:r>
    </w:p>
    <w:p w:rsidR="00562416" w:rsidRPr="008577E4" w:rsidRDefault="00562416" w:rsidP="00BA553E">
      <w:pPr>
        <w:pStyle w:val="Corpotesto"/>
        <w:tabs>
          <w:tab w:val="left" w:pos="1080"/>
        </w:tabs>
        <w:rPr>
          <w:color w:val="000000"/>
          <w:sz w:val="20"/>
          <w:szCs w:val="20"/>
          <w:lang w:val="en-US"/>
        </w:rPr>
      </w:pPr>
    </w:p>
    <w:p w:rsidR="00562416" w:rsidRPr="008577E4" w:rsidRDefault="008577E4" w:rsidP="00BA553E">
      <w:pPr>
        <w:pStyle w:val="Corpotesto"/>
        <w:tabs>
          <w:tab w:val="left" w:pos="1080"/>
        </w:tabs>
        <w:rPr>
          <w:color w:val="000000"/>
          <w:sz w:val="20"/>
          <w:szCs w:val="20"/>
          <w:lang w:val="en-US"/>
        </w:rPr>
      </w:pPr>
      <w:r w:rsidRPr="008577E4">
        <w:rPr>
          <w:iCs/>
          <w:sz w:val="20"/>
          <w:szCs w:val="20"/>
          <w:lang w:val="en-US"/>
        </w:rPr>
        <w:t xml:space="preserve">Aristotle, </w:t>
      </w:r>
      <w:r w:rsidR="00562416" w:rsidRPr="008577E4">
        <w:rPr>
          <w:i/>
          <w:color w:val="000000"/>
          <w:sz w:val="20"/>
          <w:szCs w:val="20"/>
          <w:lang w:val="en-US"/>
        </w:rPr>
        <w:t>Prior Analytics</w:t>
      </w:r>
      <w:r w:rsidR="00562416" w:rsidRPr="008577E4">
        <w:rPr>
          <w:color w:val="000000"/>
          <w:sz w:val="20"/>
          <w:szCs w:val="20"/>
          <w:lang w:val="en-US"/>
        </w:rPr>
        <w:t xml:space="preserve"> I, 32, 47a 8-9.</w:t>
      </w:r>
    </w:p>
    <w:p w:rsidR="00DE4CC0" w:rsidRPr="008577E4" w:rsidRDefault="00DE4CC0" w:rsidP="00BA553E">
      <w:pPr>
        <w:pStyle w:val="Corpotesto"/>
        <w:tabs>
          <w:tab w:val="left" w:pos="1080"/>
        </w:tabs>
        <w:rPr>
          <w:color w:val="000000"/>
          <w:sz w:val="20"/>
          <w:szCs w:val="20"/>
          <w:lang w:val="en-US"/>
        </w:rPr>
      </w:pPr>
    </w:p>
    <w:p w:rsidR="00DE4CC0" w:rsidRPr="00DA1ACD" w:rsidRDefault="00D15D54" w:rsidP="00BA553E">
      <w:pPr>
        <w:pStyle w:val="Corpotesto"/>
        <w:tabs>
          <w:tab w:val="left" w:pos="1080"/>
        </w:tabs>
        <w:rPr>
          <w:color w:val="000000"/>
          <w:sz w:val="20"/>
          <w:szCs w:val="20"/>
          <w:lang w:val="en-US"/>
        </w:rPr>
      </w:pPr>
      <w:r w:rsidRPr="00DA1ACD">
        <w:rPr>
          <w:color w:val="000000"/>
          <w:sz w:val="20"/>
          <w:szCs w:val="20"/>
          <w:lang w:val="en-US"/>
        </w:rPr>
        <w:t>7</w:t>
      </w:r>
      <w:r w:rsidR="00DE4CC0" w:rsidRPr="00DA1ACD">
        <w:rPr>
          <w:color w:val="000000"/>
          <w:sz w:val="20"/>
          <w:szCs w:val="20"/>
          <w:lang w:val="en-US"/>
        </w:rPr>
        <w:t>.</w:t>
      </w:r>
    </w:p>
    <w:p w:rsidR="00D15D54" w:rsidRPr="00DA1ACD" w:rsidRDefault="00D15D54" w:rsidP="00BA553E">
      <w:pPr>
        <w:pStyle w:val="Corpotesto"/>
        <w:tabs>
          <w:tab w:val="left" w:pos="1080"/>
        </w:tabs>
        <w:rPr>
          <w:color w:val="000000"/>
          <w:sz w:val="20"/>
          <w:szCs w:val="20"/>
          <w:lang w:val="en-US"/>
        </w:rPr>
      </w:pPr>
    </w:p>
    <w:p w:rsidR="00562416" w:rsidRPr="00DA1ACD" w:rsidRDefault="00D15D54" w:rsidP="00BA553E">
      <w:pPr>
        <w:pStyle w:val="Corpotesto"/>
        <w:tabs>
          <w:tab w:val="left" w:pos="1080"/>
        </w:tabs>
        <w:rPr>
          <w:color w:val="000000"/>
          <w:sz w:val="20"/>
          <w:szCs w:val="20"/>
          <w:lang w:val="en-US"/>
        </w:rPr>
      </w:pPr>
      <w:r w:rsidRPr="00DA1ACD">
        <w:rPr>
          <w:color w:val="000000"/>
          <w:sz w:val="20"/>
          <w:szCs w:val="20"/>
          <w:lang w:val="en-US"/>
        </w:rPr>
        <w:t>7</w:t>
      </w:r>
      <w:r w:rsidR="00DE4CC0" w:rsidRPr="00DA1ACD">
        <w:rPr>
          <w:color w:val="000000"/>
          <w:sz w:val="20"/>
          <w:szCs w:val="20"/>
          <w:lang w:val="en-US"/>
        </w:rPr>
        <w:t>a: “</w:t>
      </w:r>
      <w:r w:rsidR="00DE4CC0" w:rsidRPr="00DA1ACD">
        <w:rPr>
          <w:sz w:val="20"/>
          <w:szCs w:val="20"/>
          <w:lang w:val="en-US"/>
        </w:rPr>
        <w:t>Veritas enim, ut dicit Aristotel</w:t>
      </w:r>
      <w:r w:rsidR="00562416" w:rsidRPr="00DA1ACD">
        <w:rPr>
          <w:sz w:val="20"/>
          <w:szCs w:val="20"/>
          <w:lang w:val="en-US"/>
        </w:rPr>
        <w:t>es</w:t>
      </w:r>
      <w:r w:rsidR="00DE4CC0" w:rsidRPr="00DA1ACD">
        <w:rPr>
          <w:sz w:val="20"/>
          <w:szCs w:val="20"/>
          <w:lang w:val="en-US"/>
        </w:rPr>
        <w:t>, convenit et testatur sibi omni modo</w:t>
      </w:r>
      <w:r w:rsidR="008577E4" w:rsidRPr="00DA1ACD">
        <w:rPr>
          <w:color w:val="000000"/>
          <w:sz w:val="20"/>
          <w:szCs w:val="20"/>
          <w:lang w:val="en-US"/>
        </w:rPr>
        <w:t>”</w:t>
      </w:r>
    </w:p>
    <w:p w:rsidR="00562416" w:rsidRPr="00DA1ACD" w:rsidRDefault="00562416" w:rsidP="00BA553E">
      <w:pPr>
        <w:pStyle w:val="Corpotesto"/>
        <w:tabs>
          <w:tab w:val="left" w:pos="1080"/>
        </w:tabs>
        <w:rPr>
          <w:color w:val="000000"/>
          <w:sz w:val="20"/>
          <w:szCs w:val="20"/>
          <w:lang w:val="en-US"/>
        </w:rPr>
      </w:pPr>
    </w:p>
    <w:p w:rsidR="00DE4CC0" w:rsidRPr="008577E4" w:rsidRDefault="008577E4" w:rsidP="00BA553E">
      <w:pPr>
        <w:pStyle w:val="Corpotesto"/>
        <w:tabs>
          <w:tab w:val="left" w:pos="1080"/>
        </w:tabs>
        <w:rPr>
          <w:color w:val="000000"/>
          <w:sz w:val="20"/>
          <w:szCs w:val="20"/>
          <w:lang w:val="en-US"/>
        </w:rPr>
      </w:pPr>
      <w:r w:rsidRPr="00DA1ACD">
        <w:rPr>
          <w:color w:val="000000"/>
          <w:sz w:val="20"/>
          <w:szCs w:val="20"/>
          <w:lang w:val="en-US"/>
        </w:rPr>
        <w:t xml:space="preserve">Averroes, </w:t>
      </w:r>
      <w:r w:rsidR="00DE4CC0" w:rsidRPr="00DA1ACD">
        <w:rPr>
          <w:i/>
          <w:color w:val="000000"/>
          <w:sz w:val="20"/>
          <w:szCs w:val="20"/>
          <w:lang w:val="en-US"/>
        </w:rPr>
        <w:t>In Aristotelis de anima libros</w:t>
      </w:r>
      <w:r w:rsidR="00DE4CC0" w:rsidRPr="00DA1ACD">
        <w:rPr>
          <w:color w:val="000000"/>
          <w:sz w:val="20"/>
          <w:szCs w:val="20"/>
          <w:lang w:val="en-US"/>
        </w:rPr>
        <w:t xml:space="preserve">, ed. </w:t>
      </w:r>
      <w:r w:rsidR="00DE4CC0" w:rsidRPr="008577E4">
        <w:rPr>
          <w:color w:val="000000"/>
          <w:sz w:val="20"/>
          <w:szCs w:val="20"/>
          <w:lang w:val="en-US"/>
        </w:rPr>
        <w:t>S.F. Crawford, p. 399.</w:t>
      </w:r>
    </w:p>
    <w:p w:rsidR="00D93B8D" w:rsidRPr="008577E4" w:rsidRDefault="00D93B8D" w:rsidP="00BA553E">
      <w:pPr>
        <w:pStyle w:val="Corpotesto"/>
        <w:tabs>
          <w:tab w:val="left" w:pos="1080"/>
        </w:tabs>
        <w:rPr>
          <w:color w:val="000000"/>
          <w:sz w:val="20"/>
          <w:szCs w:val="20"/>
          <w:lang w:val="en-US"/>
        </w:rPr>
      </w:pPr>
    </w:p>
    <w:p w:rsidR="00D93B8D" w:rsidRPr="008577E4" w:rsidRDefault="00D93B8D" w:rsidP="00D93B8D">
      <w:pPr>
        <w:pStyle w:val="Corpotesto"/>
        <w:tabs>
          <w:tab w:val="left" w:pos="1080"/>
        </w:tabs>
        <w:rPr>
          <w:color w:val="000000"/>
          <w:sz w:val="20"/>
          <w:szCs w:val="20"/>
          <w:lang w:val="en-US"/>
        </w:rPr>
      </w:pPr>
      <w:r w:rsidRPr="008577E4">
        <w:rPr>
          <w:color w:val="000000"/>
          <w:sz w:val="20"/>
          <w:szCs w:val="20"/>
          <w:lang w:val="en-US"/>
        </w:rPr>
        <w:t>7b: “truth does not contradict truth but rather is consistent with it and testifies to it”</w:t>
      </w:r>
    </w:p>
    <w:p w:rsidR="00D93B8D" w:rsidRPr="008577E4" w:rsidRDefault="00D93B8D" w:rsidP="00D93B8D">
      <w:pPr>
        <w:pStyle w:val="Corpotesto"/>
        <w:tabs>
          <w:tab w:val="left" w:pos="1080"/>
        </w:tabs>
        <w:rPr>
          <w:color w:val="000000"/>
          <w:sz w:val="20"/>
          <w:szCs w:val="20"/>
          <w:lang w:val="en-US"/>
        </w:rPr>
      </w:pPr>
    </w:p>
    <w:p w:rsidR="00D93B8D" w:rsidRPr="008577E4" w:rsidRDefault="008577E4" w:rsidP="00D93B8D">
      <w:pPr>
        <w:pStyle w:val="Corpotesto"/>
        <w:tabs>
          <w:tab w:val="left" w:pos="1080"/>
        </w:tabs>
        <w:rPr>
          <w:color w:val="000000"/>
          <w:sz w:val="20"/>
          <w:szCs w:val="20"/>
          <w:lang w:val="en-US"/>
        </w:rPr>
      </w:pPr>
      <w:r w:rsidRPr="008577E4">
        <w:rPr>
          <w:color w:val="000000"/>
          <w:sz w:val="20"/>
          <w:szCs w:val="20"/>
          <w:lang w:val="en-US"/>
        </w:rPr>
        <w:t>Averroe</w:t>
      </w:r>
      <w:r w:rsidR="00D93B8D" w:rsidRPr="008577E4">
        <w:rPr>
          <w:color w:val="000000"/>
          <w:sz w:val="20"/>
          <w:szCs w:val="20"/>
          <w:lang w:val="en-US"/>
        </w:rPr>
        <w:t xml:space="preserve">s, </w:t>
      </w:r>
      <w:r w:rsidR="00D93B8D" w:rsidRPr="008577E4">
        <w:rPr>
          <w:i/>
          <w:color w:val="000000"/>
          <w:sz w:val="20"/>
          <w:szCs w:val="20"/>
          <w:lang w:val="en-US"/>
        </w:rPr>
        <w:t>Discours decisive</w:t>
      </w:r>
      <w:r w:rsidR="00D93B8D" w:rsidRPr="008577E4">
        <w:rPr>
          <w:color w:val="000000"/>
          <w:sz w:val="20"/>
          <w:szCs w:val="20"/>
          <w:lang w:val="en-US"/>
        </w:rPr>
        <w:t xml:space="preserve"> (Arabic text and French translation by M. Geoffroy), Vrin, Paris 1996, pp. 118-119. </w:t>
      </w:r>
    </w:p>
    <w:p w:rsidR="00D93B8D" w:rsidRPr="008577E4" w:rsidRDefault="00D93B8D" w:rsidP="00BA553E">
      <w:pPr>
        <w:pStyle w:val="Corpotesto"/>
        <w:tabs>
          <w:tab w:val="left" w:pos="1080"/>
        </w:tabs>
        <w:rPr>
          <w:color w:val="000000"/>
          <w:sz w:val="20"/>
          <w:szCs w:val="20"/>
          <w:lang w:val="en-US"/>
        </w:rPr>
      </w:pPr>
    </w:p>
    <w:p w:rsidR="003A5580" w:rsidRPr="008577E4" w:rsidRDefault="003A5580" w:rsidP="00BA553E">
      <w:pPr>
        <w:pStyle w:val="Corpotesto"/>
        <w:tabs>
          <w:tab w:val="left" w:pos="1080"/>
        </w:tabs>
        <w:rPr>
          <w:color w:val="000000"/>
          <w:sz w:val="20"/>
          <w:szCs w:val="20"/>
          <w:lang w:val="en-US"/>
        </w:rPr>
      </w:pPr>
    </w:p>
    <w:p w:rsidR="00124067" w:rsidRPr="008577E4" w:rsidRDefault="00D15D54" w:rsidP="00BA553E">
      <w:pPr>
        <w:pStyle w:val="Corpotesto"/>
        <w:tabs>
          <w:tab w:val="left" w:pos="1080"/>
        </w:tabs>
        <w:rPr>
          <w:color w:val="000000"/>
          <w:sz w:val="20"/>
          <w:szCs w:val="20"/>
          <w:lang w:val="en-US"/>
        </w:rPr>
      </w:pPr>
      <w:r w:rsidRPr="008577E4">
        <w:rPr>
          <w:color w:val="000000"/>
          <w:sz w:val="20"/>
          <w:szCs w:val="20"/>
          <w:lang w:val="en-US"/>
        </w:rPr>
        <w:t>8</w:t>
      </w:r>
      <w:r w:rsidR="003A5580" w:rsidRPr="008577E4">
        <w:rPr>
          <w:color w:val="000000"/>
          <w:sz w:val="20"/>
          <w:szCs w:val="20"/>
          <w:lang w:val="en-US"/>
        </w:rPr>
        <w:t xml:space="preserve">. </w:t>
      </w:r>
    </w:p>
    <w:p w:rsidR="00124067" w:rsidRPr="008577E4" w:rsidRDefault="00124067" w:rsidP="00BA553E">
      <w:pPr>
        <w:pStyle w:val="Corpotesto"/>
        <w:tabs>
          <w:tab w:val="left" w:pos="1080"/>
        </w:tabs>
        <w:rPr>
          <w:iCs/>
          <w:sz w:val="20"/>
          <w:szCs w:val="20"/>
          <w:lang w:val="en-US"/>
        </w:rPr>
      </w:pPr>
      <w:r w:rsidRPr="008577E4">
        <w:rPr>
          <w:color w:val="000000"/>
          <w:sz w:val="20"/>
          <w:szCs w:val="20"/>
          <w:lang w:val="en-US"/>
        </w:rPr>
        <w:t>“</w:t>
      </w:r>
      <w:r w:rsidR="003A5580" w:rsidRPr="008577E4">
        <w:rPr>
          <w:sz w:val="20"/>
          <w:szCs w:val="20"/>
          <w:lang w:val="en-US"/>
        </w:rPr>
        <w:t xml:space="preserve">Dicunt enim ea esse uera secundum philosophiam, sed non secundum fidem catholicam, </w:t>
      </w:r>
      <w:r w:rsidR="003A5580" w:rsidRPr="008577E4">
        <w:rPr>
          <w:i/>
          <w:iCs/>
          <w:sz w:val="20"/>
          <w:szCs w:val="20"/>
          <w:lang w:val="en-US"/>
        </w:rPr>
        <w:t>quasi sint due contrarie ueritates, et quasi contra ueritatem sacre scripture sit ueritas in dictis gentilium dampnatorum</w:t>
      </w:r>
      <w:r w:rsidR="003A5580" w:rsidRPr="008577E4">
        <w:rPr>
          <w:sz w:val="20"/>
          <w:szCs w:val="20"/>
          <w:lang w:val="en-US"/>
        </w:rPr>
        <w:t xml:space="preserve">, de quibus scriptum est: ‘Perdam sapientiam sapientium’ [Is 29, 141; Cor 1, 19], quia </w:t>
      </w:r>
      <w:r w:rsidR="003A5580" w:rsidRPr="008577E4">
        <w:rPr>
          <w:i/>
          <w:iCs/>
          <w:sz w:val="20"/>
          <w:szCs w:val="20"/>
          <w:lang w:val="en-US"/>
        </w:rPr>
        <w:t>uera sapientia</w:t>
      </w:r>
      <w:r w:rsidR="003A5580" w:rsidRPr="008577E4">
        <w:rPr>
          <w:sz w:val="20"/>
          <w:szCs w:val="20"/>
          <w:lang w:val="en-US"/>
        </w:rPr>
        <w:t xml:space="preserve"> perdit </w:t>
      </w:r>
      <w:r w:rsidR="003A5580" w:rsidRPr="008577E4">
        <w:rPr>
          <w:i/>
          <w:iCs/>
          <w:sz w:val="20"/>
          <w:szCs w:val="20"/>
          <w:lang w:val="en-US"/>
        </w:rPr>
        <w:t>falsam sapientiam</w:t>
      </w:r>
      <w:r w:rsidRPr="008577E4">
        <w:rPr>
          <w:iCs/>
          <w:sz w:val="20"/>
          <w:szCs w:val="20"/>
          <w:lang w:val="en-US"/>
        </w:rPr>
        <w:t>”</w:t>
      </w:r>
    </w:p>
    <w:p w:rsidR="00124067" w:rsidRPr="008577E4" w:rsidRDefault="00124067" w:rsidP="00BA553E">
      <w:pPr>
        <w:pStyle w:val="Corpotesto"/>
        <w:tabs>
          <w:tab w:val="left" w:pos="1080"/>
        </w:tabs>
        <w:rPr>
          <w:iCs/>
          <w:sz w:val="20"/>
          <w:szCs w:val="20"/>
          <w:lang w:val="en-US"/>
        </w:rPr>
      </w:pPr>
    </w:p>
    <w:p w:rsidR="003A5580" w:rsidRPr="008577E4" w:rsidRDefault="00124067" w:rsidP="00BA553E">
      <w:pPr>
        <w:pStyle w:val="Corpotesto"/>
        <w:tabs>
          <w:tab w:val="left" w:pos="1080"/>
        </w:tabs>
        <w:rPr>
          <w:sz w:val="20"/>
          <w:szCs w:val="20"/>
          <w:lang w:val="fr-FR"/>
        </w:rPr>
      </w:pPr>
      <w:r w:rsidRPr="008577E4">
        <w:rPr>
          <w:sz w:val="20"/>
          <w:szCs w:val="20"/>
          <w:lang w:val="fr-FR"/>
        </w:rPr>
        <w:t>D. Piché,</w:t>
      </w:r>
      <w:r w:rsidRPr="008577E4">
        <w:rPr>
          <w:i/>
          <w:iCs/>
          <w:sz w:val="20"/>
          <w:szCs w:val="20"/>
          <w:lang w:val="fr-CH"/>
        </w:rPr>
        <w:t xml:space="preserve"> La condamnation parisienne de 1277. Texte latin, traduction, introduction</w:t>
      </w:r>
      <w:r w:rsidRPr="008577E4">
        <w:rPr>
          <w:sz w:val="20"/>
          <w:szCs w:val="20"/>
          <w:lang w:val="fr-CH"/>
        </w:rPr>
        <w:t xml:space="preserve"> </w:t>
      </w:r>
      <w:r w:rsidRPr="008577E4">
        <w:rPr>
          <w:i/>
          <w:iCs/>
          <w:sz w:val="20"/>
          <w:szCs w:val="20"/>
          <w:lang w:val="fr-CH"/>
        </w:rPr>
        <w:t>et commentaire</w:t>
      </w:r>
      <w:r w:rsidRPr="008577E4">
        <w:rPr>
          <w:sz w:val="20"/>
          <w:szCs w:val="20"/>
          <w:lang w:val="fr-CH"/>
        </w:rPr>
        <w:t>, Paris, Vrin</w:t>
      </w:r>
      <w:r w:rsidRPr="008577E4">
        <w:rPr>
          <w:sz w:val="20"/>
          <w:szCs w:val="20"/>
          <w:lang w:val="fr-FR"/>
        </w:rPr>
        <w:t>,</w:t>
      </w:r>
      <w:r w:rsidR="003A5580" w:rsidRPr="008577E4">
        <w:rPr>
          <w:sz w:val="20"/>
          <w:szCs w:val="20"/>
          <w:lang w:val="fr-FR"/>
        </w:rPr>
        <w:t xml:space="preserve"> Paris 1999, p. 74</w:t>
      </w:r>
      <w:r w:rsidRPr="008577E4">
        <w:rPr>
          <w:sz w:val="20"/>
          <w:szCs w:val="20"/>
          <w:lang w:val="fr-FR"/>
        </w:rPr>
        <w:t>.</w:t>
      </w:r>
    </w:p>
    <w:p w:rsidR="00E72EE1" w:rsidRPr="008577E4" w:rsidRDefault="00E72EE1" w:rsidP="00BA553E">
      <w:pPr>
        <w:pStyle w:val="Corpotesto"/>
        <w:tabs>
          <w:tab w:val="left" w:pos="1080"/>
        </w:tabs>
        <w:rPr>
          <w:sz w:val="20"/>
          <w:szCs w:val="20"/>
          <w:lang w:val="fr-FR"/>
        </w:rPr>
      </w:pPr>
    </w:p>
    <w:p w:rsidR="005A33D7" w:rsidRPr="008577E4" w:rsidRDefault="008952C2" w:rsidP="00BA553E">
      <w:pPr>
        <w:pStyle w:val="Corpotesto"/>
        <w:tabs>
          <w:tab w:val="left" w:pos="1080"/>
        </w:tabs>
        <w:rPr>
          <w:sz w:val="20"/>
          <w:szCs w:val="20"/>
          <w:lang w:val="fr-FR"/>
        </w:rPr>
      </w:pPr>
      <w:r w:rsidRPr="008577E4">
        <w:rPr>
          <w:sz w:val="20"/>
          <w:szCs w:val="20"/>
          <w:lang w:val="fr-FR"/>
        </w:rPr>
        <w:t>9</w:t>
      </w:r>
      <w:r w:rsidR="00124067" w:rsidRPr="008577E4">
        <w:rPr>
          <w:sz w:val="20"/>
          <w:szCs w:val="20"/>
          <w:lang w:val="fr-FR"/>
        </w:rPr>
        <w:t xml:space="preserve">. </w:t>
      </w:r>
    </w:p>
    <w:p w:rsidR="00124067" w:rsidRPr="008577E4" w:rsidRDefault="00124067" w:rsidP="00BA553E">
      <w:pPr>
        <w:pStyle w:val="Corpotesto"/>
        <w:tabs>
          <w:tab w:val="left" w:pos="1080"/>
        </w:tabs>
        <w:rPr>
          <w:sz w:val="20"/>
          <w:szCs w:val="20"/>
          <w:lang w:val="fr-FR"/>
        </w:rPr>
      </w:pPr>
      <w:r w:rsidRPr="008577E4">
        <w:rPr>
          <w:sz w:val="20"/>
          <w:szCs w:val="20"/>
          <w:lang w:val="fr-FR"/>
        </w:rPr>
        <w:t>Art. 90 : “</w:t>
      </w:r>
      <w:r w:rsidR="00E72EE1" w:rsidRPr="008577E4">
        <w:rPr>
          <w:sz w:val="20"/>
          <w:szCs w:val="20"/>
          <w:lang w:val="fr-FR"/>
        </w:rPr>
        <w:t xml:space="preserve">Quod </w:t>
      </w:r>
      <w:r w:rsidR="00E72EE1" w:rsidRPr="008577E4">
        <w:rPr>
          <w:i/>
          <w:sz w:val="20"/>
          <w:szCs w:val="20"/>
          <w:lang w:val="fr-FR"/>
        </w:rPr>
        <w:t>naturalis philosophus debet negare simpliciter</w:t>
      </w:r>
      <w:r w:rsidR="00E72EE1" w:rsidRPr="008577E4">
        <w:rPr>
          <w:sz w:val="20"/>
          <w:szCs w:val="20"/>
          <w:lang w:val="fr-FR"/>
        </w:rPr>
        <w:t xml:space="preserve"> mundi nouitatem, quia innititur causis naturalibus et rationibus naturalibus. Fidelis autem </w:t>
      </w:r>
      <w:r w:rsidR="00E72EE1" w:rsidRPr="008577E4">
        <w:rPr>
          <w:i/>
          <w:sz w:val="20"/>
          <w:szCs w:val="20"/>
          <w:lang w:val="fr-FR"/>
        </w:rPr>
        <w:t>potest negare mundi aeternitatem</w:t>
      </w:r>
      <w:r w:rsidR="00E72EE1" w:rsidRPr="008577E4">
        <w:rPr>
          <w:sz w:val="20"/>
          <w:szCs w:val="20"/>
          <w:lang w:val="fr-FR"/>
        </w:rPr>
        <w:t>, quia innititur causis supernaturalibus</w:t>
      </w:r>
      <w:r w:rsidRPr="008577E4">
        <w:rPr>
          <w:sz w:val="20"/>
          <w:szCs w:val="20"/>
          <w:lang w:val="fr-FR"/>
        </w:rPr>
        <w:t>”; art. 113: “</w:t>
      </w:r>
      <w:r w:rsidR="00E72EE1" w:rsidRPr="008577E4">
        <w:rPr>
          <w:sz w:val="20"/>
          <w:szCs w:val="20"/>
          <w:lang w:val="fr-FR"/>
        </w:rPr>
        <w:t>Quod anima separata non est alterabilis secundum philosophiam, l</w:t>
      </w:r>
      <w:r w:rsidRPr="008577E4">
        <w:rPr>
          <w:sz w:val="20"/>
          <w:szCs w:val="20"/>
          <w:lang w:val="fr-FR"/>
        </w:rPr>
        <w:t>icet secundum fidem alteretur”; art. 184 : “</w:t>
      </w:r>
      <w:r w:rsidR="00E72EE1" w:rsidRPr="008577E4">
        <w:rPr>
          <w:sz w:val="20"/>
          <w:szCs w:val="20"/>
          <w:lang w:val="fr-FR"/>
        </w:rPr>
        <w:t>Quod creatio non est possibilis, quamvis contrarium</w:t>
      </w:r>
      <w:r w:rsidRPr="008577E4">
        <w:rPr>
          <w:sz w:val="20"/>
          <w:szCs w:val="20"/>
          <w:lang w:val="fr-FR"/>
        </w:rPr>
        <w:t xml:space="preserve"> tenendum sit secundum fidem”</w:t>
      </w:r>
    </w:p>
    <w:p w:rsidR="00124067" w:rsidRPr="008577E4" w:rsidRDefault="00124067" w:rsidP="00BA553E">
      <w:pPr>
        <w:pStyle w:val="Corpotesto"/>
        <w:tabs>
          <w:tab w:val="left" w:pos="1080"/>
        </w:tabs>
        <w:rPr>
          <w:sz w:val="20"/>
          <w:szCs w:val="20"/>
          <w:lang w:val="fr-FR"/>
        </w:rPr>
      </w:pPr>
    </w:p>
    <w:p w:rsidR="00E72EE1" w:rsidRPr="008577E4" w:rsidRDefault="00124067" w:rsidP="00BA553E">
      <w:pPr>
        <w:pStyle w:val="Corpotesto"/>
        <w:tabs>
          <w:tab w:val="left" w:pos="1080"/>
        </w:tabs>
        <w:rPr>
          <w:sz w:val="20"/>
          <w:szCs w:val="20"/>
          <w:lang w:val="fr-FR"/>
        </w:rPr>
      </w:pPr>
      <w:r w:rsidRPr="008577E4">
        <w:rPr>
          <w:sz w:val="20"/>
          <w:szCs w:val="20"/>
          <w:lang w:val="fr-FR"/>
        </w:rPr>
        <w:t>Ivi, p</w:t>
      </w:r>
      <w:r w:rsidR="00E72EE1" w:rsidRPr="008577E4">
        <w:rPr>
          <w:sz w:val="20"/>
          <w:szCs w:val="20"/>
          <w:lang w:val="fr-FR"/>
        </w:rPr>
        <w:t>p. 106-107, 112-113, 134-135</w:t>
      </w:r>
      <w:r w:rsidR="008952C2" w:rsidRPr="008577E4">
        <w:rPr>
          <w:sz w:val="20"/>
          <w:szCs w:val="20"/>
          <w:lang w:val="fr-FR"/>
        </w:rPr>
        <w:t>.</w:t>
      </w:r>
    </w:p>
    <w:p w:rsidR="0093534D" w:rsidRPr="008577E4" w:rsidRDefault="0093534D" w:rsidP="00BA553E">
      <w:pPr>
        <w:pStyle w:val="Corpotesto"/>
        <w:tabs>
          <w:tab w:val="left" w:pos="1080"/>
        </w:tabs>
        <w:rPr>
          <w:sz w:val="20"/>
          <w:szCs w:val="20"/>
          <w:lang w:val="fr-FR"/>
        </w:rPr>
      </w:pPr>
    </w:p>
    <w:p w:rsidR="0093534D" w:rsidRPr="008577E4" w:rsidRDefault="008952C2" w:rsidP="00BA553E">
      <w:pPr>
        <w:pStyle w:val="Corpotesto"/>
        <w:tabs>
          <w:tab w:val="left" w:pos="1080"/>
        </w:tabs>
        <w:rPr>
          <w:sz w:val="20"/>
          <w:szCs w:val="20"/>
          <w:lang w:val="fr-FR"/>
        </w:rPr>
      </w:pPr>
      <w:r w:rsidRPr="008577E4">
        <w:rPr>
          <w:sz w:val="20"/>
          <w:szCs w:val="20"/>
          <w:lang w:val="fr-FR"/>
        </w:rPr>
        <w:t>10</w:t>
      </w:r>
      <w:r w:rsidR="0093534D" w:rsidRPr="008577E4">
        <w:rPr>
          <w:sz w:val="20"/>
          <w:szCs w:val="20"/>
          <w:lang w:val="fr-FR"/>
        </w:rPr>
        <w:t>.</w:t>
      </w:r>
    </w:p>
    <w:p w:rsidR="009563EC" w:rsidRPr="008577E4" w:rsidRDefault="009563EC" w:rsidP="00BA553E">
      <w:pPr>
        <w:pStyle w:val="Corpotesto"/>
        <w:tabs>
          <w:tab w:val="left" w:pos="1080"/>
        </w:tabs>
        <w:rPr>
          <w:sz w:val="20"/>
          <w:szCs w:val="20"/>
          <w:lang w:val="fr-FR"/>
        </w:rPr>
      </w:pPr>
      <w:r w:rsidRPr="008577E4">
        <w:rPr>
          <w:sz w:val="20"/>
          <w:szCs w:val="20"/>
          <w:lang w:val="fr-FR"/>
        </w:rPr>
        <w:t>“Dicendum ad hoc quod simul stant motum primum et mundum esse novum, et tamen non esse novum per causas naturales et principia naturalia, sic simul stant, si quis diligenter inspiciat, mundum et motum primum esse novum et naturalem negantem mundum et motum primum esse novum dicere verum, quia naturalis negat mundum et motum primum esse novum sicut naturalis, et hoc est ipsum negare ex prin</w:t>
      </w:r>
      <w:r w:rsidR="00520F49" w:rsidRPr="008577E4">
        <w:rPr>
          <w:sz w:val="20"/>
          <w:szCs w:val="20"/>
          <w:lang w:val="fr-FR"/>
        </w:rPr>
        <w:t>cipiis naturalibus esse novum. Q</w:t>
      </w:r>
      <w:r w:rsidRPr="008577E4">
        <w:rPr>
          <w:sz w:val="20"/>
          <w:szCs w:val="20"/>
          <w:lang w:val="fr-FR"/>
        </w:rPr>
        <w:t xml:space="preserve">uicquid enim naturalis, secundum quod naturalis, negat vel concedit, ex causis et principiis naturalibus hoc negat vel concedit. Unde conclusio in qua naturalis dicit mundum et primum motum non esse novum accepta absolute falsa est, sed si referatur in </w:t>
      </w:r>
      <w:r w:rsidRPr="008577E4">
        <w:rPr>
          <w:sz w:val="20"/>
          <w:szCs w:val="20"/>
          <w:lang w:val="fr-FR"/>
        </w:rPr>
        <w:lastRenderedPageBreak/>
        <w:t xml:space="preserve">rationes et principia ex quibus ipse eam concludit, ex illis sequitur. Scimus enim </w:t>
      </w:r>
      <w:r w:rsidRPr="008577E4">
        <w:rPr>
          <w:i/>
          <w:sz w:val="20"/>
          <w:szCs w:val="20"/>
          <w:lang w:val="fr-FR"/>
        </w:rPr>
        <w:t>quod qui dicit Socratem esse album e</w:t>
      </w:r>
      <w:r w:rsidR="00520F49" w:rsidRPr="008577E4">
        <w:rPr>
          <w:i/>
          <w:sz w:val="20"/>
          <w:szCs w:val="20"/>
          <w:lang w:val="fr-FR"/>
        </w:rPr>
        <w:t>t qui negat Socratem esse album</w:t>
      </w:r>
      <w:r w:rsidRPr="008577E4">
        <w:rPr>
          <w:i/>
          <w:sz w:val="20"/>
          <w:szCs w:val="20"/>
          <w:lang w:val="fr-FR"/>
        </w:rPr>
        <w:t xml:space="preserve"> secundum quaedam</w:t>
      </w:r>
      <w:r w:rsidR="00520F49" w:rsidRPr="008577E4">
        <w:rPr>
          <w:i/>
          <w:sz w:val="20"/>
          <w:szCs w:val="20"/>
          <w:lang w:val="fr-FR"/>
        </w:rPr>
        <w:t>,</w:t>
      </w:r>
      <w:r w:rsidRPr="008577E4">
        <w:rPr>
          <w:i/>
          <w:sz w:val="20"/>
          <w:szCs w:val="20"/>
          <w:lang w:val="fr-FR"/>
        </w:rPr>
        <w:t xml:space="preserve"> uterque dicit verum</w:t>
      </w:r>
      <w:r w:rsidRPr="008577E4">
        <w:rPr>
          <w:sz w:val="20"/>
          <w:szCs w:val="20"/>
          <w:lang w:val="fr-FR"/>
        </w:rPr>
        <w:t xml:space="preserve">. Sic </w:t>
      </w:r>
      <w:r w:rsidRPr="008577E4">
        <w:rPr>
          <w:i/>
          <w:sz w:val="20"/>
          <w:szCs w:val="20"/>
          <w:lang w:val="fr-FR"/>
        </w:rPr>
        <w:t>verum dicit christianus</w:t>
      </w:r>
      <w:r w:rsidRPr="008577E4">
        <w:rPr>
          <w:sz w:val="20"/>
          <w:szCs w:val="20"/>
          <w:lang w:val="fr-FR"/>
        </w:rPr>
        <w:t>, dicens mundum et motum primum esse novum, et primum hominem fuisse, et hominem redire vivum et eundem numero, et rem generabilem fieri sine generatione, cum tamen hoc concedatur possibile esse per causam cuius virtus est maior, qua</w:t>
      </w:r>
      <w:r w:rsidR="00520F49" w:rsidRPr="008577E4">
        <w:rPr>
          <w:sz w:val="20"/>
          <w:szCs w:val="20"/>
          <w:lang w:val="fr-FR"/>
        </w:rPr>
        <w:t xml:space="preserve">m sit virtus causae naturalis. </w:t>
      </w:r>
      <w:r w:rsidR="00520F49" w:rsidRPr="008577E4">
        <w:rPr>
          <w:i/>
          <w:sz w:val="20"/>
          <w:szCs w:val="20"/>
          <w:lang w:val="fr-FR"/>
        </w:rPr>
        <w:t>V</w:t>
      </w:r>
      <w:r w:rsidRPr="008577E4">
        <w:rPr>
          <w:i/>
          <w:sz w:val="20"/>
          <w:szCs w:val="20"/>
          <w:lang w:val="fr-FR"/>
        </w:rPr>
        <w:t>erum etiam dicit naturalis</w:t>
      </w:r>
      <w:r w:rsidRPr="008577E4">
        <w:rPr>
          <w:sz w:val="20"/>
          <w:szCs w:val="20"/>
          <w:lang w:val="fr-FR"/>
        </w:rPr>
        <w:t xml:space="preserve"> qui dicit hoc non esse possibile ex c</w:t>
      </w:r>
      <w:r w:rsidR="00520F49" w:rsidRPr="008577E4">
        <w:rPr>
          <w:sz w:val="20"/>
          <w:szCs w:val="20"/>
          <w:lang w:val="fr-FR"/>
        </w:rPr>
        <w:t>ausis et principiis naturalibus,</w:t>
      </w:r>
      <w:r w:rsidRPr="008577E4">
        <w:rPr>
          <w:sz w:val="20"/>
          <w:szCs w:val="20"/>
          <w:lang w:val="fr-FR"/>
        </w:rPr>
        <w:t xml:space="preserve"> nam naturalis nihil concedit vel negat nisi ex principiis et causis naturalibus, sicut etiam nihil negat vel concedit grammaticus secundum quod huiusmodi nisi ex principiis et causis grammaticalibus. Et quia naturalis solum considerans virtutes causarum naturalium, di</w:t>
      </w:r>
      <w:r w:rsidR="008577E4" w:rsidRPr="008577E4">
        <w:rPr>
          <w:sz w:val="20"/>
          <w:szCs w:val="20"/>
          <w:lang w:val="fr-FR"/>
        </w:rPr>
        <w:t xml:space="preserve">cit mundum et motum primum non </w:t>
      </w:r>
      <w:r w:rsidRPr="008577E4">
        <w:rPr>
          <w:sz w:val="20"/>
          <w:szCs w:val="20"/>
          <w:lang w:val="fr-FR"/>
        </w:rPr>
        <w:t xml:space="preserve">posse esse novum, ex eis, fides autem christiana, considerans causam superiorem quam sit natura, dicit mundum posse esse novum ex illa, </w:t>
      </w:r>
      <w:r w:rsidR="008577E4" w:rsidRPr="008577E4">
        <w:rPr>
          <w:sz w:val="20"/>
          <w:szCs w:val="20"/>
          <w:lang w:val="fr-FR"/>
        </w:rPr>
        <w:t>ideo non contradicunt in aliquo”</w:t>
      </w:r>
    </w:p>
    <w:p w:rsidR="0093534D" w:rsidRPr="008577E4" w:rsidRDefault="0093534D" w:rsidP="00BA553E">
      <w:pPr>
        <w:pStyle w:val="Corpotesto"/>
        <w:tabs>
          <w:tab w:val="left" w:pos="1080"/>
        </w:tabs>
        <w:rPr>
          <w:sz w:val="20"/>
          <w:szCs w:val="20"/>
          <w:lang w:val="fr-FR"/>
        </w:rPr>
      </w:pPr>
    </w:p>
    <w:p w:rsidR="00520F49" w:rsidRPr="008577E4" w:rsidRDefault="00520F49" w:rsidP="00BA553E">
      <w:pPr>
        <w:pStyle w:val="Corpotesto"/>
        <w:tabs>
          <w:tab w:val="left" w:pos="1080"/>
        </w:tabs>
        <w:rPr>
          <w:sz w:val="20"/>
          <w:szCs w:val="20"/>
          <w:lang w:val="en-US"/>
        </w:rPr>
      </w:pPr>
      <w:r w:rsidRPr="008577E4">
        <w:rPr>
          <w:sz w:val="20"/>
          <w:szCs w:val="20"/>
        </w:rPr>
        <w:t xml:space="preserve">Boethius of Dacia, </w:t>
      </w:r>
      <w:r w:rsidRPr="008577E4">
        <w:rPr>
          <w:i/>
          <w:sz w:val="20"/>
          <w:szCs w:val="20"/>
        </w:rPr>
        <w:t>De aeternitate mundi</w:t>
      </w:r>
      <w:r w:rsidRPr="008577E4">
        <w:rPr>
          <w:sz w:val="20"/>
          <w:szCs w:val="20"/>
        </w:rPr>
        <w:t xml:space="preserve">, ed. </w:t>
      </w:r>
      <w:r w:rsidRPr="008577E4">
        <w:rPr>
          <w:sz w:val="20"/>
          <w:szCs w:val="20"/>
          <w:lang w:val="en-US"/>
        </w:rPr>
        <w:t>N. Green-Pedersen, pp. 352-353.</w:t>
      </w:r>
    </w:p>
    <w:p w:rsidR="00520F49" w:rsidRPr="008577E4" w:rsidRDefault="00520F49" w:rsidP="00BA553E">
      <w:pPr>
        <w:pStyle w:val="Corpotesto"/>
        <w:tabs>
          <w:tab w:val="left" w:pos="1080"/>
        </w:tabs>
        <w:rPr>
          <w:sz w:val="20"/>
          <w:szCs w:val="20"/>
          <w:lang w:val="en-US"/>
        </w:rPr>
      </w:pPr>
    </w:p>
    <w:p w:rsidR="005A33D7" w:rsidRPr="008577E4" w:rsidRDefault="008952C2" w:rsidP="00BA553E">
      <w:pPr>
        <w:pStyle w:val="Corpotesto"/>
        <w:tabs>
          <w:tab w:val="left" w:pos="1080"/>
        </w:tabs>
        <w:rPr>
          <w:sz w:val="20"/>
          <w:szCs w:val="20"/>
          <w:lang w:val="en-US"/>
        </w:rPr>
      </w:pPr>
      <w:r w:rsidRPr="008577E4">
        <w:rPr>
          <w:sz w:val="20"/>
          <w:szCs w:val="20"/>
          <w:lang w:val="en-US"/>
        </w:rPr>
        <w:t>11</w:t>
      </w:r>
      <w:r w:rsidR="0093534D" w:rsidRPr="008577E4">
        <w:rPr>
          <w:sz w:val="20"/>
          <w:szCs w:val="20"/>
          <w:lang w:val="en-US"/>
        </w:rPr>
        <w:t xml:space="preserve">. </w:t>
      </w:r>
    </w:p>
    <w:p w:rsidR="00D15D54" w:rsidRPr="008577E4" w:rsidRDefault="00D15D54" w:rsidP="00BA553E">
      <w:pPr>
        <w:pStyle w:val="Corpotesto"/>
        <w:tabs>
          <w:tab w:val="left" w:pos="1080"/>
        </w:tabs>
        <w:rPr>
          <w:sz w:val="20"/>
          <w:szCs w:val="20"/>
          <w:lang w:val="en-US"/>
        </w:rPr>
      </w:pPr>
      <w:r w:rsidRPr="008577E4">
        <w:rPr>
          <w:sz w:val="20"/>
          <w:szCs w:val="20"/>
          <w:lang w:val="en-US"/>
        </w:rPr>
        <w:t>“Fallacies connected with the use of some particular expression absolutely or in a certain respect and not in its proper sense, occur when that which i</w:t>
      </w:r>
      <w:r w:rsidR="00DA1ACD">
        <w:rPr>
          <w:sz w:val="20"/>
          <w:szCs w:val="20"/>
          <w:lang w:val="en-US"/>
        </w:rPr>
        <w:t>s predicated in part only is ta</w:t>
      </w:r>
      <w:r w:rsidRPr="008577E4">
        <w:rPr>
          <w:sz w:val="20"/>
          <w:szCs w:val="20"/>
          <w:lang w:val="en-US"/>
        </w:rPr>
        <w:t>ken as though it was predicated absolutely. […] In like manner when something is predicated in a certain respect and absolutely</w:t>
      </w:r>
      <w:r w:rsidR="00DA1ACD">
        <w:rPr>
          <w:sz w:val="20"/>
          <w:szCs w:val="20"/>
          <w:lang w:val="en-US"/>
        </w:rPr>
        <w:t>; for exa</w:t>
      </w:r>
      <w:r w:rsidR="00F51FC0" w:rsidRPr="008577E4">
        <w:rPr>
          <w:sz w:val="20"/>
          <w:szCs w:val="20"/>
          <w:lang w:val="en-US"/>
        </w:rPr>
        <w:t xml:space="preserve">mple, ‘If an Indian, being black all over, is white in respect of his tenth, then he is white and not white’. […] In some cases this sort of fallacy can be easily </w:t>
      </w:r>
      <w:r w:rsidR="00DA1ACD">
        <w:rPr>
          <w:sz w:val="20"/>
          <w:szCs w:val="20"/>
          <w:lang w:val="en-US"/>
        </w:rPr>
        <w:t>perceived by anyone; if, for exa</w:t>
      </w:r>
      <w:bookmarkStart w:id="0" w:name="_GoBack"/>
      <w:bookmarkEnd w:id="0"/>
      <w:r w:rsidR="00F51FC0" w:rsidRPr="008577E4">
        <w:rPr>
          <w:sz w:val="20"/>
          <w:szCs w:val="20"/>
          <w:lang w:val="en-US"/>
        </w:rPr>
        <w:t>mple, after securing an admission that the Ethiopian is black, one were to ask whether he is white with respect to his teeth, and then, if he be white in this respect, were to think that he had finished the interrogation and he had proved dialectically that he was both black and not black”</w:t>
      </w:r>
    </w:p>
    <w:p w:rsidR="00F51FC0" w:rsidRPr="008577E4" w:rsidRDefault="00F51FC0" w:rsidP="00BA553E">
      <w:pPr>
        <w:pStyle w:val="Corpotesto"/>
        <w:tabs>
          <w:tab w:val="left" w:pos="1080"/>
        </w:tabs>
        <w:rPr>
          <w:sz w:val="20"/>
          <w:szCs w:val="20"/>
          <w:lang w:val="en-US"/>
        </w:rPr>
      </w:pPr>
    </w:p>
    <w:p w:rsidR="00F51FC0" w:rsidRPr="008577E4" w:rsidRDefault="008577E4" w:rsidP="00BA553E">
      <w:pPr>
        <w:pStyle w:val="Corpotesto"/>
        <w:tabs>
          <w:tab w:val="left" w:pos="1080"/>
        </w:tabs>
        <w:rPr>
          <w:sz w:val="20"/>
          <w:szCs w:val="20"/>
          <w:lang w:val="en-US"/>
        </w:rPr>
      </w:pPr>
      <w:r w:rsidRPr="008577E4">
        <w:rPr>
          <w:sz w:val="20"/>
          <w:szCs w:val="20"/>
          <w:lang w:val="en-US"/>
        </w:rPr>
        <w:t xml:space="preserve">Aristotle, </w:t>
      </w:r>
      <w:r w:rsidR="00F51FC0" w:rsidRPr="008577E4">
        <w:rPr>
          <w:i/>
          <w:sz w:val="20"/>
          <w:szCs w:val="20"/>
          <w:lang w:val="en-US"/>
        </w:rPr>
        <w:t>On Sophistical Refutations</w:t>
      </w:r>
      <w:r w:rsidR="00F51FC0" w:rsidRPr="008577E4">
        <w:rPr>
          <w:sz w:val="20"/>
          <w:szCs w:val="20"/>
          <w:lang w:val="en-US"/>
        </w:rPr>
        <w:t>, 166b38-167a14.</w:t>
      </w:r>
    </w:p>
    <w:p w:rsidR="00DB2818" w:rsidRPr="008577E4" w:rsidRDefault="00DB2818" w:rsidP="00BA553E">
      <w:pPr>
        <w:pStyle w:val="Corpotesto"/>
        <w:tabs>
          <w:tab w:val="left" w:pos="1080"/>
        </w:tabs>
        <w:rPr>
          <w:sz w:val="20"/>
          <w:szCs w:val="20"/>
          <w:lang w:val="en-US"/>
        </w:rPr>
      </w:pPr>
    </w:p>
    <w:p w:rsidR="005A33D7" w:rsidRPr="008577E4" w:rsidRDefault="005A33D7" w:rsidP="00BA553E">
      <w:pPr>
        <w:pStyle w:val="Corpotesto"/>
        <w:tabs>
          <w:tab w:val="left" w:pos="1080"/>
        </w:tabs>
        <w:rPr>
          <w:sz w:val="20"/>
          <w:szCs w:val="20"/>
          <w:lang w:val="en-US"/>
        </w:rPr>
      </w:pPr>
      <w:r w:rsidRPr="008577E4">
        <w:rPr>
          <w:sz w:val="20"/>
          <w:szCs w:val="20"/>
          <w:lang w:val="en-US"/>
        </w:rPr>
        <w:t>1</w:t>
      </w:r>
      <w:r w:rsidR="008952C2" w:rsidRPr="008577E4">
        <w:rPr>
          <w:sz w:val="20"/>
          <w:szCs w:val="20"/>
          <w:lang w:val="en-US"/>
        </w:rPr>
        <w:t>2</w:t>
      </w:r>
      <w:r w:rsidRPr="008577E4">
        <w:rPr>
          <w:sz w:val="20"/>
          <w:szCs w:val="20"/>
          <w:lang w:val="en-US"/>
        </w:rPr>
        <w:t>.</w:t>
      </w:r>
    </w:p>
    <w:p w:rsidR="00DB2818" w:rsidRPr="008577E4" w:rsidRDefault="00DB2818" w:rsidP="00BA553E">
      <w:pPr>
        <w:pStyle w:val="Corpotesto"/>
        <w:tabs>
          <w:tab w:val="left" w:pos="1080"/>
        </w:tabs>
        <w:rPr>
          <w:color w:val="000000"/>
          <w:sz w:val="20"/>
          <w:szCs w:val="20"/>
          <w:shd w:val="clear" w:color="auto" w:fill="FFFFCC"/>
          <w:lang w:val="en-US"/>
        </w:rPr>
      </w:pPr>
    </w:p>
    <w:p w:rsidR="00DB2818" w:rsidRPr="008577E4" w:rsidRDefault="00F51FC0" w:rsidP="00BA553E">
      <w:pPr>
        <w:pStyle w:val="Corpotesto"/>
        <w:tabs>
          <w:tab w:val="left" w:pos="1080"/>
        </w:tabs>
        <w:rPr>
          <w:sz w:val="20"/>
          <w:szCs w:val="20"/>
          <w:lang w:val="fr-FR"/>
        </w:rPr>
      </w:pPr>
      <w:r w:rsidRPr="008577E4">
        <w:rPr>
          <w:sz w:val="20"/>
          <w:szCs w:val="20"/>
          <w:lang w:val="en-US"/>
        </w:rPr>
        <w:t>“</w:t>
      </w:r>
      <w:r w:rsidR="00DB2818" w:rsidRPr="008577E4">
        <w:rPr>
          <w:sz w:val="20"/>
          <w:szCs w:val="20"/>
          <w:lang w:val="en-US"/>
        </w:rPr>
        <w:t xml:space="preserve">Ex his ergo apparet quod philosophum dicere aliquid esse possibile vel impossibile, hoc est illud: dicere esse possibile vel impossibile per rationes investigabiles ab homine. </w:t>
      </w:r>
      <w:r w:rsidR="00DB2818" w:rsidRPr="008577E4">
        <w:rPr>
          <w:sz w:val="20"/>
          <w:szCs w:val="20"/>
          <w:lang w:val="fr-FR"/>
        </w:rPr>
        <w:t>Statim enim quando aliquis dimittit rationes, cessat esset philosophus, nec innititur philosophia</w:t>
      </w:r>
      <w:r w:rsidRPr="008577E4">
        <w:rPr>
          <w:sz w:val="20"/>
          <w:szCs w:val="20"/>
          <w:lang w:val="fr-FR"/>
        </w:rPr>
        <w:t xml:space="preserve"> revelationibus et in miraculis”</w:t>
      </w:r>
    </w:p>
    <w:p w:rsidR="00520F49" w:rsidRPr="008577E4" w:rsidRDefault="00520F49" w:rsidP="00BA553E">
      <w:pPr>
        <w:pStyle w:val="Corpotesto"/>
        <w:tabs>
          <w:tab w:val="left" w:pos="1080"/>
        </w:tabs>
        <w:rPr>
          <w:sz w:val="20"/>
          <w:szCs w:val="20"/>
          <w:lang w:val="fr-FR"/>
        </w:rPr>
      </w:pPr>
    </w:p>
    <w:p w:rsidR="00520F49" w:rsidRPr="008577E4" w:rsidRDefault="00520F49" w:rsidP="00520F49">
      <w:pPr>
        <w:pStyle w:val="Corpotesto"/>
        <w:tabs>
          <w:tab w:val="left" w:pos="1080"/>
        </w:tabs>
        <w:rPr>
          <w:sz w:val="20"/>
          <w:szCs w:val="20"/>
        </w:rPr>
      </w:pPr>
      <w:r w:rsidRPr="008577E4">
        <w:rPr>
          <w:sz w:val="20"/>
          <w:szCs w:val="20"/>
        </w:rPr>
        <w:t xml:space="preserve">Boethius of Dacia, </w:t>
      </w:r>
      <w:r w:rsidRPr="008577E4">
        <w:rPr>
          <w:i/>
          <w:sz w:val="20"/>
          <w:szCs w:val="20"/>
        </w:rPr>
        <w:t>De aeternitate mundi</w:t>
      </w:r>
      <w:r w:rsidRPr="008577E4">
        <w:rPr>
          <w:sz w:val="20"/>
          <w:szCs w:val="20"/>
        </w:rPr>
        <w:t>, ed. N. Green-Pedersen, p. 364.</w:t>
      </w:r>
    </w:p>
    <w:p w:rsidR="00520F49" w:rsidRPr="008577E4" w:rsidRDefault="00520F49" w:rsidP="00BA553E">
      <w:pPr>
        <w:pStyle w:val="Corpotesto"/>
        <w:tabs>
          <w:tab w:val="left" w:pos="1080"/>
        </w:tabs>
        <w:rPr>
          <w:sz w:val="20"/>
          <w:szCs w:val="20"/>
          <w:lang w:val="fr-FR"/>
        </w:rPr>
      </w:pPr>
    </w:p>
    <w:p w:rsidR="00F51FC0" w:rsidRPr="008577E4" w:rsidRDefault="00F51FC0" w:rsidP="00BA553E">
      <w:pPr>
        <w:pStyle w:val="Corpotesto"/>
        <w:tabs>
          <w:tab w:val="left" w:pos="1080"/>
        </w:tabs>
        <w:rPr>
          <w:sz w:val="20"/>
          <w:szCs w:val="20"/>
          <w:lang w:val="fr-FR"/>
        </w:rPr>
      </w:pPr>
    </w:p>
    <w:p w:rsidR="00F51FC0" w:rsidRPr="008577E4" w:rsidRDefault="00F51FC0" w:rsidP="00BA553E">
      <w:pPr>
        <w:pStyle w:val="Corpotesto"/>
        <w:tabs>
          <w:tab w:val="left" w:pos="1080"/>
        </w:tabs>
        <w:rPr>
          <w:color w:val="000000"/>
          <w:sz w:val="20"/>
          <w:szCs w:val="20"/>
          <w:lang w:val="fr-FR"/>
        </w:rPr>
      </w:pPr>
    </w:p>
    <w:p w:rsidR="00BA553E" w:rsidRPr="008577E4" w:rsidRDefault="00BA553E" w:rsidP="00BA553E">
      <w:pPr>
        <w:pStyle w:val="Paragrafoelenco"/>
        <w:rPr>
          <w:rFonts w:ascii="Times New Roman" w:hAnsi="Times New Roman" w:cs="Times New Roman"/>
          <w:sz w:val="20"/>
          <w:szCs w:val="20"/>
          <w:lang w:val="fr-FR"/>
        </w:rPr>
      </w:pPr>
    </w:p>
    <w:p w:rsidR="00BA553E" w:rsidRPr="008577E4" w:rsidRDefault="00BA553E">
      <w:pPr>
        <w:rPr>
          <w:rFonts w:ascii="Times New Roman" w:hAnsi="Times New Roman" w:cs="Times New Roman"/>
          <w:sz w:val="20"/>
          <w:szCs w:val="20"/>
          <w:lang w:val="fr-FR"/>
        </w:rPr>
      </w:pPr>
    </w:p>
    <w:p w:rsidR="00934923" w:rsidRPr="008577E4" w:rsidRDefault="00934923">
      <w:pPr>
        <w:rPr>
          <w:rFonts w:ascii="Times New Roman" w:hAnsi="Times New Roman" w:cs="Times New Roman"/>
          <w:sz w:val="20"/>
          <w:szCs w:val="20"/>
          <w:lang w:val="fr-FR"/>
        </w:rPr>
      </w:pPr>
    </w:p>
    <w:sectPr w:rsidR="00934923" w:rsidRPr="008577E4" w:rsidSect="00991C26">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1021"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CF" w:rsidRDefault="005F48CF" w:rsidP="00562416">
      <w:pPr>
        <w:spacing w:after="0" w:line="240" w:lineRule="auto"/>
      </w:pPr>
      <w:r>
        <w:separator/>
      </w:r>
    </w:p>
  </w:endnote>
  <w:endnote w:type="continuationSeparator" w:id="0">
    <w:p w:rsidR="005F48CF" w:rsidRDefault="005F48CF" w:rsidP="0056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16" w:rsidRDefault="005624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11146"/>
      <w:docPartObj>
        <w:docPartGallery w:val="Page Numbers (Bottom of Page)"/>
        <w:docPartUnique/>
      </w:docPartObj>
    </w:sdtPr>
    <w:sdtEndPr/>
    <w:sdtContent>
      <w:p w:rsidR="00562416" w:rsidRDefault="00562416">
        <w:pPr>
          <w:pStyle w:val="Pidipagina"/>
          <w:jc w:val="right"/>
        </w:pPr>
        <w:r>
          <w:fldChar w:fldCharType="begin"/>
        </w:r>
        <w:r>
          <w:instrText>PAGE   \* MERGEFORMAT</w:instrText>
        </w:r>
        <w:r>
          <w:fldChar w:fldCharType="separate"/>
        </w:r>
        <w:r w:rsidR="00DA1ACD">
          <w:rPr>
            <w:noProof/>
          </w:rPr>
          <w:t>3</w:t>
        </w:r>
        <w:r>
          <w:fldChar w:fldCharType="end"/>
        </w:r>
      </w:p>
    </w:sdtContent>
  </w:sdt>
  <w:p w:rsidR="00562416" w:rsidRDefault="0056241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16" w:rsidRDefault="005624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CF" w:rsidRDefault="005F48CF" w:rsidP="00562416">
      <w:pPr>
        <w:spacing w:after="0" w:line="240" w:lineRule="auto"/>
      </w:pPr>
      <w:r>
        <w:separator/>
      </w:r>
    </w:p>
  </w:footnote>
  <w:footnote w:type="continuationSeparator" w:id="0">
    <w:p w:rsidR="005F48CF" w:rsidRDefault="005F48CF" w:rsidP="0056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16" w:rsidRDefault="005624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16" w:rsidRDefault="0056241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16" w:rsidRDefault="0056241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6B"/>
    <w:rsid w:val="00016F0D"/>
    <w:rsid w:val="00124067"/>
    <w:rsid w:val="001C1E3A"/>
    <w:rsid w:val="00307008"/>
    <w:rsid w:val="0032053E"/>
    <w:rsid w:val="003A3698"/>
    <w:rsid w:val="003A5580"/>
    <w:rsid w:val="00520F49"/>
    <w:rsid w:val="00534A6B"/>
    <w:rsid w:val="005474EA"/>
    <w:rsid w:val="00562416"/>
    <w:rsid w:val="0056777D"/>
    <w:rsid w:val="005A33D7"/>
    <w:rsid w:val="005F48CF"/>
    <w:rsid w:val="006B04EE"/>
    <w:rsid w:val="008577E4"/>
    <w:rsid w:val="008952C2"/>
    <w:rsid w:val="00934923"/>
    <w:rsid w:val="0093534D"/>
    <w:rsid w:val="009563EC"/>
    <w:rsid w:val="00981F7F"/>
    <w:rsid w:val="00991C26"/>
    <w:rsid w:val="009D3289"/>
    <w:rsid w:val="00A45982"/>
    <w:rsid w:val="00A80D6C"/>
    <w:rsid w:val="00AB3159"/>
    <w:rsid w:val="00B61E3C"/>
    <w:rsid w:val="00B80C58"/>
    <w:rsid w:val="00BA553E"/>
    <w:rsid w:val="00C002D4"/>
    <w:rsid w:val="00D152A2"/>
    <w:rsid w:val="00D15D54"/>
    <w:rsid w:val="00D93B8D"/>
    <w:rsid w:val="00DA1ACD"/>
    <w:rsid w:val="00DB2818"/>
    <w:rsid w:val="00DE4CC0"/>
    <w:rsid w:val="00DF0A86"/>
    <w:rsid w:val="00E261D7"/>
    <w:rsid w:val="00E72EE1"/>
    <w:rsid w:val="00EC31A5"/>
    <w:rsid w:val="00F51FC0"/>
    <w:rsid w:val="00FB6B4B"/>
    <w:rsid w:val="00FC4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34923"/>
    <w:pPr>
      <w:spacing w:after="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934923"/>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3698"/>
  </w:style>
  <w:style w:type="character" w:styleId="Collegamentoipertestuale">
    <w:name w:val="Hyperlink"/>
    <w:basedOn w:val="Carpredefinitoparagrafo"/>
    <w:uiPriority w:val="99"/>
    <w:semiHidden/>
    <w:unhideWhenUsed/>
    <w:rsid w:val="003A3698"/>
    <w:rPr>
      <w:color w:val="0000FF"/>
      <w:u w:val="single"/>
    </w:rPr>
  </w:style>
  <w:style w:type="paragraph" w:styleId="Paragrafoelenco">
    <w:name w:val="List Paragraph"/>
    <w:basedOn w:val="Normale"/>
    <w:uiPriority w:val="34"/>
    <w:qFormat/>
    <w:rsid w:val="00BA553E"/>
    <w:pPr>
      <w:ind w:left="720"/>
      <w:contextualSpacing/>
    </w:pPr>
  </w:style>
  <w:style w:type="paragraph" w:styleId="Testonotaapidipagina">
    <w:name w:val="footnote text"/>
    <w:basedOn w:val="Normale"/>
    <w:link w:val="TestonotaapidipaginaCarattere"/>
    <w:uiPriority w:val="99"/>
    <w:rsid w:val="00A45982"/>
    <w:pPr>
      <w:spacing w:after="0" w:line="240" w:lineRule="auto"/>
      <w:jc w:val="left"/>
    </w:pPr>
    <w:rPr>
      <w:rFonts w:ascii="Times" w:eastAsiaTheme="minorEastAsia" w:hAnsi="Times" w:cs="Times"/>
      <w:sz w:val="20"/>
      <w:szCs w:val="20"/>
      <w:lang w:val="fr-FR" w:eastAsia="it-IT"/>
    </w:rPr>
  </w:style>
  <w:style w:type="character" w:customStyle="1" w:styleId="TestonotaapidipaginaCarattere">
    <w:name w:val="Testo nota a piè di pagina Carattere"/>
    <w:basedOn w:val="Carpredefinitoparagrafo"/>
    <w:link w:val="Testonotaapidipagina"/>
    <w:uiPriority w:val="99"/>
    <w:rsid w:val="00A45982"/>
    <w:rPr>
      <w:rFonts w:ascii="Times" w:eastAsiaTheme="minorEastAsia" w:hAnsi="Times" w:cs="Times"/>
      <w:sz w:val="20"/>
      <w:szCs w:val="20"/>
      <w:lang w:val="fr-FR" w:eastAsia="it-IT"/>
    </w:rPr>
  </w:style>
  <w:style w:type="paragraph" w:styleId="Intestazione">
    <w:name w:val="header"/>
    <w:basedOn w:val="Normale"/>
    <w:link w:val="IntestazioneCarattere"/>
    <w:uiPriority w:val="99"/>
    <w:unhideWhenUsed/>
    <w:rsid w:val="005624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2416"/>
  </w:style>
  <w:style w:type="paragraph" w:styleId="Pidipagina">
    <w:name w:val="footer"/>
    <w:basedOn w:val="Normale"/>
    <w:link w:val="PidipaginaCarattere"/>
    <w:uiPriority w:val="99"/>
    <w:unhideWhenUsed/>
    <w:rsid w:val="005624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34923"/>
    <w:pPr>
      <w:spacing w:after="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934923"/>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3698"/>
  </w:style>
  <w:style w:type="character" w:styleId="Collegamentoipertestuale">
    <w:name w:val="Hyperlink"/>
    <w:basedOn w:val="Carpredefinitoparagrafo"/>
    <w:uiPriority w:val="99"/>
    <w:semiHidden/>
    <w:unhideWhenUsed/>
    <w:rsid w:val="003A3698"/>
    <w:rPr>
      <w:color w:val="0000FF"/>
      <w:u w:val="single"/>
    </w:rPr>
  </w:style>
  <w:style w:type="paragraph" w:styleId="Paragrafoelenco">
    <w:name w:val="List Paragraph"/>
    <w:basedOn w:val="Normale"/>
    <w:uiPriority w:val="34"/>
    <w:qFormat/>
    <w:rsid w:val="00BA553E"/>
    <w:pPr>
      <w:ind w:left="720"/>
      <w:contextualSpacing/>
    </w:pPr>
  </w:style>
  <w:style w:type="paragraph" w:styleId="Testonotaapidipagina">
    <w:name w:val="footnote text"/>
    <w:basedOn w:val="Normale"/>
    <w:link w:val="TestonotaapidipaginaCarattere"/>
    <w:uiPriority w:val="99"/>
    <w:rsid w:val="00A45982"/>
    <w:pPr>
      <w:spacing w:after="0" w:line="240" w:lineRule="auto"/>
      <w:jc w:val="left"/>
    </w:pPr>
    <w:rPr>
      <w:rFonts w:ascii="Times" w:eastAsiaTheme="minorEastAsia" w:hAnsi="Times" w:cs="Times"/>
      <w:sz w:val="20"/>
      <w:szCs w:val="20"/>
      <w:lang w:val="fr-FR" w:eastAsia="it-IT"/>
    </w:rPr>
  </w:style>
  <w:style w:type="character" w:customStyle="1" w:styleId="TestonotaapidipaginaCarattere">
    <w:name w:val="Testo nota a piè di pagina Carattere"/>
    <w:basedOn w:val="Carpredefinitoparagrafo"/>
    <w:link w:val="Testonotaapidipagina"/>
    <w:uiPriority w:val="99"/>
    <w:rsid w:val="00A45982"/>
    <w:rPr>
      <w:rFonts w:ascii="Times" w:eastAsiaTheme="minorEastAsia" w:hAnsi="Times" w:cs="Times"/>
      <w:sz w:val="20"/>
      <w:szCs w:val="20"/>
      <w:lang w:val="fr-FR" w:eastAsia="it-IT"/>
    </w:rPr>
  </w:style>
  <w:style w:type="paragraph" w:styleId="Intestazione">
    <w:name w:val="header"/>
    <w:basedOn w:val="Normale"/>
    <w:link w:val="IntestazioneCarattere"/>
    <w:uiPriority w:val="99"/>
    <w:unhideWhenUsed/>
    <w:rsid w:val="005624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2416"/>
  </w:style>
  <w:style w:type="paragraph" w:styleId="Pidipagina">
    <w:name w:val="footer"/>
    <w:basedOn w:val="Normale"/>
    <w:link w:val="PidipaginaCarattere"/>
    <w:uiPriority w:val="99"/>
    <w:unhideWhenUsed/>
    <w:rsid w:val="005624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3DFD-E557-4474-B6EA-B790B5CF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1361</Words>
  <Characters>7761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dc:creator>
  <cp:lastModifiedBy>bianchi</cp:lastModifiedBy>
  <cp:revision>24</cp:revision>
  <dcterms:created xsi:type="dcterms:W3CDTF">2014-05-09T09:19:00Z</dcterms:created>
  <dcterms:modified xsi:type="dcterms:W3CDTF">2014-05-31T14:32:00Z</dcterms:modified>
</cp:coreProperties>
</file>