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6ADA" w:rsidRDefault="00186ADA">
      <w:pPr>
        <w:pStyle w:val="normal0"/>
        <w:jc w:val="center"/>
      </w:pPr>
      <w:r>
        <w:rPr>
          <w:b/>
          <w:sz w:val="28"/>
        </w:rPr>
        <w:t>Правительство Российской Федерации</w:t>
      </w:r>
    </w:p>
    <w:p w:rsidR="00186ADA" w:rsidRDefault="00186ADA">
      <w:pPr>
        <w:pStyle w:val="normal0"/>
        <w:jc w:val="center"/>
      </w:pPr>
    </w:p>
    <w:p w:rsidR="00186ADA" w:rsidRDefault="00186ADA">
      <w:pPr>
        <w:pStyle w:val="normal0"/>
        <w:jc w:val="center"/>
      </w:pPr>
    </w:p>
    <w:p w:rsidR="00186ADA" w:rsidRDefault="00186ADA">
      <w:pPr>
        <w:pStyle w:val="normal0"/>
        <w:jc w:val="center"/>
      </w:pPr>
      <w:r>
        <w:rPr>
          <w:b/>
          <w:sz w:val="28"/>
        </w:rPr>
        <w:t xml:space="preserve">Федеральное государственное автономное образовательное учреждение высшего профессионального образования </w:t>
      </w:r>
      <w:r>
        <w:rPr>
          <w:b/>
          <w:sz w:val="28"/>
        </w:rPr>
        <w:br/>
        <w:t xml:space="preserve">"Национальный исследовательский университет </w:t>
      </w:r>
      <w:r>
        <w:rPr>
          <w:b/>
          <w:sz w:val="28"/>
        </w:rPr>
        <w:br/>
        <w:t>"Высшая школа экономики"</w:t>
      </w:r>
    </w:p>
    <w:p w:rsidR="00186ADA" w:rsidRDefault="00186ADA">
      <w:pPr>
        <w:pStyle w:val="normal0"/>
        <w:jc w:val="center"/>
      </w:pPr>
    </w:p>
    <w:p w:rsidR="00186ADA" w:rsidRDefault="00186ADA">
      <w:pPr>
        <w:pStyle w:val="normal0"/>
        <w:jc w:val="center"/>
      </w:pPr>
    </w:p>
    <w:p w:rsidR="00186ADA" w:rsidRDefault="00186ADA">
      <w:pPr>
        <w:pStyle w:val="normal0"/>
        <w:jc w:val="center"/>
      </w:pPr>
    </w:p>
    <w:p w:rsidR="00186ADA" w:rsidRDefault="00186ADA">
      <w:pPr>
        <w:pStyle w:val="normal0"/>
        <w:jc w:val="center"/>
      </w:pPr>
    </w:p>
    <w:p w:rsidR="00186ADA" w:rsidRDefault="00186ADA">
      <w:pPr>
        <w:pStyle w:val="normal0"/>
        <w:jc w:val="center"/>
      </w:pPr>
    </w:p>
    <w:p w:rsidR="00186ADA" w:rsidRDefault="00186ADA">
      <w:pPr>
        <w:pStyle w:val="normal0"/>
        <w:jc w:val="center"/>
      </w:pPr>
      <w:r>
        <w:rPr>
          <w:sz w:val="28"/>
        </w:rPr>
        <w:t>Общеуниверситетская кафедра публичной политики</w:t>
      </w:r>
    </w:p>
    <w:p w:rsidR="00186ADA" w:rsidRDefault="00186ADA">
      <w:pPr>
        <w:pStyle w:val="normal0"/>
        <w:jc w:val="center"/>
      </w:pPr>
    </w:p>
    <w:p w:rsidR="00186ADA" w:rsidRDefault="00186ADA">
      <w:pPr>
        <w:pStyle w:val="normal0"/>
        <w:jc w:val="center"/>
      </w:pPr>
    </w:p>
    <w:p w:rsidR="00186ADA" w:rsidRDefault="00186ADA">
      <w:pPr>
        <w:pStyle w:val="normal0"/>
        <w:jc w:val="center"/>
      </w:pPr>
    </w:p>
    <w:p w:rsidR="00186ADA" w:rsidRDefault="00186ADA">
      <w:pPr>
        <w:pStyle w:val="normal0"/>
        <w:jc w:val="center"/>
      </w:pPr>
    </w:p>
    <w:p w:rsidR="00186ADA" w:rsidRDefault="00186ADA">
      <w:pPr>
        <w:pStyle w:val="normal0"/>
        <w:jc w:val="center"/>
      </w:pPr>
      <w:r>
        <w:rPr>
          <w:b/>
          <w:sz w:val="28"/>
        </w:rPr>
        <w:t>Программа дисциплины</w:t>
      </w:r>
    </w:p>
    <w:p w:rsidR="00186ADA" w:rsidRDefault="00186ADA">
      <w:pPr>
        <w:pStyle w:val="normal0"/>
        <w:jc w:val="center"/>
      </w:pPr>
      <w:r>
        <w:rPr>
          <w:rFonts w:ascii="Arial Black" w:hAnsi="Arial Black" w:cs="Arial Black"/>
          <w:sz w:val="28"/>
        </w:rPr>
        <w:t>Soft Law and Regulatory Governance</w:t>
      </w:r>
    </w:p>
    <w:p w:rsidR="00186ADA" w:rsidRDefault="00186ADA">
      <w:pPr>
        <w:pStyle w:val="normal0"/>
        <w:jc w:val="center"/>
      </w:pPr>
      <w:r>
        <w:t>для направления 030200.62 «Политология» подготовки магистра</w:t>
      </w:r>
    </w:p>
    <w:p w:rsidR="00186ADA" w:rsidRDefault="00186ADA">
      <w:pPr>
        <w:pStyle w:val="normal0"/>
        <w:jc w:val="center"/>
      </w:pPr>
      <w:r>
        <w:t>для магистерской программы «Политический анализ и публичная политика»</w:t>
      </w:r>
    </w:p>
    <w:p w:rsidR="00186ADA" w:rsidRDefault="00186ADA">
      <w:pPr>
        <w:pStyle w:val="normal0"/>
        <w:jc w:val="center"/>
      </w:pPr>
    </w:p>
    <w:p w:rsidR="00186ADA" w:rsidRDefault="00186ADA">
      <w:pPr>
        <w:pStyle w:val="normal0"/>
        <w:jc w:val="center"/>
      </w:pPr>
    </w:p>
    <w:p w:rsidR="00186ADA" w:rsidRDefault="00186ADA">
      <w:pPr>
        <w:pStyle w:val="normal0"/>
        <w:jc w:val="center"/>
      </w:pPr>
    </w:p>
    <w:p w:rsidR="00186ADA" w:rsidRDefault="00186ADA">
      <w:pPr>
        <w:pStyle w:val="normal0"/>
        <w:jc w:val="center"/>
      </w:pPr>
    </w:p>
    <w:p w:rsidR="00186ADA" w:rsidRDefault="00186ADA">
      <w:pPr>
        <w:pStyle w:val="normal0"/>
        <w:ind w:firstLine="0"/>
      </w:pPr>
      <w:r>
        <w:t>Автор программы:</w:t>
      </w:r>
    </w:p>
    <w:p w:rsidR="00186ADA" w:rsidRDefault="00186ADA">
      <w:pPr>
        <w:pStyle w:val="normal0"/>
        <w:ind w:firstLine="0"/>
      </w:pPr>
      <w:r>
        <w:t>Фогельсон Ю.Б. доктор юридических наук, yfogelson@hse.ru</w:t>
      </w: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ind w:firstLine="0"/>
      </w:pPr>
      <w:r>
        <w:t>Одобрена на заседании Общеуниверситетской кафедры публичной политики «29» августа 2013г.</w:t>
      </w:r>
    </w:p>
    <w:p w:rsidR="00186ADA" w:rsidRDefault="00186ADA">
      <w:pPr>
        <w:pStyle w:val="normal0"/>
        <w:ind w:firstLine="0"/>
      </w:pPr>
      <w:r>
        <w:t>Зав. кафедрой Н.Ю. Беляева</w:t>
      </w:r>
    </w:p>
    <w:p w:rsidR="00186ADA" w:rsidRDefault="00186ADA">
      <w:pPr>
        <w:pStyle w:val="normal0"/>
      </w:pPr>
    </w:p>
    <w:p w:rsidR="00186ADA" w:rsidRDefault="00186ADA">
      <w:pPr>
        <w:pStyle w:val="normal0"/>
        <w:ind w:firstLine="0"/>
      </w:pPr>
      <w:r>
        <w:t>Рекомендована секцией УМС [Введите название секции УМС] «___»____________ 200   г</w:t>
      </w:r>
    </w:p>
    <w:p w:rsidR="00186ADA" w:rsidRDefault="00186ADA">
      <w:pPr>
        <w:pStyle w:val="normal0"/>
        <w:ind w:firstLine="0"/>
      </w:pPr>
      <w:r>
        <w:t>Председатель [Введите И.О. Фамилия]</w:t>
      </w:r>
    </w:p>
    <w:p w:rsidR="00186ADA" w:rsidRDefault="00186ADA">
      <w:pPr>
        <w:pStyle w:val="normal0"/>
      </w:pPr>
    </w:p>
    <w:p w:rsidR="00186ADA" w:rsidRDefault="00186ADA">
      <w:pPr>
        <w:pStyle w:val="normal0"/>
        <w:ind w:firstLine="0"/>
      </w:pPr>
      <w:r>
        <w:t>Утверждена УС факультета [Введите название факультета] «___»_____________200   г.</w:t>
      </w:r>
    </w:p>
    <w:p w:rsidR="00186ADA" w:rsidRDefault="00186ADA">
      <w:pPr>
        <w:pStyle w:val="normal0"/>
        <w:ind w:firstLine="0"/>
      </w:pPr>
      <w:r>
        <w:t>Ученый секретарь [Введите И.О. Фамилия] ________________________ [подпись]</w:t>
      </w: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pPr>
    </w:p>
    <w:p w:rsidR="00186ADA" w:rsidRDefault="00186ADA">
      <w:pPr>
        <w:pStyle w:val="normal0"/>
        <w:jc w:val="center"/>
      </w:pPr>
      <w:r>
        <w:t>Москва, 2013</w:t>
      </w:r>
    </w:p>
    <w:p w:rsidR="00186ADA" w:rsidRDefault="00186ADA">
      <w:pPr>
        <w:pStyle w:val="normal0"/>
      </w:pPr>
      <w:r>
        <w:t xml:space="preserve"> </w:t>
      </w:r>
    </w:p>
    <w:p w:rsidR="00186ADA" w:rsidRDefault="00186ADA">
      <w:pPr>
        <w:pStyle w:val="normal0"/>
      </w:pPr>
      <w:r>
        <w:br w:type="page"/>
      </w:r>
    </w:p>
    <w:p w:rsidR="00186ADA" w:rsidRDefault="00186ADA">
      <w:pPr>
        <w:pStyle w:val="Heading1"/>
        <w:numPr>
          <w:ilvl w:val="0"/>
          <w:numId w:val="3"/>
        </w:numPr>
        <w:ind w:firstLine="0"/>
      </w:pPr>
      <w:r>
        <w:t>Scope of implementation and normative references</w:t>
      </w:r>
    </w:p>
    <w:p w:rsidR="00186ADA" w:rsidRDefault="00186ADA">
      <w:pPr>
        <w:pStyle w:val="normal0"/>
        <w:ind w:left="1066" w:firstLine="0"/>
      </w:pPr>
    </w:p>
    <w:p w:rsidR="00186ADA" w:rsidRDefault="00186AD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t xml:space="preserve">The </w:t>
      </w:r>
      <w:r>
        <w:rPr>
          <w:highlight w:val="white"/>
        </w:rPr>
        <w:t>present</w:t>
      </w:r>
      <w:r>
        <w:t xml:space="preserve"> program establishes minimum demands of students’ knowledge and skills and determines content of the course, themes of classes and evaluation system.</w:t>
      </w:r>
    </w:p>
    <w:p w:rsidR="00186ADA" w:rsidRDefault="00186ADA">
      <w:pPr>
        <w:pStyle w:val="normal0"/>
        <w:jc w:val="both"/>
      </w:pPr>
      <w:r>
        <w:rPr>
          <w:highlight w:val="white"/>
        </w:rPr>
        <w:t>The present syllabus is aimed for the course’s teachers, their teaching assistants and students of the department 030200.68 ‘Political Science’, master’s program ‘Political Analysis and Public Policy’, specialization "Political Analysis and Public Policy," "Human Rights and Democratic Governance" studying the discipline "</w:t>
      </w:r>
      <w:r>
        <w:t xml:space="preserve"> </w:t>
      </w:r>
      <w:r>
        <w:rPr>
          <w:highlight w:val="white"/>
        </w:rPr>
        <w:t>Soft Law and Regulatory Governance "</w:t>
      </w:r>
    </w:p>
    <w:p w:rsidR="00186ADA" w:rsidRDefault="00186AD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rPr>
          <w:highlight w:val="white"/>
        </w:rPr>
        <w:t>This syllabus meets the standards required by:</w:t>
      </w:r>
    </w:p>
    <w:p w:rsidR="00186ADA" w:rsidRDefault="00186ADA">
      <w:pPr>
        <w:pStyle w:val="normal0"/>
        <w:numPr>
          <w:ilvl w:val="0"/>
          <w:numId w:val="4"/>
        </w:numPr>
        <w:ind w:left="1066" w:hanging="356"/>
        <w:jc w:val="both"/>
      </w:pPr>
      <w:r>
        <w:t>Educational standards of National Research University Higher School of Economics of Federal Masters’ Degree Program 030200.68 “Political Science”,</w:t>
      </w:r>
    </w:p>
    <w:p w:rsidR="00186ADA" w:rsidRDefault="00186ADA">
      <w:pPr>
        <w:pStyle w:val="normal0"/>
        <w:numPr>
          <w:ilvl w:val="0"/>
          <w:numId w:val="4"/>
        </w:numPr>
        <w:ind w:left="1066" w:hanging="356"/>
        <w:jc w:val="both"/>
      </w:pPr>
      <w:r>
        <w:t>Master’s program ‘Political Analysis and Public Policy’ of Federal Masters’ Degree Program 030200.68 “Political Science”,</w:t>
      </w:r>
    </w:p>
    <w:p w:rsidR="00186ADA" w:rsidRDefault="00186ADA">
      <w:pPr>
        <w:pStyle w:val="normal0"/>
        <w:numPr>
          <w:ilvl w:val="0"/>
          <w:numId w:val="4"/>
        </w:numPr>
        <w:ind w:left="1066" w:hanging="356"/>
        <w:jc w:val="both"/>
      </w:pPr>
      <w:r>
        <w:t xml:space="preserve">Curriculum for the </w:t>
      </w:r>
      <w:r>
        <w:rPr>
          <w:highlight w:val="white"/>
        </w:rPr>
        <w:t>Master degree program</w:t>
      </w:r>
      <w:r>
        <w:t xml:space="preserve"> 030200.68 "Political Science", the master’s program ‘Political Analysis and Public Policy’, specialization ‘Human Rights and Democratic Governance’ as of 2013.</w:t>
      </w:r>
    </w:p>
    <w:p w:rsidR="00186ADA" w:rsidRDefault="00186ADA">
      <w:pPr>
        <w:pStyle w:val="normal0"/>
        <w:ind w:left="1066" w:firstLine="0"/>
      </w:pPr>
    </w:p>
    <w:p w:rsidR="00186ADA" w:rsidRDefault="00186ADA">
      <w:pPr>
        <w:pStyle w:val="Heading1"/>
        <w:numPr>
          <w:ilvl w:val="0"/>
          <w:numId w:val="3"/>
        </w:numPr>
        <w:ind w:firstLine="0"/>
      </w:pPr>
      <w:r>
        <w:t xml:space="preserve">Objectives of the course </w:t>
      </w:r>
    </w:p>
    <w:p w:rsidR="00186ADA" w:rsidRDefault="00186ADA">
      <w:pPr>
        <w:pStyle w:val="normal0"/>
        <w:jc w:val="both"/>
      </w:pPr>
      <w:r>
        <w:t>Objective of the course « Soft Law and Regulatory Governance » is formation and consolidation of students’ knowledge of the Soft law regulation: the definition of the soft law, its other distinguishing features and main mechanisms, place in the Russian legal system among legal systems based on this tradition.</w:t>
      </w:r>
    </w:p>
    <w:p w:rsidR="00186ADA" w:rsidRDefault="00186ADA">
      <w:pPr>
        <w:pStyle w:val="Heading1"/>
        <w:numPr>
          <w:ilvl w:val="0"/>
          <w:numId w:val="3"/>
        </w:numPr>
        <w:ind w:firstLine="0"/>
      </w:pPr>
      <w:r>
        <w:t xml:space="preserve">Student’s competence by the end of the course </w:t>
      </w:r>
    </w:p>
    <w:p w:rsidR="00186ADA" w:rsidRDefault="00186ADA">
      <w:pPr>
        <w:pStyle w:val="normal0"/>
      </w:pPr>
      <w:r>
        <w:t>As a result of passing the course a student should:</w:t>
      </w:r>
    </w:p>
    <w:p w:rsidR="00186ADA" w:rsidRDefault="00186ADA">
      <w:pPr>
        <w:pStyle w:val="normal0"/>
        <w:numPr>
          <w:ilvl w:val="0"/>
          <w:numId w:val="4"/>
        </w:numPr>
        <w:spacing w:before="120"/>
        <w:ind w:hanging="356"/>
      </w:pPr>
      <w:r>
        <w:t>Know:</w:t>
      </w:r>
    </w:p>
    <w:p w:rsidR="00186ADA" w:rsidRDefault="00186ADA">
      <w:pPr>
        <w:pStyle w:val="normal0"/>
        <w:numPr>
          <w:ilvl w:val="0"/>
          <w:numId w:val="1"/>
        </w:numPr>
        <w:ind w:hanging="359"/>
      </w:pPr>
      <w:r>
        <w:t>history of development of soft law regulation;</w:t>
      </w:r>
    </w:p>
    <w:p w:rsidR="00186ADA" w:rsidRDefault="00186ADA">
      <w:pPr>
        <w:pStyle w:val="normal0"/>
        <w:numPr>
          <w:ilvl w:val="0"/>
          <w:numId w:val="1"/>
        </w:numPr>
        <w:ind w:hanging="359"/>
      </w:pPr>
      <w:r>
        <w:t>key attributes of soft law;</w:t>
      </w:r>
    </w:p>
    <w:p w:rsidR="00186ADA" w:rsidRDefault="00186ADA">
      <w:pPr>
        <w:pStyle w:val="normal0"/>
        <w:numPr>
          <w:ilvl w:val="0"/>
          <w:numId w:val="1"/>
        </w:numPr>
        <w:ind w:hanging="359"/>
      </w:pPr>
      <w:r>
        <w:t>different approaches to soft law concept;</w:t>
      </w:r>
    </w:p>
    <w:p w:rsidR="00186ADA" w:rsidRDefault="00186ADA">
      <w:pPr>
        <w:pStyle w:val="normal0"/>
        <w:numPr>
          <w:ilvl w:val="0"/>
          <w:numId w:val="1"/>
        </w:numPr>
        <w:ind w:hanging="359"/>
      </w:pPr>
      <w:r>
        <w:t>modern understanding of the soft law regulation in world, include political and legal issues;</w:t>
      </w:r>
    </w:p>
    <w:p w:rsidR="00186ADA" w:rsidRDefault="00186ADA">
      <w:pPr>
        <w:pStyle w:val="normal0"/>
        <w:numPr>
          <w:ilvl w:val="0"/>
          <w:numId w:val="1"/>
        </w:numPr>
        <w:ind w:hanging="359"/>
      </w:pPr>
      <w:r>
        <w:t>history of origin and development of the soft law in Russian legal system;</w:t>
      </w:r>
    </w:p>
    <w:p w:rsidR="00186ADA" w:rsidRDefault="00186ADA">
      <w:pPr>
        <w:pStyle w:val="normal0"/>
        <w:numPr>
          <w:ilvl w:val="0"/>
          <w:numId w:val="1"/>
        </w:numPr>
        <w:ind w:hanging="359"/>
      </w:pPr>
      <w:r>
        <w:t>role of the soft law in the Russian legal system in future.</w:t>
      </w:r>
    </w:p>
    <w:p w:rsidR="00186ADA" w:rsidRDefault="00186ADA">
      <w:pPr>
        <w:pStyle w:val="normal0"/>
        <w:numPr>
          <w:ilvl w:val="0"/>
          <w:numId w:val="4"/>
        </w:numPr>
        <w:spacing w:before="120"/>
        <w:ind w:hanging="356"/>
      </w:pPr>
      <w:r>
        <w:t>Be able to:</w:t>
      </w:r>
    </w:p>
    <w:p w:rsidR="00186ADA" w:rsidRDefault="00186ADA">
      <w:pPr>
        <w:pStyle w:val="normal0"/>
        <w:numPr>
          <w:ilvl w:val="0"/>
          <w:numId w:val="1"/>
        </w:numPr>
        <w:ind w:hanging="359"/>
      </w:pPr>
      <w:r>
        <w:t>analyze cases of soft law regulation in European countries and Russia;</w:t>
      </w:r>
    </w:p>
    <w:p w:rsidR="00186ADA" w:rsidRDefault="00186ADA">
      <w:pPr>
        <w:pStyle w:val="normal0"/>
        <w:numPr>
          <w:ilvl w:val="0"/>
          <w:numId w:val="1"/>
        </w:numPr>
        <w:ind w:hanging="359"/>
      </w:pPr>
      <w:r>
        <w:t>compare approaches implemented in the modern Russian legal system with approaches of other Western legal systems for using soft law mechanisms;</w:t>
      </w:r>
    </w:p>
    <w:p w:rsidR="00186ADA" w:rsidRDefault="00186ADA">
      <w:pPr>
        <w:pStyle w:val="normal0"/>
        <w:numPr>
          <w:ilvl w:val="0"/>
          <w:numId w:val="1"/>
        </w:numPr>
        <w:ind w:hanging="359"/>
      </w:pPr>
      <w:r>
        <w:t>analyze jurisprudence doctrine of soft law.</w:t>
      </w:r>
    </w:p>
    <w:p w:rsidR="00186ADA" w:rsidRDefault="00186ADA">
      <w:pPr>
        <w:pStyle w:val="normal0"/>
        <w:numPr>
          <w:ilvl w:val="0"/>
          <w:numId w:val="4"/>
        </w:numPr>
        <w:spacing w:before="120"/>
        <w:ind w:hanging="356"/>
      </w:pPr>
      <w:r>
        <w:t>Have skills of:</w:t>
      </w:r>
    </w:p>
    <w:p w:rsidR="00186ADA" w:rsidRDefault="00186ADA">
      <w:pPr>
        <w:pStyle w:val="normal0"/>
        <w:numPr>
          <w:ilvl w:val="0"/>
          <w:numId w:val="1"/>
        </w:numPr>
        <w:ind w:hanging="359"/>
        <w:rPr>
          <w:b/>
        </w:rPr>
      </w:pPr>
      <w:r>
        <w:t>work with political and legal literature;</w:t>
      </w:r>
    </w:p>
    <w:p w:rsidR="00186ADA" w:rsidRDefault="00186ADA">
      <w:pPr>
        <w:pStyle w:val="normal0"/>
        <w:numPr>
          <w:ilvl w:val="0"/>
          <w:numId w:val="1"/>
        </w:numPr>
        <w:ind w:hanging="359"/>
      </w:pPr>
      <w:r>
        <w:t>preparation of reports on the given topic, their public presentation and participation in discussion.</w:t>
      </w:r>
    </w:p>
    <w:p w:rsidR="00186ADA" w:rsidRDefault="00186ADA">
      <w:pPr>
        <w:pStyle w:val="normal0"/>
      </w:pPr>
      <w:r>
        <w:br w:type="page"/>
      </w:r>
    </w:p>
    <w:p w:rsidR="00186ADA" w:rsidRDefault="00186ADA">
      <w:pPr>
        <w:pStyle w:val="normal0"/>
        <w:ind w:firstLine="0"/>
      </w:pPr>
    </w:p>
    <w:p w:rsidR="00186ADA" w:rsidRDefault="00186ADA">
      <w:pPr>
        <w:pStyle w:val="normal0"/>
        <w:spacing w:after="120"/>
        <w:ind w:firstLine="0"/>
      </w:pPr>
      <w:r>
        <w:t xml:space="preserve">As a result of passing the course a student acquires the following competences: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1276"/>
        <w:gridCol w:w="2976"/>
        <w:gridCol w:w="2552"/>
      </w:tblGrid>
      <w:tr w:rsidR="00186ADA" w:rsidTr="00624FF6">
        <w:tc>
          <w:tcPr>
            <w:tcW w:w="3544" w:type="dxa"/>
            <w:vAlign w:val="center"/>
          </w:tcPr>
          <w:p w:rsidR="00186ADA" w:rsidRDefault="00186ADA" w:rsidP="00624FF6">
            <w:pPr>
              <w:pStyle w:val="normal0"/>
              <w:ind w:firstLine="0"/>
              <w:jc w:val="center"/>
            </w:pPr>
            <w:r w:rsidRPr="00624FF6">
              <w:rPr>
                <w:b/>
                <w:sz w:val="22"/>
              </w:rPr>
              <w:t>Competence</w:t>
            </w:r>
          </w:p>
        </w:tc>
        <w:tc>
          <w:tcPr>
            <w:tcW w:w="1276" w:type="dxa"/>
            <w:vAlign w:val="center"/>
          </w:tcPr>
          <w:p w:rsidR="00186ADA" w:rsidRDefault="00186ADA" w:rsidP="00624FF6">
            <w:pPr>
              <w:pStyle w:val="normal0"/>
              <w:ind w:left="-107" w:right="-107" w:firstLine="0"/>
              <w:jc w:val="center"/>
            </w:pPr>
            <w:r w:rsidRPr="00624FF6">
              <w:rPr>
                <w:b/>
                <w:sz w:val="22"/>
              </w:rPr>
              <w:t>Code</w:t>
            </w:r>
          </w:p>
        </w:tc>
        <w:tc>
          <w:tcPr>
            <w:tcW w:w="2976" w:type="dxa"/>
            <w:vAlign w:val="center"/>
          </w:tcPr>
          <w:p w:rsidR="00186ADA" w:rsidRDefault="00186ADA" w:rsidP="00624FF6">
            <w:pPr>
              <w:pStyle w:val="normal0"/>
              <w:ind w:firstLine="0"/>
              <w:jc w:val="center"/>
            </w:pPr>
            <w:r w:rsidRPr="00624FF6">
              <w:rPr>
                <w:b/>
                <w:sz w:val="22"/>
              </w:rPr>
              <w:t xml:space="preserve">Descriptors – indicators of learning </w:t>
            </w:r>
          </w:p>
        </w:tc>
        <w:tc>
          <w:tcPr>
            <w:tcW w:w="2552" w:type="dxa"/>
            <w:vAlign w:val="center"/>
          </w:tcPr>
          <w:p w:rsidR="00186ADA" w:rsidRDefault="00186ADA" w:rsidP="00624FF6">
            <w:pPr>
              <w:pStyle w:val="normal0"/>
              <w:ind w:firstLine="0"/>
              <w:jc w:val="center"/>
            </w:pPr>
            <w:r w:rsidRPr="00624FF6">
              <w:rPr>
                <w:b/>
                <w:sz w:val="22"/>
              </w:rPr>
              <w:t>Forms and methods of studying,  promoting development of competences</w:t>
            </w:r>
          </w:p>
        </w:tc>
      </w:tr>
      <w:tr w:rsidR="00186ADA" w:rsidTr="00624FF6">
        <w:tc>
          <w:tcPr>
            <w:tcW w:w="3544" w:type="dxa"/>
          </w:tcPr>
          <w:p w:rsidR="00186ADA" w:rsidRDefault="00186ADA" w:rsidP="00624FF6">
            <w:pPr>
              <w:pStyle w:val="normal0"/>
              <w:ind w:firstLine="0"/>
            </w:pPr>
            <w:r w:rsidRPr="00624FF6">
              <w:rPr>
                <w:sz w:val="22"/>
              </w:rPr>
              <w:t xml:space="preserve">Ability to adapt to new situations to re-evaluate experience and to analyze his/her own opportunities </w:t>
            </w:r>
          </w:p>
        </w:tc>
        <w:tc>
          <w:tcPr>
            <w:tcW w:w="1276" w:type="dxa"/>
            <w:vAlign w:val="center"/>
          </w:tcPr>
          <w:p w:rsidR="00186ADA" w:rsidRDefault="00186ADA" w:rsidP="00624FF6">
            <w:pPr>
              <w:pStyle w:val="normal0"/>
              <w:ind w:left="-107" w:right="-107" w:firstLine="0"/>
              <w:jc w:val="center"/>
            </w:pPr>
            <w:r w:rsidRPr="00624FF6">
              <w:rPr>
                <w:sz w:val="22"/>
              </w:rPr>
              <w:t>ОК-7</w:t>
            </w:r>
          </w:p>
        </w:tc>
        <w:tc>
          <w:tcPr>
            <w:tcW w:w="2976" w:type="dxa"/>
            <w:vAlign w:val="center"/>
          </w:tcPr>
          <w:p w:rsidR="00186ADA" w:rsidRDefault="00186ADA" w:rsidP="00624FF6">
            <w:pPr>
              <w:pStyle w:val="normal0"/>
              <w:ind w:firstLine="0"/>
            </w:pPr>
            <w:r w:rsidRPr="00624FF6">
              <w:rPr>
                <w:sz w:val="22"/>
              </w:rPr>
              <w:t>Demonstration of common skills to analyze practical cases</w:t>
            </w:r>
          </w:p>
        </w:tc>
        <w:tc>
          <w:tcPr>
            <w:tcW w:w="2552" w:type="dxa"/>
            <w:vAlign w:val="center"/>
          </w:tcPr>
          <w:p w:rsidR="00186ADA" w:rsidRDefault="00186ADA" w:rsidP="00624FF6">
            <w:pPr>
              <w:pStyle w:val="normal0"/>
              <w:ind w:firstLine="0"/>
              <w:jc w:val="center"/>
            </w:pPr>
            <w:r>
              <w:t>Tutorials</w:t>
            </w:r>
          </w:p>
        </w:tc>
      </w:tr>
      <w:tr w:rsidR="00186ADA" w:rsidTr="00624FF6">
        <w:tc>
          <w:tcPr>
            <w:tcW w:w="3544" w:type="dxa"/>
            <w:vAlign w:val="center"/>
          </w:tcPr>
          <w:p w:rsidR="00186ADA" w:rsidRDefault="00186ADA" w:rsidP="00624FF6">
            <w:pPr>
              <w:pStyle w:val="normal0"/>
              <w:ind w:firstLine="0"/>
            </w:pPr>
            <w:r w:rsidRPr="00624FF6">
              <w:rPr>
                <w:sz w:val="22"/>
              </w:rPr>
              <w:t xml:space="preserve">Ability to use profound knowledge of legal and ethical norms to evaluate the outcomes of professional activities, during development and realization of socially important projects  </w:t>
            </w:r>
          </w:p>
        </w:tc>
        <w:tc>
          <w:tcPr>
            <w:tcW w:w="1276" w:type="dxa"/>
            <w:vAlign w:val="center"/>
          </w:tcPr>
          <w:p w:rsidR="00186ADA" w:rsidRDefault="00186ADA" w:rsidP="00624FF6">
            <w:pPr>
              <w:pStyle w:val="normal0"/>
              <w:ind w:left="-107" w:right="-107" w:firstLine="0"/>
              <w:jc w:val="center"/>
            </w:pPr>
            <w:r w:rsidRPr="00624FF6">
              <w:rPr>
                <w:sz w:val="22"/>
              </w:rPr>
              <w:t>ОК-12</w:t>
            </w:r>
          </w:p>
        </w:tc>
        <w:tc>
          <w:tcPr>
            <w:tcW w:w="2976" w:type="dxa"/>
            <w:vAlign w:val="center"/>
          </w:tcPr>
          <w:p w:rsidR="00186ADA" w:rsidRDefault="00186ADA" w:rsidP="00624FF6">
            <w:pPr>
              <w:pStyle w:val="normal0"/>
              <w:ind w:firstLine="0"/>
            </w:pPr>
            <w:r w:rsidRPr="00624FF6">
              <w:rPr>
                <w:sz w:val="22"/>
              </w:rPr>
              <w:t xml:space="preserve">Use the knowledge of  main features of soft regulation for analyzing practical cases </w:t>
            </w:r>
          </w:p>
        </w:tc>
        <w:tc>
          <w:tcPr>
            <w:tcW w:w="2552" w:type="dxa"/>
            <w:vAlign w:val="center"/>
          </w:tcPr>
          <w:p w:rsidR="00186ADA" w:rsidRDefault="00186ADA" w:rsidP="00624FF6">
            <w:pPr>
              <w:pStyle w:val="normal0"/>
              <w:ind w:firstLine="0"/>
              <w:jc w:val="center"/>
            </w:pPr>
            <w:r w:rsidRPr="00624FF6">
              <w:rPr>
                <w:sz w:val="22"/>
              </w:rPr>
              <w:t>Tutorials</w:t>
            </w:r>
          </w:p>
        </w:tc>
      </w:tr>
      <w:tr w:rsidR="00186ADA" w:rsidTr="00624FF6">
        <w:tc>
          <w:tcPr>
            <w:tcW w:w="3544" w:type="dxa"/>
            <w:vAlign w:val="center"/>
          </w:tcPr>
          <w:p w:rsidR="00186ADA" w:rsidRDefault="00186ADA" w:rsidP="00624FF6">
            <w:pPr>
              <w:pStyle w:val="normal0"/>
              <w:ind w:firstLine="0"/>
            </w:pPr>
            <w:r w:rsidRPr="00624FF6">
              <w:rPr>
                <w:sz w:val="22"/>
              </w:rPr>
              <w:t xml:space="preserve">Ability to prepare, present and defend results of his/her work </w:t>
            </w:r>
          </w:p>
        </w:tc>
        <w:tc>
          <w:tcPr>
            <w:tcW w:w="1276" w:type="dxa"/>
            <w:vAlign w:val="center"/>
          </w:tcPr>
          <w:p w:rsidR="00186ADA" w:rsidRDefault="00186ADA" w:rsidP="00624FF6">
            <w:pPr>
              <w:pStyle w:val="normal0"/>
              <w:ind w:left="-107" w:right="-107" w:firstLine="0"/>
              <w:jc w:val="center"/>
            </w:pPr>
            <w:r w:rsidRPr="00624FF6">
              <w:rPr>
                <w:sz w:val="22"/>
              </w:rPr>
              <w:t>ОК-20</w:t>
            </w:r>
          </w:p>
        </w:tc>
        <w:tc>
          <w:tcPr>
            <w:tcW w:w="2976" w:type="dxa"/>
            <w:vAlign w:val="center"/>
          </w:tcPr>
          <w:p w:rsidR="00186ADA" w:rsidRDefault="00186ADA" w:rsidP="00624FF6">
            <w:pPr>
              <w:pStyle w:val="normal0"/>
              <w:ind w:firstLine="0"/>
            </w:pPr>
            <w:r w:rsidRPr="00624FF6">
              <w:rPr>
                <w:sz w:val="22"/>
              </w:rPr>
              <w:t xml:space="preserve">Implementation of acquired knowledge to prepare reports </w:t>
            </w:r>
          </w:p>
        </w:tc>
        <w:tc>
          <w:tcPr>
            <w:tcW w:w="2552" w:type="dxa"/>
            <w:vAlign w:val="center"/>
          </w:tcPr>
          <w:p w:rsidR="00186ADA" w:rsidRDefault="00186ADA" w:rsidP="00624FF6">
            <w:pPr>
              <w:pStyle w:val="normal0"/>
              <w:ind w:firstLine="0"/>
              <w:jc w:val="center"/>
            </w:pPr>
            <w:r w:rsidRPr="00624FF6">
              <w:rPr>
                <w:sz w:val="22"/>
              </w:rPr>
              <w:t xml:space="preserve">Home tasks, Tutorizls </w:t>
            </w:r>
          </w:p>
        </w:tc>
      </w:tr>
      <w:tr w:rsidR="00186ADA" w:rsidTr="00624FF6">
        <w:tc>
          <w:tcPr>
            <w:tcW w:w="3544" w:type="dxa"/>
          </w:tcPr>
          <w:p w:rsidR="00186ADA" w:rsidRDefault="00186ADA" w:rsidP="00624FF6">
            <w:pPr>
              <w:pStyle w:val="normal0"/>
              <w:ind w:firstLine="0"/>
            </w:pPr>
            <w:r w:rsidRPr="00624FF6">
              <w:rPr>
                <w:sz w:val="22"/>
              </w:rPr>
              <w:t>Ability and readiness to make researches, reviews, reports and articles professionally (in accordance with the profile of Master's program)</w:t>
            </w:r>
          </w:p>
        </w:tc>
        <w:tc>
          <w:tcPr>
            <w:tcW w:w="1276" w:type="dxa"/>
            <w:vAlign w:val="center"/>
          </w:tcPr>
          <w:p w:rsidR="00186ADA" w:rsidRDefault="00186ADA" w:rsidP="00624FF6">
            <w:pPr>
              <w:pStyle w:val="normal0"/>
              <w:ind w:left="-107" w:right="-107" w:firstLine="0"/>
              <w:jc w:val="center"/>
            </w:pPr>
            <w:r w:rsidRPr="00624FF6">
              <w:rPr>
                <w:sz w:val="22"/>
              </w:rPr>
              <w:t>ПК-3 ГОС</w:t>
            </w:r>
          </w:p>
        </w:tc>
        <w:tc>
          <w:tcPr>
            <w:tcW w:w="2976" w:type="dxa"/>
            <w:shd w:val="clear" w:color="auto" w:fill="FFFFFF"/>
            <w:vAlign w:val="center"/>
          </w:tcPr>
          <w:p w:rsidR="00186ADA" w:rsidRDefault="00186ADA" w:rsidP="00624FF6">
            <w:pPr>
              <w:pStyle w:val="normal0"/>
              <w:ind w:firstLine="0"/>
            </w:pPr>
            <w:r w:rsidRPr="00624FF6">
              <w:rPr>
                <w:sz w:val="22"/>
              </w:rPr>
              <w:t>Implementation of acquired knowledge to make an article</w:t>
            </w:r>
          </w:p>
        </w:tc>
        <w:tc>
          <w:tcPr>
            <w:tcW w:w="2552" w:type="dxa"/>
            <w:shd w:val="clear" w:color="auto" w:fill="FFFFFF"/>
            <w:vAlign w:val="center"/>
          </w:tcPr>
          <w:p w:rsidR="00186ADA" w:rsidRDefault="00186ADA" w:rsidP="00624FF6">
            <w:pPr>
              <w:pStyle w:val="normal0"/>
              <w:ind w:firstLine="0"/>
              <w:jc w:val="center"/>
            </w:pPr>
            <w:r>
              <w:t>Home task</w:t>
            </w:r>
          </w:p>
        </w:tc>
      </w:tr>
    </w:tbl>
    <w:p w:rsidR="00186ADA" w:rsidRDefault="00186ADA">
      <w:pPr>
        <w:pStyle w:val="normal0"/>
        <w:ind w:firstLine="0"/>
      </w:pPr>
    </w:p>
    <w:p w:rsidR="00186ADA" w:rsidRDefault="00186ADA">
      <w:pPr>
        <w:pStyle w:val="Heading1"/>
        <w:numPr>
          <w:ilvl w:val="0"/>
          <w:numId w:val="3"/>
        </w:numPr>
        <w:ind w:firstLine="0"/>
      </w:pPr>
      <w:r>
        <w:t>Place of the discipline in the structure of the educational program</w:t>
      </w:r>
    </w:p>
    <w:p w:rsidR="00186ADA" w:rsidRDefault="00186ADA">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rPr>
          <w:highlight w:val="white"/>
        </w:rPr>
        <w:t>This course is not an obligatory, but the one on the of the student’s choice on the second year of Master Program ‘Political Analysis and Public Policy’ for the specialization ‘Human Rights and Democratic Governance’. The course requires prior knowledge of basics of law, politology, sociology and economics, as well of in human rights.</w:t>
      </w:r>
    </w:p>
    <w:p w:rsidR="00186ADA" w:rsidRDefault="00186ADA">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p>
    <w:p w:rsidR="00186ADA" w:rsidRDefault="00186ADA">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rPr>
          <w:highlight w:val="white"/>
        </w:rPr>
        <w:t>Main theses of this course may be further implemented/developed during the following courses:</w:t>
      </w:r>
    </w:p>
    <w:p w:rsidR="00186ADA" w:rsidRDefault="00186ADA">
      <w:pPr>
        <w:pStyle w:val="normal0"/>
        <w:numPr>
          <w:ilvl w:val="0"/>
          <w:numId w:val="2"/>
        </w:numPr>
        <w:tabs>
          <w:tab w:val="left" w:pos="708"/>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179"/>
        <w:rPr>
          <w:highlight w:val="white"/>
        </w:rPr>
      </w:pPr>
      <w:r>
        <w:rPr>
          <w:highlight w:val="white"/>
        </w:rPr>
        <w:t>National and international mechanisms of human rights</w:t>
      </w:r>
    </w:p>
    <w:p w:rsidR="00186ADA" w:rsidRDefault="00186ADA">
      <w:pPr>
        <w:pStyle w:val="normal0"/>
        <w:numPr>
          <w:ilvl w:val="0"/>
          <w:numId w:val="2"/>
        </w:numPr>
        <w:tabs>
          <w:tab w:val="left" w:pos="708"/>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179"/>
        <w:rPr>
          <w:highlight w:val="white"/>
        </w:rPr>
      </w:pPr>
      <w:r>
        <w:rPr>
          <w:highlight w:val="white"/>
        </w:rPr>
        <w:t>Human Rights in non-Western cultures,</w:t>
      </w:r>
    </w:p>
    <w:p w:rsidR="00186ADA" w:rsidRDefault="00186ADA">
      <w:pPr>
        <w:pStyle w:val="normal0"/>
        <w:numPr>
          <w:ilvl w:val="0"/>
          <w:numId w:val="2"/>
        </w:numPr>
        <w:tabs>
          <w:tab w:val="left" w:pos="708"/>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179"/>
        <w:rPr>
          <w:highlight w:val="white"/>
        </w:rPr>
      </w:pPr>
      <w:r>
        <w:rPr>
          <w:highlight w:val="white"/>
        </w:rPr>
        <w:t>Migrants and ethnic minorities</w:t>
      </w:r>
    </w:p>
    <w:p w:rsidR="00186ADA" w:rsidRDefault="00186ADA">
      <w:pPr>
        <w:pStyle w:val="normal0"/>
        <w:numPr>
          <w:ilvl w:val="0"/>
          <w:numId w:val="2"/>
        </w:numPr>
        <w:tabs>
          <w:tab w:val="left" w:pos="708"/>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179"/>
        <w:rPr>
          <w:highlight w:val="white"/>
        </w:rPr>
      </w:pPr>
      <w:r>
        <w:t>Freedom of Expression and Hate Speech</w:t>
      </w:r>
      <w:r>
        <w:rPr>
          <w:highlight w:val="white"/>
        </w:rPr>
        <w:t xml:space="preserve"> </w:t>
      </w:r>
    </w:p>
    <w:p w:rsidR="00186ADA" w:rsidRDefault="00186ADA">
      <w:pPr>
        <w:pStyle w:val="normal0"/>
        <w:numPr>
          <w:ilvl w:val="0"/>
          <w:numId w:val="2"/>
        </w:numPr>
        <w:tabs>
          <w:tab w:val="left" w:pos="708"/>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179"/>
        <w:rPr>
          <w:highlight w:val="white"/>
        </w:rPr>
      </w:pPr>
      <w:r>
        <w:rPr>
          <w:highlight w:val="white"/>
        </w:rPr>
        <w:t>Freedom of assembly and mass actions</w:t>
      </w:r>
    </w:p>
    <w:p w:rsidR="00186ADA" w:rsidRDefault="00186ADA">
      <w:pPr>
        <w:pStyle w:val="normal0"/>
        <w:numPr>
          <w:ilvl w:val="0"/>
          <w:numId w:val="2"/>
        </w:numPr>
        <w:tabs>
          <w:tab w:val="left" w:pos="708"/>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179"/>
        <w:rPr>
          <w:highlight w:val="white"/>
        </w:rPr>
      </w:pPr>
      <w:r>
        <w:t>Academic-research seminar</w:t>
      </w:r>
      <w:r>
        <w:rPr>
          <w:highlight w:val="white"/>
        </w:rPr>
        <w:t xml:space="preserve"> “Human Rights Monitoring”.</w:t>
      </w:r>
    </w:p>
    <w:p w:rsidR="00186ADA" w:rsidRDefault="00186ADA">
      <w:pPr>
        <w:pStyle w:val="normal0"/>
        <w:ind w:left="1429" w:hanging="359"/>
      </w:pPr>
    </w:p>
    <w:p w:rsidR="00186ADA" w:rsidRDefault="00186ADA">
      <w:pPr>
        <w:pStyle w:val="Heading1"/>
        <w:numPr>
          <w:ilvl w:val="0"/>
          <w:numId w:val="3"/>
        </w:numPr>
        <w:ind w:firstLine="0"/>
      </w:pPr>
      <w:r>
        <w:t>Course contents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4677"/>
        <w:gridCol w:w="993"/>
        <w:gridCol w:w="850"/>
        <w:gridCol w:w="850"/>
        <w:gridCol w:w="993"/>
        <w:gridCol w:w="1276"/>
      </w:tblGrid>
      <w:tr w:rsidR="00186ADA" w:rsidTr="00624FF6">
        <w:tc>
          <w:tcPr>
            <w:tcW w:w="426" w:type="dxa"/>
            <w:vAlign w:val="center"/>
          </w:tcPr>
          <w:p w:rsidR="00186ADA" w:rsidRDefault="00186ADA" w:rsidP="00624FF6">
            <w:pPr>
              <w:pStyle w:val="normal0"/>
              <w:ind w:firstLine="0"/>
              <w:jc w:val="center"/>
            </w:pPr>
            <w:r w:rsidRPr="00624FF6">
              <w:rPr>
                <w:b/>
                <w:sz w:val="22"/>
              </w:rPr>
              <w:t>№</w:t>
            </w:r>
          </w:p>
        </w:tc>
        <w:tc>
          <w:tcPr>
            <w:tcW w:w="4677" w:type="dxa"/>
            <w:vAlign w:val="center"/>
          </w:tcPr>
          <w:p w:rsidR="00186ADA" w:rsidRDefault="00186ADA" w:rsidP="00624FF6">
            <w:pPr>
              <w:pStyle w:val="normal0"/>
              <w:ind w:firstLine="0"/>
              <w:jc w:val="center"/>
            </w:pPr>
            <w:r w:rsidRPr="00624FF6">
              <w:rPr>
                <w:b/>
                <w:sz w:val="22"/>
              </w:rPr>
              <w:t>Section</w:t>
            </w:r>
          </w:p>
        </w:tc>
        <w:tc>
          <w:tcPr>
            <w:tcW w:w="993" w:type="dxa"/>
            <w:vAlign w:val="center"/>
          </w:tcPr>
          <w:p w:rsidR="00186ADA" w:rsidRDefault="00186ADA" w:rsidP="00624FF6">
            <w:pPr>
              <w:pStyle w:val="normal0"/>
              <w:ind w:firstLine="0"/>
              <w:jc w:val="center"/>
            </w:pPr>
            <w:r w:rsidRPr="00624FF6">
              <w:rPr>
                <w:b/>
                <w:sz w:val="22"/>
              </w:rPr>
              <w:t xml:space="preserve">Hours </w:t>
            </w:r>
          </w:p>
        </w:tc>
        <w:tc>
          <w:tcPr>
            <w:tcW w:w="850" w:type="dxa"/>
            <w:vAlign w:val="center"/>
          </w:tcPr>
          <w:p w:rsidR="00186ADA" w:rsidRDefault="00186ADA" w:rsidP="00624FF6">
            <w:pPr>
              <w:pStyle w:val="normal0"/>
              <w:ind w:firstLine="0"/>
              <w:jc w:val="center"/>
            </w:pPr>
            <w:r w:rsidRPr="00624FF6">
              <w:rPr>
                <w:b/>
                <w:sz w:val="22"/>
              </w:rPr>
              <w:t>Working in class</w:t>
            </w:r>
          </w:p>
        </w:tc>
        <w:tc>
          <w:tcPr>
            <w:tcW w:w="850" w:type="dxa"/>
            <w:vAlign w:val="center"/>
          </w:tcPr>
          <w:p w:rsidR="00186ADA" w:rsidRDefault="00186ADA" w:rsidP="00624FF6">
            <w:pPr>
              <w:pStyle w:val="normal0"/>
              <w:ind w:firstLine="0"/>
              <w:jc w:val="center"/>
            </w:pPr>
            <w:r w:rsidRPr="00624FF6">
              <w:rPr>
                <w:b/>
                <w:sz w:val="22"/>
              </w:rPr>
              <w:t>Home work</w:t>
            </w:r>
          </w:p>
        </w:tc>
        <w:tc>
          <w:tcPr>
            <w:tcW w:w="993" w:type="dxa"/>
            <w:tcMar>
              <w:left w:w="115" w:type="dxa"/>
              <w:right w:w="115" w:type="dxa"/>
            </w:tcMar>
          </w:tcPr>
          <w:p w:rsidR="00186ADA" w:rsidRDefault="00186ADA" w:rsidP="00624FF6">
            <w:pPr>
              <w:pStyle w:val="normal0"/>
              <w:widowControl w:val="0"/>
              <w:spacing w:after="200" w:line="276" w:lineRule="auto"/>
              <w:ind w:firstLine="0"/>
            </w:pPr>
          </w:p>
        </w:tc>
        <w:tc>
          <w:tcPr>
            <w:tcW w:w="1276" w:type="dxa"/>
            <w:tcMar>
              <w:left w:w="115" w:type="dxa"/>
              <w:right w:w="115" w:type="dxa"/>
            </w:tcMar>
          </w:tcPr>
          <w:p w:rsidR="00186ADA" w:rsidRDefault="00186ADA" w:rsidP="00624FF6">
            <w:pPr>
              <w:pStyle w:val="normal0"/>
              <w:widowControl w:val="0"/>
              <w:spacing w:after="200" w:line="276" w:lineRule="auto"/>
              <w:ind w:firstLine="0"/>
            </w:pPr>
          </w:p>
        </w:tc>
      </w:tr>
      <w:tr w:rsidR="00186ADA" w:rsidTr="00624FF6">
        <w:tc>
          <w:tcPr>
            <w:tcW w:w="426" w:type="dxa"/>
          </w:tcPr>
          <w:p w:rsidR="00186ADA" w:rsidRDefault="00186ADA" w:rsidP="00624FF6">
            <w:pPr>
              <w:pStyle w:val="normal0"/>
              <w:ind w:firstLine="0"/>
              <w:jc w:val="center"/>
            </w:pPr>
          </w:p>
        </w:tc>
        <w:tc>
          <w:tcPr>
            <w:tcW w:w="4677" w:type="dxa"/>
          </w:tcPr>
          <w:p w:rsidR="00186ADA" w:rsidRDefault="00186ADA" w:rsidP="00624FF6">
            <w:pPr>
              <w:pStyle w:val="normal0"/>
              <w:ind w:firstLine="0"/>
            </w:pPr>
          </w:p>
        </w:tc>
        <w:tc>
          <w:tcPr>
            <w:tcW w:w="993" w:type="dxa"/>
          </w:tcPr>
          <w:p w:rsidR="00186ADA" w:rsidRDefault="00186ADA" w:rsidP="00624FF6">
            <w:pPr>
              <w:pStyle w:val="normal0"/>
              <w:ind w:firstLine="0"/>
            </w:pPr>
          </w:p>
        </w:tc>
        <w:tc>
          <w:tcPr>
            <w:tcW w:w="850" w:type="dxa"/>
            <w:vAlign w:val="center"/>
          </w:tcPr>
          <w:p w:rsidR="00186ADA" w:rsidRDefault="00186ADA" w:rsidP="00624FF6">
            <w:pPr>
              <w:pStyle w:val="normal0"/>
              <w:ind w:firstLine="0"/>
              <w:jc w:val="center"/>
            </w:pPr>
            <w:r w:rsidRPr="00624FF6">
              <w:rPr>
                <w:b/>
                <w:sz w:val="22"/>
              </w:rPr>
              <w:t>Lection</w:t>
            </w:r>
          </w:p>
        </w:tc>
        <w:tc>
          <w:tcPr>
            <w:tcW w:w="850" w:type="dxa"/>
            <w:vAlign w:val="center"/>
          </w:tcPr>
          <w:p w:rsidR="00186ADA" w:rsidRDefault="00186ADA" w:rsidP="00624FF6">
            <w:pPr>
              <w:pStyle w:val="normal0"/>
              <w:ind w:firstLine="0"/>
              <w:jc w:val="center"/>
            </w:pPr>
            <w:r w:rsidRPr="00624FF6">
              <w:rPr>
                <w:b/>
                <w:sz w:val="22"/>
              </w:rPr>
              <w:t>Tutorials</w:t>
            </w:r>
          </w:p>
        </w:tc>
        <w:tc>
          <w:tcPr>
            <w:tcW w:w="993" w:type="dxa"/>
            <w:vAlign w:val="center"/>
          </w:tcPr>
          <w:p w:rsidR="00186ADA" w:rsidRDefault="00186ADA" w:rsidP="00624FF6">
            <w:pPr>
              <w:pStyle w:val="normal0"/>
              <w:ind w:left="-106" w:right="-107" w:firstLine="0"/>
              <w:jc w:val="center"/>
            </w:pPr>
            <w:r w:rsidRPr="00624FF6">
              <w:rPr>
                <w:b/>
                <w:sz w:val="22"/>
              </w:rPr>
              <w:t>Practice</w:t>
            </w:r>
          </w:p>
        </w:tc>
        <w:tc>
          <w:tcPr>
            <w:tcW w:w="1276" w:type="dxa"/>
          </w:tcPr>
          <w:p w:rsidR="00186ADA" w:rsidRDefault="00186ADA" w:rsidP="00624FF6">
            <w:pPr>
              <w:pStyle w:val="normal0"/>
              <w:ind w:firstLine="0"/>
            </w:pPr>
          </w:p>
        </w:tc>
      </w:tr>
      <w:tr w:rsidR="00186ADA" w:rsidTr="00624FF6">
        <w:tc>
          <w:tcPr>
            <w:tcW w:w="426" w:type="dxa"/>
          </w:tcPr>
          <w:p w:rsidR="00186ADA" w:rsidRDefault="00186ADA" w:rsidP="00624FF6">
            <w:pPr>
              <w:pStyle w:val="normal0"/>
              <w:ind w:firstLine="0"/>
              <w:jc w:val="center"/>
            </w:pPr>
            <w:r>
              <w:t>1</w:t>
            </w:r>
          </w:p>
        </w:tc>
        <w:tc>
          <w:tcPr>
            <w:tcW w:w="4677" w:type="dxa"/>
          </w:tcPr>
          <w:p w:rsidR="00186ADA" w:rsidRDefault="00186ADA" w:rsidP="00624FF6">
            <w:pPr>
              <w:pStyle w:val="normal0"/>
              <w:ind w:firstLine="0"/>
            </w:pPr>
            <w:r>
              <w:t>Introduction</w:t>
            </w:r>
          </w:p>
        </w:tc>
        <w:tc>
          <w:tcPr>
            <w:tcW w:w="993" w:type="dxa"/>
          </w:tcPr>
          <w:p w:rsidR="00186ADA" w:rsidRDefault="00186ADA" w:rsidP="00624FF6">
            <w:pPr>
              <w:pStyle w:val="normal0"/>
              <w:ind w:firstLine="0"/>
              <w:jc w:val="center"/>
            </w:pPr>
            <w:r>
              <w:t>36</w:t>
            </w:r>
          </w:p>
        </w:tc>
        <w:tc>
          <w:tcPr>
            <w:tcW w:w="850" w:type="dxa"/>
          </w:tcPr>
          <w:p w:rsidR="00186ADA" w:rsidRDefault="00186ADA" w:rsidP="00624FF6">
            <w:pPr>
              <w:pStyle w:val="normal0"/>
              <w:ind w:firstLine="0"/>
              <w:jc w:val="center"/>
            </w:pPr>
            <w:r>
              <w:t>4</w:t>
            </w:r>
          </w:p>
        </w:tc>
        <w:tc>
          <w:tcPr>
            <w:tcW w:w="850" w:type="dxa"/>
          </w:tcPr>
          <w:p w:rsidR="00186ADA" w:rsidRDefault="00186ADA" w:rsidP="00624FF6">
            <w:pPr>
              <w:pStyle w:val="normal0"/>
              <w:ind w:firstLine="0"/>
              <w:jc w:val="center"/>
            </w:pPr>
            <w:r>
              <w:t>2</w:t>
            </w:r>
          </w:p>
        </w:tc>
        <w:tc>
          <w:tcPr>
            <w:tcW w:w="993" w:type="dxa"/>
          </w:tcPr>
          <w:p w:rsidR="00186ADA" w:rsidRDefault="00186ADA" w:rsidP="00624FF6">
            <w:pPr>
              <w:pStyle w:val="normal0"/>
              <w:ind w:firstLine="0"/>
              <w:jc w:val="center"/>
            </w:pPr>
            <w:r w:rsidRPr="00624FF6">
              <w:rPr>
                <w:sz w:val="22"/>
              </w:rPr>
              <w:t>-</w:t>
            </w:r>
          </w:p>
        </w:tc>
        <w:tc>
          <w:tcPr>
            <w:tcW w:w="1276" w:type="dxa"/>
          </w:tcPr>
          <w:p w:rsidR="00186ADA" w:rsidRDefault="00186ADA" w:rsidP="00624FF6">
            <w:pPr>
              <w:pStyle w:val="normal0"/>
              <w:ind w:firstLine="0"/>
              <w:jc w:val="center"/>
            </w:pPr>
            <w:r>
              <w:t>30</w:t>
            </w:r>
          </w:p>
        </w:tc>
      </w:tr>
      <w:tr w:rsidR="00186ADA" w:rsidTr="00624FF6">
        <w:tc>
          <w:tcPr>
            <w:tcW w:w="426" w:type="dxa"/>
          </w:tcPr>
          <w:p w:rsidR="00186ADA" w:rsidRDefault="00186ADA" w:rsidP="00624FF6">
            <w:pPr>
              <w:pStyle w:val="normal0"/>
              <w:ind w:firstLine="0"/>
              <w:jc w:val="center"/>
            </w:pPr>
            <w:r>
              <w:t>2</w:t>
            </w:r>
          </w:p>
        </w:tc>
        <w:tc>
          <w:tcPr>
            <w:tcW w:w="4677" w:type="dxa"/>
          </w:tcPr>
          <w:p w:rsidR="00186ADA" w:rsidRDefault="00186ADA" w:rsidP="00624FF6">
            <w:pPr>
              <w:pStyle w:val="normal0"/>
              <w:ind w:firstLine="0"/>
            </w:pPr>
            <w:r>
              <w:t>Soft law: origins of the term</w:t>
            </w:r>
          </w:p>
        </w:tc>
        <w:tc>
          <w:tcPr>
            <w:tcW w:w="993" w:type="dxa"/>
          </w:tcPr>
          <w:p w:rsidR="00186ADA" w:rsidRDefault="00186ADA" w:rsidP="00624FF6">
            <w:pPr>
              <w:pStyle w:val="normal0"/>
              <w:ind w:firstLine="0"/>
              <w:jc w:val="center"/>
            </w:pPr>
            <w:r>
              <w:t>25</w:t>
            </w:r>
          </w:p>
        </w:tc>
        <w:tc>
          <w:tcPr>
            <w:tcW w:w="850" w:type="dxa"/>
          </w:tcPr>
          <w:p w:rsidR="00186ADA" w:rsidRDefault="00186ADA" w:rsidP="00624FF6">
            <w:pPr>
              <w:pStyle w:val="normal0"/>
              <w:ind w:firstLine="0"/>
              <w:jc w:val="center"/>
            </w:pPr>
            <w:r>
              <w:t>8</w:t>
            </w:r>
          </w:p>
        </w:tc>
        <w:tc>
          <w:tcPr>
            <w:tcW w:w="850" w:type="dxa"/>
          </w:tcPr>
          <w:p w:rsidR="00186ADA" w:rsidRDefault="00186ADA" w:rsidP="00624FF6">
            <w:pPr>
              <w:pStyle w:val="normal0"/>
              <w:ind w:firstLine="0"/>
              <w:jc w:val="center"/>
            </w:pPr>
            <w:r>
              <w:t>2</w:t>
            </w:r>
          </w:p>
        </w:tc>
        <w:tc>
          <w:tcPr>
            <w:tcW w:w="993" w:type="dxa"/>
          </w:tcPr>
          <w:p w:rsidR="00186ADA" w:rsidRDefault="00186ADA" w:rsidP="00624FF6">
            <w:pPr>
              <w:pStyle w:val="normal0"/>
              <w:ind w:firstLine="0"/>
              <w:jc w:val="center"/>
            </w:pPr>
            <w:r w:rsidRPr="00624FF6">
              <w:rPr>
                <w:sz w:val="22"/>
              </w:rPr>
              <w:t>-</w:t>
            </w:r>
          </w:p>
        </w:tc>
        <w:tc>
          <w:tcPr>
            <w:tcW w:w="1276" w:type="dxa"/>
          </w:tcPr>
          <w:p w:rsidR="00186ADA" w:rsidRDefault="00186ADA" w:rsidP="00624FF6">
            <w:pPr>
              <w:pStyle w:val="normal0"/>
              <w:ind w:firstLine="0"/>
              <w:jc w:val="center"/>
            </w:pPr>
            <w:r>
              <w:t>15</w:t>
            </w:r>
          </w:p>
        </w:tc>
      </w:tr>
      <w:tr w:rsidR="00186ADA" w:rsidTr="00624FF6">
        <w:tc>
          <w:tcPr>
            <w:tcW w:w="426" w:type="dxa"/>
          </w:tcPr>
          <w:p w:rsidR="00186ADA" w:rsidRDefault="00186ADA" w:rsidP="00624FF6">
            <w:pPr>
              <w:pStyle w:val="normal0"/>
              <w:ind w:firstLine="0"/>
              <w:jc w:val="center"/>
            </w:pPr>
            <w:r>
              <w:t>3</w:t>
            </w:r>
          </w:p>
        </w:tc>
        <w:tc>
          <w:tcPr>
            <w:tcW w:w="4677" w:type="dxa"/>
          </w:tcPr>
          <w:p w:rsidR="00186ADA" w:rsidRDefault="00186ADA" w:rsidP="00624FF6">
            <w:pPr>
              <w:pStyle w:val="normal0"/>
              <w:ind w:firstLine="0"/>
            </w:pPr>
            <w:r>
              <w:t>Instruments and Methods of the  Soft law regulation</w:t>
            </w:r>
          </w:p>
        </w:tc>
        <w:tc>
          <w:tcPr>
            <w:tcW w:w="993" w:type="dxa"/>
          </w:tcPr>
          <w:p w:rsidR="00186ADA" w:rsidRDefault="00186ADA" w:rsidP="00624FF6">
            <w:pPr>
              <w:pStyle w:val="normal0"/>
              <w:ind w:firstLine="0"/>
              <w:jc w:val="center"/>
            </w:pPr>
            <w:r>
              <w:t>31</w:t>
            </w:r>
          </w:p>
        </w:tc>
        <w:tc>
          <w:tcPr>
            <w:tcW w:w="850" w:type="dxa"/>
          </w:tcPr>
          <w:p w:rsidR="00186ADA" w:rsidRDefault="00186ADA" w:rsidP="00624FF6">
            <w:pPr>
              <w:pStyle w:val="normal0"/>
              <w:ind w:firstLine="0"/>
              <w:jc w:val="center"/>
            </w:pPr>
            <w:r>
              <w:t>12</w:t>
            </w:r>
          </w:p>
        </w:tc>
        <w:tc>
          <w:tcPr>
            <w:tcW w:w="850" w:type="dxa"/>
          </w:tcPr>
          <w:p w:rsidR="00186ADA" w:rsidRDefault="00186ADA" w:rsidP="00624FF6">
            <w:pPr>
              <w:pStyle w:val="normal0"/>
              <w:ind w:firstLine="0"/>
              <w:jc w:val="center"/>
            </w:pPr>
            <w:r>
              <w:t>2</w:t>
            </w:r>
          </w:p>
        </w:tc>
        <w:tc>
          <w:tcPr>
            <w:tcW w:w="993" w:type="dxa"/>
          </w:tcPr>
          <w:p w:rsidR="00186ADA" w:rsidRDefault="00186ADA" w:rsidP="00624FF6">
            <w:pPr>
              <w:pStyle w:val="normal0"/>
              <w:ind w:firstLine="0"/>
              <w:jc w:val="center"/>
            </w:pPr>
            <w:r>
              <w:t>-</w:t>
            </w:r>
          </w:p>
        </w:tc>
        <w:tc>
          <w:tcPr>
            <w:tcW w:w="1276" w:type="dxa"/>
          </w:tcPr>
          <w:p w:rsidR="00186ADA" w:rsidRDefault="00186ADA" w:rsidP="00624FF6">
            <w:pPr>
              <w:pStyle w:val="normal0"/>
              <w:ind w:firstLine="0"/>
              <w:jc w:val="center"/>
            </w:pPr>
            <w:r>
              <w:t>17</w:t>
            </w:r>
          </w:p>
        </w:tc>
      </w:tr>
      <w:tr w:rsidR="00186ADA" w:rsidTr="00624FF6">
        <w:tc>
          <w:tcPr>
            <w:tcW w:w="426" w:type="dxa"/>
          </w:tcPr>
          <w:p w:rsidR="00186ADA" w:rsidRDefault="00186ADA" w:rsidP="00624FF6">
            <w:pPr>
              <w:pStyle w:val="normal0"/>
              <w:ind w:firstLine="0"/>
              <w:jc w:val="center"/>
            </w:pPr>
            <w:r>
              <w:t>4</w:t>
            </w:r>
          </w:p>
        </w:tc>
        <w:tc>
          <w:tcPr>
            <w:tcW w:w="4677" w:type="dxa"/>
          </w:tcPr>
          <w:p w:rsidR="00186ADA" w:rsidRDefault="00186ADA" w:rsidP="00624FF6">
            <w:pPr>
              <w:pStyle w:val="normal0"/>
              <w:ind w:firstLine="0"/>
            </w:pPr>
            <w:r>
              <w:t>Using soft law in regulatory governance (case study)</w:t>
            </w:r>
          </w:p>
        </w:tc>
        <w:tc>
          <w:tcPr>
            <w:tcW w:w="993" w:type="dxa"/>
          </w:tcPr>
          <w:p w:rsidR="00186ADA" w:rsidRDefault="00186ADA" w:rsidP="00624FF6">
            <w:pPr>
              <w:pStyle w:val="normal0"/>
              <w:ind w:firstLine="0"/>
              <w:jc w:val="center"/>
            </w:pPr>
            <w:r>
              <w:t>52</w:t>
            </w:r>
          </w:p>
        </w:tc>
        <w:tc>
          <w:tcPr>
            <w:tcW w:w="850" w:type="dxa"/>
          </w:tcPr>
          <w:p w:rsidR="00186ADA" w:rsidRDefault="00186ADA" w:rsidP="00624FF6">
            <w:pPr>
              <w:pStyle w:val="normal0"/>
              <w:ind w:firstLine="0"/>
              <w:jc w:val="center"/>
            </w:pPr>
            <w:r>
              <w:t>8</w:t>
            </w:r>
          </w:p>
        </w:tc>
        <w:tc>
          <w:tcPr>
            <w:tcW w:w="850" w:type="dxa"/>
          </w:tcPr>
          <w:p w:rsidR="00186ADA" w:rsidRDefault="00186ADA" w:rsidP="00624FF6">
            <w:pPr>
              <w:pStyle w:val="normal0"/>
              <w:ind w:firstLine="0"/>
              <w:jc w:val="center"/>
            </w:pPr>
            <w:r>
              <w:t>4</w:t>
            </w:r>
          </w:p>
        </w:tc>
        <w:tc>
          <w:tcPr>
            <w:tcW w:w="993" w:type="dxa"/>
          </w:tcPr>
          <w:p w:rsidR="00186ADA" w:rsidRDefault="00186ADA" w:rsidP="00624FF6">
            <w:pPr>
              <w:pStyle w:val="normal0"/>
              <w:ind w:firstLine="0"/>
              <w:jc w:val="center"/>
            </w:pPr>
            <w:r>
              <w:t>-</w:t>
            </w:r>
          </w:p>
        </w:tc>
        <w:tc>
          <w:tcPr>
            <w:tcW w:w="1276" w:type="dxa"/>
          </w:tcPr>
          <w:p w:rsidR="00186ADA" w:rsidRDefault="00186ADA" w:rsidP="00624FF6">
            <w:pPr>
              <w:pStyle w:val="normal0"/>
              <w:ind w:firstLine="0"/>
              <w:jc w:val="center"/>
            </w:pPr>
            <w:r>
              <w:t>40</w:t>
            </w:r>
          </w:p>
        </w:tc>
      </w:tr>
      <w:tr w:rsidR="00186ADA" w:rsidTr="00624FF6">
        <w:tc>
          <w:tcPr>
            <w:tcW w:w="426" w:type="dxa"/>
          </w:tcPr>
          <w:p w:rsidR="00186ADA" w:rsidRDefault="00186ADA" w:rsidP="00624FF6">
            <w:pPr>
              <w:pStyle w:val="normal0"/>
              <w:ind w:firstLine="0"/>
              <w:jc w:val="center"/>
            </w:pPr>
          </w:p>
        </w:tc>
        <w:tc>
          <w:tcPr>
            <w:tcW w:w="4677" w:type="dxa"/>
          </w:tcPr>
          <w:p w:rsidR="00186ADA" w:rsidRDefault="00186ADA" w:rsidP="00624FF6">
            <w:pPr>
              <w:pStyle w:val="normal0"/>
              <w:ind w:firstLine="0"/>
            </w:pPr>
            <w:r>
              <w:t>Total</w:t>
            </w:r>
          </w:p>
        </w:tc>
        <w:tc>
          <w:tcPr>
            <w:tcW w:w="993" w:type="dxa"/>
          </w:tcPr>
          <w:p w:rsidR="00186ADA" w:rsidRDefault="00186ADA" w:rsidP="00624FF6">
            <w:pPr>
              <w:pStyle w:val="normal0"/>
              <w:ind w:firstLine="0"/>
              <w:jc w:val="center"/>
            </w:pPr>
            <w:r>
              <w:t>144</w:t>
            </w:r>
          </w:p>
        </w:tc>
        <w:tc>
          <w:tcPr>
            <w:tcW w:w="850" w:type="dxa"/>
          </w:tcPr>
          <w:p w:rsidR="00186ADA" w:rsidRDefault="00186ADA" w:rsidP="00624FF6">
            <w:pPr>
              <w:pStyle w:val="normal0"/>
              <w:ind w:firstLine="0"/>
              <w:jc w:val="center"/>
            </w:pPr>
            <w:r>
              <w:t>32</w:t>
            </w:r>
          </w:p>
        </w:tc>
        <w:tc>
          <w:tcPr>
            <w:tcW w:w="850" w:type="dxa"/>
          </w:tcPr>
          <w:p w:rsidR="00186ADA" w:rsidRDefault="00186ADA" w:rsidP="00624FF6">
            <w:pPr>
              <w:pStyle w:val="normal0"/>
              <w:ind w:firstLine="0"/>
              <w:jc w:val="center"/>
            </w:pPr>
            <w:r>
              <w:t>10</w:t>
            </w:r>
          </w:p>
        </w:tc>
        <w:tc>
          <w:tcPr>
            <w:tcW w:w="993" w:type="dxa"/>
          </w:tcPr>
          <w:p w:rsidR="00186ADA" w:rsidRDefault="00186ADA" w:rsidP="00624FF6">
            <w:pPr>
              <w:pStyle w:val="normal0"/>
              <w:ind w:firstLine="0"/>
              <w:jc w:val="center"/>
            </w:pPr>
            <w:r>
              <w:t>-</w:t>
            </w:r>
          </w:p>
        </w:tc>
        <w:tc>
          <w:tcPr>
            <w:tcW w:w="1276" w:type="dxa"/>
          </w:tcPr>
          <w:p w:rsidR="00186ADA" w:rsidRDefault="00186ADA" w:rsidP="00624FF6">
            <w:pPr>
              <w:pStyle w:val="normal0"/>
              <w:ind w:firstLine="0"/>
              <w:jc w:val="center"/>
            </w:pPr>
            <w:r>
              <w:t>102</w:t>
            </w:r>
          </w:p>
        </w:tc>
      </w:tr>
    </w:tbl>
    <w:p w:rsidR="00186ADA" w:rsidRDefault="00186ADA">
      <w:pPr>
        <w:pStyle w:val="normal0"/>
      </w:pPr>
      <w:r>
        <w:br w:type="page"/>
      </w:r>
    </w:p>
    <w:p w:rsidR="00186ADA" w:rsidRDefault="00186ADA">
      <w:pPr>
        <w:pStyle w:val="normal0"/>
      </w:pPr>
    </w:p>
    <w:p w:rsidR="00186ADA" w:rsidRDefault="00186ADA">
      <w:pPr>
        <w:pStyle w:val="Heading1"/>
        <w:numPr>
          <w:ilvl w:val="0"/>
          <w:numId w:val="3"/>
        </w:numPr>
        <w:ind w:firstLine="0"/>
      </w:pPr>
      <w:r>
        <w:t>System of students’ grading</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1985"/>
        <w:gridCol w:w="708"/>
        <w:gridCol w:w="567"/>
        <w:gridCol w:w="567"/>
        <w:gridCol w:w="567"/>
        <w:gridCol w:w="4678"/>
      </w:tblGrid>
      <w:tr w:rsidR="00186ADA" w:rsidTr="00624FF6">
        <w:tc>
          <w:tcPr>
            <w:tcW w:w="1384" w:type="dxa"/>
          </w:tcPr>
          <w:p w:rsidR="00186ADA" w:rsidRDefault="00186ADA" w:rsidP="00624FF6">
            <w:pPr>
              <w:pStyle w:val="normal0"/>
              <w:ind w:firstLine="0"/>
              <w:jc w:val="center"/>
            </w:pPr>
            <w:r w:rsidRPr="00624FF6">
              <w:rPr>
                <w:b/>
              </w:rPr>
              <w:t>Type of grading</w:t>
            </w:r>
          </w:p>
        </w:tc>
        <w:tc>
          <w:tcPr>
            <w:tcW w:w="1985" w:type="dxa"/>
            <w:vAlign w:val="center"/>
          </w:tcPr>
          <w:p w:rsidR="00186ADA" w:rsidRDefault="00186ADA" w:rsidP="00624FF6">
            <w:pPr>
              <w:pStyle w:val="normal0"/>
              <w:ind w:firstLine="0"/>
              <w:jc w:val="center"/>
            </w:pPr>
            <w:r w:rsidRPr="00624FF6">
              <w:rPr>
                <w:b/>
              </w:rPr>
              <w:t>Type of work</w:t>
            </w:r>
          </w:p>
        </w:tc>
        <w:tc>
          <w:tcPr>
            <w:tcW w:w="708" w:type="dxa"/>
            <w:vAlign w:val="center"/>
          </w:tcPr>
          <w:p w:rsidR="00186ADA" w:rsidRDefault="00186ADA" w:rsidP="00624FF6">
            <w:pPr>
              <w:pStyle w:val="normal0"/>
              <w:ind w:firstLine="0"/>
              <w:jc w:val="center"/>
            </w:pPr>
            <w:r w:rsidRPr="00624FF6">
              <w:rPr>
                <w:b/>
              </w:rPr>
              <w:t>1 year</w:t>
            </w:r>
          </w:p>
        </w:tc>
        <w:tc>
          <w:tcPr>
            <w:tcW w:w="567" w:type="dxa"/>
            <w:vAlign w:val="center"/>
          </w:tcPr>
          <w:p w:rsidR="00186ADA" w:rsidRDefault="00186ADA" w:rsidP="00624FF6">
            <w:pPr>
              <w:pStyle w:val="normal0"/>
              <w:ind w:firstLine="0"/>
              <w:jc w:val="center"/>
            </w:pPr>
            <w:r w:rsidRPr="00624FF6">
              <w:rPr>
                <w:b/>
              </w:rPr>
              <w:t>Parameters</w:t>
            </w:r>
          </w:p>
        </w:tc>
        <w:tc>
          <w:tcPr>
            <w:tcW w:w="567" w:type="dxa"/>
            <w:tcMar>
              <w:left w:w="115" w:type="dxa"/>
              <w:right w:w="115" w:type="dxa"/>
            </w:tcMar>
          </w:tcPr>
          <w:p w:rsidR="00186ADA" w:rsidRDefault="00186ADA" w:rsidP="00624FF6">
            <w:pPr>
              <w:pStyle w:val="normal0"/>
              <w:widowControl w:val="0"/>
              <w:spacing w:after="200" w:line="276" w:lineRule="auto"/>
              <w:ind w:firstLine="0"/>
            </w:pPr>
          </w:p>
        </w:tc>
        <w:tc>
          <w:tcPr>
            <w:tcW w:w="567" w:type="dxa"/>
            <w:tcMar>
              <w:left w:w="115" w:type="dxa"/>
              <w:right w:w="115" w:type="dxa"/>
            </w:tcMar>
          </w:tcPr>
          <w:p w:rsidR="00186ADA" w:rsidRDefault="00186ADA" w:rsidP="00624FF6">
            <w:pPr>
              <w:pStyle w:val="normal0"/>
              <w:widowControl w:val="0"/>
              <w:spacing w:after="200" w:line="276" w:lineRule="auto"/>
              <w:ind w:firstLine="0"/>
            </w:pPr>
          </w:p>
        </w:tc>
        <w:tc>
          <w:tcPr>
            <w:tcW w:w="4678" w:type="dxa"/>
            <w:tcMar>
              <w:left w:w="115" w:type="dxa"/>
              <w:right w:w="115" w:type="dxa"/>
            </w:tcMar>
          </w:tcPr>
          <w:p w:rsidR="00186ADA" w:rsidRDefault="00186ADA" w:rsidP="00624FF6">
            <w:pPr>
              <w:pStyle w:val="normal0"/>
              <w:widowControl w:val="0"/>
              <w:spacing w:after="200" w:line="276" w:lineRule="auto"/>
              <w:ind w:firstLine="0"/>
            </w:pPr>
          </w:p>
        </w:tc>
      </w:tr>
      <w:tr w:rsidR="00186ADA" w:rsidTr="00624FF6">
        <w:tc>
          <w:tcPr>
            <w:tcW w:w="1384" w:type="dxa"/>
          </w:tcPr>
          <w:p w:rsidR="00186ADA" w:rsidRDefault="00186ADA" w:rsidP="00624FF6">
            <w:pPr>
              <w:pStyle w:val="normal0"/>
              <w:ind w:firstLine="0"/>
            </w:pPr>
          </w:p>
        </w:tc>
        <w:tc>
          <w:tcPr>
            <w:tcW w:w="1985" w:type="dxa"/>
          </w:tcPr>
          <w:p w:rsidR="00186ADA" w:rsidRDefault="00186ADA" w:rsidP="00624FF6">
            <w:pPr>
              <w:pStyle w:val="normal0"/>
              <w:ind w:firstLine="0"/>
            </w:pPr>
          </w:p>
        </w:tc>
        <w:tc>
          <w:tcPr>
            <w:tcW w:w="708" w:type="dxa"/>
          </w:tcPr>
          <w:p w:rsidR="00186ADA" w:rsidRDefault="00186ADA" w:rsidP="00624FF6">
            <w:pPr>
              <w:pStyle w:val="normal0"/>
              <w:ind w:firstLine="0"/>
              <w:jc w:val="center"/>
            </w:pPr>
            <w:r w:rsidRPr="00624FF6">
              <w:rPr>
                <w:b/>
              </w:rPr>
              <w:t>1</w:t>
            </w:r>
          </w:p>
        </w:tc>
        <w:tc>
          <w:tcPr>
            <w:tcW w:w="567" w:type="dxa"/>
          </w:tcPr>
          <w:p w:rsidR="00186ADA" w:rsidRDefault="00186ADA" w:rsidP="00624FF6">
            <w:pPr>
              <w:pStyle w:val="normal0"/>
              <w:ind w:firstLine="0"/>
              <w:jc w:val="center"/>
            </w:pPr>
            <w:r w:rsidRPr="00624FF6">
              <w:rPr>
                <w:b/>
              </w:rPr>
              <w:t>2</w:t>
            </w:r>
          </w:p>
        </w:tc>
        <w:tc>
          <w:tcPr>
            <w:tcW w:w="567" w:type="dxa"/>
          </w:tcPr>
          <w:p w:rsidR="00186ADA" w:rsidRDefault="00186ADA" w:rsidP="00624FF6">
            <w:pPr>
              <w:pStyle w:val="normal0"/>
              <w:ind w:firstLine="0"/>
              <w:jc w:val="center"/>
            </w:pPr>
            <w:r w:rsidRPr="00624FF6">
              <w:rPr>
                <w:b/>
              </w:rPr>
              <w:t>3</w:t>
            </w:r>
          </w:p>
        </w:tc>
        <w:tc>
          <w:tcPr>
            <w:tcW w:w="567" w:type="dxa"/>
          </w:tcPr>
          <w:p w:rsidR="00186ADA" w:rsidRDefault="00186ADA" w:rsidP="00624FF6">
            <w:pPr>
              <w:pStyle w:val="normal0"/>
              <w:ind w:firstLine="0"/>
              <w:jc w:val="center"/>
            </w:pPr>
            <w:r w:rsidRPr="00624FF6">
              <w:rPr>
                <w:b/>
              </w:rPr>
              <w:t>4</w:t>
            </w:r>
          </w:p>
        </w:tc>
        <w:tc>
          <w:tcPr>
            <w:tcW w:w="4678" w:type="dxa"/>
          </w:tcPr>
          <w:p w:rsidR="00186ADA" w:rsidRDefault="00186ADA" w:rsidP="00624FF6">
            <w:pPr>
              <w:pStyle w:val="normal0"/>
              <w:ind w:firstLine="0"/>
            </w:pPr>
          </w:p>
        </w:tc>
      </w:tr>
      <w:tr w:rsidR="00186ADA" w:rsidTr="00624FF6">
        <w:tc>
          <w:tcPr>
            <w:tcW w:w="1384" w:type="dxa"/>
          </w:tcPr>
          <w:p w:rsidR="00186ADA" w:rsidRDefault="00186ADA" w:rsidP="00624FF6">
            <w:pPr>
              <w:pStyle w:val="normal0"/>
              <w:ind w:firstLine="0"/>
            </w:pPr>
            <w:r>
              <w:t>Current</w:t>
            </w:r>
          </w:p>
        </w:tc>
        <w:tc>
          <w:tcPr>
            <w:tcW w:w="1985" w:type="dxa"/>
          </w:tcPr>
          <w:p w:rsidR="00186ADA" w:rsidRDefault="00186ADA" w:rsidP="00624FF6">
            <w:pPr>
              <w:pStyle w:val="normal0"/>
              <w:ind w:firstLine="0"/>
            </w:pPr>
            <w:r>
              <w:t xml:space="preserve">Home task </w:t>
            </w:r>
          </w:p>
        </w:tc>
        <w:tc>
          <w:tcPr>
            <w:tcW w:w="708" w:type="dxa"/>
          </w:tcPr>
          <w:p w:rsidR="00186ADA" w:rsidRDefault="00186ADA" w:rsidP="00624FF6">
            <w:pPr>
              <w:pStyle w:val="normal0"/>
              <w:ind w:firstLine="0"/>
              <w:jc w:val="center"/>
            </w:pPr>
            <w:r>
              <w:t>8</w:t>
            </w:r>
          </w:p>
        </w:tc>
        <w:tc>
          <w:tcPr>
            <w:tcW w:w="567" w:type="dxa"/>
          </w:tcPr>
          <w:p w:rsidR="00186ADA" w:rsidRDefault="00186ADA" w:rsidP="00624FF6">
            <w:pPr>
              <w:pStyle w:val="normal0"/>
              <w:ind w:firstLine="0"/>
              <w:jc w:val="center"/>
            </w:pPr>
          </w:p>
        </w:tc>
        <w:tc>
          <w:tcPr>
            <w:tcW w:w="567" w:type="dxa"/>
          </w:tcPr>
          <w:p w:rsidR="00186ADA" w:rsidRDefault="00186ADA" w:rsidP="00624FF6">
            <w:pPr>
              <w:pStyle w:val="normal0"/>
              <w:ind w:firstLine="0"/>
              <w:jc w:val="center"/>
            </w:pPr>
          </w:p>
        </w:tc>
        <w:tc>
          <w:tcPr>
            <w:tcW w:w="567" w:type="dxa"/>
          </w:tcPr>
          <w:p w:rsidR="00186ADA" w:rsidRDefault="00186ADA" w:rsidP="00624FF6">
            <w:pPr>
              <w:pStyle w:val="normal0"/>
              <w:ind w:firstLine="0"/>
              <w:jc w:val="center"/>
            </w:pPr>
          </w:p>
        </w:tc>
        <w:tc>
          <w:tcPr>
            <w:tcW w:w="4678" w:type="dxa"/>
          </w:tcPr>
          <w:p w:rsidR="00186ADA" w:rsidRDefault="00186ADA" w:rsidP="00624FF6">
            <w:pPr>
              <w:pStyle w:val="normal0"/>
              <w:ind w:firstLine="0"/>
            </w:pPr>
            <w:r>
              <w:t>Presentation in Power Point (15-20 slides) on one of the topics given in p.8.1 of the present program. The work is publicly presented during the tutorial</w:t>
            </w:r>
          </w:p>
        </w:tc>
      </w:tr>
      <w:tr w:rsidR="00186ADA" w:rsidTr="00624FF6">
        <w:tc>
          <w:tcPr>
            <w:tcW w:w="1384" w:type="dxa"/>
          </w:tcPr>
          <w:p w:rsidR="00186ADA" w:rsidRDefault="00186ADA" w:rsidP="00624FF6">
            <w:pPr>
              <w:pStyle w:val="normal0"/>
              <w:ind w:firstLine="0"/>
            </w:pPr>
            <w:r>
              <w:t>Final</w:t>
            </w:r>
          </w:p>
        </w:tc>
        <w:tc>
          <w:tcPr>
            <w:tcW w:w="1985" w:type="dxa"/>
          </w:tcPr>
          <w:p w:rsidR="00186ADA" w:rsidRDefault="00186ADA" w:rsidP="00624FF6">
            <w:pPr>
              <w:pStyle w:val="normal0"/>
              <w:ind w:firstLine="0"/>
            </w:pPr>
            <w:r>
              <w:t>Examination</w:t>
            </w:r>
          </w:p>
        </w:tc>
        <w:tc>
          <w:tcPr>
            <w:tcW w:w="708" w:type="dxa"/>
          </w:tcPr>
          <w:p w:rsidR="00186ADA" w:rsidRDefault="00186ADA" w:rsidP="00624FF6">
            <w:pPr>
              <w:pStyle w:val="normal0"/>
              <w:ind w:firstLine="0"/>
              <w:jc w:val="center"/>
            </w:pPr>
          </w:p>
        </w:tc>
        <w:tc>
          <w:tcPr>
            <w:tcW w:w="567" w:type="dxa"/>
          </w:tcPr>
          <w:p w:rsidR="00186ADA" w:rsidRDefault="00186ADA" w:rsidP="00624FF6">
            <w:pPr>
              <w:pStyle w:val="normal0"/>
              <w:ind w:firstLine="0"/>
              <w:jc w:val="center"/>
            </w:pPr>
            <w:r>
              <w:t>8</w:t>
            </w:r>
          </w:p>
        </w:tc>
        <w:tc>
          <w:tcPr>
            <w:tcW w:w="567" w:type="dxa"/>
          </w:tcPr>
          <w:p w:rsidR="00186ADA" w:rsidRDefault="00186ADA" w:rsidP="00624FF6">
            <w:pPr>
              <w:pStyle w:val="normal0"/>
              <w:ind w:firstLine="0"/>
              <w:jc w:val="center"/>
            </w:pPr>
          </w:p>
        </w:tc>
        <w:tc>
          <w:tcPr>
            <w:tcW w:w="567" w:type="dxa"/>
          </w:tcPr>
          <w:p w:rsidR="00186ADA" w:rsidRDefault="00186ADA" w:rsidP="00624FF6">
            <w:pPr>
              <w:pStyle w:val="normal0"/>
              <w:ind w:firstLine="0"/>
              <w:jc w:val="center"/>
            </w:pPr>
          </w:p>
        </w:tc>
        <w:tc>
          <w:tcPr>
            <w:tcW w:w="4678" w:type="dxa"/>
          </w:tcPr>
          <w:p w:rsidR="00186ADA" w:rsidRDefault="00186ADA" w:rsidP="00624FF6">
            <w:pPr>
              <w:pStyle w:val="normal0"/>
              <w:ind w:firstLine="0"/>
            </w:pPr>
            <w:r>
              <w:t>Verbal exam on the questions given in p.8.2</w:t>
            </w:r>
          </w:p>
        </w:tc>
      </w:tr>
    </w:tbl>
    <w:p w:rsidR="00186ADA" w:rsidRDefault="00186ADA">
      <w:pPr>
        <w:pStyle w:val="normal0"/>
      </w:pPr>
    </w:p>
    <w:p w:rsidR="00186ADA" w:rsidRDefault="00186ADA">
      <w:pPr>
        <w:pStyle w:val="Heading2"/>
        <w:numPr>
          <w:ilvl w:val="1"/>
          <w:numId w:val="3"/>
        </w:numPr>
        <w:ind w:firstLine="0"/>
      </w:pPr>
      <w:r>
        <w:t>Grading criteria – evaluation of knowledge and skills</w:t>
      </w:r>
    </w:p>
    <w:p w:rsidR="00186ADA" w:rsidRDefault="00186ADA">
      <w:pPr>
        <w:pStyle w:val="normal0"/>
      </w:pPr>
      <w:r>
        <w:t>In his/her home task student should demonstrate:</w:t>
      </w:r>
    </w:p>
    <w:p w:rsidR="00186ADA" w:rsidRDefault="00186ADA">
      <w:pPr>
        <w:pStyle w:val="normal0"/>
        <w:numPr>
          <w:ilvl w:val="0"/>
          <w:numId w:val="4"/>
        </w:numPr>
        <w:ind w:hanging="359"/>
      </w:pPr>
      <w:r>
        <w:t xml:space="preserve">ability to analyze cases where soft law was used; </w:t>
      </w:r>
    </w:p>
    <w:p w:rsidR="00186ADA" w:rsidRDefault="00186ADA">
      <w:pPr>
        <w:pStyle w:val="normal0"/>
        <w:numPr>
          <w:ilvl w:val="0"/>
          <w:numId w:val="4"/>
        </w:numPr>
        <w:ind w:hanging="359"/>
      </w:pPr>
      <w:r>
        <w:t>skills of work with data-search systems if normative documents and work with legal literature.</w:t>
      </w:r>
    </w:p>
    <w:p w:rsidR="00186ADA" w:rsidRDefault="00186ADA">
      <w:pPr>
        <w:pStyle w:val="normal0"/>
      </w:pPr>
      <w:r>
        <w:t xml:space="preserve">Students’ work is evaluated by 10-point grading system </w:t>
      </w:r>
    </w:p>
    <w:p w:rsidR="00186ADA" w:rsidRDefault="00186ADA">
      <w:pPr>
        <w:pStyle w:val="Heading1"/>
        <w:numPr>
          <w:ilvl w:val="0"/>
          <w:numId w:val="3"/>
        </w:numPr>
        <w:ind w:firstLine="0"/>
      </w:pPr>
      <w:r>
        <w:t>CONTENT OF COURSE</w:t>
      </w:r>
    </w:p>
    <w:p w:rsidR="00186ADA" w:rsidRDefault="00186ADA">
      <w:pPr>
        <w:pStyle w:val="Heading2"/>
        <w:numPr>
          <w:ilvl w:val="1"/>
          <w:numId w:val="3"/>
        </w:numPr>
        <w:ind w:firstLine="0"/>
      </w:pPr>
      <w:r>
        <w:t xml:space="preserve">Section 1. INTRODUCTION </w:t>
      </w:r>
    </w:p>
    <w:p w:rsidR="00186ADA" w:rsidRDefault="00186ADA">
      <w:pPr>
        <w:pStyle w:val="normal0"/>
      </w:pPr>
      <w:r>
        <w:rPr>
          <w:b/>
        </w:rPr>
        <w:t xml:space="preserve">Lecture </w:t>
      </w:r>
      <w:r>
        <w:t>-4 hours on the following topics:</w:t>
      </w:r>
    </w:p>
    <w:p w:rsidR="00186ADA" w:rsidRDefault="00186ADA">
      <w:pPr>
        <w:pStyle w:val="normal0"/>
      </w:pPr>
      <w:r>
        <w:t xml:space="preserve">Short course introduction, problems of the discipline. Issuing texts for short annotations and glossaries preparation by students. Methodology of studying literature and glossaries elaboration. Distribution of topics for reports. Methodology of reporting and preparation for seminars. Methodology of students’ activity evaluation and final grading. </w:t>
      </w:r>
    </w:p>
    <w:p w:rsidR="00186ADA" w:rsidRDefault="00186ADA">
      <w:pPr>
        <w:pStyle w:val="normal0"/>
      </w:pPr>
      <w:r>
        <w:rPr>
          <w:b/>
        </w:rPr>
        <w:t>Tutorials</w:t>
      </w:r>
      <w:r>
        <w:t xml:space="preserve">  2 hours on the topic studied during the lectures. </w:t>
      </w:r>
    </w:p>
    <w:p w:rsidR="00186ADA" w:rsidRDefault="00186ADA">
      <w:pPr>
        <w:pStyle w:val="normal0"/>
      </w:pPr>
      <w:r>
        <w:rPr>
          <w:b/>
        </w:rPr>
        <w:t>Home work</w:t>
      </w:r>
      <w:r>
        <w:t xml:space="preserve"> – to study literature and other materials from the Reader</w:t>
      </w:r>
    </w:p>
    <w:p w:rsidR="00186ADA" w:rsidRDefault="00186ADA">
      <w:pPr>
        <w:pStyle w:val="normal0"/>
      </w:pPr>
      <w:r>
        <w:rPr>
          <w:b/>
        </w:rPr>
        <w:t>Literature</w:t>
      </w:r>
      <w:r>
        <w:t xml:space="preserve">: </w:t>
      </w:r>
    </w:p>
    <w:p w:rsidR="00186ADA" w:rsidRDefault="00186ADA">
      <w:pPr>
        <w:pStyle w:val="Heading2"/>
        <w:numPr>
          <w:ilvl w:val="1"/>
          <w:numId w:val="3"/>
        </w:numPr>
        <w:ind w:firstLine="0"/>
      </w:pPr>
      <w:r>
        <w:t>Section 2. SOFT LAW: ORIGINS OF THE TERM</w:t>
      </w:r>
    </w:p>
    <w:p w:rsidR="00186ADA" w:rsidRDefault="00186ADA">
      <w:pPr>
        <w:pStyle w:val="normal0"/>
      </w:pPr>
      <w:r>
        <w:rPr>
          <w:b/>
        </w:rPr>
        <w:t xml:space="preserve">Lecture </w:t>
      </w:r>
      <w:r>
        <w:t>-8 hours on the following topics:</w:t>
      </w:r>
    </w:p>
    <w:p w:rsidR="00186ADA" w:rsidRDefault="00186ADA">
      <w:pPr>
        <w:pStyle w:val="normal0"/>
      </w:pPr>
      <w:r>
        <w:t xml:space="preserve">Soft law and its communicative function. Western political and legal discourse from Papal revolution (XI) to the end of 70s of the ХХ century: natural law theories, sociological theories of law, legal positivism. </w:t>
      </w:r>
      <w:r>
        <w:rPr>
          <w:i/>
        </w:rPr>
        <w:t>Westphalian</w:t>
      </w:r>
      <w:r>
        <w:t xml:space="preserve"> system and sovereignty. Communicative attributes of law. Social responsibilities. Comparison of soft law, hard law and moral obligations. Soft law as a type of law. Soft law and legal certainty. </w:t>
      </w:r>
    </w:p>
    <w:p w:rsidR="00186ADA" w:rsidRDefault="00186ADA">
      <w:pPr>
        <w:pStyle w:val="normal0"/>
      </w:pPr>
      <w:r>
        <w:rPr>
          <w:b/>
        </w:rPr>
        <w:t>Tutorials</w:t>
      </w:r>
      <w:r>
        <w:t xml:space="preserve">  2 hours on the topic studied during the lectures. </w:t>
      </w:r>
    </w:p>
    <w:p w:rsidR="00186ADA" w:rsidRDefault="00186ADA">
      <w:pPr>
        <w:pStyle w:val="normal0"/>
      </w:pPr>
      <w:r>
        <w:rPr>
          <w:b/>
        </w:rPr>
        <w:t>Home work</w:t>
      </w:r>
      <w:r>
        <w:t xml:space="preserve"> – to study literature and other materials from the Reader</w:t>
      </w:r>
    </w:p>
    <w:p w:rsidR="00186ADA" w:rsidRDefault="00186ADA">
      <w:pPr>
        <w:pStyle w:val="normal0"/>
      </w:pPr>
      <w:r>
        <w:rPr>
          <w:b/>
        </w:rPr>
        <w:t>Literature</w:t>
      </w:r>
      <w:r>
        <w:t>: Morth U. ed [1], Introduction, Robilant A, de. [2], p. …………., Kerchov M. van de Ost F. [3], Bruschke J [12], Teubner G. (ed.) [13].</w:t>
      </w:r>
    </w:p>
    <w:p w:rsidR="00186ADA" w:rsidRDefault="00186ADA">
      <w:pPr>
        <w:pStyle w:val="Heading2"/>
        <w:numPr>
          <w:ilvl w:val="1"/>
          <w:numId w:val="3"/>
        </w:numPr>
        <w:ind w:firstLine="0"/>
      </w:pPr>
      <w:r>
        <w:t>Section 3. INSTRUMENTS AND METHODS OF SOFT LAW REGULATIONS</w:t>
      </w:r>
    </w:p>
    <w:p w:rsidR="00186ADA" w:rsidRDefault="00186ADA">
      <w:pPr>
        <w:pStyle w:val="normal0"/>
      </w:pPr>
      <w:r>
        <w:rPr>
          <w:b/>
        </w:rPr>
        <w:t xml:space="preserve">Lecture </w:t>
      </w:r>
      <w:r>
        <w:t>-12 hours on the following topics:</w:t>
      </w:r>
    </w:p>
    <w:p w:rsidR="00186ADA" w:rsidRDefault="00186ADA">
      <w:pPr>
        <w:pStyle w:val="normal0"/>
        <w:ind w:firstLine="0"/>
      </w:pPr>
      <w:r>
        <w:t xml:space="preserve">EU soft law instruments. Other instruments of soft law: rules of organizations, self-regulation, standards, codes of best practice, resolutions, declarations, etc. Open method of coordination: its implementation in EU and other soft law based organizations, Reputation responsibility. Threat of “hardening”. Risks of soft law instruments. </w:t>
      </w:r>
    </w:p>
    <w:p w:rsidR="00186ADA" w:rsidRDefault="00186ADA">
      <w:pPr>
        <w:pStyle w:val="normal0"/>
      </w:pPr>
      <w:r>
        <w:rPr>
          <w:b/>
        </w:rPr>
        <w:t>Tutorials</w:t>
      </w:r>
      <w:r>
        <w:t xml:space="preserve">  2 hours on the topic studied during the lectures. </w:t>
      </w:r>
    </w:p>
    <w:p w:rsidR="00186ADA" w:rsidRDefault="00186ADA">
      <w:pPr>
        <w:pStyle w:val="normal0"/>
      </w:pPr>
      <w:r>
        <w:rPr>
          <w:b/>
        </w:rPr>
        <w:t>Home work</w:t>
      </w:r>
      <w:r>
        <w:t xml:space="preserve"> – to study literature and other materials from the Reader</w:t>
      </w:r>
    </w:p>
    <w:p w:rsidR="00186ADA" w:rsidRDefault="00186ADA">
      <w:pPr>
        <w:pStyle w:val="normal0"/>
      </w:pPr>
      <w:r>
        <w:rPr>
          <w:b/>
        </w:rPr>
        <w:t>Literature</w:t>
      </w:r>
      <w:r>
        <w:t>: Morth U. ed [1], Introduction, Senden L. [4], Chinkin C. [5], Snyder F. [6], Trubek M. Trubek L. [7]</w:t>
      </w:r>
    </w:p>
    <w:p w:rsidR="00186ADA" w:rsidRDefault="00186ADA">
      <w:pPr>
        <w:pStyle w:val="Heading2"/>
        <w:numPr>
          <w:ilvl w:val="1"/>
          <w:numId w:val="3"/>
        </w:numPr>
        <w:ind w:firstLine="0"/>
      </w:pPr>
      <w:r>
        <w:t>Section 4. USING SOFT LAW IN REGULATORY GOVERNANCE (CASE STUDY)</w:t>
      </w:r>
    </w:p>
    <w:p w:rsidR="00186ADA" w:rsidRDefault="00186ADA">
      <w:pPr>
        <w:pStyle w:val="normal0"/>
      </w:pPr>
      <w:r>
        <w:rPr>
          <w:b/>
        </w:rPr>
        <w:t xml:space="preserve">Lecture </w:t>
      </w:r>
      <w:r>
        <w:t>-8 hours on the following topics:</w:t>
      </w:r>
    </w:p>
    <w:p w:rsidR="00186ADA" w:rsidRDefault="00186ADA">
      <w:pPr>
        <w:pStyle w:val="normal0"/>
        <w:ind w:firstLine="0"/>
      </w:pPr>
      <w:r>
        <w:t xml:space="preserve">Reputation responsibility in В2С and B2B relations, Soft law in practice of ECJ, Soft law of OEDC, Soft law of WTO legal system, Soft Law in taxes, competition, corporate relations, Soft regulation inside the country, Standards of financial systems stability, Lex mercatoria as Soft Law, </w:t>
      </w:r>
    </w:p>
    <w:p w:rsidR="00186ADA" w:rsidRDefault="00186ADA">
      <w:pPr>
        <w:pStyle w:val="normal0"/>
      </w:pPr>
      <w:r>
        <w:rPr>
          <w:b/>
        </w:rPr>
        <w:t>Tutorials</w:t>
      </w:r>
      <w:r>
        <w:t xml:space="preserve">  4 hours on the topic studied during the lectures. </w:t>
      </w:r>
    </w:p>
    <w:p w:rsidR="00186ADA" w:rsidRDefault="00186ADA">
      <w:pPr>
        <w:pStyle w:val="normal0"/>
      </w:pPr>
      <w:r>
        <w:rPr>
          <w:b/>
        </w:rPr>
        <w:t>Home work</w:t>
      </w:r>
      <w:r>
        <w:t xml:space="preserve"> – to study cases review from the Reader</w:t>
      </w:r>
    </w:p>
    <w:p w:rsidR="00186ADA" w:rsidRDefault="00186ADA">
      <w:pPr>
        <w:pStyle w:val="normal0"/>
      </w:pPr>
      <w:r>
        <w:rPr>
          <w:b/>
        </w:rPr>
        <w:t>Literature</w:t>
      </w:r>
      <w:r>
        <w:t xml:space="preserve"> Morth U. ed [1], Senden L. [4], Ştefan O.A. [10], Peters A. Parotto I. [17]</w:t>
      </w:r>
    </w:p>
    <w:p w:rsidR="00186ADA" w:rsidRDefault="00186ADA">
      <w:pPr>
        <w:pStyle w:val="Heading1"/>
        <w:numPr>
          <w:ilvl w:val="0"/>
          <w:numId w:val="3"/>
        </w:numPr>
        <w:ind w:firstLine="0"/>
      </w:pPr>
      <w:r>
        <w:t>Current activities and examination</w:t>
      </w:r>
    </w:p>
    <w:p w:rsidR="00186ADA" w:rsidRDefault="00186ADA">
      <w:pPr>
        <w:pStyle w:val="Heading2"/>
        <w:numPr>
          <w:ilvl w:val="1"/>
          <w:numId w:val="3"/>
        </w:numPr>
        <w:ind w:firstLine="0"/>
      </w:pPr>
      <w:r>
        <w:t>Topics for preparation of classes and examination, questions for examinations</w:t>
      </w:r>
    </w:p>
    <w:p w:rsidR="00186ADA" w:rsidRDefault="00186ADA">
      <w:pPr>
        <w:pStyle w:val="normal0"/>
        <w:numPr>
          <w:ilvl w:val="0"/>
          <w:numId w:val="5"/>
        </w:numPr>
        <w:ind w:right="567" w:hanging="359"/>
        <w:contextualSpacing/>
        <w:jc w:val="both"/>
      </w:pPr>
      <w:r>
        <w:t>Concept of Law in Ancient Rome</w:t>
      </w:r>
    </w:p>
    <w:p w:rsidR="00186ADA" w:rsidRDefault="00186ADA">
      <w:pPr>
        <w:pStyle w:val="normal0"/>
        <w:numPr>
          <w:ilvl w:val="0"/>
          <w:numId w:val="5"/>
        </w:numPr>
        <w:ind w:right="567" w:hanging="359"/>
        <w:contextualSpacing/>
        <w:jc w:val="both"/>
      </w:pPr>
      <w:r>
        <w:t>Medieval concept of Law</w:t>
      </w:r>
    </w:p>
    <w:p w:rsidR="00186ADA" w:rsidRDefault="00186ADA">
      <w:pPr>
        <w:pStyle w:val="normal0"/>
        <w:numPr>
          <w:ilvl w:val="0"/>
          <w:numId w:val="5"/>
        </w:numPr>
        <w:ind w:right="567" w:hanging="359"/>
        <w:contextualSpacing/>
        <w:jc w:val="both"/>
      </w:pPr>
      <w:r>
        <w:t>Review of sociological law theories</w:t>
      </w:r>
    </w:p>
    <w:p w:rsidR="00186ADA" w:rsidRDefault="00186ADA">
      <w:pPr>
        <w:pStyle w:val="normal0"/>
        <w:numPr>
          <w:ilvl w:val="0"/>
          <w:numId w:val="5"/>
        </w:numPr>
        <w:ind w:right="567" w:hanging="359"/>
        <w:contextualSpacing/>
        <w:jc w:val="both"/>
      </w:pPr>
      <w:r>
        <w:t>State and Law in Westphalian system</w:t>
      </w:r>
    </w:p>
    <w:p w:rsidR="00186ADA" w:rsidRDefault="00186ADA">
      <w:pPr>
        <w:pStyle w:val="normal0"/>
        <w:numPr>
          <w:ilvl w:val="0"/>
          <w:numId w:val="5"/>
        </w:numPr>
        <w:ind w:right="567" w:hanging="359"/>
        <w:contextualSpacing/>
        <w:jc w:val="both"/>
      </w:pPr>
      <w:r>
        <w:t>Sovereignty: Jean Bodin’s and modern concept</w:t>
      </w:r>
    </w:p>
    <w:p w:rsidR="00186ADA" w:rsidRDefault="00186ADA">
      <w:pPr>
        <w:pStyle w:val="normal0"/>
        <w:numPr>
          <w:ilvl w:val="0"/>
          <w:numId w:val="5"/>
        </w:numPr>
        <w:ind w:right="567" w:hanging="359"/>
        <w:contextualSpacing/>
        <w:jc w:val="both"/>
      </w:pPr>
      <w:r>
        <w:t>Legal Positivism. Open texture of norms: Gerber Hart’s concept</w:t>
      </w:r>
    </w:p>
    <w:p w:rsidR="00186ADA" w:rsidRDefault="00186ADA">
      <w:pPr>
        <w:pStyle w:val="normal0"/>
        <w:numPr>
          <w:ilvl w:val="0"/>
          <w:numId w:val="5"/>
        </w:numPr>
        <w:ind w:right="567" w:hanging="359"/>
        <w:contextualSpacing/>
      </w:pPr>
      <w:r>
        <w:t>Concept of Law in rational legal discourse</w:t>
      </w:r>
    </w:p>
    <w:p w:rsidR="00186ADA" w:rsidRDefault="00186ADA">
      <w:pPr>
        <w:pStyle w:val="normal0"/>
        <w:numPr>
          <w:ilvl w:val="0"/>
          <w:numId w:val="5"/>
        </w:numPr>
        <w:ind w:right="567" w:hanging="359"/>
        <w:contextualSpacing/>
        <w:jc w:val="both"/>
      </w:pPr>
      <w:r>
        <w:t xml:space="preserve">Autopoietic law theory </w:t>
      </w:r>
    </w:p>
    <w:p w:rsidR="00186ADA" w:rsidRDefault="00186ADA">
      <w:pPr>
        <w:pStyle w:val="normal0"/>
        <w:numPr>
          <w:ilvl w:val="0"/>
          <w:numId w:val="5"/>
        </w:numPr>
        <w:ind w:right="567" w:hanging="359"/>
        <w:contextualSpacing/>
        <w:jc w:val="both"/>
      </w:pPr>
      <w:r>
        <w:t>Structure of EU law and necessity in soft law</w:t>
      </w:r>
      <w:r>
        <w:rPr>
          <w:i/>
          <w:color w:val="1F497D"/>
        </w:rPr>
        <w:t>)</w:t>
      </w:r>
    </w:p>
    <w:p w:rsidR="00186ADA" w:rsidRDefault="00186ADA">
      <w:pPr>
        <w:pStyle w:val="normal0"/>
        <w:numPr>
          <w:ilvl w:val="0"/>
          <w:numId w:val="5"/>
        </w:numPr>
        <w:ind w:right="567" w:hanging="359"/>
        <w:contextualSpacing/>
        <w:jc w:val="both"/>
      </w:pPr>
      <w:r>
        <w:t xml:space="preserve"> Open method of coordination (OMC)</w:t>
      </w:r>
    </w:p>
    <w:p w:rsidR="00186ADA" w:rsidRDefault="00186ADA">
      <w:pPr>
        <w:pStyle w:val="normal0"/>
        <w:numPr>
          <w:ilvl w:val="0"/>
          <w:numId w:val="5"/>
        </w:numPr>
        <w:ind w:right="567" w:hanging="359"/>
        <w:contextualSpacing/>
        <w:jc w:val="both"/>
      </w:pPr>
      <w:r>
        <w:t xml:space="preserve"> Reputation responsibility in В2С relations (Nestle case)</w:t>
      </w:r>
    </w:p>
    <w:p w:rsidR="00186ADA" w:rsidRDefault="00186ADA">
      <w:pPr>
        <w:pStyle w:val="normal0"/>
        <w:numPr>
          <w:ilvl w:val="0"/>
          <w:numId w:val="5"/>
        </w:numPr>
        <w:ind w:right="567" w:hanging="359"/>
        <w:contextualSpacing/>
        <w:jc w:val="both"/>
      </w:pPr>
      <w:r>
        <w:t xml:space="preserve"> Reputation responsibility in В2В relations (Kimberly case)</w:t>
      </w:r>
    </w:p>
    <w:p w:rsidR="00186ADA" w:rsidRDefault="00186ADA">
      <w:pPr>
        <w:pStyle w:val="normal0"/>
        <w:numPr>
          <w:ilvl w:val="0"/>
          <w:numId w:val="5"/>
        </w:numPr>
        <w:ind w:right="567" w:hanging="359"/>
        <w:contextualSpacing/>
        <w:jc w:val="both"/>
      </w:pPr>
      <w:r>
        <w:t>Soft Law in taxes relations</w:t>
      </w:r>
    </w:p>
    <w:p w:rsidR="00186ADA" w:rsidRDefault="00186ADA">
      <w:pPr>
        <w:pStyle w:val="normal0"/>
        <w:numPr>
          <w:ilvl w:val="0"/>
          <w:numId w:val="5"/>
        </w:numPr>
        <w:ind w:right="567" w:hanging="359"/>
        <w:contextualSpacing/>
        <w:jc w:val="both"/>
      </w:pPr>
      <w:r>
        <w:t xml:space="preserve"> Soft law in competition relations</w:t>
      </w:r>
    </w:p>
    <w:p w:rsidR="00186ADA" w:rsidRDefault="00186ADA">
      <w:pPr>
        <w:pStyle w:val="normal0"/>
        <w:numPr>
          <w:ilvl w:val="0"/>
          <w:numId w:val="5"/>
        </w:numPr>
        <w:ind w:right="567" w:hanging="359"/>
        <w:contextualSpacing/>
        <w:jc w:val="both"/>
      </w:pPr>
      <w:r>
        <w:t xml:space="preserve"> Soft law in corporate relations</w:t>
      </w:r>
    </w:p>
    <w:p w:rsidR="00186ADA" w:rsidRDefault="00186ADA">
      <w:pPr>
        <w:pStyle w:val="normal0"/>
        <w:numPr>
          <w:ilvl w:val="0"/>
          <w:numId w:val="5"/>
        </w:numPr>
        <w:ind w:right="567" w:hanging="359"/>
        <w:contextualSpacing/>
        <w:jc w:val="both"/>
      </w:pPr>
      <w:r>
        <w:t>Soft law in practice of ECJ</w:t>
      </w:r>
    </w:p>
    <w:p w:rsidR="00186ADA" w:rsidRDefault="00186ADA">
      <w:pPr>
        <w:pStyle w:val="normal0"/>
        <w:numPr>
          <w:ilvl w:val="0"/>
          <w:numId w:val="5"/>
        </w:numPr>
        <w:ind w:right="567" w:hanging="359"/>
        <w:contextualSpacing/>
        <w:jc w:val="both"/>
      </w:pPr>
      <w:r>
        <w:t>Soft law of OEDC</w:t>
      </w:r>
    </w:p>
    <w:p w:rsidR="00186ADA" w:rsidRDefault="00186ADA">
      <w:pPr>
        <w:pStyle w:val="normal0"/>
        <w:numPr>
          <w:ilvl w:val="0"/>
          <w:numId w:val="5"/>
        </w:numPr>
        <w:ind w:right="567" w:hanging="359"/>
        <w:contextualSpacing/>
        <w:jc w:val="both"/>
      </w:pPr>
      <w:r>
        <w:t xml:space="preserve"> Soft law of WTO</w:t>
      </w:r>
    </w:p>
    <w:p w:rsidR="00186ADA" w:rsidRDefault="00186ADA">
      <w:pPr>
        <w:pStyle w:val="normal0"/>
        <w:numPr>
          <w:ilvl w:val="0"/>
          <w:numId w:val="5"/>
        </w:numPr>
        <w:ind w:right="567" w:hanging="359"/>
        <w:contextualSpacing/>
        <w:jc w:val="both"/>
      </w:pPr>
      <w:r>
        <w:t xml:space="preserve"> Soft law regulation inside the country (Public Administration)</w:t>
      </w:r>
    </w:p>
    <w:p w:rsidR="00186ADA" w:rsidRDefault="00186ADA">
      <w:pPr>
        <w:pStyle w:val="normal0"/>
        <w:numPr>
          <w:ilvl w:val="0"/>
          <w:numId w:val="5"/>
        </w:numPr>
        <w:ind w:right="567" w:hanging="359"/>
        <w:contextualSpacing/>
        <w:jc w:val="both"/>
      </w:pPr>
      <w:r>
        <w:t xml:space="preserve"> Soft law regulation inside the country (Swedish health care)</w:t>
      </w:r>
    </w:p>
    <w:p w:rsidR="00186ADA" w:rsidRDefault="00186ADA">
      <w:pPr>
        <w:pStyle w:val="normal0"/>
        <w:numPr>
          <w:ilvl w:val="0"/>
          <w:numId w:val="5"/>
        </w:numPr>
        <w:ind w:right="567" w:hanging="359"/>
        <w:contextualSpacing/>
        <w:jc w:val="both"/>
      </w:pPr>
      <w:r>
        <w:t>Soft Law in State Aid policy</w:t>
      </w:r>
    </w:p>
    <w:p w:rsidR="00186ADA" w:rsidRDefault="00186ADA">
      <w:pPr>
        <w:pStyle w:val="normal0"/>
        <w:numPr>
          <w:ilvl w:val="0"/>
          <w:numId w:val="5"/>
        </w:numPr>
        <w:ind w:right="567" w:hanging="359"/>
        <w:contextualSpacing/>
        <w:jc w:val="both"/>
      </w:pPr>
      <w:r>
        <w:t>Standards of financial systems stability</w:t>
      </w:r>
    </w:p>
    <w:p w:rsidR="00186ADA" w:rsidRDefault="00186ADA">
      <w:pPr>
        <w:pStyle w:val="normal0"/>
        <w:numPr>
          <w:ilvl w:val="0"/>
          <w:numId w:val="5"/>
        </w:numPr>
        <w:ind w:right="567" w:hanging="359"/>
        <w:contextualSpacing/>
        <w:jc w:val="both"/>
      </w:pPr>
      <w:r>
        <w:t>Lex mercatoria as soft law</w:t>
      </w:r>
    </w:p>
    <w:p w:rsidR="00186ADA" w:rsidRDefault="00186ADA">
      <w:pPr>
        <w:pStyle w:val="Heading1"/>
        <w:numPr>
          <w:ilvl w:val="0"/>
          <w:numId w:val="3"/>
        </w:numPr>
        <w:ind w:firstLine="0"/>
      </w:pPr>
      <w:r>
        <w:t xml:space="preserve">Grading system of the course </w:t>
      </w:r>
    </w:p>
    <w:p w:rsidR="00186ADA" w:rsidRDefault="00186ADA">
      <w:pPr>
        <w:pStyle w:val="normal0"/>
        <w:jc w:val="both"/>
      </w:pPr>
      <w:r>
        <w:t xml:space="preserve">Students' work </w:t>
      </w:r>
      <w:r>
        <w:rPr>
          <w:b/>
        </w:rPr>
        <w:t>during tutorials</w:t>
      </w:r>
      <w:r>
        <w:t xml:space="preserve"> is evaluated for participation in discussions, ability to work out position and defend it via argumentation. Grades for work during tutorials are put in grades-list of the course. Final grade (out of 10 points) for tutorials is determined before the examination – </w:t>
      </w:r>
      <w:r>
        <w:rPr>
          <w:i/>
        </w:rPr>
        <w:t>O</w:t>
      </w:r>
      <w:r>
        <w:rPr>
          <w:i/>
          <w:vertAlign w:val="subscript"/>
        </w:rPr>
        <w:t xml:space="preserve"> tutorials</w:t>
      </w:r>
    </w:p>
    <w:p w:rsidR="00186ADA" w:rsidRDefault="00186ADA">
      <w:pPr>
        <w:pStyle w:val="normal0"/>
        <w:jc w:val="both"/>
      </w:pPr>
      <w:bookmarkStart w:id="0" w:name="h.gjdgxs" w:colFirst="0" w:colLast="0"/>
      <w:bookmarkEnd w:id="0"/>
      <w:r>
        <w:rPr>
          <w:b/>
        </w:rPr>
        <w:t>Home work</w:t>
      </w:r>
      <w:r>
        <w:t xml:space="preserve"> is evaluated by the following criteria: quality of the material and scope of its study, presentation skills in case it is a public report. Marks for home tasks are put in grades-list of the course. Final grade (out of 10 points) is determined before the examination – </w:t>
      </w:r>
      <w:r>
        <w:rPr>
          <w:i/>
        </w:rPr>
        <w:t xml:space="preserve">О </w:t>
      </w:r>
      <w:r>
        <w:rPr>
          <w:i/>
          <w:vertAlign w:val="subscript"/>
        </w:rPr>
        <w:t>hometask</w:t>
      </w:r>
      <w:r>
        <w:rPr>
          <w:vertAlign w:val="subscript"/>
        </w:rPr>
        <w:t>.</w:t>
      </w:r>
    </w:p>
    <w:p w:rsidR="00186ADA" w:rsidRDefault="00186ADA">
      <w:pPr>
        <w:pStyle w:val="normal0"/>
        <w:jc w:val="both"/>
      </w:pPr>
      <w:r>
        <w:rPr>
          <w:b/>
        </w:rPr>
        <w:t>Cumulative grade for current activities</w:t>
      </w:r>
      <w:r>
        <w:t xml:space="preserve"> is calculated as follows: </w:t>
      </w:r>
    </w:p>
    <w:p w:rsidR="00186ADA" w:rsidRDefault="00186ADA">
      <w:pPr>
        <w:pStyle w:val="normal0"/>
        <w:spacing w:before="120" w:after="120"/>
        <w:jc w:val="center"/>
      </w:pPr>
      <w:r>
        <w:rPr>
          <w:i/>
        </w:rPr>
        <w:t>О</w:t>
      </w:r>
      <w:r>
        <w:rPr>
          <w:i/>
          <w:vertAlign w:val="subscript"/>
        </w:rPr>
        <w:t>cumulative</w:t>
      </w:r>
      <w:r>
        <w:rPr>
          <w:i/>
          <w:sz w:val="28"/>
        </w:rPr>
        <w:t xml:space="preserve"> = 0,75</w:t>
      </w:r>
      <w:r>
        <w:rPr>
          <w:i/>
        </w:rPr>
        <w:t xml:space="preserve"> О</w:t>
      </w:r>
      <w:r>
        <w:rPr>
          <w:i/>
          <w:vertAlign w:val="subscript"/>
        </w:rPr>
        <w:t>tutorials</w:t>
      </w:r>
      <w:r>
        <w:rPr>
          <w:i/>
          <w:sz w:val="28"/>
        </w:rPr>
        <w:t xml:space="preserve"> + 0,25 О</w:t>
      </w:r>
      <w:r>
        <w:rPr>
          <w:i/>
          <w:vertAlign w:val="subscript"/>
        </w:rPr>
        <w:t xml:space="preserve"> hometask</w:t>
      </w:r>
      <w:r>
        <w:rPr>
          <w:vertAlign w:val="subscript"/>
        </w:rPr>
        <w:t>.</w:t>
      </w:r>
    </w:p>
    <w:p w:rsidR="00186ADA" w:rsidRDefault="00186ADA">
      <w:pPr>
        <w:pStyle w:val="normal0"/>
        <w:jc w:val="both"/>
      </w:pPr>
      <w:r>
        <w:rPr>
          <w:b/>
        </w:rPr>
        <w:t xml:space="preserve">Final resulting grade for the course is calculated as follows: </w:t>
      </w:r>
    </w:p>
    <w:p w:rsidR="00186ADA" w:rsidRDefault="00186ADA">
      <w:pPr>
        <w:pStyle w:val="normal0"/>
        <w:spacing w:before="120" w:after="120"/>
        <w:jc w:val="center"/>
      </w:pPr>
      <w:r>
        <w:rPr>
          <w:i/>
        </w:rPr>
        <w:t>О</w:t>
      </w:r>
      <w:r>
        <w:rPr>
          <w:i/>
          <w:vertAlign w:val="subscript"/>
        </w:rPr>
        <w:t>final</w:t>
      </w:r>
      <w:r>
        <w:rPr>
          <w:i/>
        </w:rPr>
        <w:t xml:space="preserve"> = 0,25·О</w:t>
      </w:r>
      <w:r>
        <w:rPr>
          <w:i/>
          <w:vertAlign w:val="subscript"/>
        </w:rPr>
        <w:t>examination</w:t>
      </w:r>
      <w:r>
        <w:rPr>
          <w:i/>
        </w:rPr>
        <w:t xml:space="preserve"> + 0,75·О</w:t>
      </w:r>
      <w:r>
        <w:rPr>
          <w:i/>
          <w:vertAlign w:val="subscript"/>
        </w:rPr>
        <w:t>cumulative</w:t>
      </w:r>
    </w:p>
    <w:p w:rsidR="00186ADA" w:rsidRDefault="00186ADA">
      <w:pPr>
        <w:pStyle w:val="normal0"/>
        <w:jc w:val="both"/>
      </w:pPr>
      <w:r>
        <w:t>During the examination students have no opportunity to get additional points to raise their grade for current activities.</w:t>
      </w:r>
    </w:p>
    <w:p w:rsidR="00186ADA" w:rsidRDefault="00186ADA">
      <w:pPr>
        <w:pStyle w:val="normal0"/>
        <w:jc w:val="both"/>
      </w:pPr>
      <w:r>
        <w:t>In Final resulting grade rounding is applying to integer number. In Cumulative grade for current activities rounding is applying to one decimal digit.</w:t>
      </w:r>
    </w:p>
    <w:p w:rsidR="00186ADA" w:rsidRDefault="00186ADA">
      <w:pPr>
        <w:pStyle w:val="Heading1"/>
        <w:numPr>
          <w:ilvl w:val="0"/>
          <w:numId w:val="3"/>
        </w:numPr>
        <w:ind w:firstLine="0"/>
      </w:pPr>
      <w:r>
        <w:t>Literature and technical support of the course</w:t>
      </w:r>
    </w:p>
    <w:p w:rsidR="00186ADA" w:rsidRDefault="00186ADA">
      <w:pPr>
        <w:pStyle w:val="normal0"/>
      </w:pPr>
      <w:r>
        <w:rPr>
          <w:b/>
        </w:rPr>
        <w:t>Basic books</w:t>
      </w:r>
    </w:p>
    <w:p w:rsidR="00186ADA" w:rsidRDefault="00186ADA">
      <w:pPr>
        <w:pStyle w:val="normal0"/>
      </w:pPr>
    </w:p>
    <w:p w:rsidR="00186ADA" w:rsidRDefault="00186ADA">
      <w:pPr>
        <w:pStyle w:val="normal0"/>
        <w:numPr>
          <w:ilvl w:val="0"/>
          <w:numId w:val="6"/>
        </w:numPr>
        <w:ind w:right="567" w:hanging="359"/>
        <w:contextualSpacing/>
        <w:jc w:val="both"/>
      </w:pPr>
      <w:r>
        <w:t>Soft Law in Governance and Regulation Ulrika Mörth ed., Cheltenham, UK - Northampton, MA, USA, Edward Elgar Publishing Ltd, 2004.</w:t>
      </w:r>
    </w:p>
    <w:p w:rsidR="00186ADA" w:rsidRDefault="00186ADA">
      <w:pPr>
        <w:pStyle w:val="normal0"/>
        <w:numPr>
          <w:ilvl w:val="0"/>
          <w:numId w:val="6"/>
        </w:numPr>
        <w:ind w:right="567" w:hanging="359"/>
        <w:contextualSpacing/>
        <w:jc w:val="both"/>
      </w:pPr>
      <w:r>
        <w:t>Anna Di Robilant Genealogies of Soft Law // The American Journal of Comparative Law. Vol.54 №3, 2006. P.500-501</w:t>
      </w:r>
    </w:p>
    <w:p w:rsidR="00186ADA" w:rsidRDefault="00186ADA">
      <w:pPr>
        <w:pStyle w:val="normal0"/>
        <w:numPr>
          <w:ilvl w:val="0"/>
          <w:numId w:val="6"/>
        </w:numPr>
        <w:ind w:right="567" w:hanging="359"/>
        <w:contextualSpacing/>
        <w:jc w:val="both"/>
      </w:pPr>
      <w:r>
        <w:t>Van de Kerchove M. Ost F. Legal System between order and disorder. Oxford, 1994</w:t>
      </w:r>
    </w:p>
    <w:p w:rsidR="00186ADA" w:rsidRDefault="00186ADA">
      <w:pPr>
        <w:pStyle w:val="normal0"/>
        <w:numPr>
          <w:ilvl w:val="0"/>
          <w:numId w:val="6"/>
        </w:numPr>
        <w:ind w:right="567" w:hanging="359"/>
        <w:contextualSpacing/>
        <w:jc w:val="both"/>
      </w:pPr>
      <w:r>
        <w:t>Linda Senden Soft Law in European Community Law, Oxford and Portland Oregon, Hart Publishing, 2004</w:t>
      </w:r>
    </w:p>
    <w:p w:rsidR="00186ADA" w:rsidRDefault="00186ADA">
      <w:pPr>
        <w:pStyle w:val="normal0"/>
        <w:numPr>
          <w:ilvl w:val="0"/>
          <w:numId w:val="6"/>
        </w:numPr>
        <w:ind w:right="567" w:hanging="359"/>
        <w:contextualSpacing/>
        <w:jc w:val="both"/>
      </w:pPr>
      <w:r>
        <w:t>Chinkin Christine Normative Development in the International Legal System In: Commitment and Compliance: The Role of Non-Binding Norms in the International Legal System, Dinah Shelton (ed.), Oxford, Oxford University Press, 2000, P.21-42</w:t>
      </w:r>
    </w:p>
    <w:p w:rsidR="00186ADA" w:rsidRDefault="00186ADA">
      <w:pPr>
        <w:pStyle w:val="normal0"/>
        <w:numPr>
          <w:ilvl w:val="0"/>
          <w:numId w:val="6"/>
        </w:numPr>
        <w:ind w:right="567" w:hanging="359"/>
        <w:contextualSpacing/>
        <w:jc w:val="both"/>
      </w:pPr>
      <w:r>
        <w:t>Snyder Francis Soft Law and the Institutional Practice in the European Community In: The Construction of Europe. Essays in Honour of Emile Noël (Stephen Martin ed.), Dordrecht-Boston-London, Kluwer Academic Publisher, 2010</w:t>
      </w:r>
    </w:p>
    <w:p w:rsidR="00186ADA" w:rsidRDefault="00186ADA">
      <w:pPr>
        <w:pStyle w:val="normal0"/>
        <w:numPr>
          <w:ilvl w:val="0"/>
          <w:numId w:val="6"/>
        </w:numPr>
        <w:ind w:right="567" w:hanging="359"/>
        <w:contextualSpacing/>
        <w:jc w:val="both"/>
      </w:pPr>
      <w:r>
        <w:t>M. Trubek and L. Trubek Hard And Soft Law In The Construction Of Social Europe: The Role Of The Open Method Of Co-Ordination, European Law Journal, Vol 11, No. 3, May 2005.</w:t>
      </w:r>
    </w:p>
    <w:p w:rsidR="00186ADA" w:rsidRDefault="00186ADA">
      <w:pPr>
        <w:pStyle w:val="normal0"/>
        <w:ind w:left="1287" w:firstLine="0"/>
      </w:pPr>
    </w:p>
    <w:p w:rsidR="00186ADA" w:rsidRDefault="00186ADA">
      <w:pPr>
        <w:pStyle w:val="normal0"/>
      </w:pPr>
      <w:r>
        <w:rPr>
          <w:b/>
        </w:rPr>
        <w:t>Additional reading</w:t>
      </w:r>
    </w:p>
    <w:p w:rsidR="00186ADA" w:rsidRDefault="00186ADA">
      <w:pPr>
        <w:pStyle w:val="normal0"/>
      </w:pPr>
    </w:p>
    <w:p w:rsidR="00186ADA" w:rsidRDefault="00186ADA">
      <w:pPr>
        <w:pStyle w:val="normal0"/>
        <w:numPr>
          <w:ilvl w:val="0"/>
          <w:numId w:val="6"/>
        </w:numPr>
        <w:ind w:right="567" w:hanging="359"/>
        <w:contextualSpacing/>
        <w:jc w:val="both"/>
      </w:pPr>
      <w:r>
        <w:t>Sahlin-Andersson Kersten Emergent Cross-Sectional Soft Regulation: Dynamics at Play in the Global Compact Initiative In: Soft Law in Governance and Regulation (Ulrika Mörth ed.), Cheltenham, UK - Northampton, MA, USA, Edward Elgar Publishing Ltd, 2004, P.129-154</w:t>
      </w:r>
    </w:p>
    <w:p w:rsidR="00186ADA" w:rsidRDefault="00186ADA">
      <w:pPr>
        <w:pStyle w:val="normal0"/>
        <w:numPr>
          <w:ilvl w:val="0"/>
          <w:numId w:val="6"/>
        </w:numPr>
        <w:ind w:right="567" w:hanging="359"/>
        <w:contextualSpacing/>
        <w:jc w:val="both"/>
      </w:pPr>
      <w:bookmarkStart w:id="1" w:name="h.30j0zll" w:colFirst="0" w:colLast="0"/>
      <w:bookmarkEnd w:id="1"/>
      <w:r>
        <w:t>Commission Notice on informal guidance relating to novel questions concerning Articles 81 and 82 of the EC Treaty that arise in individual cases (guidance letters) / OJ C 101, 27.4.2004, p. 78–80 Доступно на электронном ресурсе  http://eur-lex.europa.eu/LexUriServ/LexUriServ.do?uri=CELEX:52004XC0427(05):EN:NOT</w:t>
      </w:r>
    </w:p>
    <w:p w:rsidR="00186ADA" w:rsidRDefault="00186ADA">
      <w:pPr>
        <w:pStyle w:val="normal0"/>
        <w:numPr>
          <w:ilvl w:val="0"/>
          <w:numId w:val="6"/>
        </w:numPr>
        <w:ind w:right="567" w:hanging="359"/>
        <w:contextualSpacing/>
        <w:jc w:val="both"/>
      </w:pPr>
      <w:r>
        <w:t>O.A. Ştefan European Competition Soft Law in European Courts: A Matter of Hard Principles, in European Law Journal, 2008, 753 et seq.</w:t>
      </w:r>
    </w:p>
    <w:p w:rsidR="00186ADA" w:rsidRDefault="00186ADA">
      <w:pPr>
        <w:pStyle w:val="normal0"/>
        <w:numPr>
          <w:ilvl w:val="0"/>
          <w:numId w:val="6"/>
        </w:numPr>
        <w:ind w:right="567" w:hanging="359"/>
        <w:contextualSpacing/>
        <w:jc w:val="both"/>
      </w:pPr>
      <w:r>
        <w:t>Inger Österdahl The ECJ and Soft Law: Who’s afraid of the EU Fundamental Rights Charter? In: Soft Law in Governance and Regulation (Ulrika Mörth ed.), Cheltenham, UK - Northampton, MA, USA, Edward Elgar Publishing Ltd, 2004, P.37-61</w:t>
      </w:r>
    </w:p>
    <w:p w:rsidR="00186ADA" w:rsidRDefault="00186ADA">
      <w:pPr>
        <w:pStyle w:val="normal0"/>
        <w:numPr>
          <w:ilvl w:val="0"/>
          <w:numId w:val="6"/>
        </w:numPr>
        <w:ind w:right="567" w:hanging="359"/>
        <w:contextualSpacing/>
        <w:jc w:val="both"/>
      </w:pPr>
      <w:r>
        <w:t>Bruschke J. Deconstructive Arguments in the Legal Sphere: An Analysis of the Fischl/Massey Debate about Critical Legal Studies // Argumentation and Advocacy. Volume: 32. Issue: 1. Publication Year: 1995</w:t>
      </w:r>
    </w:p>
    <w:p w:rsidR="00186ADA" w:rsidRDefault="00186ADA">
      <w:pPr>
        <w:pStyle w:val="normal0"/>
        <w:numPr>
          <w:ilvl w:val="0"/>
          <w:numId w:val="6"/>
        </w:numPr>
        <w:ind w:right="567" w:hanging="359"/>
        <w:contextualSpacing/>
        <w:jc w:val="both"/>
      </w:pPr>
      <w:r>
        <w:t>Teubner G. (ed.) Autopoietic Law. A New Approach to Law and Society. Berlin; New York, 1988.</w:t>
      </w:r>
    </w:p>
    <w:p w:rsidR="00186ADA" w:rsidRDefault="00186ADA">
      <w:pPr>
        <w:pStyle w:val="normal0"/>
        <w:numPr>
          <w:ilvl w:val="0"/>
          <w:numId w:val="6"/>
        </w:numPr>
        <w:ind w:right="567" w:hanging="359"/>
        <w:contextualSpacing/>
        <w:jc w:val="both"/>
      </w:pPr>
      <w:r>
        <w:t>T. Brandsen, M. Boogers, P. Tops Soft Governance, Hard Consequences: The Ambiguous Status of Unofficial Guidelines, Public Administration Review, July-August 2006</w:t>
      </w:r>
    </w:p>
    <w:p w:rsidR="00186ADA" w:rsidRDefault="00186ADA">
      <w:pPr>
        <w:pStyle w:val="normal0"/>
        <w:numPr>
          <w:ilvl w:val="0"/>
          <w:numId w:val="6"/>
        </w:numPr>
        <w:ind w:right="567" w:hanging="359"/>
        <w:contextualSpacing/>
        <w:jc w:val="both"/>
      </w:pPr>
      <w:r>
        <w:t>Martin Marcussen OECD Governance through Soft Law In: Soft Law in Governance and Regulation (Ulrika Mörth ed.), Cheltenham, UK - Northampton, MA, USA, Edward Elgar Publishing Ltd, 2004, P.103-126</w:t>
      </w:r>
    </w:p>
    <w:p w:rsidR="00186ADA" w:rsidRDefault="00186ADA">
      <w:pPr>
        <w:pStyle w:val="normal0"/>
        <w:numPr>
          <w:ilvl w:val="0"/>
          <w:numId w:val="6"/>
        </w:numPr>
        <w:ind w:right="567" w:hanging="359"/>
        <w:contextualSpacing/>
        <w:jc w:val="both"/>
      </w:pPr>
      <w:r>
        <w:t>M. Fredriksson, P. Blomqvist, U. Winblad Conflict and Compliance in Swedish Health Care Governance: Soft Law in the „Shadow of Hierarchy“, Scandinavian Political Studies, 2011</w:t>
      </w:r>
    </w:p>
    <w:p w:rsidR="00186ADA" w:rsidRDefault="00186ADA">
      <w:pPr>
        <w:pStyle w:val="normal0"/>
        <w:numPr>
          <w:ilvl w:val="0"/>
          <w:numId w:val="6"/>
        </w:numPr>
        <w:ind w:right="567" w:hanging="359"/>
        <w:contextualSpacing/>
        <w:jc w:val="both"/>
      </w:pPr>
      <w:r>
        <w:t xml:space="preserve">Anna Peters and Isabella Parotto. Soft Law as a New Model of Governance: A Legal Perspective // NewGov New Model of Governance, University of Basel. 2006. </w:t>
      </w:r>
      <w:hyperlink r:id="rId7">
        <w:r>
          <w:t>https://ius.unibas.ch/uploads/publics/3940/20100219145119_4b7e9757829c2.pdf</w:t>
        </w:r>
      </w:hyperlink>
      <w:r>
        <w:t xml:space="preserve"> </w:t>
      </w:r>
    </w:p>
    <w:p w:rsidR="00186ADA" w:rsidRDefault="00186ADA">
      <w:pPr>
        <w:pStyle w:val="normal0"/>
        <w:numPr>
          <w:ilvl w:val="0"/>
          <w:numId w:val="6"/>
        </w:numPr>
        <w:ind w:right="567" w:hanging="359"/>
        <w:contextualSpacing/>
        <w:jc w:val="both"/>
      </w:pPr>
      <w:r>
        <w:t>H. L. A. Hart Positivism and the Separation of Law and Morals. Harvard Law Review 71 (4): 593–629.</w:t>
      </w:r>
    </w:p>
    <w:p w:rsidR="00186ADA" w:rsidRDefault="00186ADA">
      <w:pPr>
        <w:pStyle w:val="normal0"/>
        <w:numPr>
          <w:ilvl w:val="0"/>
          <w:numId w:val="6"/>
        </w:numPr>
        <w:ind w:right="567" w:hanging="359"/>
        <w:contextualSpacing/>
        <w:jc w:val="both"/>
      </w:pPr>
      <w:r>
        <w:t>Lon L. Fuller  Positivism and Fidelity to Law — A Reply to Professor Hart. Harvard Law Review 71 (4): 630–672.</w:t>
      </w:r>
    </w:p>
    <w:p w:rsidR="00186ADA" w:rsidRDefault="00186ADA">
      <w:pPr>
        <w:pStyle w:val="normal0"/>
        <w:numPr>
          <w:ilvl w:val="0"/>
          <w:numId w:val="6"/>
        </w:numPr>
        <w:ind w:right="567" w:hanging="359"/>
        <w:contextualSpacing/>
        <w:jc w:val="both"/>
      </w:pPr>
      <w:r>
        <w:t xml:space="preserve">Lili Jiang, An Evaluation of Soft Law as a Method for Regulating Public Procurement from a Trade Perspective, Thesis submitted to the University of Nottingham for the degree of Doctor of Philosophy July 2009 // Электронный ресурс </w:t>
      </w:r>
      <w:hyperlink r:id="rId8">
        <w:r>
          <w:t>http://etheses.nottingham.ac.uk/700/</w:t>
        </w:r>
      </w:hyperlink>
    </w:p>
    <w:p w:rsidR="00186ADA" w:rsidRDefault="00186ADA">
      <w:pPr>
        <w:pStyle w:val="normal0"/>
        <w:numPr>
          <w:ilvl w:val="0"/>
          <w:numId w:val="6"/>
        </w:numPr>
        <w:ind w:right="567" w:hanging="359"/>
        <w:contextualSpacing/>
        <w:jc w:val="both"/>
      </w:pPr>
      <w:r>
        <w:t>Ulrika Mörth Introduction In Soft Law in Governance and Regulation Ulrika Mörth ed., Cheltenham, UK - Northampton, MA, USA, Edward Elgar Publishing Ltd, 2004</w:t>
      </w:r>
    </w:p>
    <w:p w:rsidR="00186ADA" w:rsidRDefault="00186ADA">
      <w:pPr>
        <w:pStyle w:val="normal0"/>
      </w:pPr>
    </w:p>
    <w:p w:rsidR="00186ADA" w:rsidRDefault="00186ADA">
      <w:pPr>
        <w:pStyle w:val="normal0"/>
      </w:pPr>
      <w:r>
        <w:rPr>
          <w:b/>
        </w:rPr>
        <w:t>Hand books, dictionaries and encyclopedia</w:t>
      </w:r>
    </w:p>
    <w:p w:rsidR="00186ADA" w:rsidRDefault="00186ADA">
      <w:pPr>
        <w:pStyle w:val="normal0"/>
        <w:ind w:left="927" w:firstLine="0"/>
      </w:pPr>
    </w:p>
    <w:p w:rsidR="00186ADA" w:rsidRDefault="00186ADA">
      <w:pPr>
        <w:pStyle w:val="normal0"/>
        <w:ind w:left="927" w:firstLine="0"/>
      </w:pPr>
      <w:r>
        <w:t>Wikipedia – free encyclopedia http://ru.wikipedia.org</w:t>
      </w:r>
    </w:p>
    <w:p w:rsidR="00186ADA" w:rsidRDefault="00186ADA">
      <w:pPr>
        <w:pStyle w:val="Heading1"/>
        <w:numPr>
          <w:ilvl w:val="0"/>
          <w:numId w:val="3"/>
        </w:numPr>
        <w:ind w:firstLine="0"/>
      </w:pPr>
      <w:r>
        <w:t>Equipment</w:t>
      </w:r>
    </w:p>
    <w:p w:rsidR="00186ADA" w:rsidRDefault="00186ADA">
      <w:pPr>
        <w:pStyle w:val="normal0"/>
        <w:jc w:val="both"/>
      </w:pPr>
      <w:r>
        <w:t>The course requires a computer (laptop) and projector for Power Point presentations. For home work “Consultant Plus” database installed on computers is needed (available in HSE computer classes)</w:t>
      </w:r>
    </w:p>
    <w:sectPr w:rsidR="00186ADA" w:rsidSect="00974D57">
      <w:headerReference w:type="default" r:id="rId9"/>
      <w:pgSz w:w="11906" w:h="16838"/>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DA" w:rsidRDefault="00186ADA" w:rsidP="00974D57">
      <w:r>
        <w:separator/>
      </w:r>
    </w:p>
  </w:endnote>
  <w:endnote w:type="continuationSeparator" w:id="0">
    <w:p w:rsidR="00186ADA" w:rsidRDefault="00186ADA" w:rsidP="00974D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DA" w:rsidRDefault="00186ADA" w:rsidP="00974D57">
      <w:r>
        <w:separator/>
      </w:r>
    </w:p>
  </w:footnote>
  <w:footnote w:type="continuationSeparator" w:id="0">
    <w:p w:rsidR="00186ADA" w:rsidRDefault="00186ADA" w:rsidP="00974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DA" w:rsidRDefault="00186ADA">
    <w:pPr>
      <w:pStyle w:val="normal0"/>
      <w:widowControl w:val="0"/>
      <w:spacing w:after="200" w:line="276" w:lineRule="auto"/>
      <w:ind w:firstLine="0"/>
    </w:pPr>
  </w:p>
  <w:tbl>
    <w:tblPr>
      <w:tblW w:w="10314" w:type="dxa"/>
      <w:tblBorders>
        <w:top w:val="single" w:sz="4" w:space="0" w:color="A6A6A6"/>
        <w:left w:val="single" w:sz="4" w:space="0" w:color="A6A6A6"/>
        <w:bottom w:val="single" w:sz="4" w:space="0" w:color="A6A6A6"/>
        <w:right w:val="single" w:sz="4" w:space="0" w:color="A6A6A6"/>
      </w:tblBorders>
      <w:tblLayout w:type="fixed"/>
      <w:tblLook w:val="0000"/>
    </w:tblPr>
    <w:tblGrid>
      <w:gridCol w:w="881"/>
      <w:gridCol w:w="9433"/>
    </w:tblGrid>
    <w:tr w:rsidR="00186ADA" w:rsidTr="00624FF6">
      <w:tc>
        <w:tcPr>
          <w:tcW w:w="881" w:type="dxa"/>
          <w:tcBorders>
            <w:top w:val="single" w:sz="4" w:space="0" w:color="A6A6A6"/>
            <w:bottom w:val="single" w:sz="4" w:space="0" w:color="A6A6A6"/>
          </w:tcBorders>
        </w:tcPr>
        <w:p w:rsidR="00186ADA" w:rsidRDefault="00186ADA" w:rsidP="00624FF6">
          <w:pPr>
            <w:pStyle w:val="normal0"/>
            <w:tabs>
              <w:tab w:val="center" w:pos="4677"/>
              <w:tab w:val="right" w:pos="9355"/>
            </w:tabs>
            <w:ind w:firstLine="0"/>
          </w:pPr>
          <w:r w:rsidRPr="00654B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png" o:spid="_x0000_i1026" type="#_x0000_t75" alt=" " style="width:31.5pt;height:36pt;visibility:visible">
                <v:imagedata r:id="rId1" o:title=""/>
              </v:shape>
            </w:pict>
          </w:r>
        </w:p>
      </w:tc>
      <w:tc>
        <w:tcPr>
          <w:tcW w:w="9433" w:type="dxa"/>
          <w:tcBorders>
            <w:top w:val="single" w:sz="4" w:space="0" w:color="A6A6A6"/>
            <w:bottom w:val="single" w:sz="4" w:space="0" w:color="A6A6A6"/>
          </w:tcBorders>
        </w:tcPr>
        <w:p w:rsidR="00186ADA" w:rsidRDefault="00186ADA" w:rsidP="00624FF6">
          <w:pPr>
            <w:pStyle w:val="normal0"/>
            <w:jc w:val="center"/>
          </w:pPr>
          <w:r w:rsidRPr="00624FF6">
            <w:rPr>
              <w:sz w:val="20"/>
            </w:rPr>
            <w:t>Национальный исследовательский университет – Высшая школа экономики</w:t>
          </w:r>
          <w:r w:rsidRPr="00624FF6">
            <w:rPr>
              <w:sz w:val="20"/>
            </w:rPr>
            <w:br/>
            <w:t>Программа дисциплины «Мягкое право и регулятивное управление » для направления/ специальности 03.0200.68 «Политология», подготовки магистра</w:t>
          </w:r>
        </w:p>
      </w:tc>
    </w:tr>
  </w:tbl>
  <w:p w:rsidR="00186ADA" w:rsidRDefault="00186ADA">
    <w:pPr>
      <w:pStyle w:val="normal0"/>
      <w:tabs>
        <w:tab w:val="center" w:pos="4677"/>
        <w:tab w:val="right"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74A9"/>
    <w:multiLevelType w:val="multilevel"/>
    <w:tmpl w:val="FFFFFFFF"/>
    <w:lvl w:ilvl="0">
      <w:start w:val="1"/>
      <w:numFmt w:val="bullet"/>
      <w:lvlText w:val="•"/>
      <w:lvlJc w:val="left"/>
      <w:pPr>
        <w:ind w:left="426"/>
      </w:pPr>
      <w:rPr>
        <w:rFonts w:ascii="Arial" w:eastAsia="Times New Roman" w:hAnsi="Arial"/>
        <w:sz w:val="36"/>
        <w:vertAlign w:val="subscript"/>
      </w:rPr>
    </w:lvl>
    <w:lvl w:ilvl="1">
      <w:start w:val="1"/>
      <w:numFmt w:val="bullet"/>
      <w:lvlText w:val="•"/>
      <w:lvlJc w:val="left"/>
      <w:pPr>
        <w:ind w:left="180" w:firstLine="540"/>
      </w:pPr>
      <w:rPr>
        <w:rFonts w:ascii="Arial" w:eastAsia="Times New Roman" w:hAnsi="Arial"/>
        <w:sz w:val="36"/>
        <w:vertAlign w:val="subscript"/>
      </w:rPr>
    </w:lvl>
    <w:lvl w:ilvl="2">
      <w:start w:val="1"/>
      <w:numFmt w:val="bullet"/>
      <w:lvlText w:val="•"/>
      <w:lvlJc w:val="left"/>
      <w:pPr>
        <w:ind w:left="180" w:firstLine="900"/>
      </w:pPr>
      <w:rPr>
        <w:rFonts w:ascii="Arial" w:eastAsia="Times New Roman" w:hAnsi="Arial"/>
        <w:sz w:val="36"/>
        <w:vertAlign w:val="subscript"/>
      </w:rPr>
    </w:lvl>
    <w:lvl w:ilvl="3">
      <w:start w:val="1"/>
      <w:numFmt w:val="bullet"/>
      <w:lvlText w:val="•"/>
      <w:lvlJc w:val="left"/>
      <w:pPr>
        <w:ind w:left="180" w:firstLine="1260"/>
      </w:pPr>
      <w:rPr>
        <w:rFonts w:ascii="Arial" w:eastAsia="Times New Roman" w:hAnsi="Arial"/>
        <w:sz w:val="36"/>
        <w:vertAlign w:val="subscript"/>
      </w:rPr>
    </w:lvl>
    <w:lvl w:ilvl="4">
      <w:start w:val="1"/>
      <w:numFmt w:val="bullet"/>
      <w:lvlText w:val="•"/>
      <w:lvlJc w:val="left"/>
      <w:pPr>
        <w:ind w:left="180" w:firstLine="1620"/>
      </w:pPr>
      <w:rPr>
        <w:rFonts w:ascii="Arial" w:eastAsia="Times New Roman" w:hAnsi="Arial"/>
        <w:sz w:val="36"/>
        <w:vertAlign w:val="subscript"/>
      </w:rPr>
    </w:lvl>
    <w:lvl w:ilvl="5">
      <w:start w:val="1"/>
      <w:numFmt w:val="bullet"/>
      <w:lvlText w:val="•"/>
      <w:lvlJc w:val="left"/>
      <w:pPr>
        <w:ind w:left="180" w:firstLine="1980"/>
      </w:pPr>
      <w:rPr>
        <w:rFonts w:ascii="Arial" w:eastAsia="Times New Roman" w:hAnsi="Arial"/>
        <w:sz w:val="36"/>
        <w:vertAlign w:val="subscript"/>
      </w:rPr>
    </w:lvl>
    <w:lvl w:ilvl="6">
      <w:start w:val="1"/>
      <w:numFmt w:val="bullet"/>
      <w:lvlText w:val="•"/>
      <w:lvlJc w:val="left"/>
      <w:pPr>
        <w:ind w:left="180" w:firstLine="2340"/>
      </w:pPr>
      <w:rPr>
        <w:rFonts w:ascii="Arial" w:eastAsia="Times New Roman" w:hAnsi="Arial"/>
        <w:sz w:val="36"/>
        <w:vertAlign w:val="subscript"/>
      </w:rPr>
    </w:lvl>
    <w:lvl w:ilvl="7">
      <w:start w:val="1"/>
      <w:numFmt w:val="bullet"/>
      <w:lvlText w:val="•"/>
      <w:lvlJc w:val="left"/>
      <w:pPr>
        <w:ind w:left="180" w:firstLine="2700"/>
      </w:pPr>
      <w:rPr>
        <w:rFonts w:ascii="Arial" w:eastAsia="Times New Roman" w:hAnsi="Arial"/>
        <w:sz w:val="36"/>
        <w:vertAlign w:val="subscript"/>
      </w:rPr>
    </w:lvl>
    <w:lvl w:ilvl="8">
      <w:start w:val="1"/>
      <w:numFmt w:val="bullet"/>
      <w:lvlText w:val="•"/>
      <w:lvlJc w:val="left"/>
      <w:pPr>
        <w:ind w:left="180" w:firstLine="3060"/>
      </w:pPr>
      <w:rPr>
        <w:rFonts w:ascii="Arial" w:eastAsia="Times New Roman" w:hAnsi="Arial"/>
        <w:sz w:val="36"/>
        <w:vertAlign w:val="subscript"/>
      </w:rPr>
    </w:lvl>
  </w:abstractNum>
  <w:abstractNum w:abstractNumId="1">
    <w:nsid w:val="52165FA3"/>
    <w:multiLevelType w:val="multilevel"/>
    <w:tmpl w:val="FFFFFFFF"/>
    <w:lvl w:ilvl="0">
      <w:start w:val="1"/>
      <w:numFmt w:val="bullet"/>
      <w:lvlText w:val="✓"/>
      <w:lvlJc w:val="left"/>
      <w:pPr>
        <w:ind w:left="1786" w:firstLine="1426"/>
      </w:pPr>
      <w:rPr>
        <w:rFonts w:ascii="Arial" w:eastAsia="Times New Roman" w:hAnsi="Arial"/>
      </w:rPr>
    </w:lvl>
    <w:lvl w:ilvl="1">
      <w:start w:val="1"/>
      <w:numFmt w:val="bullet"/>
      <w:lvlText w:val="o"/>
      <w:lvlJc w:val="left"/>
      <w:pPr>
        <w:ind w:left="2506" w:firstLine="2146"/>
      </w:pPr>
      <w:rPr>
        <w:rFonts w:ascii="Arial" w:eastAsia="Times New Roman" w:hAnsi="Arial"/>
      </w:rPr>
    </w:lvl>
    <w:lvl w:ilvl="2">
      <w:start w:val="1"/>
      <w:numFmt w:val="bullet"/>
      <w:lvlText w:val="▪"/>
      <w:lvlJc w:val="left"/>
      <w:pPr>
        <w:ind w:left="3226" w:firstLine="2866"/>
      </w:pPr>
      <w:rPr>
        <w:rFonts w:ascii="Arial" w:eastAsia="Times New Roman" w:hAnsi="Arial"/>
      </w:rPr>
    </w:lvl>
    <w:lvl w:ilvl="3">
      <w:start w:val="1"/>
      <w:numFmt w:val="bullet"/>
      <w:lvlText w:val="●"/>
      <w:lvlJc w:val="left"/>
      <w:pPr>
        <w:ind w:left="3946" w:firstLine="3586"/>
      </w:pPr>
      <w:rPr>
        <w:rFonts w:ascii="Arial" w:eastAsia="Times New Roman" w:hAnsi="Arial"/>
      </w:rPr>
    </w:lvl>
    <w:lvl w:ilvl="4">
      <w:start w:val="1"/>
      <w:numFmt w:val="bullet"/>
      <w:lvlText w:val="o"/>
      <w:lvlJc w:val="left"/>
      <w:pPr>
        <w:ind w:left="4666" w:firstLine="4306"/>
      </w:pPr>
      <w:rPr>
        <w:rFonts w:ascii="Arial" w:eastAsia="Times New Roman" w:hAnsi="Arial"/>
      </w:rPr>
    </w:lvl>
    <w:lvl w:ilvl="5">
      <w:start w:val="1"/>
      <w:numFmt w:val="bullet"/>
      <w:lvlText w:val="▪"/>
      <w:lvlJc w:val="left"/>
      <w:pPr>
        <w:ind w:left="5386" w:firstLine="5026"/>
      </w:pPr>
      <w:rPr>
        <w:rFonts w:ascii="Arial" w:eastAsia="Times New Roman" w:hAnsi="Arial"/>
      </w:rPr>
    </w:lvl>
    <w:lvl w:ilvl="6">
      <w:start w:val="1"/>
      <w:numFmt w:val="bullet"/>
      <w:lvlText w:val="●"/>
      <w:lvlJc w:val="left"/>
      <w:pPr>
        <w:ind w:left="6106" w:firstLine="5746"/>
      </w:pPr>
      <w:rPr>
        <w:rFonts w:ascii="Arial" w:eastAsia="Times New Roman" w:hAnsi="Arial"/>
      </w:rPr>
    </w:lvl>
    <w:lvl w:ilvl="7">
      <w:start w:val="1"/>
      <w:numFmt w:val="bullet"/>
      <w:lvlText w:val="o"/>
      <w:lvlJc w:val="left"/>
      <w:pPr>
        <w:ind w:left="6826" w:firstLine="6466"/>
      </w:pPr>
      <w:rPr>
        <w:rFonts w:ascii="Arial" w:eastAsia="Times New Roman" w:hAnsi="Arial"/>
      </w:rPr>
    </w:lvl>
    <w:lvl w:ilvl="8">
      <w:start w:val="1"/>
      <w:numFmt w:val="bullet"/>
      <w:lvlText w:val="▪"/>
      <w:lvlJc w:val="left"/>
      <w:pPr>
        <w:ind w:left="7546" w:firstLine="7186"/>
      </w:pPr>
      <w:rPr>
        <w:rFonts w:ascii="Arial" w:eastAsia="Times New Roman" w:hAnsi="Arial"/>
      </w:rPr>
    </w:lvl>
  </w:abstractNum>
  <w:abstractNum w:abstractNumId="2">
    <w:nsid w:val="58463773"/>
    <w:multiLevelType w:val="multilevel"/>
    <w:tmpl w:val="FFFFFFFF"/>
    <w:lvl w:ilvl="0">
      <w:start w:val="1"/>
      <w:numFmt w:val="decimal"/>
      <w:lvlText w:val="%1"/>
      <w:lvlJc w:val="left"/>
      <w:pPr>
        <w:ind w:left="432"/>
      </w:pPr>
      <w:rPr>
        <w:rFonts w:cs="Times New Roman"/>
      </w:rPr>
    </w:lvl>
    <w:lvl w:ilvl="1">
      <w:start w:val="1"/>
      <w:numFmt w:val="decimal"/>
      <w:lvlText w:val="%1.%2"/>
      <w:lvlJc w:val="left"/>
      <w:pPr>
        <w:ind w:left="576"/>
      </w:pPr>
      <w:rPr>
        <w:rFonts w:cs="Times New Roman"/>
      </w:rPr>
    </w:lvl>
    <w:lvl w:ilvl="2">
      <w:start w:val="1"/>
      <w:numFmt w:val="decimal"/>
      <w:lvlText w:val="%1.%2.%3"/>
      <w:lvlJc w:val="left"/>
      <w:pPr>
        <w:ind w:left="720"/>
      </w:pPr>
      <w:rPr>
        <w:rFonts w:cs="Times New Roman"/>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3">
    <w:nsid w:val="66E412BF"/>
    <w:multiLevelType w:val="multilevel"/>
    <w:tmpl w:val="FFFFFFFF"/>
    <w:lvl w:ilvl="0">
      <w:start w:val="1"/>
      <w:numFmt w:val="decimal"/>
      <w:lvlText w:val="%1."/>
      <w:lvlJc w:val="left"/>
      <w:pPr>
        <w:ind w:left="1287" w:firstLine="927"/>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4">
    <w:nsid w:val="691A65F0"/>
    <w:multiLevelType w:val="multilevel"/>
    <w:tmpl w:val="FFFFFFFF"/>
    <w:lvl w:ilvl="0">
      <w:start w:val="1"/>
      <w:numFmt w:val="decimal"/>
      <w:lvlText w:val="%1."/>
      <w:lvlJc w:val="left"/>
      <w:pPr>
        <w:ind w:left="927" w:firstLine="567"/>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nsid w:val="76F039A7"/>
    <w:multiLevelType w:val="multilevel"/>
    <w:tmpl w:val="FFFFFFFF"/>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D57"/>
    <w:rsid w:val="00186ADA"/>
    <w:rsid w:val="0025125F"/>
    <w:rsid w:val="00624FF6"/>
    <w:rsid w:val="00654B42"/>
    <w:rsid w:val="00974D57"/>
    <w:rsid w:val="00C85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09"/>
    </w:pPr>
    <w:rPr>
      <w:color w:val="000000"/>
      <w:sz w:val="24"/>
      <w:szCs w:val="20"/>
    </w:rPr>
  </w:style>
  <w:style w:type="paragraph" w:styleId="Heading1">
    <w:name w:val="heading 1"/>
    <w:basedOn w:val="normal0"/>
    <w:next w:val="normal0"/>
    <w:link w:val="Heading1Char"/>
    <w:uiPriority w:val="99"/>
    <w:qFormat/>
    <w:rsid w:val="00974D57"/>
    <w:pPr>
      <w:keepNext/>
      <w:keepLines/>
      <w:spacing w:before="120" w:after="120"/>
      <w:ind w:left="432" w:hanging="431"/>
      <w:outlineLvl w:val="0"/>
    </w:pPr>
    <w:rPr>
      <w:b/>
      <w:sz w:val="28"/>
    </w:rPr>
  </w:style>
  <w:style w:type="paragraph" w:styleId="Heading2">
    <w:name w:val="heading 2"/>
    <w:basedOn w:val="normal0"/>
    <w:next w:val="normal0"/>
    <w:link w:val="Heading2Char"/>
    <w:uiPriority w:val="99"/>
    <w:qFormat/>
    <w:rsid w:val="00974D57"/>
    <w:pPr>
      <w:keepNext/>
      <w:keepLines/>
      <w:spacing w:before="120" w:after="60"/>
      <w:ind w:left="576" w:hanging="575"/>
      <w:outlineLvl w:val="1"/>
    </w:pPr>
    <w:rPr>
      <w:b/>
    </w:rPr>
  </w:style>
  <w:style w:type="paragraph" w:styleId="Heading3">
    <w:name w:val="heading 3"/>
    <w:basedOn w:val="normal0"/>
    <w:next w:val="normal0"/>
    <w:link w:val="Heading3Char"/>
    <w:uiPriority w:val="99"/>
    <w:qFormat/>
    <w:rsid w:val="00974D57"/>
    <w:pPr>
      <w:keepNext/>
      <w:keepLines/>
      <w:spacing w:before="240" w:after="60"/>
      <w:ind w:left="720" w:hanging="719"/>
      <w:outlineLvl w:val="2"/>
    </w:pPr>
    <w:rPr>
      <w:rFonts w:ascii="Cambria" w:hAnsi="Cambria" w:cs="Cambria"/>
      <w:b/>
      <w:sz w:val="26"/>
    </w:rPr>
  </w:style>
  <w:style w:type="paragraph" w:styleId="Heading4">
    <w:name w:val="heading 4"/>
    <w:basedOn w:val="normal0"/>
    <w:next w:val="normal0"/>
    <w:link w:val="Heading4Char"/>
    <w:uiPriority w:val="99"/>
    <w:qFormat/>
    <w:rsid w:val="00974D57"/>
    <w:pPr>
      <w:keepNext/>
      <w:keepLines/>
      <w:spacing w:before="240" w:after="60"/>
      <w:ind w:left="864" w:hanging="863"/>
      <w:outlineLvl w:val="3"/>
    </w:pPr>
    <w:rPr>
      <w:rFonts w:ascii="Calibri" w:hAnsi="Calibri" w:cs="Calibri"/>
      <w:b/>
      <w:sz w:val="28"/>
    </w:rPr>
  </w:style>
  <w:style w:type="paragraph" w:styleId="Heading5">
    <w:name w:val="heading 5"/>
    <w:basedOn w:val="normal0"/>
    <w:next w:val="normal0"/>
    <w:link w:val="Heading5Char"/>
    <w:uiPriority w:val="99"/>
    <w:qFormat/>
    <w:rsid w:val="00974D57"/>
    <w:pPr>
      <w:keepNext/>
      <w:keepLines/>
      <w:spacing w:before="240" w:after="60"/>
      <w:ind w:left="1008" w:hanging="1007"/>
      <w:outlineLvl w:val="4"/>
    </w:pPr>
    <w:rPr>
      <w:rFonts w:ascii="Calibri" w:hAnsi="Calibri" w:cs="Calibri"/>
      <w:b/>
      <w:i/>
      <w:sz w:val="26"/>
    </w:rPr>
  </w:style>
  <w:style w:type="paragraph" w:styleId="Heading6">
    <w:name w:val="heading 6"/>
    <w:basedOn w:val="normal0"/>
    <w:next w:val="normal0"/>
    <w:link w:val="Heading6Char"/>
    <w:uiPriority w:val="99"/>
    <w:qFormat/>
    <w:rsid w:val="00974D57"/>
    <w:pPr>
      <w:keepNext/>
      <w:keepLines/>
      <w:spacing w:before="240" w:after="60"/>
      <w:ind w:left="1152" w:hanging="1151"/>
      <w:outlineLvl w:val="5"/>
    </w:pPr>
    <w:rPr>
      <w:rFonts w:ascii="Calibri" w:hAnsi="Calibri" w:cs="Calibri"/>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3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C753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C753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C753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C753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C7532"/>
    <w:rPr>
      <w:rFonts w:asciiTheme="minorHAnsi" w:eastAsiaTheme="minorEastAsia" w:hAnsiTheme="minorHAnsi" w:cstheme="minorBidi"/>
      <w:b/>
      <w:bCs/>
      <w:color w:val="000000"/>
    </w:rPr>
  </w:style>
  <w:style w:type="paragraph" w:customStyle="1" w:styleId="normal0">
    <w:name w:val="normal"/>
    <w:uiPriority w:val="99"/>
    <w:rsid w:val="00974D57"/>
    <w:pPr>
      <w:ind w:firstLine="709"/>
    </w:pPr>
    <w:rPr>
      <w:color w:val="000000"/>
      <w:sz w:val="24"/>
      <w:szCs w:val="20"/>
    </w:rPr>
  </w:style>
  <w:style w:type="paragraph" w:styleId="Title">
    <w:name w:val="Title"/>
    <w:basedOn w:val="normal0"/>
    <w:next w:val="normal0"/>
    <w:link w:val="TitleChar"/>
    <w:uiPriority w:val="99"/>
    <w:qFormat/>
    <w:rsid w:val="00974D57"/>
    <w:pPr>
      <w:keepNext/>
      <w:keepLines/>
      <w:spacing w:before="480" w:after="120"/>
      <w:contextualSpacing/>
    </w:pPr>
    <w:rPr>
      <w:b/>
      <w:sz w:val="72"/>
    </w:rPr>
  </w:style>
  <w:style w:type="character" w:customStyle="1" w:styleId="TitleChar">
    <w:name w:val="Title Char"/>
    <w:basedOn w:val="DefaultParagraphFont"/>
    <w:link w:val="Title"/>
    <w:uiPriority w:val="10"/>
    <w:rsid w:val="007C7532"/>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974D57"/>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7C7532"/>
    <w:rPr>
      <w:rFonts w:asciiTheme="majorHAnsi" w:eastAsiaTheme="majorEastAsia" w:hAnsiTheme="majorHAnsi" w:cstheme="majorBidi"/>
      <w:color w:val="000000"/>
      <w:sz w:val="24"/>
      <w:szCs w:val="24"/>
    </w:rPr>
  </w:style>
  <w:style w:type="table" w:customStyle="1" w:styleId="a">
    <w:name w:val="Стиль"/>
    <w:uiPriority w:val="99"/>
    <w:rsid w:val="00974D57"/>
    <w:rPr>
      <w:sz w:val="20"/>
      <w:szCs w:val="20"/>
    </w:rPr>
    <w:tblPr>
      <w:tblStyleRowBandSize w:val="1"/>
      <w:tblStyleColBandSize w:val="1"/>
      <w:tblInd w:w="0" w:type="dxa"/>
      <w:tblCellMar>
        <w:top w:w="0" w:type="dxa"/>
        <w:left w:w="108" w:type="dxa"/>
        <w:bottom w:w="0" w:type="dxa"/>
        <w:right w:w="108" w:type="dxa"/>
      </w:tblCellMar>
    </w:tblPr>
  </w:style>
  <w:style w:type="table" w:customStyle="1" w:styleId="3">
    <w:name w:val="Стиль3"/>
    <w:uiPriority w:val="99"/>
    <w:rsid w:val="00974D57"/>
    <w:rPr>
      <w:sz w:val="20"/>
      <w:szCs w:val="20"/>
    </w:rPr>
    <w:tblPr>
      <w:tblStyleRowBandSize w:val="1"/>
      <w:tblStyleColBandSize w:val="1"/>
      <w:tblInd w:w="0" w:type="dxa"/>
      <w:tblCellMar>
        <w:top w:w="0" w:type="dxa"/>
        <w:left w:w="108" w:type="dxa"/>
        <w:bottom w:w="0" w:type="dxa"/>
        <w:right w:w="108" w:type="dxa"/>
      </w:tblCellMar>
    </w:tblPr>
  </w:style>
  <w:style w:type="table" w:customStyle="1" w:styleId="2">
    <w:name w:val="Стиль2"/>
    <w:uiPriority w:val="99"/>
    <w:rsid w:val="00974D57"/>
    <w:rPr>
      <w:sz w:val="20"/>
      <w:szCs w:val="20"/>
    </w:rPr>
    <w:tblPr>
      <w:tblStyleRowBandSize w:val="1"/>
      <w:tblStyleColBandSize w:val="1"/>
      <w:tblInd w:w="0" w:type="dxa"/>
      <w:tblCellMar>
        <w:top w:w="0" w:type="dxa"/>
        <w:left w:w="108" w:type="dxa"/>
        <w:bottom w:w="0" w:type="dxa"/>
        <w:right w:w="108" w:type="dxa"/>
      </w:tblCellMar>
    </w:tblPr>
  </w:style>
  <w:style w:type="table" w:customStyle="1" w:styleId="1">
    <w:name w:val="Стиль1"/>
    <w:uiPriority w:val="99"/>
    <w:rsid w:val="00974D57"/>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eses.nottingham.ac.uk/700/" TargetMode="External"/><Relationship Id="rId3" Type="http://schemas.openxmlformats.org/officeDocument/2006/relationships/settings" Target="settings.xml"/><Relationship Id="rId7" Type="http://schemas.openxmlformats.org/officeDocument/2006/relationships/hyperlink" Target="https://ius.unibas.ch/uploads/publics/3940/20100219145119_4b7e9757829c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2241</Words>
  <Characters>12775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Soft_Law_29.08.2013.docx</dc:title>
  <dc:subject/>
  <dc:creator/>
  <cp:keywords/>
  <dc:description/>
  <cp:lastModifiedBy>1</cp:lastModifiedBy>
  <cp:revision>2</cp:revision>
  <dcterms:created xsi:type="dcterms:W3CDTF">2014-08-06T12:29:00Z</dcterms:created>
  <dcterms:modified xsi:type="dcterms:W3CDTF">2014-08-06T12:30:00Z</dcterms:modified>
</cp:coreProperties>
</file>