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82" w:rsidRDefault="00D26E82" w:rsidP="00D26E82">
      <w:pPr>
        <w:pStyle w:val="1"/>
        <w:spacing w:after="120"/>
        <w:ind w:left="432" w:hanging="432"/>
        <w:jc w:val="both"/>
      </w:pPr>
    </w:p>
    <w:p w:rsidR="00D26E82" w:rsidRPr="00D11552" w:rsidRDefault="00D26E82" w:rsidP="00D26E82">
      <w:pPr>
        <w:pStyle w:val="1"/>
        <w:spacing w:after="120"/>
        <w:ind w:left="432" w:hanging="432"/>
        <w:jc w:val="center"/>
        <w:rPr>
          <w:rFonts w:ascii="Arial CYR" w:hAnsi="Arial CYR" w:cs="Arial CYR"/>
        </w:rPr>
      </w:pPr>
      <w:r w:rsidRPr="00D11552">
        <w:rPr>
          <w:rFonts w:ascii="Arial CYR" w:hAnsi="Arial CYR" w:cs="Arial CYR"/>
        </w:rPr>
        <w:t>Курс «Моделирование кредитных рейтингов»</w:t>
      </w:r>
    </w:p>
    <w:p w:rsidR="00D26E82" w:rsidRDefault="00D26E82" w:rsidP="00D26E82"/>
    <w:p w:rsidR="00D26E82" w:rsidRPr="00D11552" w:rsidRDefault="00D26E82" w:rsidP="00D26E82">
      <w:pPr>
        <w:rPr>
          <w:sz w:val="28"/>
          <w:szCs w:val="28"/>
        </w:rPr>
      </w:pPr>
      <w:r w:rsidRPr="00D11552">
        <w:rPr>
          <w:sz w:val="28"/>
          <w:szCs w:val="28"/>
        </w:rPr>
        <w:t xml:space="preserve">Автор: </w:t>
      </w:r>
      <w:proofErr w:type="gramStart"/>
      <w:r w:rsidRPr="00470AD3">
        <w:rPr>
          <w:b/>
          <w:sz w:val="28"/>
          <w:szCs w:val="28"/>
        </w:rPr>
        <w:t>А.М. Карминский</w:t>
      </w:r>
      <w:r w:rsidRPr="00D11552">
        <w:rPr>
          <w:sz w:val="28"/>
          <w:szCs w:val="28"/>
        </w:rPr>
        <w:t xml:space="preserve">, профессор, </w:t>
      </w:r>
      <w:proofErr w:type="spellStart"/>
      <w:r w:rsidRPr="00D11552">
        <w:rPr>
          <w:sz w:val="28"/>
          <w:szCs w:val="28"/>
        </w:rPr>
        <w:t>д.э.н</w:t>
      </w:r>
      <w:proofErr w:type="spellEnd"/>
      <w:r w:rsidRPr="00D11552">
        <w:rPr>
          <w:sz w:val="28"/>
          <w:szCs w:val="28"/>
        </w:rPr>
        <w:t>., д.т.н., Департамент финансов</w:t>
      </w:r>
      <w:proofErr w:type="gramEnd"/>
    </w:p>
    <w:p w:rsidR="00D26E82" w:rsidRDefault="00D26E82" w:rsidP="00D26E82">
      <w:pPr>
        <w:rPr>
          <w:sz w:val="28"/>
          <w:szCs w:val="28"/>
        </w:rPr>
      </w:pPr>
    </w:p>
    <w:p w:rsidR="00D26E82" w:rsidRPr="00D11552" w:rsidRDefault="00D26E82" w:rsidP="00D26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D3">
        <w:rPr>
          <w:b/>
          <w:sz w:val="28"/>
          <w:szCs w:val="28"/>
        </w:rPr>
        <w:t xml:space="preserve">Курс </w:t>
      </w:r>
      <w:r w:rsidRPr="0047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читается</w:t>
      </w:r>
      <w:r w:rsidRPr="00D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3-м модуле для маг</w:t>
      </w:r>
      <w:r w:rsidRPr="00D11552">
        <w:rPr>
          <w:sz w:val="28"/>
          <w:szCs w:val="28"/>
        </w:rPr>
        <w:t>истерских</w:t>
      </w:r>
      <w:r w:rsidRPr="00D11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ФРФИ  и СУФФ.</w:t>
      </w:r>
      <w:r w:rsidRPr="00D11552">
        <w:rPr>
          <w:sz w:val="28"/>
          <w:szCs w:val="28"/>
        </w:rPr>
        <w:t xml:space="preserve"> Могут посещать </w:t>
      </w:r>
      <w:proofErr w:type="gramStart"/>
      <w:r w:rsidRPr="00D11552">
        <w:rPr>
          <w:sz w:val="28"/>
          <w:szCs w:val="28"/>
        </w:rPr>
        <w:t>студенты</w:t>
      </w:r>
      <w:proofErr w:type="gramEnd"/>
      <w:r w:rsidRPr="00D11552">
        <w:rPr>
          <w:sz w:val="28"/>
          <w:szCs w:val="28"/>
        </w:rPr>
        <w:t xml:space="preserve"> </w:t>
      </w:r>
      <w:r w:rsidR="00470AD3">
        <w:rPr>
          <w:sz w:val="28"/>
          <w:szCs w:val="28"/>
        </w:rPr>
        <w:t>как</w:t>
      </w:r>
      <w:r w:rsidRPr="00D11552">
        <w:rPr>
          <w:sz w:val="28"/>
          <w:szCs w:val="28"/>
        </w:rPr>
        <w:t xml:space="preserve"> второго, так и первого курсов.</w:t>
      </w:r>
    </w:p>
    <w:p w:rsidR="00D26E82" w:rsidRPr="00D11552" w:rsidRDefault="00D26E82" w:rsidP="00D26E82"/>
    <w:p w:rsidR="00D26E82" w:rsidRPr="007E65ED" w:rsidRDefault="00D26E82" w:rsidP="00D26E82">
      <w:pPr>
        <w:pStyle w:val="1"/>
        <w:spacing w:after="120"/>
        <w:ind w:left="432" w:hanging="432"/>
        <w:jc w:val="both"/>
      </w:pPr>
      <w:r w:rsidRPr="007E65ED">
        <w:t>Тематический план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4264"/>
        <w:gridCol w:w="810"/>
        <w:gridCol w:w="900"/>
        <w:gridCol w:w="999"/>
        <w:gridCol w:w="904"/>
        <w:gridCol w:w="1260"/>
      </w:tblGrid>
      <w:tr w:rsidR="00D26E82" w:rsidRPr="00574004" w:rsidTr="004A18D0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82" w:rsidRPr="00BD479D" w:rsidRDefault="00D26E82" w:rsidP="004A18D0">
            <w:pPr>
              <w:jc w:val="center"/>
              <w:rPr>
                <w:b/>
                <w:bCs/>
              </w:rPr>
            </w:pPr>
            <w:r w:rsidRPr="00BD479D">
              <w:rPr>
                <w:b/>
                <w:bCs/>
              </w:rPr>
              <w:t>№</w:t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82" w:rsidRPr="00BD479D" w:rsidRDefault="00D26E82" w:rsidP="004A18D0">
            <w:pPr>
              <w:jc w:val="center"/>
              <w:rPr>
                <w:b/>
                <w:bCs/>
              </w:rPr>
            </w:pPr>
            <w:r w:rsidRPr="00BD479D">
              <w:rPr>
                <w:b/>
                <w:bCs/>
              </w:rPr>
              <w:t>Название раздела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82" w:rsidRPr="00BD479D" w:rsidRDefault="00D26E82" w:rsidP="004A18D0">
            <w:pPr>
              <w:jc w:val="center"/>
              <w:rPr>
                <w:b/>
                <w:bCs/>
              </w:rPr>
            </w:pPr>
            <w:r w:rsidRPr="00BD479D">
              <w:rPr>
                <w:b/>
                <w:bCs/>
              </w:rPr>
              <w:t>Всего часов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2" w:rsidRPr="00BD479D" w:rsidRDefault="00D26E82" w:rsidP="004A18D0">
            <w:pPr>
              <w:jc w:val="center"/>
              <w:rPr>
                <w:b/>
                <w:bCs/>
              </w:rPr>
            </w:pPr>
            <w:r w:rsidRPr="00BD479D">
              <w:rPr>
                <w:b/>
                <w:bCs/>
              </w:rPr>
              <w:t>Аудиторная работа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E82" w:rsidRPr="00BD479D" w:rsidRDefault="00D26E82" w:rsidP="004A18D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D479D">
              <w:rPr>
                <w:b/>
                <w:bCs/>
              </w:rPr>
              <w:t>Самосто</w:t>
            </w:r>
            <w:r w:rsidR="00B64AAB">
              <w:rPr>
                <w:b/>
                <w:bCs/>
              </w:rPr>
              <w:t>-</w:t>
            </w:r>
            <w:r w:rsidRPr="00BD479D">
              <w:rPr>
                <w:b/>
                <w:bCs/>
              </w:rPr>
              <w:t>ятельная</w:t>
            </w:r>
            <w:proofErr w:type="spellEnd"/>
            <w:proofErr w:type="gramEnd"/>
            <w:r w:rsidRPr="00BD479D">
              <w:rPr>
                <w:b/>
                <w:bCs/>
              </w:rPr>
              <w:t xml:space="preserve"> работа</w:t>
            </w:r>
          </w:p>
        </w:tc>
      </w:tr>
      <w:tr w:rsidR="00D26E82" w:rsidRPr="00574004" w:rsidTr="004A18D0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574004" w:rsidRDefault="00D26E82" w:rsidP="004A18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574004" w:rsidRDefault="00D26E82" w:rsidP="004A18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82" w:rsidRPr="00574004" w:rsidRDefault="00D26E82" w:rsidP="004A18D0">
            <w:pPr>
              <w:jc w:val="center"/>
              <w:rPr>
                <w:b/>
                <w:bCs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E82" w:rsidRPr="00BD479D" w:rsidRDefault="00D26E82" w:rsidP="00B64AAB">
            <w:pPr>
              <w:ind w:left="-57" w:right="-57"/>
              <w:jc w:val="center"/>
              <w:rPr>
                <w:bCs/>
              </w:rPr>
            </w:pPr>
            <w:r w:rsidRPr="00BD479D">
              <w:rPr>
                <w:bCs/>
              </w:rPr>
              <w:t>Лекции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82" w:rsidRPr="00BD479D" w:rsidRDefault="00D26E82" w:rsidP="00B64AAB">
            <w:pPr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BD479D">
              <w:rPr>
                <w:bCs/>
              </w:rPr>
              <w:t>Семи</w:t>
            </w:r>
            <w:r w:rsidR="00B64AAB">
              <w:rPr>
                <w:bCs/>
              </w:rPr>
              <w:t>-</w:t>
            </w:r>
            <w:r w:rsidRPr="00BD479D">
              <w:rPr>
                <w:bCs/>
              </w:rPr>
              <w:t>нары</w:t>
            </w:r>
            <w:proofErr w:type="spellEnd"/>
            <w:proofErr w:type="gram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82" w:rsidRPr="00BD479D" w:rsidRDefault="00D26E82" w:rsidP="00B64AAB">
            <w:pPr>
              <w:ind w:left="-57" w:right="-57"/>
              <w:rPr>
                <w:bCs/>
              </w:rPr>
            </w:pPr>
            <w:proofErr w:type="spellStart"/>
            <w:proofErr w:type="gramStart"/>
            <w:r w:rsidRPr="000D31DA">
              <w:rPr>
                <w:bCs/>
              </w:rPr>
              <w:t>Практи</w:t>
            </w:r>
            <w:r w:rsidR="00B64AAB">
              <w:rPr>
                <w:bCs/>
              </w:rPr>
              <w:t>-</w:t>
            </w:r>
            <w:r w:rsidRPr="000D31DA">
              <w:rPr>
                <w:bCs/>
              </w:rPr>
              <w:t>ческие</w:t>
            </w:r>
            <w:proofErr w:type="spellEnd"/>
            <w:proofErr w:type="gramEnd"/>
            <w:r w:rsidRPr="000D31DA">
              <w:rPr>
                <w:bCs/>
              </w:rPr>
              <w:t xml:space="preserve"> занятия 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E82" w:rsidRPr="00574004" w:rsidRDefault="00D26E82" w:rsidP="004A18D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6E82" w:rsidRPr="00574004" w:rsidTr="004A18D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7442AF" w:rsidRDefault="00D26E82" w:rsidP="004A18D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модуль</w:t>
            </w:r>
            <w:proofErr w:type="spellEnd"/>
          </w:p>
        </w:tc>
      </w:tr>
      <w:tr w:rsidR="00D26E82" w:rsidRPr="00574004" w:rsidTr="004A18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rPr>
                <w:szCs w:val="24"/>
              </w:rPr>
            </w:pPr>
            <w:r w:rsidRPr="0032049B">
              <w:rPr>
                <w:szCs w:val="24"/>
              </w:rPr>
              <w:t>1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63396B" w:rsidRDefault="00D26E82" w:rsidP="004A18D0">
            <w:pPr>
              <w:shd w:val="clear" w:color="auto" w:fill="FFFFFF"/>
              <w:tabs>
                <w:tab w:val="left" w:leader="dot" w:pos="2472"/>
              </w:tabs>
            </w:pPr>
            <w:r w:rsidRPr="0063396B">
              <w:t xml:space="preserve">Рейтинги и </w:t>
            </w:r>
            <w:proofErr w:type="spellStart"/>
            <w:r w:rsidRPr="0063396B">
              <w:t>рэнкинги</w:t>
            </w:r>
            <w:proofErr w:type="spellEnd"/>
            <w:r w:rsidRPr="0063396B">
              <w:t>. Классификация и определения. Система рейтингов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26E82" w:rsidRPr="00574004" w:rsidTr="004A18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rPr>
                <w:szCs w:val="24"/>
                <w:lang w:val="en-US"/>
              </w:rPr>
            </w:pPr>
            <w:r w:rsidRPr="0032049B">
              <w:rPr>
                <w:szCs w:val="24"/>
                <w:lang w:val="en-US"/>
              </w:rPr>
              <w:t>2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63396B" w:rsidRDefault="00D26E82" w:rsidP="004A18D0">
            <w:r w:rsidRPr="0063396B">
              <w:t>Российские и международные рейтинги хозяйствующих субъектов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B64A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64AAB">
              <w:rPr>
                <w:szCs w:val="24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B64AAB" w:rsidP="004A18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B64AAB" w:rsidP="004A18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D26E82" w:rsidRPr="00574004" w:rsidTr="004A18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rPr>
                <w:szCs w:val="24"/>
              </w:rPr>
            </w:pPr>
            <w:r w:rsidRPr="0032049B">
              <w:rPr>
                <w:szCs w:val="24"/>
              </w:rPr>
              <w:t>3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63396B" w:rsidRDefault="00D26E82" w:rsidP="004A18D0">
            <w:pPr>
              <w:shd w:val="clear" w:color="auto" w:fill="FFFFFF"/>
              <w:tabs>
                <w:tab w:val="left" w:leader="dot" w:pos="2352"/>
              </w:tabs>
            </w:pPr>
            <w:r w:rsidRPr="0063396B">
              <w:t>Конструктор рейтингов. Принципы построения и особенности.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B64A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64AAB">
              <w:rPr>
                <w:bCs/>
                <w:szCs w:val="24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B64AAB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</w:t>
            </w:r>
          </w:p>
        </w:tc>
      </w:tr>
      <w:tr w:rsidR="00D26E82" w:rsidRPr="00574004" w:rsidTr="004A18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63396B" w:rsidRDefault="00D26E82" w:rsidP="004A18D0">
            <w:pPr>
              <w:pStyle w:val="4"/>
              <w:spacing w:line="276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63396B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Рейтинги как мера финансового риска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Default="00B64AAB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Default="00B64AAB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D26E82">
              <w:rPr>
                <w:bCs/>
                <w:szCs w:val="24"/>
              </w:rPr>
              <w:t>2</w:t>
            </w:r>
          </w:p>
        </w:tc>
      </w:tr>
      <w:tr w:rsidR="00D26E82" w:rsidRPr="00574004" w:rsidTr="004A18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5B1891" w:rsidRDefault="00D26E82" w:rsidP="004A18D0">
            <w:pPr>
              <w:shd w:val="clear" w:color="auto" w:fill="FFFFFF"/>
              <w:tabs>
                <w:tab w:val="left" w:leader="dot" w:pos="2352"/>
              </w:tabs>
            </w:pPr>
            <w:r w:rsidRPr="005B1891">
              <w:t>Внутренние рейтинги. Принципы построения и использования. Базель II и рейтинги. Моделирование рейтингов. Возможности эконометрических моделей рейтингов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Default="00B64AAB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D26E82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B64AAB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32049B" w:rsidRDefault="00B64AAB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Default="00B64AAB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</w:t>
            </w:r>
          </w:p>
        </w:tc>
      </w:tr>
      <w:tr w:rsidR="00D26E82" w:rsidRPr="005F2F3D" w:rsidTr="004A18D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7442AF" w:rsidRDefault="00D26E82" w:rsidP="004A18D0">
            <w:pPr>
              <w:rPr>
                <w:szCs w:val="24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63396B" w:rsidRDefault="00D26E82" w:rsidP="00B64AAB">
            <w:pPr>
              <w:spacing w:after="120"/>
              <w:rPr>
                <w:b/>
                <w:szCs w:val="24"/>
              </w:rPr>
            </w:pPr>
            <w:r w:rsidRPr="0063396B">
              <w:rPr>
                <w:b/>
                <w:szCs w:val="24"/>
              </w:rPr>
              <w:t xml:space="preserve">Итого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7442AF" w:rsidRDefault="00B64AAB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7442AF" w:rsidRDefault="00D26E82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7442AF" w:rsidRDefault="00D26E82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7442AF" w:rsidRDefault="00D26E82" w:rsidP="004A18D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82" w:rsidRPr="007442AF" w:rsidRDefault="00B64AAB" w:rsidP="004A18D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76</w:t>
            </w:r>
          </w:p>
        </w:tc>
      </w:tr>
    </w:tbl>
    <w:p w:rsidR="00D26E82" w:rsidRPr="005B1891" w:rsidRDefault="00D26E82" w:rsidP="00D26E82"/>
    <w:p w:rsidR="00D26E82" w:rsidRDefault="00D26E82" w:rsidP="00D26E82"/>
    <w:p w:rsidR="00470AD3" w:rsidRDefault="00470AD3" w:rsidP="00D26E82">
      <w:pPr>
        <w:pStyle w:val="1"/>
        <w:spacing w:after="120"/>
        <w:ind w:left="432" w:hanging="432"/>
      </w:pPr>
    </w:p>
    <w:p w:rsidR="00D26E82" w:rsidRDefault="00D26E82" w:rsidP="00D26E82">
      <w:pPr>
        <w:pStyle w:val="1"/>
        <w:spacing w:after="120"/>
        <w:ind w:left="432" w:hanging="432"/>
      </w:pPr>
      <w:r>
        <w:t>С</w:t>
      </w:r>
      <w:r w:rsidRPr="007E65ED">
        <w:t xml:space="preserve">одержание </w:t>
      </w:r>
      <w:r>
        <w:t>дисциплины</w:t>
      </w:r>
    </w:p>
    <w:p w:rsidR="00470AD3" w:rsidRDefault="00470AD3" w:rsidP="00D26E82">
      <w:pPr>
        <w:spacing w:after="240" w:line="360" w:lineRule="auto"/>
        <w:jc w:val="both"/>
        <w:rPr>
          <w:b/>
          <w:sz w:val="24"/>
          <w:szCs w:val="24"/>
        </w:rPr>
      </w:pPr>
    </w:p>
    <w:p w:rsidR="00D26E82" w:rsidRPr="001730A8" w:rsidRDefault="00D26E82" w:rsidP="00D26E82">
      <w:pPr>
        <w:spacing w:after="240" w:line="360" w:lineRule="auto"/>
        <w:jc w:val="both"/>
        <w:rPr>
          <w:b/>
          <w:sz w:val="24"/>
          <w:szCs w:val="24"/>
        </w:rPr>
      </w:pPr>
      <w:r w:rsidRPr="001730A8">
        <w:rPr>
          <w:b/>
          <w:sz w:val="24"/>
          <w:szCs w:val="24"/>
        </w:rPr>
        <w:t xml:space="preserve">Тема 1. Рейтинги и </w:t>
      </w:r>
      <w:proofErr w:type="spellStart"/>
      <w:r w:rsidRPr="001730A8">
        <w:rPr>
          <w:b/>
          <w:sz w:val="24"/>
          <w:szCs w:val="24"/>
        </w:rPr>
        <w:t>рэнкинги</w:t>
      </w:r>
      <w:proofErr w:type="spellEnd"/>
      <w:r w:rsidRPr="001730A8">
        <w:rPr>
          <w:b/>
          <w:sz w:val="24"/>
          <w:szCs w:val="24"/>
        </w:rPr>
        <w:t>. Классификация и определения. Система рейтингов</w:t>
      </w:r>
    </w:p>
    <w:p w:rsidR="00D26E82" w:rsidRDefault="00D26E82" w:rsidP="00D26E82">
      <w:pPr>
        <w:pStyle w:val="a8"/>
        <w:spacing w:line="360" w:lineRule="auto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Место и назначение рейтингов. Отличия рейтингов и </w:t>
      </w:r>
      <w:proofErr w:type="spellStart"/>
      <w:r w:rsidRPr="001730A8">
        <w:rPr>
          <w:sz w:val="24"/>
          <w:szCs w:val="24"/>
        </w:rPr>
        <w:t>рэнкингов</w:t>
      </w:r>
      <w:proofErr w:type="spellEnd"/>
      <w:r w:rsidRPr="001730A8">
        <w:rPr>
          <w:sz w:val="24"/>
          <w:szCs w:val="24"/>
        </w:rPr>
        <w:t>. Примеры. Динамика рейтингов международных аген</w:t>
      </w:r>
      <w:proofErr w:type="gramStart"/>
      <w:r w:rsidRPr="001730A8">
        <w:rPr>
          <w:sz w:val="24"/>
          <w:szCs w:val="24"/>
        </w:rPr>
        <w:t>тств в Р</w:t>
      </w:r>
      <w:proofErr w:type="gramEnd"/>
      <w:r w:rsidRPr="001730A8">
        <w:rPr>
          <w:sz w:val="24"/>
          <w:szCs w:val="24"/>
        </w:rPr>
        <w:t xml:space="preserve">оссии. Классификация рейтингов. Основные целевые группы. Основные объекты рейтингового процесса. Рейтинговая шкала. Примеры рейтинговых шкал. Понятие упорядоченного множества и отображение </w:t>
      </w:r>
      <w:r>
        <w:rPr>
          <w:sz w:val="24"/>
          <w:szCs w:val="24"/>
        </w:rPr>
        <w:t>шкал в упорядоченные множества.</w:t>
      </w:r>
    </w:p>
    <w:p w:rsidR="00B64AAB" w:rsidRDefault="00B64AAB" w:rsidP="00D26E82">
      <w:pPr>
        <w:pStyle w:val="a8"/>
        <w:spacing w:line="360" w:lineRule="auto"/>
        <w:jc w:val="both"/>
        <w:rPr>
          <w:sz w:val="24"/>
          <w:szCs w:val="24"/>
        </w:rPr>
      </w:pPr>
    </w:p>
    <w:p w:rsidR="00D26E82" w:rsidRPr="001730A8" w:rsidRDefault="00D26E82" w:rsidP="00D26E82">
      <w:pPr>
        <w:spacing w:after="240" w:line="360" w:lineRule="auto"/>
        <w:jc w:val="both"/>
        <w:rPr>
          <w:b/>
          <w:sz w:val="24"/>
          <w:szCs w:val="24"/>
        </w:rPr>
      </w:pPr>
      <w:r w:rsidRPr="0063396B">
        <w:rPr>
          <w:b/>
          <w:sz w:val="24"/>
          <w:szCs w:val="24"/>
        </w:rPr>
        <w:t>Тема 2. Российские и международные рейтинги хозяйствующих субъектов</w:t>
      </w:r>
      <w:r w:rsidR="00B64AAB">
        <w:rPr>
          <w:b/>
          <w:sz w:val="24"/>
          <w:szCs w:val="24"/>
        </w:rPr>
        <w:t xml:space="preserve"> </w:t>
      </w:r>
    </w:p>
    <w:p w:rsidR="00D26E82" w:rsidRPr="001730A8" w:rsidRDefault="00D26E82" w:rsidP="00D26E82">
      <w:pPr>
        <w:pStyle w:val="a8"/>
        <w:spacing w:line="360" w:lineRule="auto"/>
        <w:jc w:val="both"/>
        <w:rPr>
          <w:sz w:val="24"/>
          <w:szCs w:val="24"/>
        </w:rPr>
      </w:pPr>
      <w:r w:rsidRPr="001730A8">
        <w:rPr>
          <w:sz w:val="24"/>
          <w:szCs w:val="24"/>
        </w:rPr>
        <w:t>Обзор подходов к формированию рейтингов. Содержание и цели рейтинговых методик. Принципы, задачи и организация формирования рейтингов. Международные агентства. Система рейтингов. Сравнительная оценка рейтингов. Рейтинговые отчеты. Их структура и акценты. Основные компоненты оценки.</w:t>
      </w:r>
      <w:r w:rsidR="00B64AAB">
        <w:rPr>
          <w:sz w:val="24"/>
          <w:szCs w:val="24"/>
        </w:rPr>
        <w:t xml:space="preserve"> Сопоставление рейтинговых шкал и их использование в регуляторной деятельности.</w:t>
      </w:r>
    </w:p>
    <w:p w:rsidR="00D26E82" w:rsidRPr="0017419F" w:rsidRDefault="00D26E82" w:rsidP="00D26E82">
      <w:pPr>
        <w:tabs>
          <w:tab w:val="left" w:pos="360"/>
        </w:tabs>
        <w:spacing w:line="360" w:lineRule="auto"/>
        <w:ind w:firstLine="357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6E82" w:rsidRPr="005B1891" w:rsidRDefault="00D26E82" w:rsidP="00D26E82">
      <w:pPr>
        <w:spacing w:after="240" w:line="360" w:lineRule="auto"/>
        <w:jc w:val="both"/>
        <w:rPr>
          <w:b/>
          <w:sz w:val="24"/>
          <w:szCs w:val="24"/>
        </w:rPr>
      </w:pPr>
      <w:r w:rsidRPr="005B1891">
        <w:rPr>
          <w:b/>
          <w:sz w:val="24"/>
          <w:szCs w:val="24"/>
        </w:rPr>
        <w:lastRenderedPageBreak/>
        <w:t>Тема 3. Конструктор рейтингов. Пр</w:t>
      </w:r>
      <w:r>
        <w:rPr>
          <w:b/>
          <w:sz w:val="24"/>
          <w:szCs w:val="24"/>
        </w:rPr>
        <w:t>инципы построения и особенности</w:t>
      </w:r>
      <w:r w:rsidRPr="005B1891">
        <w:rPr>
          <w:b/>
          <w:sz w:val="24"/>
          <w:szCs w:val="24"/>
        </w:rPr>
        <w:t xml:space="preserve"> </w:t>
      </w:r>
    </w:p>
    <w:p w:rsidR="00D26E82" w:rsidRDefault="00D26E82" w:rsidP="00D26E82">
      <w:pPr>
        <w:pStyle w:val="a8"/>
        <w:spacing w:after="0" w:line="360" w:lineRule="auto"/>
        <w:ind w:left="284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Модификация назначения рейтингов. Рейтинги и </w:t>
      </w:r>
      <w:proofErr w:type="spellStart"/>
      <w:r w:rsidRPr="001730A8">
        <w:rPr>
          <w:sz w:val="24"/>
          <w:szCs w:val="24"/>
        </w:rPr>
        <w:t>бенчмаркинг</w:t>
      </w:r>
      <w:proofErr w:type="spellEnd"/>
      <w:r w:rsidRPr="001730A8">
        <w:rPr>
          <w:sz w:val="24"/>
          <w:szCs w:val="24"/>
        </w:rPr>
        <w:t>. Дистанционные рейтинги. Развитие методов формирования дистанционных рейтингов.</w:t>
      </w:r>
      <w:r>
        <w:rPr>
          <w:sz w:val="24"/>
          <w:szCs w:val="24"/>
        </w:rPr>
        <w:t xml:space="preserve"> </w:t>
      </w:r>
      <w:r w:rsidRPr="001730A8">
        <w:rPr>
          <w:sz w:val="24"/>
          <w:szCs w:val="24"/>
        </w:rPr>
        <w:t>Понятие конструктора рейтингов. Основные принципы построения конструктора. Отличия конструктора от типовых методов свертывания факторов. Учет временной компоненты. Использование порядковых шкал для повышения устойчивости рейтингов.</w:t>
      </w:r>
    </w:p>
    <w:p w:rsidR="00D26E82" w:rsidRDefault="00D26E82" w:rsidP="00D26E82">
      <w:pPr>
        <w:pStyle w:val="a8"/>
        <w:spacing w:after="0" w:line="360" w:lineRule="auto"/>
        <w:ind w:left="284"/>
        <w:jc w:val="both"/>
        <w:rPr>
          <w:sz w:val="24"/>
          <w:szCs w:val="24"/>
        </w:rPr>
      </w:pPr>
    </w:p>
    <w:p w:rsidR="00D26E82" w:rsidRPr="001730A8" w:rsidRDefault="00D26E82" w:rsidP="00D26E82">
      <w:pPr>
        <w:spacing w:after="240" w:line="360" w:lineRule="auto"/>
        <w:jc w:val="both"/>
        <w:rPr>
          <w:b/>
          <w:sz w:val="24"/>
          <w:szCs w:val="24"/>
        </w:rPr>
      </w:pPr>
      <w:r w:rsidRPr="005B1891">
        <w:rPr>
          <w:b/>
          <w:sz w:val="24"/>
          <w:szCs w:val="24"/>
        </w:rPr>
        <w:t xml:space="preserve">Тема 4. Рейтинги как мера финансового риска </w:t>
      </w:r>
    </w:p>
    <w:p w:rsidR="00D26E82" w:rsidRDefault="00D26E82" w:rsidP="00D26E82">
      <w:pPr>
        <w:spacing w:after="240" w:line="360" w:lineRule="auto"/>
        <w:jc w:val="both"/>
        <w:rPr>
          <w:sz w:val="24"/>
          <w:szCs w:val="24"/>
        </w:rPr>
      </w:pPr>
      <w:r w:rsidRPr="001730A8">
        <w:rPr>
          <w:sz w:val="24"/>
          <w:szCs w:val="24"/>
        </w:rPr>
        <w:t>Базель II и его основные подходы к определению достаточности капитала, цели и основные принципы. Подход на осн</w:t>
      </w:r>
      <w:r>
        <w:rPr>
          <w:sz w:val="24"/>
          <w:szCs w:val="24"/>
        </w:rPr>
        <w:t>ове внутренних рейтингов (IRB).</w:t>
      </w:r>
      <w:r w:rsidRPr="00F36B78">
        <w:rPr>
          <w:sz w:val="24"/>
          <w:szCs w:val="24"/>
        </w:rPr>
        <w:t xml:space="preserve"> </w:t>
      </w:r>
      <w:r w:rsidRPr="001730A8">
        <w:rPr>
          <w:sz w:val="24"/>
          <w:szCs w:val="24"/>
        </w:rPr>
        <w:t>Банковский кризис 1998 года и имеющиеся статистики. Возможности моделирования.</w:t>
      </w:r>
      <w:r w:rsidR="00B64AAB">
        <w:rPr>
          <w:sz w:val="24"/>
          <w:szCs w:val="24"/>
        </w:rPr>
        <w:t xml:space="preserve"> Модели вероятности дефолта банков и предприятий. Классификация</w:t>
      </w:r>
      <w:proofErr w:type="gramStart"/>
      <w:r w:rsidR="00B64AAB">
        <w:rPr>
          <w:sz w:val="24"/>
          <w:szCs w:val="24"/>
        </w:rPr>
        <w:t>.</w:t>
      </w:r>
      <w:proofErr w:type="gramEnd"/>
      <w:r w:rsidR="00B64AAB">
        <w:rPr>
          <w:sz w:val="24"/>
          <w:szCs w:val="24"/>
        </w:rPr>
        <w:t xml:space="preserve"> Основные модели. Практические примеры.</w:t>
      </w:r>
    </w:p>
    <w:p w:rsidR="00D26E82" w:rsidRPr="001730A8" w:rsidRDefault="00D26E82" w:rsidP="00D26E82">
      <w:pPr>
        <w:pStyle w:val="a8"/>
        <w:spacing w:line="360" w:lineRule="auto"/>
        <w:jc w:val="both"/>
        <w:rPr>
          <w:sz w:val="24"/>
          <w:szCs w:val="24"/>
        </w:rPr>
      </w:pPr>
    </w:p>
    <w:p w:rsidR="00D26E82" w:rsidRPr="005B1891" w:rsidRDefault="00D26E82" w:rsidP="00D26E82">
      <w:pPr>
        <w:spacing w:after="240" w:line="360" w:lineRule="auto"/>
        <w:jc w:val="both"/>
        <w:rPr>
          <w:b/>
          <w:sz w:val="24"/>
          <w:szCs w:val="24"/>
        </w:rPr>
      </w:pPr>
      <w:r w:rsidRPr="005B1891">
        <w:rPr>
          <w:sz w:val="24"/>
          <w:szCs w:val="24"/>
        </w:rPr>
        <w:t xml:space="preserve">Тема 5. </w:t>
      </w:r>
      <w:r w:rsidRPr="00B64AAB">
        <w:rPr>
          <w:b/>
          <w:sz w:val="24"/>
          <w:szCs w:val="24"/>
        </w:rPr>
        <w:t>Внутренние рейтинги. Принципы построения и использования. Базель II и рейтинги. Моделирование рейтингов. Возможности эконометрических моделей рейтингов</w:t>
      </w:r>
      <w:r w:rsidRPr="005B1891">
        <w:rPr>
          <w:sz w:val="24"/>
          <w:szCs w:val="24"/>
        </w:rPr>
        <w:t xml:space="preserve"> </w:t>
      </w:r>
    </w:p>
    <w:p w:rsidR="00D26E82" w:rsidRDefault="00D26E82" w:rsidP="00D26E82">
      <w:pPr>
        <w:pStyle w:val="a8"/>
        <w:spacing w:line="360" w:lineRule="auto"/>
        <w:ind w:left="284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Определения. Принципы построения. Понятие модели рейтингов. Понятие </w:t>
      </w:r>
      <w:proofErr w:type="spellStart"/>
      <w:r w:rsidRPr="001730A8">
        <w:rPr>
          <w:sz w:val="24"/>
          <w:szCs w:val="24"/>
        </w:rPr>
        <w:t>скоринга</w:t>
      </w:r>
      <w:proofErr w:type="spellEnd"/>
      <w:r w:rsidRPr="001730A8">
        <w:rPr>
          <w:sz w:val="24"/>
          <w:szCs w:val="24"/>
        </w:rPr>
        <w:t xml:space="preserve"> и связи с моделями вероятности дефолта.</w:t>
      </w:r>
    </w:p>
    <w:p w:rsidR="00D26E82" w:rsidRPr="001730A8" w:rsidRDefault="00D26E82" w:rsidP="00D26E82">
      <w:pPr>
        <w:pStyle w:val="a8"/>
        <w:spacing w:line="360" w:lineRule="auto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Методология моделирования. Сравнение моделей. Возможности эконометрического моделирования. Модели рейтингов российских агентств и их анализ. Особенности рейтингов агентства </w:t>
      </w:r>
      <w:proofErr w:type="spellStart"/>
      <w:r w:rsidRPr="001730A8">
        <w:rPr>
          <w:sz w:val="24"/>
          <w:szCs w:val="24"/>
        </w:rPr>
        <w:t>Moody’s</w:t>
      </w:r>
      <w:proofErr w:type="spellEnd"/>
      <w:r w:rsidRPr="001730A8">
        <w:rPr>
          <w:sz w:val="24"/>
          <w:szCs w:val="24"/>
        </w:rPr>
        <w:t>. Рейтинги депозитов и рейтинги финансовой устойчивости.</w:t>
      </w:r>
    </w:p>
    <w:p w:rsidR="00D26E82" w:rsidRPr="001730A8" w:rsidRDefault="00D26E82" w:rsidP="00D26E82">
      <w:pPr>
        <w:pStyle w:val="a8"/>
        <w:spacing w:line="360" w:lineRule="auto"/>
        <w:jc w:val="both"/>
        <w:rPr>
          <w:sz w:val="24"/>
          <w:szCs w:val="24"/>
        </w:rPr>
      </w:pPr>
      <w:r w:rsidRPr="001730A8">
        <w:rPr>
          <w:sz w:val="24"/>
          <w:szCs w:val="24"/>
        </w:rPr>
        <w:t>Особенности формирования выборки. Классификация объясняющих переменных. Построение моделей. Интерпретация моделей. Особенности использования моделей для российских банков. Точность предсказания. Модели в различных шкалах.</w:t>
      </w:r>
    </w:p>
    <w:p w:rsidR="00D26E82" w:rsidRDefault="00D26E82" w:rsidP="00D26E82">
      <w:pPr>
        <w:pStyle w:val="a8"/>
        <w:spacing w:line="360" w:lineRule="auto"/>
        <w:jc w:val="both"/>
        <w:rPr>
          <w:sz w:val="24"/>
          <w:szCs w:val="24"/>
        </w:rPr>
      </w:pPr>
      <w:r w:rsidRPr="001730A8">
        <w:rPr>
          <w:sz w:val="24"/>
          <w:szCs w:val="24"/>
        </w:rPr>
        <w:t>Возможности эконометрических моделей.</w:t>
      </w:r>
    </w:p>
    <w:p w:rsidR="00B64AAB" w:rsidRDefault="00B64AAB" w:rsidP="00D26E82">
      <w:r>
        <w:t xml:space="preserve">В ходе проведения курса будут предложены темы рефератов. Рефераты будут обсуждены </w:t>
      </w:r>
      <w:r w:rsidR="008737C5">
        <w:t>на отдельном занятии.</w:t>
      </w:r>
    </w:p>
    <w:p w:rsidR="008737C5" w:rsidRDefault="008737C5" w:rsidP="00D26E82">
      <w:r>
        <w:t>Практическое задание будет предложено по темам 4 и 5 как элемент зачета.</w:t>
      </w:r>
    </w:p>
    <w:p w:rsidR="00D26E82" w:rsidRDefault="00D26E82" w:rsidP="00D26E82"/>
    <w:p w:rsidR="00D26E82" w:rsidRDefault="00D26E82" w:rsidP="00D26E82">
      <w:pPr>
        <w:tabs>
          <w:tab w:val="left" w:pos="360"/>
        </w:tabs>
        <w:spacing w:line="360" w:lineRule="auto"/>
        <w:ind w:left="1003"/>
        <w:jc w:val="both"/>
        <w:rPr>
          <w:b/>
          <w:sz w:val="24"/>
          <w:szCs w:val="24"/>
          <w:u w:val="single"/>
        </w:rPr>
      </w:pPr>
      <w:r w:rsidRPr="00775CF9">
        <w:rPr>
          <w:b/>
          <w:sz w:val="24"/>
          <w:szCs w:val="24"/>
          <w:u w:val="single"/>
        </w:rPr>
        <w:t>Основная литература</w:t>
      </w:r>
      <w:r>
        <w:rPr>
          <w:b/>
          <w:sz w:val="24"/>
          <w:szCs w:val="24"/>
          <w:u w:val="single"/>
        </w:rPr>
        <w:t xml:space="preserve"> </w:t>
      </w:r>
    </w:p>
    <w:p w:rsidR="00D26E82" w:rsidRDefault="00D26E82" w:rsidP="00D26E82">
      <w:pPr>
        <w:pStyle w:val="a4"/>
        <w:widowControl w:val="0"/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Горелая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Н.В., Карминский А.М. Основы банковского дела (2013). -  Форум, 272с.</w:t>
      </w:r>
    </w:p>
    <w:p w:rsidR="00D26E82" w:rsidRDefault="00D26E82" w:rsidP="00D26E82">
      <w:pPr>
        <w:pStyle w:val="a8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А.М., Полозов А.А., Ермаков С.П. Энциклопедия рейтингов: экономика, общество, спорт. М.: Форум, 2011. – 379 с. (разд. 1-2).</w:t>
      </w:r>
    </w:p>
    <w:p w:rsidR="00D26E82" w:rsidRPr="001730A8" w:rsidRDefault="00D26E82" w:rsidP="00D26E82">
      <w:pPr>
        <w:pStyle w:val="a8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Рейтинги в экономике: методология и практика. Под ред. А.М. </w:t>
      </w:r>
      <w:proofErr w:type="spellStart"/>
      <w:r w:rsidRPr="001730A8">
        <w:rPr>
          <w:sz w:val="24"/>
          <w:szCs w:val="24"/>
        </w:rPr>
        <w:t>Карминского</w:t>
      </w:r>
      <w:proofErr w:type="spellEnd"/>
      <w:r w:rsidRPr="001730A8">
        <w:rPr>
          <w:sz w:val="24"/>
          <w:szCs w:val="24"/>
        </w:rPr>
        <w:t>. – М. : Финансы и статистика, 2005. – 240 с</w:t>
      </w:r>
      <w:proofErr w:type="gramStart"/>
      <w:r w:rsidRPr="001730A8">
        <w:rPr>
          <w:sz w:val="24"/>
          <w:szCs w:val="24"/>
        </w:rPr>
        <w:t>.(</w:t>
      </w:r>
      <w:proofErr w:type="gramEnd"/>
      <w:r w:rsidRPr="001730A8">
        <w:rPr>
          <w:sz w:val="24"/>
          <w:szCs w:val="24"/>
        </w:rPr>
        <w:t>стр. 151-166, 168-206, 204-210).</w:t>
      </w:r>
    </w:p>
    <w:p w:rsidR="00D26E82" w:rsidRPr="001730A8" w:rsidRDefault="00D26E82" w:rsidP="00D26E82">
      <w:pPr>
        <w:pStyle w:val="a8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730A8">
        <w:rPr>
          <w:sz w:val="24"/>
          <w:szCs w:val="24"/>
        </w:rPr>
        <w:t>Карминский А.М. Информационно-аналитическая составляющая бизнеса. – М.</w:t>
      </w:r>
      <w:proofErr w:type="gramStart"/>
      <w:r w:rsidRPr="001730A8">
        <w:rPr>
          <w:sz w:val="24"/>
          <w:szCs w:val="24"/>
        </w:rPr>
        <w:t> :</w:t>
      </w:r>
      <w:proofErr w:type="gramEnd"/>
      <w:r w:rsidRPr="001730A8">
        <w:rPr>
          <w:sz w:val="24"/>
          <w:szCs w:val="24"/>
        </w:rPr>
        <w:t xml:space="preserve"> Финансы и статистика, 2007. – 276 с. (стр. 191-205).</w:t>
      </w:r>
    </w:p>
    <w:p w:rsidR="00D26E82" w:rsidRDefault="00D26E82" w:rsidP="00D26E82">
      <w:pPr>
        <w:pStyle w:val="a8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Энциклопедия финансового </w:t>
      </w:r>
      <w:proofErr w:type="spellStart"/>
      <w:r w:rsidRPr="001730A8">
        <w:rPr>
          <w:sz w:val="24"/>
          <w:szCs w:val="24"/>
        </w:rPr>
        <w:t>риск-менеджмента</w:t>
      </w:r>
      <w:proofErr w:type="spellEnd"/>
      <w:r w:rsidRPr="001730A8">
        <w:rPr>
          <w:sz w:val="24"/>
          <w:szCs w:val="24"/>
        </w:rPr>
        <w:t xml:space="preserve"> / под ред. А.А. </w:t>
      </w:r>
      <w:proofErr w:type="spellStart"/>
      <w:r w:rsidRPr="001730A8">
        <w:rPr>
          <w:sz w:val="24"/>
          <w:szCs w:val="24"/>
        </w:rPr>
        <w:t>Лабанова</w:t>
      </w:r>
      <w:proofErr w:type="spellEnd"/>
      <w:r w:rsidRPr="001730A8">
        <w:rPr>
          <w:sz w:val="24"/>
          <w:szCs w:val="24"/>
        </w:rPr>
        <w:t xml:space="preserve"> и А.В. Чугунова. – 2-е изд. – М.</w:t>
      </w:r>
      <w:proofErr w:type="gramStart"/>
      <w:r w:rsidRPr="001730A8">
        <w:rPr>
          <w:sz w:val="24"/>
          <w:szCs w:val="24"/>
        </w:rPr>
        <w:t> :</w:t>
      </w:r>
      <w:proofErr w:type="gramEnd"/>
      <w:r w:rsidRPr="001730A8">
        <w:rPr>
          <w:sz w:val="24"/>
          <w:szCs w:val="24"/>
        </w:rPr>
        <w:t xml:space="preserve"> </w:t>
      </w:r>
      <w:proofErr w:type="spellStart"/>
      <w:r w:rsidRPr="001730A8">
        <w:rPr>
          <w:sz w:val="24"/>
          <w:szCs w:val="24"/>
        </w:rPr>
        <w:t>Альпина</w:t>
      </w:r>
      <w:proofErr w:type="spellEnd"/>
      <w:r w:rsidRPr="001730A8">
        <w:rPr>
          <w:sz w:val="24"/>
          <w:szCs w:val="24"/>
        </w:rPr>
        <w:t xml:space="preserve"> Бизнес Букс, 2005. – 878 с. (стр. 708-719).</w:t>
      </w:r>
    </w:p>
    <w:p w:rsidR="00D26E82" w:rsidRPr="003646D0" w:rsidRDefault="00D26E82" w:rsidP="00D26E82">
      <w:pPr>
        <w:pStyle w:val="a8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Контроллинг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банке</w:t>
      </w:r>
      <w:r w:rsidRPr="00A716E5">
        <w:rPr>
          <w:sz w:val="24"/>
          <w:szCs w:val="24"/>
        </w:rPr>
        <w:t xml:space="preserve">. </w:t>
      </w:r>
      <w:r>
        <w:rPr>
          <w:sz w:val="24"/>
          <w:szCs w:val="24"/>
        </w:rPr>
        <w:t>Под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ред</w:t>
      </w:r>
      <w:r w:rsidRPr="00A716E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Карминского</w:t>
      </w:r>
      <w:proofErr w:type="spellEnd"/>
      <w:r>
        <w:rPr>
          <w:sz w:val="24"/>
          <w:szCs w:val="24"/>
        </w:rPr>
        <w:t xml:space="preserve"> А.М., </w:t>
      </w:r>
      <w:proofErr w:type="spellStart"/>
      <w:r>
        <w:rPr>
          <w:sz w:val="24"/>
          <w:szCs w:val="24"/>
        </w:rPr>
        <w:t>Фалько</w:t>
      </w:r>
      <w:proofErr w:type="spellEnd"/>
      <w:r>
        <w:rPr>
          <w:sz w:val="24"/>
          <w:szCs w:val="24"/>
        </w:rPr>
        <w:t xml:space="preserve"> С.Г.</w:t>
      </w:r>
      <w:r w:rsidRPr="003646D0">
        <w:rPr>
          <w:sz w:val="24"/>
          <w:szCs w:val="24"/>
        </w:rPr>
        <w:t xml:space="preserve"> — </w:t>
      </w:r>
      <w:r>
        <w:rPr>
          <w:sz w:val="24"/>
          <w:szCs w:val="24"/>
        </w:rPr>
        <w:t>М</w:t>
      </w:r>
      <w:r w:rsidRPr="003646D0">
        <w:rPr>
          <w:sz w:val="24"/>
          <w:szCs w:val="24"/>
        </w:rPr>
        <w:t xml:space="preserve">.: </w:t>
      </w:r>
      <w:r>
        <w:rPr>
          <w:sz w:val="24"/>
          <w:szCs w:val="24"/>
        </w:rPr>
        <w:t>Финансы</w:t>
      </w:r>
      <w:r w:rsidRPr="003646D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3646D0">
        <w:rPr>
          <w:sz w:val="24"/>
          <w:szCs w:val="24"/>
        </w:rPr>
        <w:t xml:space="preserve"> </w:t>
      </w:r>
      <w:r>
        <w:rPr>
          <w:sz w:val="24"/>
          <w:szCs w:val="24"/>
        </w:rPr>
        <w:t>статистика</w:t>
      </w:r>
      <w:r w:rsidRPr="003646D0">
        <w:rPr>
          <w:sz w:val="24"/>
          <w:szCs w:val="24"/>
        </w:rPr>
        <w:t>, 201</w:t>
      </w:r>
      <w:r>
        <w:rPr>
          <w:sz w:val="24"/>
          <w:szCs w:val="24"/>
        </w:rPr>
        <w:t>3.</w:t>
      </w:r>
    </w:p>
    <w:p w:rsidR="00D26E82" w:rsidRPr="00A716E5" w:rsidRDefault="00D26E82" w:rsidP="00D26E82">
      <w:pPr>
        <w:spacing w:line="360" w:lineRule="auto"/>
        <w:ind w:firstLine="426"/>
        <w:rPr>
          <w:b/>
          <w:bCs/>
          <w:iCs/>
          <w:sz w:val="24"/>
          <w:szCs w:val="24"/>
          <w:u w:val="single"/>
        </w:rPr>
      </w:pPr>
      <w:r w:rsidRPr="00C45ADA">
        <w:rPr>
          <w:b/>
          <w:bCs/>
          <w:iCs/>
          <w:sz w:val="24"/>
          <w:szCs w:val="24"/>
          <w:u w:val="single"/>
        </w:rPr>
        <w:t>Дополнительная</w:t>
      </w:r>
      <w:r w:rsidRPr="00A716E5">
        <w:rPr>
          <w:b/>
          <w:bCs/>
          <w:iCs/>
          <w:sz w:val="24"/>
          <w:szCs w:val="24"/>
          <w:u w:val="single"/>
        </w:rPr>
        <w:t xml:space="preserve"> </w:t>
      </w:r>
      <w:r>
        <w:rPr>
          <w:b/>
          <w:bCs/>
          <w:iCs/>
          <w:sz w:val="24"/>
          <w:szCs w:val="24"/>
          <w:u w:val="single"/>
        </w:rPr>
        <w:t>литература</w:t>
      </w:r>
      <w:r w:rsidRPr="00A716E5">
        <w:rPr>
          <w:b/>
          <w:sz w:val="24"/>
          <w:szCs w:val="24"/>
          <w:u w:val="single"/>
        </w:rPr>
        <w:t xml:space="preserve"> </w:t>
      </w:r>
      <w:r w:rsidR="00470AD3">
        <w:rPr>
          <w:b/>
          <w:sz w:val="24"/>
          <w:szCs w:val="24"/>
          <w:u w:val="single"/>
        </w:rPr>
        <w:t>будет предложена на первом занятии</w:t>
      </w:r>
    </w:p>
    <w:sectPr w:rsidR="00D26E82" w:rsidRPr="00A716E5" w:rsidSect="0096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FAD"/>
    <w:multiLevelType w:val="hybridMultilevel"/>
    <w:tmpl w:val="EC528A7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26AD0047"/>
    <w:multiLevelType w:val="hybridMultilevel"/>
    <w:tmpl w:val="90F0BF0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3CA2C8C"/>
    <w:multiLevelType w:val="hybridMultilevel"/>
    <w:tmpl w:val="650CEA3C"/>
    <w:lvl w:ilvl="0" w:tplc="B88AFE92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characterSpacingControl w:val="doNotCompress"/>
  <w:compat/>
  <w:rsids>
    <w:rsidRoot w:val="00185407"/>
    <w:rsid w:val="00185407"/>
    <w:rsid w:val="00470AD3"/>
    <w:rsid w:val="00830BE2"/>
    <w:rsid w:val="008737C5"/>
    <w:rsid w:val="009678EC"/>
    <w:rsid w:val="00B64AAB"/>
    <w:rsid w:val="00D2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EC"/>
  </w:style>
  <w:style w:type="paragraph" w:styleId="1">
    <w:name w:val="heading 1"/>
    <w:basedOn w:val="a"/>
    <w:next w:val="a"/>
    <w:link w:val="10"/>
    <w:qFormat/>
    <w:rsid w:val="00D26E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E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6E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6E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rsid w:val="00D26E82"/>
    <w:pPr>
      <w:spacing w:after="0" w:line="240" w:lineRule="auto"/>
    </w:pPr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26E82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26E8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it">
    <w:name w:val="hit"/>
    <w:basedOn w:val="a0"/>
    <w:uiPriority w:val="99"/>
    <w:rsid w:val="00D26E82"/>
  </w:style>
  <w:style w:type="character" w:styleId="a7">
    <w:name w:val="Hyperlink"/>
    <w:basedOn w:val="a0"/>
    <w:rsid w:val="00D26E82"/>
    <w:rPr>
      <w:color w:val="0000FF"/>
      <w:u w:val="single"/>
    </w:rPr>
  </w:style>
  <w:style w:type="paragraph" w:styleId="a8">
    <w:name w:val="Body Text Indent"/>
    <w:basedOn w:val="a"/>
    <w:link w:val="a9"/>
    <w:rsid w:val="00D26E8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26E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9B961C-AE14-4A72-800D-C70ECBFC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2014-06-20T03:09:00Z</dcterms:created>
  <dcterms:modified xsi:type="dcterms:W3CDTF">2014-06-20T05:23:00Z</dcterms:modified>
</cp:coreProperties>
</file>