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97" w:rsidRPr="00F37919" w:rsidRDefault="00710C97" w:rsidP="007E5F30">
      <w:pPr>
        <w:spacing w:line="240" w:lineRule="auto"/>
        <w:jc w:val="center"/>
        <w:rPr>
          <w:b/>
          <w:sz w:val="24"/>
          <w:lang w:val="en-US"/>
        </w:rPr>
      </w:pPr>
      <w:r w:rsidRPr="007E5F30">
        <w:rPr>
          <w:b/>
          <w:lang w:val="en-US"/>
        </w:rPr>
        <w:t>The analysis of market reaction on dividend announcements of Russian companies</w:t>
      </w:r>
    </w:p>
    <w:p w:rsidR="00694379" w:rsidRPr="00710C97" w:rsidRDefault="00694379" w:rsidP="00694379">
      <w:pPr>
        <w:spacing w:line="240" w:lineRule="auto"/>
        <w:rPr>
          <w:b/>
          <w:sz w:val="24"/>
          <w:szCs w:val="24"/>
          <w:lang w:val="en-US"/>
        </w:rPr>
      </w:pPr>
    </w:p>
    <w:p w:rsidR="007E5F30" w:rsidRDefault="00710C97" w:rsidP="007E5F30">
      <w:pPr>
        <w:spacing w:line="240" w:lineRule="auto"/>
        <w:rPr>
          <w:b/>
          <w:sz w:val="24"/>
          <w:lang w:val="en-US"/>
        </w:rPr>
      </w:pPr>
      <w:r w:rsidRPr="007E5F30">
        <w:rPr>
          <w:b/>
          <w:sz w:val="24"/>
          <w:lang w:val="en-US"/>
        </w:rPr>
        <w:t>G</w:t>
      </w:r>
      <w:r w:rsidR="007E5F30">
        <w:rPr>
          <w:b/>
          <w:sz w:val="24"/>
          <w:lang w:val="en-US"/>
        </w:rPr>
        <w:t>alina</w:t>
      </w:r>
      <w:r w:rsidRPr="007E5F30">
        <w:rPr>
          <w:b/>
          <w:sz w:val="24"/>
          <w:lang w:val="en-US"/>
        </w:rPr>
        <w:t xml:space="preserve"> </w:t>
      </w:r>
      <w:proofErr w:type="spellStart"/>
      <w:r w:rsidRPr="007E5F30">
        <w:rPr>
          <w:b/>
          <w:sz w:val="24"/>
          <w:lang w:val="en-US"/>
        </w:rPr>
        <w:t>Berdnikova</w:t>
      </w:r>
      <w:proofErr w:type="spellEnd"/>
      <w:r w:rsidRPr="007E5F30">
        <w:rPr>
          <w:b/>
          <w:sz w:val="24"/>
          <w:lang w:val="en-US"/>
        </w:rPr>
        <w:t>,</w:t>
      </w:r>
      <w:r w:rsidR="007E5F30">
        <w:rPr>
          <w:b/>
          <w:sz w:val="24"/>
          <w:lang w:val="en-US"/>
        </w:rPr>
        <w:t xml:space="preserve"> </w:t>
      </w:r>
      <w:r w:rsidR="00410A94">
        <w:rPr>
          <w:b/>
          <w:sz w:val="24"/>
          <w:lang w:val="en-US"/>
        </w:rPr>
        <w:t xml:space="preserve">National </w:t>
      </w:r>
      <w:r w:rsidR="007E5F30">
        <w:rPr>
          <w:b/>
          <w:sz w:val="24"/>
          <w:lang w:val="en-US"/>
        </w:rPr>
        <w:t>Research University Higher School of Economics at St.-Petersburg,</w:t>
      </w:r>
    </w:p>
    <w:p w:rsidR="00710C97" w:rsidRPr="007E5F30" w:rsidRDefault="00710C97" w:rsidP="007E5F30">
      <w:pPr>
        <w:spacing w:line="240" w:lineRule="auto"/>
        <w:rPr>
          <w:b/>
          <w:sz w:val="24"/>
          <w:lang w:val="en-US"/>
        </w:rPr>
      </w:pPr>
      <w:r w:rsidRPr="007E5F30">
        <w:rPr>
          <w:b/>
          <w:sz w:val="24"/>
          <w:lang w:val="en-US"/>
        </w:rPr>
        <w:t>E</w:t>
      </w:r>
      <w:r w:rsidR="007E5F30">
        <w:rPr>
          <w:b/>
          <w:sz w:val="24"/>
          <w:lang w:val="en-US"/>
        </w:rPr>
        <w:t xml:space="preserve">lena </w:t>
      </w:r>
      <w:proofErr w:type="spellStart"/>
      <w:r w:rsidRPr="007E5F30">
        <w:rPr>
          <w:b/>
          <w:sz w:val="24"/>
          <w:lang w:val="en-US"/>
        </w:rPr>
        <w:t>Rogova</w:t>
      </w:r>
      <w:proofErr w:type="spellEnd"/>
      <w:r w:rsidR="007E5F30">
        <w:rPr>
          <w:b/>
          <w:sz w:val="24"/>
          <w:lang w:val="en-US"/>
        </w:rPr>
        <w:t>, National Research University Higher School of Economics at St.-Petersburg</w:t>
      </w:r>
    </w:p>
    <w:p w:rsidR="00710C97" w:rsidRDefault="00710C97" w:rsidP="00710C97">
      <w:pPr>
        <w:rPr>
          <w:sz w:val="24"/>
          <w:lang w:val="en-US"/>
        </w:rPr>
      </w:pPr>
    </w:p>
    <w:p w:rsidR="007E5F30" w:rsidRPr="007E5F30" w:rsidRDefault="007E5F30" w:rsidP="007E5F30">
      <w:pPr>
        <w:spacing w:line="240" w:lineRule="auto"/>
        <w:rPr>
          <w:b/>
          <w:sz w:val="24"/>
          <w:lang w:val="en-US"/>
        </w:rPr>
      </w:pPr>
      <w:r w:rsidRPr="007E5F30">
        <w:rPr>
          <w:b/>
          <w:sz w:val="24"/>
          <w:lang w:val="en-US"/>
        </w:rPr>
        <w:t>Abstract</w:t>
      </w:r>
    </w:p>
    <w:p w:rsidR="007E5F30" w:rsidRDefault="00710C97" w:rsidP="007E5F30">
      <w:pPr>
        <w:spacing w:line="240" w:lineRule="auto"/>
        <w:rPr>
          <w:sz w:val="24"/>
          <w:lang w:val="en-US"/>
        </w:rPr>
      </w:pPr>
      <w:r>
        <w:rPr>
          <w:sz w:val="24"/>
          <w:lang w:val="en-US"/>
        </w:rPr>
        <w:t>The paper is aimed at examining the market reaction on announcements about dividend payments of Russian companies. Though there are numerous papers devoted to this problem, their results are controversial, and they are rather related to developed markets than to developing economies. The understanding of signals that dividend announcements give companies’ shareholders and potential investors is important because it helps to improve the quality of investment and financial decisions.</w:t>
      </w:r>
      <w:r w:rsidR="007E5F30">
        <w:rPr>
          <w:sz w:val="24"/>
          <w:lang w:val="en-US"/>
        </w:rPr>
        <w:t xml:space="preserve"> </w:t>
      </w:r>
    </w:p>
    <w:p w:rsidR="00710C97" w:rsidRDefault="00710C97" w:rsidP="007E5F30">
      <w:pPr>
        <w:spacing w:line="240" w:lineRule="auto"/>
        <w:rPr>
          <w:sz w:val="24"/>
          <w:lang w:val="en-US"/>
        </w:rPr>
      </w:pPr>
      <w:r>
        <w:rPr>
          <w:sz w:val="24"/>
          <w:lang w:val="en-US"/>
        </w:rPr>
        <w:t>The peculiarity of this paper is that different sectors of economy are analyzed separately. The difference in reaction in different sectors of economy is revealed. The research is based on the event study methodology. The data sample consists of 115 announcements of Russian public companies for the period of 2009-2013</w:t>
      </w:r>
      <w:r w:rsidR="007E5F30">
        <w:rPr>
          <w:sz w:val="24"/>
          <w:lang w:val="en-US"/>
        </w:rPr>
        <w:t>.</w:t>
      </w:r>
    </w:p>
    <w:p w:rsidR="00710C97" w:rsidRPr="00536962" w:rsidRDefault="00710C97" w:rsidP="00710C97">
      <w:pPr>
        <w:rPr>
          <w:sz w:val="24"/>
          <w:lang w:val="en-US"/>
        </w:rPr>
      </w:pPr>
      <w:r w:rsidRPr="007E5F30">
        <w:rPr>
          <w:b/>
          <w:sz w:val="24"/>
          <w:lang w:val="en-US"/>
        </w:rPr>
        <w:t>Keywords</w:t>
      </w:r>
      <w:r>
        <w:rPr>
          <w:sz w:val="24"/>
          <w:lang w:val="en-US"/>
        </w:rPr>
        <w:t xml:space="preserve">: dividend payments, dividend policy, market reaction, event study analysis </w:t>
      </w:r>
    </w:p>
    <w:p w:rsidR="00AC44E3" w:rsidRPr="00710C97" w:rsidRDefault="00AC44E3" w:rsidP="00AC44E3">
      <w:pPr>
        <w:pStyle w:val="af3"/>
        <w:shd w:val="clear" w:color="auto" w:fill="FFFFFF"/>
        <w:spacing w:before="0" w:beforeAutospacing="0" w:after="0" w:afterAutospacing="0"/>
        <w:ind w:firstLine="708"/>
        <w:jc w:val="both"/>
        <w:rPr>
          <w:lang w:val="en-US"/>
        </w:rPr>
      </w:pPr>
    </w:p>
    <w:p w:rsidR="007E5F30" w:rsidRPr="007E5F30" w:rsidRDefault="007E5F30">
      <w:pPr>
        <w:widowControl/>
        <w:spacing w:line="240" w:lineRule="auto"/>
        <w:rPr>
          <w:b/>
          <w:sz w:val="24"/>
          <w:szCs w:val="24"/>
          <w:lang w:val="en-US"/>
        </w:rPr>
      </w:pPr>
      <w:r w:rsidRPr="007E5F30">
        <w:rPr>
          <w:b/>
          <w:sz w:val="24"/>
          <w:szCs w:val="24"/>
          <w:lang w:val="en-US"/>
        </w:rPr>
        <w:br w:type="page"/>
      </w:r>
    </w:p>
    <w:p w:rsidR="00193AC7" w:rsidRPr="00410A94" w:rsidRDefault="007E5F30" w:rsidP="007E5F30">
      <w:pPr>
        <w:spacing w:line="240" w:lineRule="auto"/>
        <w:rPr>
          <w:b/>
          <w:sz w:val="24"/>
          <w:szCs w:val="24"/>
          <w:lang w:val="en-US"/>
        </w:rPr>
      </w:pPr>
      <w:r w:rsidRPr="00410A94">
        <w:rPr>
          <w:b/>
          <w:sz w:val="24"/>
          <w:szCs w:val="24"/>
          <w:lang w:val="en-US"/>
        </w:rPr>
        <w:lastRenderedPageBreak/>
        <w:t>1.</w:t>
      </w:r>
      <w:r w:rsidR="002A63F8" w:rsidRPr="00410A94">
        <w:rPr>
          <w:b/>
          <w:sz w:val="24"/>
          <w:szCs w:val="24"/>
          <w:lang w:val="en-US"/>
        </w:rPr>
        <w:t xml:space="preserve"> </w:t>
      </w:r>
      <w:r>
        <w:rPr>
          <w:b/>
          <w:sz w:val="24"/>
          <w:szCs w:val="24"/>
          <w:lang w:val="en-US"/>
        </w:rPr>
        <w:t>Introduction</w:t>
      </w:r>
    </w:p>
    <w:p w:rsidR="002A63F8" w:rsidRDefault="002A63F8" w:rsidP="007E5F30">
      <w:pPr>
        <w:spacing w:line="240" w:lineRule="auto"/>
        <w:rPr>
          <w:sz w:val="24"/>
          <w:szCs w:val="24"/>
          <w:lang w:val="en-US"/>
        </w:rPr>
      </w:pPr>
    </w:p>
    <w:p w:rsidR="002A63F8" w:rsidRPr="002A63F8" w:rsidRDefault="002A63F8" w:rsidP="002A63F8">
      <w:pPr>
        <w:spacing w:line="240" w:lineRule="auto"/>
        <w:rPr>
          <w:sz w:val="24"/>
          <w:szCs w:val="24"/>
          <w:lang w:val="en-US"/>
        </w:rPr>
      </w:pPr>
      <w:r w:rsidRPr="002A63F8">
        <w:rPr>
          <w:sz w:val="24"/>
          <w:szCs w:val="24"/>
          <w:lang w:val="en-US"/>
        </w:rPr>
        <w:t xml:space="preserve">One of the </w:t>
      </w:r>
      <w:r>
        <w:rPr>
          <w:sz w:val="24"/>
          <w:szCs w:val="24"/>
          <w:lang w:val="en-US"/>
        </w:rPr>
        <w:t>key</w:t>
      </w:r>
      <w:r w:rsidRPr="002A63F8">
        <w:rPr>
          <w:sz w:val="24"/>
          <w:szCs w:val="24"/>
          <w:lang w:val="en-US"/>
        </w:rPr>
        <w:t xml:space="preserve"> issues of corporate finance is to assess the impact of financial decisions </w:t>
      </w:r>
      <w:r>
        <w:rPr>
          <w:sz w:val="24"/>
          <w:szCs w:val="24"/>
          <w:lang w:val="en-US"/>
        </w:rPr>
        <w:t>at</w:t>
      </w:r>
      <w:r w:rsidRPr="002A63F8">
        <w:rPr>
          <w:sz w:val="24"/>
          <w:szCs w:val="24"/>
          <w:lang w:val="en-US"/>
        </w:rPr>
        <w:t xml:space="preserve"> the market value of the company, which, if the company is listed on the market, </w:t>
      </w:r>
      <w:r>
        <w:rPr>
          <w:sz w:val="24"/>
          <w:szCs w:val="24"/>
          <w:lang w:val="en-US"/>
        </w:rPr>
        <w:t>may</w:t>
      </w:r>
      <w:r w:rsidRPr="002A63F8">
        <w:rPr>
          <w:sz w:val="24"/>
          <w:szCs w:val="24"/>
          <w:lang w:val="en-US"/>
        </w:rPr>
        <w:t xml:space="preserve"> be estimated through the share price. Though in the middle of the last century, </w:t>
      </w:r>
      <w:r>
        <w:rPr>
          <w:sz w:val="24"/>
          <w:szCs w:val="24"/>
          <w:lang w:val="en-US"/>
        </w:rPr>
        <w:t>M</w:t>
      </w:r>
      <w:r w:rsidRPr="002A63F8">
        <w:rPr>
          <w:sz w:val="24"/>
          <w:szCs w:val="24"/>
          <w:lang w:val="en-US"/>
        </w:rPr>
        <w:t xml:space="preserve">iller and Modigliani </w:t>
      </w:r>
      <w:r>
        <w:rPr>
          <w:sz w:val="24"/>
          <w:szCs w:val="24"/>
          <w:lang w:val="en-US"/>
        </w:rPr>
        <w:t>(1961) have proved</w:t>
      </w:r>
      <w:r w:rsidRPr="002A63F8">
        <w:rPr>
          <w:sz w:val="24"/>
          <w:szCs w:val="24"/>
          <w:lang w:val="en-US"/>
        </w:rPr>
        <w:t xml:space="preserve"> that </w:t>
      </w:r>
      <w:r>
        <w:rPr>
          <w:sz w:val="24"/>
          <w:szCs w:val="24"/>
          <w:lang w:val="en-US"/>
        </w:rPr>
        <w:t>at</w:t>
      </w:r>
      <w:r w:rsidRPr="002A63F8">
        <w:rPr>
          <w:sz w:val="24"/>
          <w:szCs w:val="24"/>
          <w:lang w:val="en-US"/>
        </w:rPr>
        <w:t xml:space="preserve"> a perfect capital market financial decisions do not affect the </w:t>
      </w:r>
      <w:r>
        <w:rPr>
          <w:sz w:val="24"/>
          <w:szCs w:val="24"/>
          <w:lang w:val="en-US"/>
        </w:rPr>
        <w:t>share prices</w:t>
      </w:r>
      <w:r w:rsidRPr="002A63F8">
        <w:rPr>
          <w:sz w:val="24"/>
          <w:szCs w:val="24"/>
          <w:lang w:val="en-US"/>
        </w:rPr>
        <w:t>, in fact, the market is not perfect, and manage</w:t>
      </w:r>
      <w:r>
        <w:rPr>
          <w:sz w:val="24"/>
          <w:szCs w:val="24"/>
          <w:lang w:val="en-US"/>
        </w:rPr>
        <w:t xml:space="preserve">rial </w:t>
      </w:r>
      <w:r w:rsidRPr="002A63F8">
        <w:rPr>
          <w:sz w:val="24"/>
          <w:szCs w:val="24"/>
          <w:lang w:val="en-US"/>
        </w:rPr>
        <w:t>decision</w:t>
      </w:r>
      <w:r>
        <w:rPr>
          <w:sz w:val="24"/>
          <w:szCs w:val="24"/>
          <w:lang w:val="en-US"/>
        </w:rPr>
        <w:t>s</w:t>
      </w:r>
      <w:r w:rsidRPr="002A63F8">
        <w:rPr>
          <w:sz w:val="24"/>
          <w:szCs w:val="24"/>
          <w:lang w:val="en-US"/>
        </w:rPr>
        <w:t xml:space="preserve"> should take into account</w:t>
      </w:r>
      <w:r>
        <w:rPr>
          <w:sz w:val="24"/>
          <w:szCs w:val="24"/>
          <w:lang w:val="en-US"/>
        </w:rPr>
        <w:t xml:space="preserve"> such </w:t>
      </w:r>
      <w:r w:rsidRPr="002A63F8">
        <w:rPr>
          <w:sz w:val="24"/>
          <w:szCs w:val="24"/>
          <w:lang w:val="en-US"/>
        </w:rPr>
        <w:t>factors as information asymmetry, tax</w:t>
      </w:r>
      <w:r>
        <w:rPr>
          <w:sz w:val="24"/>
          <w:szCs w:val="24"/>
          <w:lang w:val="en-US"/>
        </w:rPr>
        <w:t xml:space="preserve"> burden</w:t>
      </w:r>
      <w:r w:rsidRPr="002A63F8">
        <w:rPr>
          <w:sz w:val="24"/>
          <w:szCs w:val="24"/>
          <w:lang w:val="en-US"/>
        </w:rPr>
        <w:t xml:space="preserve">, institutional constraints, and other transaction costs. </w:t>
      </w:r>
    </w:p>
    <w:p w:rsidR="002A63F8" w:rsidRPr="002A63F8" w:rsidRDefault="002A63F8" w:rsidP="002A63F8">
      <w:pPr>
        <w:spacing w:line="240" w:lineRule="auto"/>
        <w:rPr>
          <w:sz w:val="24"/>
          <w:szCs w:val="24"/>
          <w:lang w:val="en-US"/>
        </w:rPr>
      </w:pPr>
      <w:r>
        <w:rPr>
          <w:sz w:val="24"/>
          <w:szCs w:val="24"/>
          <w:lang w:val="en-US"/>
        </w:rPr>
        <w:t xml:space="preserve">Modern </w:t>
      </w:r>
      <w:r w:rsidRPr="002A63F8">
        <w:rPr>
          <w:sz w:val="24"/>
          <w:szCs w:val="24"/>
          <w:lang w:val="en-US"/>
        </w:rPr>
        <w:t xml:space="preserve">companies </w:t>
      </w:r>
      <w:r>
        <w:rPr>
          <w:sz w:val="24"/>
          <w:szCs w:val="24"/>
          <w:lang w:val="en-US"/>
        </w:rPr>
        <w:t>are functioning within</w:t>
      </w:r>
      <w:r w:rsidRPr="002A63F8">
        <w:rPr>
          <w:sz w:val="24"/>
          <w:szCs w:val="24"/>
          <w:lang w:val="en-US"/>
        </w:rPr>
        <w:t xml:space="preserve"> an aggressive information environment. Once a company </w:t>
      </w:r>
      <w:r>
        <w:rPr>
          <w:sz w:val="24"/>
          <w:szCs w:val="24"/>
          <w:lang w:val="en-US"/>
        </w:rPr>
        <w:t>enters</w:t>
      </w:r>
      <w:r w:rsidRPr="002A63F8">
        <w:rPr>
          <w:sz w:val="24"/>
          <w:szCs w:val="24"/>
          <w:lang w:val="en-US"/>
        </w:rPr>
        <w:t xml:space="preserve"> the market, it is</w:t>
      </w:r>
      <w:r>
        <w:rPr>
          <w:sz w:val="24"/>
          <w:szCs w:val="24"/>
          <w:lang w:val="en-US"/>
        </w:rPr>
        <w:t xml:space="preserve"> immediately</w:t>
      </w:r>
      <w:r w:rsidRPr="002A63F8">
        <w:rPr>
          <w:sz w:val="24"/>
          <w:szCs w:val="24"/>
          <w:lang w:val="en-US"/>
        </w:rPr>
        <w:t xml:space="preserve"> involved in the powerful </w:t>
      </w:r>
      <w:r>
        <w:rPr>
          <w:sz w:val="24"/>
          <w:szCs w:val="24"/>
          <w:lang w:val="en-US"/>
        </w:rPr>
        <w:t xml:space="preserve">information stream and </w:t>
      </w:r>
      <w:r w:rsidRPr="002A63F8">
        <w:rPr>
          <w:sz w:val="24"/>
          <w:szCs w:val="24"/>
          <w:lang w:val="en-US"/>
        </w:rPr>
        <w:t>becomes a source of information</w:t>
      </w:r>
      <w:r>
        <w:rPr>
          <w:sz w:val="24"/>
          <w:szCs w:val="24"/>
          <w:lang w:val="en-US"/>
        </w:rPr>
        <w:t xml:space="preserve"> itself</w:t>
      </w:r>
      <w:r w:rsidRPr="002A63F8">
        <w:rPr>
          <w:sz w:val="24"/>
          <w:szCs w:val="24"/>
          <w:lang w:val="en-US"/>
        </w:rPr>
        <w:t xml:space="preserve">. </w:t>
      </w:r>
      <w:r>
        <w:rPr>
          <w:sz w:val="24"/>
          <w:szCs w:val="24"/>
          <w:lang w:val="en-US"/>
        </w:rPr>
        <w:t xml:space="preserve">Certain </w:t>
      </w:r>
      <w:r w:rsidRPr="002A63F8">
        <w:rPr>
          <w:sz w:val="24"/>
          <w:szCs w:val="24"/>
          <w:lang w:val="en-US"/>
        </w:rPr>
        <w:t xml:space="preserve">event or information </w:t>
      </w:r>
      <w:r>
        <w:rPr>
          <w:sz w:val="24"/>
          <w:szCs w:val="24"/>
          <w:lang w:val="en-US"/>
        </w:rPr>
        <w:t>about</w:t>
      </w:r>
      <w:r w:rsidRPr="002A63F8">
        <w:rPr>
          <w:sz w:val="24"/>
          <w:szCs w:val="24"/>
          <w:lang w:val="en-US"/>
        </w:rPr>
        <w:t xml:space="preserve"> it can affect the share prices of companies. </w:t>
      </w:r>
    </w:p>
    <w:p w:rsidR="002A63F8" w:rsidRPr="002A63F8" w:rsidRDefault="002A63F8" w:rsidP="002A63F8">
      <w:pPr>
        <w:spacing w:line="240" w:lineRule="auto"/>
        <w:rPr>
          <w:sz w:val="24"/>
          <w:szCs w:val="24"/>
          <w:lang w:val="en-US"/>
        </w:rPr>
      </w:pPr>
      <w:r w:rsidRPr="002A63F8">
        <w:rPr>
          <w:sz w:val="24"/>
          <w:szCs w:val="24"/>
          <w:lang w:val="en-US"/>
        </w:rPr>
        <w:t xml:space="preserve">For example, 17 January 2011, it was reported that Apple's CEO Steve Jobs goes on indefinite leave for health reasons. </w:t>
      </w:r>
      <w:r>
        <w:rPr>
          <w:sz w:val="24"/>
          <w:szCs w:val="24"/>
          <w:lang w:val="en-US"/>
        </w:rPr>
        <w:t>After</w:t>
      </w:r>
      <w:r w:rsidRPr="002A63F8">
        <w:rPr>
          <w:sz w:val="24"/>
          <w:szCs w:val="24"/>
          <w:lang w:val="en-US"/>
        </w:rPr>
        <w:t xml:space="preserve"> this announcement in a few weeks </w:t>
      </w:r>
      <w:r>
        <w:rPr>
          <w:sz w:val="24"/>
          <w:szCs w:val="24"/>
          <w:lang w:val="en-US"/>
        </w:rPr>
        <w:t>one could</w:t>
      </w:r>
      <w:r w:rsidRPr="002A63F8">
        <w:rPr>
          <w:sz w:val="24"/>
          <w:szCs w:val="24"/>
          <w:lang w:val="en-US"/>
        </w:rPr>
        <w:t xml:space="preserve"> trace clearly the relationship between the news about </w:t>
      </w:r>
      <w:r>
        <w:rPr>
          <w:sz w:val="24"/>
          <w:szCs w:val="24"/>
          <w:lang w:val="en-US"/>
        </w:rPr>
        <w:t>Jobs’</w:t>
      </w:r>
      <w:r w:rsidRPr="002A63F8">
        <w:rPr>
          <w:sz w:val="24"/>
          <w:szCs w:val="24"/>
          <w:lang w:val="en-US"/>
        </w:rPr>
        <w:t xml:space="preserve"> health and the price of shares of the company </w:t>
      </w:r>
      <w:r>
        <w:rPr>
          <w:sz w:val="24"/>
          <w:szCs w:val="24"/>
          <w:lang w:val="en-US"/>
        </w:rPr>
        <w:t>(Apple ..., 2011)</w:t>
      </w:r>
      <w:r w:rsidRPr="002A63F8">
        <w:rPr>
          <w:sz w:val="24"/>
          <w:szCs w:val="24"/>
          <w:lang w:val="en-US"/>
        </w:rPr>
        <w:t xml:space="preserve">. Another striking example of the impact of events on the quotes </w:t>
      </w:r>
      <w:r w:rsidR="00AD0271">
        <w:rPr>
          <w:sz w:val="24"/>
          <w:szCs w:val="24"/>
          <w:lang w:val="en-US"/>
        </w:rPr>
        <w:t xml:space="preserve">may provide the </w:t>
      </w:r>
      <w:r w:rsidRPr="002A63F8">
        <w:rPr>
          <w:sz w:val="24"/>
          <w:szCs w:val="24"/>
          <w:lang w:val="en-US"/>
        </w:rPr>
        <w:t>Japanese electric</w:t>
      </w:r>
      <w:r w:rsidR="00AD0271">
        <w:rPr>
          <w:sz w:val="24"/>
          <w:szCs w:val="24"/>
          <w:lang w:val="en-US"/>
        </w:rPr>
        <w:t>ity producer</w:t>
      </w:r>
      <w:r w:rsidRPr="002A63F8">
        <w:rPr>
          <w:sz w:val="24"/>
          <w:szCs w:val="24"/>
          <w:lang w:val="en-US"/>
        </w:rPr>
        <w:t xml:space="preserve"> </w:t>
      </w:r>
      <w:proofErr w:type="spellStart"/>
      <w:r w:rsidRPr="002A63F8">
        <w:rPr>
          <w:sz w:val="24"/>
          <w:szCs w:val="24"/>
          <w:lang w:val="en-US"/>
        </w:rPr>
        <w:t>Tepco</w:t>
      </w:r>
      <w:proofErr w:type="spellEnd"/>
      <w:r w:rsidRPr="002A63F8">
        <w:rPr>
          <w:sz w:val="24"/>
          <w:szCs w:val="24"/>
          <w:lang w:val="en-US"/>
        </w:rPr>
        <w:t>. After the accident at the nuclear power plant Fukushima-1</w:t>
      </w:r>
      <w:r w:rsidR="00AD0271">
        <w:rPr>
          <w:sz w:val="24"/>
          <w:szCs w:val="24"/>
          <w:lang w:val="en-US"/>
        </w:rPr>
        <w:t>,</w:t>
      </w:r>
      <w:r w:rsidRPr="002A63F8">
        <w:rPr>
          <w:sz w:val="24"/>
          <w:szCs w:val="24"/>
          <w:lang w:val="en-US"/>
        </w:rPr>
        <w:t xml:space="preserve"> price</w:t>
      </w:r>
      <w:r w:rsidR="00AD0271">
        <w:rPr>
          <w:sz w:val="24"/>
          <w:szCs w:val="24"/>
          <w:lang w:val="en-US"/>
        </w:rPr>
        <w:t>s</w:t>
      </w:r>
      <w:r w:rsidRPr="002A63F8">
        <w:rPr>
          <w:sz w:val="24"/>
          <w:szCs w:val="24"/>
          <w:lang w:val="en-US"/>
        </w:rPr>
        <w:t xml:space="preserve"> of the company's shares have fallen from 2,149 yen per share to 399 yen per share, </w:t>
      </w:r>
      <w:r w:rsidR="00AD0271">
        <w:rPr>
          <w:sz w:val="24"/>
          <w:szCs w:val="24"/>
          <w:lang w:val="en-US"/>
        </w:rPr>
        <w:t xml:space="preserve">within a period of </w:t>
      </w:r>
      <w:r w:rsidRPr="002A63F8">
        <w:rPr>
          <w:sz w:val="24"/>
          <w:szCs w:val="24"/>
          <w:lang w:val="en-US"/>
        </w:rPr>
        <w:t xml:space="preserve">a month, and then continued to fall to the level of 207 yen for two months. From these examples, it can be concluded that companies should not ignore the news background, and they should consider the event risk in making those or other enterprise solutions. </w:t>
      </w:r>
    </w:p>
    <w:p w:rsidR="002A63F8" w:rsidRPr="002A63F8" w:rsidRDefault="002A63F8" w:rsidP="002A63F8">
      <w:pPr>
        <w:spacing w:line="240" w:lineRule="auto"/>
        <w:rPr>
          <w:sz w:val="24"/>
          <w:szCs w:val="24"/>
          <w:lang w:val="en-US"/>
        </w:rPr>
      </w:pPr>
      <w:r w:rsidRPr="002A63F8">
        <w:rPr>
          <w:sz w:val="24"/>
          <w:szCs w:val="24"/>
          <w:lang w:val="en-US"/>
        </w:rPr>
        <w:t xml:space="preserve">The </w:t>
      </w:r>
      <w:r w:rsidR="00AD0271">
        <w:rPr>
          <w:sz w:val="24"/>
          <w:szCs w:val="24"/>
          <w:lang w:val="en-US"/>
        </w:rPr>
        <w:t>dividend policy is one of the factors</w:t>
      </w:r>
      <w:r w:rsidRPr="002A63F8">
        <w:rPr>
          <w:sz w:val="24"/>
          <w:szCs w:val="24"/>
          <w:lang w:val="en-US"/>
        </w:rPr>
        <w:t xml:space="preserve"> that affect the market value of the company and, consequen</w:t>
      </w:r>
      <w:r w:rsidR="00AD0271">
        <w:rPr>
          <w:sz w:val="24"/>
          <w:szCs w:val="24"/>
          <w:lang w:val="en-US"/>
        </w:rPr>
        <w:t>tly</w:t>
      </w:r>
      <w:r w:rsidRPr="002A63F8">
        <w:rPr>
          <w:sz w:val="24"/>
          <w:szCs w:val="24"/>
          <w:lang w:val="en-US"/>
        </w:rPr>
        <w:t xml:space="preserve">, the welfare of its shareholders. For a long time researchers have attempted to find the relationship between the value of the company and dividend payments. </w:t>
      </w:r>
    </w:p>
    <w:p w:rsidR="002A63F8" w:rsidRPr="002A63F8" w:rsidRDefault="002A63F8" w:rsidP="002A63F8">
      <w:pPr>
        <w:spacing w:line="240" w:lineRule="auto"/>
        <w:rPr>
          <w:sz w:val="24"/>
          <w:szCs w:val="24"/>
          <w:lang w:val="en-US"/>
        </w:rPr>
      </w:pPr>
      <w:r w:rsidRPr="002A63F8">
        <w:rPr>
          <w:sz w:val="24"/>
          <w:szCs w:val="24"/>
          <w:lang w:val="en-US"/>
        </w:rPr>
        <w:t>Most studies of the reaction of the market value of companies to changes in the dividend</w:t>
      </w:r>
      <w:r w:rsidR="00AD0271">
        <w:rPr>
          <w:sz w:val="24"/>
          <w:szCs w:val="24"/>
          <w:lang w:val="en-US"/>
        </w:rPr>
        <w:t xml:space="preserve"> payments</w:t>
      </w:r>
      <w:r w:rsidRPr="002A63F8">
        <w:rPr>
          <w:sz w:val="24"/>
          <w:szCs w:val="24"/>
          <w:lang w:val="en-US"/>
        </w:rPr>
        <w:t xml:space="preserve"> </w:t>
      </w:r>
      <w:r w:rsidR="00AD0271">
        <w:rPr>
          <w:sz w:val="24"/>
          <w:szCs w:val="24"/>
          <w:lang w:val="en-US"/>
        </w:rPr>
        <w:t>is</w:t>
      </w:r>
      <w:r w:rsidRPr="002A63F8">
        <w:rPr>
          <w:sz w:val="24"/>
          <w:szCs w:val="24"/>
          <w:lang w:val="en-US"/>
        </w:rPr>
        <w:t xml:space="preserve"> </w:t>
      </w:r>
      <w:r w:rsidR="00AD0271">
        <w:rPr>
          <w:sz w:val="24"/>
          <w:szCs w:val="24"/>
          <w:lang w:val="en-US"/>
        </w:rPr>
        <w:t>related to</w:t>
      </w:r>
      <w:r w:rsidRPr="002A63F8">
        <w:rPr>
          <w:sz w:val="24"/>
          <w:szCs w:val="24"/>
          <w:lang w:val="en-US"/>
        </w:rPr>
        <w:t xml:space="preserve"> developed markets (USA, G</w:t>
      </w:r>
      <w:r w:rsidR="00AD0271">
        <w:rPr>
          <w:sz w:val="24"/>
          <w:szCs w:val="24"/>
          <w:lang w:val="en-US"/>
        </w:rPr>
        <w:t>ermany, UK, Denmark, and others</w:t>
      </w:r>
      <w:r w:rsidRPr="002A63F8">
        <w:rPr>
          <w:sz w:val="24"/>
          <w:szCs w:val="24"/>
          <w:lang w:val="en-US"/>
        </w:rPr>
        <w:t>). The</w:t>
      </w:r>
      <w:r w:rsidR="00AD0271">
        <w:rPr>
          <w:sz w:val="24"/>
          <w:szCs w:val="24"/>
          <w:lang w:val="en-US"/>
        </w:rPr>
        <w:t xml:space="preserve">re is a general conclusion from these papers that share prices are </w:t>
      </w:r>
      <w:proofErr w:type="gramStart"/>
      <w:r w:rsidR="00AD0271">
        <w:rPr>
          <w:sz w:val="24"/>
          <w:szCs w:val="24"/>
          <w:lang w:val="en-US"/>
        </w:rPr>
        <w:t>rising</w:t>
      </w:r>
      <w:proofErr w:type="gramEnd"/>
      <w:r w:rsidR="00AD0271">
        <w:rPr>
          <w:sz w:val="24"/>
          <w:szCs w:val="24"/>
          <w:lang w:val="en-US"/>
        </w:rPr>
        <w:t xml:space="preserve"> at the response to the increase in dividend payments</w:t>
      </w:r>
      <w:r w:rsidRPr="002A63F8">
        <w:rPr>
          <w:sz w:val="24"/>
          <w:szCs w:val="24"/>
          <w:lang w:val="en-US"/>
        </w:rPr>
        <w:t xml:space="preserve">, and vice versa, </w:t>
      </w:r>
      <w:r w:rsidR="00AD0271">
        <w:rPr>
          <w:sz w:val="24"/>
          <w:szCs w:val="24"/>
          <w:lang w:val="en-US"/>
        </w:rPr>
        <w:t>the reductions of payments cause the decrease of shares prices</w:t>
      </w:r>
      <w:r w:rsidRPr="002A63F8">
        <w:rPr>
          <w:sz w:val="24"/>
          <w:szCs w:val="24"/>
          <w:lang w:val="en-US"/>
        </w:rPr>
        <w:t xml:space="preserve">. This market reaction is consistent with the signaling theory of dividends. </w:t>
      </w:r>
    </w:p>
    <w:p w:rsidR="002A63F8" w:rsidRPr="002A63F8" w:rsidRDefault="002F0CB8" w:rsidP="002A63F8">
      <w:pPr>
        <w:spacing w:line="240" w:lineRule="auto"/>
        <w:rPr>
          <w:sz w:val="24"/>
          <w:szCs w:val="24"/>
          <w:lang w:val="en-US"/>
        </w:rPr>
      </w:pPr>
      <w:r>
        <w:rPr>
          <w:sz w:val="24"/>
          <w:szCs w:val="24"/>
          <w:lang w:val="en-US"/>
        </w:rPr>
        <w:t xml:space="preserve">As for </w:t>
      </w:r>
      <w:r w:rsidR="002A63F8" w:rsidRPr="002A63F8">
        <w:rPr>
          <w:sz w:val="24"/>
          <w:szCs w:val="24"/>
          <w:lang w:val="en-US"/>
        </w:rPr>
        <w:t xml:space="preserve">emerging markets, studies </w:t>
      </w:r>
      <w:r>
        <w:rPr>
          <w:sz w:val="24"/>
          <w:szCs w:val="24"/>
          <w:lang w:val="en-US"/>
        </w:rPr>
        <w:t>on</w:t>
      </w:r>
      <w:r w:rsidR="002A63F8" w:rsidRPr="002A63F8">
        <w:rPr>
          <w:sz w:val="24"/>
          <w:szCs w:val="24"/>
          <w:lang w:val="en-US"/>
        </w:rPr>
        <w:t xml:space="preserve"> the dividend policy are </w:t>
      </w:r>
      <w:r>
        <w:rPr>
          <w:sz w:val="24"/>
          <w:szCs w:val="24"/>
          <w:lang w:val="en-US"/>
        </w:rPr>
        <w:t>rather rare</w:t>
      </w:r>
      <w:r w:rsidR="002A63F8" w:rsidRPr="002A63F8">
        <w:rPr>
          <w:sz w:val="24"/>
          <w:szCs w:val="24"/>
          <w:lang w:val="en-US"/>
        </w:rPr>
        <w:t xml:space="preserve">. </w:t>
      </w:r>
      <w:proofErr w:type="spellStart"/>
      <w:r w:rsidRPr="002A63F8">
        <w:rPr>
          <w:sz w:val="24"/>
          <w:szCs w:val="24"/>
          <w:lang w:val="en-US"/>
        </w:rPr>
        <w:t>Aivazian</w:t>
      </w:r>
      <w:proofErr w:type="spellEnd"/>
      <w:r w:rsidR="002A63F8" w:rsidRPr="002A63F8">
        <w:rPr>
          <w:sz w:val="24"/>
          <w:szCs w:val="24"/>
          <w:lang w:val="en-US"/>
        </w:rPr>
        <w:t xml:space="preserve"> and Booth </w:t>
      </w:r>
      <w:r>
        <w:rPr>
          <w:sz w:val="24"/>
          <w:szCs w:val="24"/>
          <w:lang w:val="en-US"/>
        </w:rPr>
        <w:t>(2003) had</w:t>
      </w:r>
      <w:r w:rsidR="002A63F8" w:rsidRPr="002A63F8">
        <w:rPr>
          <w:sz w:val="24"/>
          <w:szCs w:val="24"/>
          <w:lang w:val="en-US"/>
        </w:rPr>
        <w:t xml:space="preserve"> compared the </w:t>
      </w:r>
      <w:r>
        <w:rPr>
          <w:sz w:val="24"/>
          <w:szCs w:val="24"/>
          <w:lang w:val="en-US"/>
        </w:rPr>
        <w:t xml:space="preserve">U.S. </w:t>
      </w:r>
      <w:r w:rsidR="002A63F8" w:rsidRPr="002A63F8">
        <w:rPr>
          <w:sz w:val="24"/>
          <w:szCs w:val="24"/>
          <w:lang w:val="en-US"/>
        </w:rPr>
        <w:t xml:space="preserve">market and emerging markets </w:t>
      </w:r>
      <w:r>
        <w:rPr>
          <w:sz w:val="24"/>
          <w:szCs w:val="24"/>
          <w:lang w:val="en-US"/>
        </w:rPr>
        <w:t>of</w:t>
      </w:r>
      <w:r w:rsidR="002A63F8" w:rsidRPr="002A63F8">
        <w:rPr>
          <w:sz w:val="24"/>
          <w:szCs w:val="24"/>
          <w:lang w:val="en-US"/>
        </w:rPr>
        <w:t xml:space="preserve"> eight countries. However, they have not studied the reaction of share prices </w:t>
      </w:r>
      <w:r w:rsidR="00D25758">
        <w:rPr>
          <w:sz w:val="24"/>
          <w:szCs w:val="24"/>
          <w:lang w:val="en-US"/>
        </w:rPr>
        <w:t xml:space="preserve">on changes in </w:t>
      </w:r>
      <w:r w:rsidR="002A63F8" w:rsidRPr="002A63F8">
        <w:rPr>
          <w:sz w:val="24"/>
          <w:szCs w:val="24"/>
          <w:lang w:val="en-US"/>
        </w:rPr>
        <w:t xml:space="preserve">the amount of dividends, but only assessed the factors affecting </w:t>
      </w:r>
      <w:r w:rsidR="00D25758">
        <w:rPr>
          <w:sz w:val="24"/>
          <w:szCs w:val="24"/>
          <w:lang w:val="en-US"/>
        </w:rPr>
        <w:t>companies</w:t>
      </w:r>
      <w:r w:rsidR="002A63F8" w:rsidRPr="002A63F8">
        <w:rPr>
          <w:sz w:val="24"/>
          <w:szCs w:val="24"/>
          <w:lang w:val="en-US"/>
        </w:rPr>
        <w:t>' dividend polic</w:t>
      </w:r>
      <w:r w:rsidR="00D25758">
        <w:rPr>
          <w:sz w:val="24"/>
          <w:szCs w:val="24"/>
          <w:lang w:val="en-US"/>
        </w:rPr>
        <w:t>ies</w:t>
      </w:r>
      <w:r w:rsidR="002A63F8" w:rsidRPr="002A63F8">
        <w:rPr>
          <w:sz w:val="24"/>
          <w:szCs w:val="24"/>
          <w:lang w:val="en-US"/>
        </w:rPr>
        <w:t>. It turned out that these factors are the same in both developed and emerging markets, differ</w:t>
      </w:r>
      <w:r w:rsidR="00D25758">
        <w:rPr>
          <w:sz w:val="24"/>
          <w:szCs w:val="24"/>
          <w:lang w:val="en-US"/>
        </w:rPr>
        <w:t>ing</w:t>
      </w:r>
      <w:r w:rsidR="002A63F8" w:rsidRPr="002A63F8">
        <w:rPr>
          <w:sz w:val="24"/>
          <w:szCs w:val="24"/>
          <w:lang w:val="en-US"/>
        </w:rPr>
        <w:t xml:space="preserve"> only </w:t>
      </w:r>
      <w:r w:rsidR="00D25758">
        <w:rPr>
          <w:sz w:val="24"/>
          <w:szCs w:val="24"/>
          <w:lang w:val="en-US"/>
        </w:rPr>
        <w:t>by</w:t>
      </w:r>
      <w:r w:rsidR="002A63F8" w:rsidRPr="002A63F8">
        <w:rPr>
          <w:sz w:val="24"/>
          <w:szCs w:val="24"/>
          <w:lang w:val="en-US"/>
        </w:rPr>
        <w:t xml:space="preserve"> the </w:t>
      </w:r>
      <w:proofErr w:type="spellStart"/>
      <w:r w:rsidR="00D25758">
        <w:rPr>
          <w:sz w:val="24"/>
          <w:szCs w:val="24"/>
          <w:lang w:val="en-US"/>
        </w:rPr>
        <w:t>strengh</w:t>
      </w:r>
      <w:proofErr w:type="spellEnd"/>
      <w:r w:rsidR="002A63F8" w:rsidRPr="002A63F8">
        <w:rPr>
          <w:sz w:val="24"/>
          <w:szCs w:val="24"/>
          <w:lang w:val="en-US"/>
        </w:rPr>
        <w:t xml:space="preserve"> of their influence. In 2013, a </w:t>
      </w:r>
      <w:r w:rsidR="00D25758">
        <w:rPr>
          <w:sz w:val="24"/>
          <w:szCs w:val="24"/>
          <w:lang w:val="en-US"/>
        </w:rPr>
        <w:t>paper</w:t>
      </w:r>
      <w:r w:rsidR="002A63F8" w:rsidRPr="002A63F8">
        <w:rPr>
          <w:sz w:val="24"/>
          <w:szCs w:val="24"/>
          <w:lang w:val="en-US"/>
        </w:rPr>
        <w:t xml:space="preserve"> was published </w:t>
      </w:r>
      <w:r w:rsidR="00D25758">
        <w:rPr>
          <w:sz w:val="24"/>
          <w:szCs w:val="24"/>
          <w:lang w:val="en-US"/>
        </w:rPr>
        <w:t>(</w:t>
      </w:r>
      <w:proofErr w:type="spellStart"/>
      <w:r w:rsidR="002A63F8" w:rsidRPr="002A63F8">
        <w:rPr>
          <w:sz w:val="24"/>
          <w:szCs w:val="24"/>
          <w:lang w:val="en-US"/>
        </w:rPr>
        <w:t>Berezinets</w:t>
      </w:r>
      <w:proofErr w:type="spellEnd"/>
      <w:r w:rsidR="002A63F8" w:rsidRPr="002A63F8">
        <w:rPr>
          <w:sz w:val="24"/>
          <w:szCs w:val="24"/>
          <w:lang w:val="en-US"/>
        </w:rPr>
        <w:t xml:space="preserve">, </w:t>
      </w:r>
      <w:proofErr w:type="spellStart"/>
      <w:r w:rsidR="002A63F8" w:rsidRPr="002A63F8">
        <w:rPr>
          <w:sz w:val="24"/>
          <w:szCs w:val="24"/>
          <w:lang w:val="en-US"/>
        </w:rPr>
        <w:t>Bulatov</w:t>
      </w:r>
      <w:proofErr w:type="spellEnd"/>
      <w:r w:rsidR="002A63F8" w:rsidRPr="002A63F8">
        <w:rPr>
          <w:sz w:val="24"/>
          <w:szCs w:val="24"/>
          <w:lang w:val="en-US"/>
        </w:rPr>
        <w:t xml:space="preserve">, </w:t>
      </w:r>
      <w:proofErr w:type="spellStart"/>
      <w:r w:rsidR="002A63F8" w:rsidRPr="002A63F8">
        <w:rPr>
          <w:sz w:val="24"/>
          <w:szCs w:val="24"/>
          <w:lang w:val="en-US"/>
        </w:rPr>
        <w:t>Ilyin</w:t>
      </w:r>
      <w:proofErr w:type="spellEnd"/>
      <w:r w:rsidR="002A63F8" w:rsidRPr="002A63F8">
        <w:rPr>
          <w:sz w:val="24"/>
          <w:szCs w:val="24"/>
          <w:lang w:val="en-US"/>
        </w:rPr>
        <w:t>, 2013</w:t>
      </w:r>
      <w:r w:rsidR="00D25758">
        <w:rPr>
          <w:sz w:val="24"/>
          <w:szCs w:val="24"/>
          <w:lang w:val="en-US"/>
        </w:rPr>
        <w:t>)</w:t>
      </w:r>
      <w:r w:rsidR="002A63F8" w:rsidRPr="002A63F8">
        <w:rPr>
          <w:sz w:val="24"/>
          <w:szCs w:val="24"/>
          <w:lang w:val="en-US"/>
        </w:rPr>
        <w:t xml:space="preserve">, dedicated to the Indian market and </w:t>
      </w:r>
      <w:r w:rsidR="00D25758">
        <w:rPr>
          <w:sz w:val="24"/>
          <w:szCs w:val="24"/>
          <w:lang w:val="en-US"/>
        </w:rPr>
        <w:t>to the</w:t>
      </w:r>
      <w:r w:rsidR="002A63F8" w:rsidRPr="002A63F8">
        <w:rPr>
          <w:sz w:val="24"/>
          <w:szCs w:val="24"/>
          <w:lang w:val="en-US"/>
        </w:rPr>
        <w:t xml:space="preserve"> analysis of </w:t>
      </w:r>
      <w:r w:rsidR="00D25758">
        <w:rPr>
          <w:sz w:val="24"/>
          <w:szCs w:val="24"/>
          <w:lang w:val="en-US"/>
        </w:rPr>
        <w:t xml:space="preserve">the impact of the announcements </w:t>
      </w:r>
      <w:r w:rsidR="002A63F8" w:rsidRPr="002A63F8">
        <w:rPr>
          <w:sz w:val="24"/>
          <w:szCs w:val="24"/>
          <w:lang w:val="en-US"/>
        </w:rPr>
        <w:t>on dividend</w:t>
      </w:r>
      <w:r w:rsidR="00D25758">
        <w:rPr>
          <w:sz w:val="24"/>
          <w:szCs w:val="24"/>
          <w:lang w:val="en-US"/>
        </w:rPr>
        <w:t xml:space="preserve"> </w:t>
      </w:r>
      <w:r w:rsidR="00D25758" w:rsidRPr="002A63F8">
        <w:rPr>
          <w:sz w:val="24"/>
          <w:szCs w:val="24"/>
          <w:lang w:val="en-US"/>
        </w:rPr>
        <w:t>payment</w:t>
      </w:r>
      <w:r w:rsidR="002A63F8" w:rsidRPr="002A63F8">
        <w:rPr>
          <w:sz w:val="24"/>
          <w:szCs w:val="24"/>
          <w:lang w:val="en-US"/>
        </w:rPr>
        <w:t xml:space="preserve">s </w:t>
      </w:r>
      <w:r w:rsidR="00D25758">
        <w:rPr>
          <w:sz w:val="24"/>
          <w:szCs w:val="24"/>
          <w:lang w:val="en-US"/>
        </w:rPr>
        <w:t>at</w:t>
      </w:r>
      <w:r w:rsidR="002A63F8" w:rsidRPr="002A63F8">
        <w:rPr>
          <w:sz w:val="24"/>
          <w:szCs w:val="24"/>
          <w:lang w:val="en-US"/>
        </w:rPr>
        <w:t xml:space="preserve"> compan</w:t>
      </w:r>
      <w:r w:rsidR="00D25758">
        <w:rPr>
          <w:sz w:val="24"/>
          <w:szCs w:val="24"/>
          <w:lang w:val="en-US"/>
        </w:rPr>
        <w:t>ies’</w:t>
      </w:r>
      <w:r w:rsidR="002A63F8" w:rsidRPr="002A63F8">
        <w:rPr>
          <w:sz w:val="24"/>
          <w:szCs w:val="24"/>
          <w:lang w:val="en-US"/>
        </w:rPr>
        <w:t xml:space="preserve"> share</w:t>
      </w:r>
      <w:r w:rsidR="00D25758">
        <w:rPr>
          <w:sz w:val="24"/>
          <w:szCs w:val="24"/>
          <w:lang w:val="en-US"/>
        </w:rPr>
        <w:t>s</w:t>
      </w:r>
      <w:r w:rsidR="002A63F8" w:rsidRPr="002A63F8">
        <w:rPr>
          <w:sz w:val="24"/>
          <w:szCs w:val="24"/>
          <w:lang w:val="en-US"/>
        </w:rPr>
        <w:t xml:space="preserve"> price</w:t>
      </w:r>
      <w:r w:rsidR="00D25758">
        <w:rPr>
          <w:sz w:val="24"/>
          <w:szCs w:val="24"/>
          <w:lang w:val="en-US"/>
        </w:rPr>
        <w:t>s</w:t>
      </w:r>
      <w:r w:rsidR="002A63F8" w:rsidRPr="002A63F8">
        <w:rPr>
          <w:sz w:val="24"/>
          <w:szCs w:val="24"/>
          <w:lang w:val="en-US"/>
        </w:rPr>
        <w:t xml:space="preserve">. </w:t>
      </w:r>
    </w:p>
    <w:p w:rsidR="002A63F8" w:rsidRPr="002A63F8" w:rsidRDefault="002A63F8" w:rsidP="002A63F8">
      <w:pPr>
        <w:spacing w:line="240" w:lineRule="auto"/>
        <w:rPr>
          <w:sz w:val="24"/>
          <w:szCs w:val="24"/>
          <w:lang w:val="en-US"/>
        </w:rPr>
      </w:pPr>
      <w:r w:rsidRPr="002A63F8">
        <w:rPr>
          <w:sz w:val="24"/>
          <w:szCs w:val="24"/>
          <w:lang w:val="en-US"/>
        </w:rPr>
        <w:t xml:space="preserve">In Russia, </w:t>
      </w:r>
      <w:r w:rsidR="00D25758">
        <w:rPr>
          <w:sz w:val="24"/>
          <w:szCs w:val="24"/>
          <w:lang w:val="en-US"/>
        </w:rPr>
        <w:t>the</w:t>
      </w:r>
      <w:r w:rsidRPr="002A63F8">
        <w:rPr>
          <w:sz w:val="24"/>
          <w:szCs w:val="24"/>
          <w:lang w:val="en-US"/>
        </w:rPr>
        <w:t xml:space="preserve"> problem is </w:t>
      </w:r>
      <w:r w:rsidR="00D25758">
        <w:rPr>
          <w:sz w:val="24"/>
          <w:szCs w:val="24"/>
          <w:lang w:val="en-US"/>
        </w:rPr>
        <w:t xml:space="preserve">not </w:t>
      </w:r>
      <w:r w:rsidRPr="002A63F8">
        <w:rPr>
          <w:sz w:val="24"/>
          <w:szCs w:val="24"/>
          <w:lang w:val="en-US"/>
        </w:rPr>
        <w:t xml:space="preserve">studied </w:t>
      </w:r>
      <w:r w:rsidR="00D25758">
        <w:rPr>
          <w:sz w:val="24"/>
          <w:szCs w:val="24"/>
          <w:lang w:val="en-US"/>
        </w:rPr>
        <w:t>deeply,</w:t>
      </w:r>
      <w:r w:rsidRPr="002A63F8">
        <w:rPr>
          <w:sz w:val="24"/>
          <w:szCs w:val="24"/>
          <w:lang w:val="en-US"/>
        </w:rPr>
        <w:t xml:space="preserve"> that can be explained by the fact that the majority of listed joint stock companies do not </w:t>
      </w:r>
      <w:r w:rsidR="00D25758">
        <w:rPr>
          <w:sz w:val="24"/>
          <w:szCs w:val="24"/>
          <w:lang w:val="en-US"/>
        </w:rPr>
        <w:t>consider their dividend payments as an effective tool of managing the companies’ market values</w:t>
      </w:r>
      <w:r w:rsidRPr="002A63F8">
        <w:rPr>
          <w:sz w:val="24"/>
          <w:szCs w:val="24"/>
          <w:lang w:val="en-US"/>
        </w:rPr>
        <w:t xml:space="preserve">. </w:t>
      </w:r>
      <w:r w:rsidR="00D25758">
        <w:rPr>
          <w:sz w:val="24"/>
          <w:szCs w:val="24"/>
          <w:lang w:val="en-US"/>
        </w:rPr>
        <w:t>The only fundamental work (</w:t>
      </w:r>
      <w:proofErr w:type="spellStart"/>
      <w:r w:rsidR="00D25758">
        <w:rPr>
          <w:sz w:val="24"/>
          <w:szCs w:val="24"/>
          <w:lang w:val="en-US"/>
        </w:rPr>
        <w:t>Teplova</w:t>
      </w:r>
      <w:proofErr w:type="spellEnd"/>
      <w:r w:rsidR="00D25758">
        <w:rPr>
          <w:sz w:val="24"/>
          <w:szCs w:val="24"/>
          <w:lang w:val="en-US"/>
        </w:rPr>
        <w:t>, 2008)</w:t>
      </w:r>
      <w:r w:rsidRPr="002A63F8">
        <w:rPr>
          <w:sz w:val="24"/>
          <w:szCs w:val="24"/>
          <w:lang w:val="en-US"/>
        </w:rPr>
        <w:t xml:space="preserve">, </w:t>
      </w:r>
      <w:r w:rsidR="00D25758">
        <w:rPr>
          <w:sz w:val="24"/>
          <w:szCs w:val="24"/>
          <w:lang w:val="en-US"/>
        </w:rPr>
        <w:t xml:space="preserve">though, is very interesting because the author, while </w:t>
      </w:r>
      <w:r w:rsidRPr="002A63F8">
        <w:rPr>
          <w:sz w:val="24"/>
          <w:szCs w:val="24"/>
          <w:lang w:val="en-US"/>
        </w:rPr>
        <w:t>evaluat</w:t>
      </w:r>
      <w:r w:rsidR="00D25758">
        <w:rPr>
          <w:sz w:val="24"/>
          <w:szCs w:val="24"/>
          <w:lang w:val="en-US"/>
        </w:rPr>
        <w:t>ing</w:t>
      </w:r>
      <w:r w:rsidRPr="002A63F8">
        <w:rPr>
          <w:sz w:val="24"/>
          <w:szCs w:val="24"/>
          <w:lang w:val="en-US"/>
        </w:rPr>
        <w:t xml:space="preserve"> the re</w:t>
      </w:r>
      <w:r w:rsidR="00D25758">
        <w:rPr>
          <w:sz w:val="24"/>
          <w:szCs w:val="24"/>
          <w:lang w:val="en-US"/>
        </w:rPr>
        <w:t>action</w:t>
      </w:r>
      <w:r w:rsidRPr="002A63F8">
        <w:rPr>
          <w:sz w:val="24"/>
          <w:szCs w:val="24"/>
          <w:lang w:val="en-US"/>
        </w:rPr>
        <w:t xml:space="preserve"> of the Russian market </w:t>
      </w:r>
      <w:r w:rsidR="00D25758">
        <w:rPr>
          <w:sz w:val="24"/>
          <w:szCs w:val="24"/>
          <w:lang w:val="en-US"/>
        </w:rPr>
        <w:t>at</w:t>
      </w:r>
      <w:r w:rsidRPr="002A63F8">
        <w:rPr>
          <w:sz w:val="24"/>
          <w:szCs w:val="24"/>
          <w:lang w:val="en-US"/>
        </w:rPr>
        <w:t xml:space="preserve"> the </w:t>
      </w:r>
      <w:r w:rsidR="00D25758">
        <w:rPr>
          <w:sz w:val="24"/>
          <w:szCs w:val="24"/>
          <w:lang w:val="en-US"/>
        </w:rPr>
        <w:t xml:space="preserve">dividend payments </w:t>
      </w:r>
      <w:r w:rsidRPr="002A63F8">
        <w:rPr>
          <w:sz w:val="24"/>
          <w:szCs w:val="24"/>
          <w:lang w:val="en-US"/>
        </w:rPr>
        <w:t>announcement</w:t>
      </w:r>
      <w:r w:rsidR="00D25758">
        <w:rPr>
          <w:sz w:val="24"/>
          <w:szCs w:val="24"/>
          <w:lang w:val="en-US"/>
        </w:rPr>
        <w:t>s</w:t>
      </w:r>
      <w:r w:rsidRPr="002A63F8">
        <w:rPr>
          <w:sz w:val="24"/>
          <w:szCs w:val="24"/>
          <w:lang w:val="en-US"/>
        </w:rPr>
        <w:t xml:space="preserve"> and received a negative reaction </w:t>
      </w:r>
      <w:r w:rsidR="006047F0">
        <w:rPr>
          <w:sz w:val="24"/>
          <w:szCs w:val="24"/>
          <w:lang w:val="en-US"/>
        </w:rPr>
        <w:t xml:space="preserve">both </w:t>
      </w:r>
      <w:r w:rsidRPr="002A63F8">
        <w:rPr>
          <w:sz w:val="24"/>
          <w:szCs w:val="24"/>
          <w:lang w:val="en-US"/>
        </w:rPr>
        <w:t xml:space="preserve">to the news </w:t>
      </w:r>
      <w:r w:rsidR="00D25758">
        <w:rPr>
          <w:sz w:val="24"/>
          <w:szCs w:val="24"/>
          <w:lang w:val="en-US"/>
        </w:rPr>
        <w:t>about the dividends increases</w:t>
      </w:r>
      <w:r w:rsidRPr="002A63F8">
        <w:rPr>
          <w:sz w:val="24"/>
          <w:szCs w:val="24"/>
          <w:lang w:val="en-US"/>
        </w:rPr>
        <w:t xml:space="preserve">, and </w:t>
      </w:r>
      <w:r w:rsidR="006047F0">
        <w:rPr>
          <w:sz w:val="24"/>
          <w:szCs w:val="24"/>
          <w:lang w:val="en-US"/>
        </w:rPr>
        <w:t>about</w:t>
      </w:r>
      <w:r w:rsidRPr="002A63F8">
        <w:rPr>
          <w:sz w:val="24"/>
          <w:szCs w:val="24"/>
          <w:lang w:val="en-US"/>
        </w:rPr>
        <w:t xml:space="preserve"> their decline. However, the data </w:t>
      </w:r>
      <w:r w:rsidR="006047F0">
        <w:rPr>
          <w:sz w:val="24"/>
          <w:szCs w:val="24"/>
          <w:lang w:val="en-US"/>
        </w:rPr>
        <w:t>obtained, is related to the period before 2007</w:t>
      </w:r>
      <w:r w:rsidRPr="002A63F8">
        <w:rPr>
          <w:sz w:val="24"/>
          <w:szCs w:val="24"/>
          <w:lang w:val="en-US"/>
        </w:rPr>
        <w:t xml:space="preserve">, and since then the </w:t>
      </w:r>
      <w:r w:rsidR="006047F0">
        <w:rPr>
          <w:sz w:val="24"/>
          <w:szCs w:val="24"/>
          <w:lang w:val="en-US"/>
        </w:rPr>
        <w:t xml:space="preserve">market </w:t>
      </w:r>
      <w:r w:rsidRPr="002A63F8">
        <w:rPr>
          <w:sz w:val="24"/>
          <w:szCs w:val="24"/>
          <w:lang w:val="en-US"/>
        </w:rPr>
        <w:t xml:space="preserve">situation </w:t>
      </w:r>
      <w:r w:rsidR="006047F0">
        <w:rPr>
          <w:sz w:val="24"/>
          <w:szCs w:val="24"/>
          <w:lang w:val="en-US"/>
        </w:rPr>
        <w:t xml:space="preserve">has changed dramatically. This consideration requires adjustments in </w:t>
      </w:r>
      <w:r w:rsidRPr="002A63F8">
        <w:rPr>
          <w:sz w:val="24"/>
          <w:szCs w:val="24"/>
          <w:lang w:val="en-US"/>
        </w:rPr>
        <w:t xml:space="preserve">research methods and conclusions. </w:t>
      </w:r>
    </w:p>
    <w:p w:rsidR="002A63F8" w:rsidRDefault="006047F0" w:rsidP="002A63F8">
      <w:pPr>
        <w:spacing w:line="240" w:lineRule="auto"/>
        <w:rPr>
          <w:sz w:val="24"/>
          <w:szCs w:val="24"/>
          <w:lang w:val="en-US"/>
        </w:rPr>
      </w:pPr>
      <w:r>
        <w:rPr>
          <w:sz w:val="24"/>
          <w:szCs w:val="24"/>
          <w:lang w:val="en-US"/>
        </w:rPr>
        <w:t xml:space="preserve">Because of the </w:t>
      </w:r>
      <w:r w:rsidR="002A63F8" w:rsidRPr="002A63F8">
        <w:rPr>
          <w:sz w:val="24"/>
          <w:szCs w:val="24"/>
          <w:lang w:val="en-US"/>
        </w:rPr>
        <w:t xml:space="preserve">importance of the topic and the </w:t>
      </w:r>
      <w:r>
        <w:rPr>
          <w:sz w:val="24"/>
          <w:szCs w:val="24"/>
          <w:lang w:val="en-US"/>
        </w:rPr>
        <w:t xml:space="preserve">insufficient development of studies on </w:t>
      </w:r>
      <w:r>
        <w:rPr>
          <w:sz w:val="24"/>
          <w:szCs w:val="24"/>
          <w:lang w:val="en-US"/>
        </w:rPr>
        <w:lastRenderedPageBreak/>
        <w:t>d</w:t>
      </w:r>
      <w:r w:rsidR="002A63F8" w:rsidRPr="002A63F8">
        <w:rPr>
          <w:sz w:val="24"/>
          <w:szCs w:val="24"/>
          <w:lang w:val="en-US"/>
        </w:rPr>
        <w:t>ividend polic</w:t>
      </w:r>
      <w:r>
        <w:rPr>
          <w:sz w:val="24"/>
          <w:szCs w:val="24"/>
          <w:lang w:val="en-US"/>
        </w:rPr>
        <w:t>ies</w:t>
      </w:r>
      <w:r w:rsidR="002A63F8" w:rsidRPr="002A63F8">
        <w:rPr>
          <w:sz w:val="24"/>
          <w:szCs w:val="24"/>
          <w:lang w:val="en-US"/>
        </w:rPr>
        <w:t xml:space="preserve"> in Russia, the main objective of this work is to assess the market reaction </w:t>
      </w:r>
      <w:r>
        <w:rPr>
          <w:sz w:val="24"/>
          <w:szCs w:val="24"/>
          <w:lang w:val="en-US"/>
        </w:rPr>
        <w:t xml:space="preserve">at </w:t>
      </w:r>
      <w:r w:rsidR="002A63F8" w:rsidRPr="002A63F8">
        <w:rPr>
          <w:sz w:val="24"/>
          <w:szCs w:val="24"/>
          <w:lang w:val="en-US"/>
        </w:rPr>
        <w:t xml:space="preserve">the information on dividend payments </w:t>
      </w:r>
      <w:r>
        <w:rPr>
          <w:sz w:val="24"/>
          <w:szCs w:val="24"/>
          <w:lang w:val="en-US"/>
        </w:rPr>
        <w:t>made</w:t>
      </w:r>
      <w:r w:rsidR="002A63F8" w:rsidRPr="002A63F8">
        <w:rPr>
          <w:sz w:val="24"/>
          <w:szCs w:val="24"/>
          <w:lang w:val="en-US"/>
        </w:rPr>
        <w:t xml:space="preserve"> Russian companies.</w:t>
      </w:r>
    </w:p>
    <w:p w:rsidR="00577B34" w:rsidRDefault="00577B34" w:rsidP="007E5F30">
      <w:pPr>
        <w:spacing w:line="240" w:lineRule="auto"/>
        <w:rPr>
          <w:bCs/>
          <w:sz w:val="24"/>
          <w:szCs w:val="24"/>
          <w:lang w:val="en-US"/>
        </w:rPr>
      </w:pPr>
    </w:p>
    <w:p w:rsidR="006047F0" w:rsidRPr="006047F0" w:rsidRDefault="006047F0" w:rsidP="007E5F30">
      <w:pPr>
        <w:spacing w:line="240" w:lineRule="auto"/>
        <w:rPr>
          <w:bCs/>
          <w:sz w:val="24"/>
          <w:szCs w:val="24"/>
          <w:lang w:val="en-US"/>
        </w:rPr>
      </w:pPr>
    </w:p>
    <w:p w:rsidR="00193AC7" w:rsidRDefault="006047F0" w:rsidP="006047F0">
      <w:pPr>
        <w:spacing w:line="240" w:lineRule="auto"/>
        <w:jc w:val="left"/>
        <w:rPr>
          <w:b/>
          <w:bCs/>
          <w:sz w:val="24"/>
          <w:szCs w:val="24"/>
          <w:lang w:val="en-US"/>
        </w:rPr>
      </w:pPr>
      <w:r w:rsidRPr="00410A94">
        <w:rPr>
          <w:b/>
          <w:bCs/>
          <w:sz w:val="24"/>
          <w:szCs w:val="24"/>
          <w:lang w:val="en-US"/>
        </w:rPr>
        <w:t xml:space="preserve">2. </w:t>
      </w:r>
      <w:r>
        <w:rPr>
          <w:b/>
          <w:bCs/>
          <w:sz w:val="24"/>
          <w:szCs w:val="24"/>
          <w:lang w:val="en-US"/>
        </w:rPr>
        <w:t>Dividend policies of Russian companies</w:t>
      </w:r>
    </w:p>
    <w:p w:rsidR="006047F0" w:rsidRDefault="006047F0" w:rsidP="006047F0">
      <w:pPr>
        <w:spacing w:line="240" w:lineRule="auto"/>
        <w:jc w:val="left"/>
        <w:rPr>
          <w:b/>
          <w:bCs/>
          <w:sz w:val="24"/>
          <w:szCs w:val="24"/>
          <w:lang w:val="en-US"/>
        </w:rPr>
      </w:pPr>
    </w:p>
    <w:p w:rsidR="006047F0" w:rsidRPr="006047F0" w:rsidRDefault="005B7102" w:rsidP="006047F0">
      <w:pPr>
        <w:spacing w:line="240" w:lineRule="auto"/>
        <w:rPr>
          <w:bCs/>
          <w:sz w:val="24"/>
          <w:szCs w:val="24"/>
          <w:lang w:val="en-US"/>
        </w:rPr>
      </w:pPr>
      <w:r>
        <w:rPr>
          <w:bCs/>
          <w:sz w:val="24"/>
          <w:szCs w:val="24"/>
          <w:lang w:val="en-US"/>
        </w:rPr>
        <w:t>Divi</w:t>
      </w:r>
      <w:r w:rsidR="006047F0" w:rsidRPr="006047F0">
        <w:rPr>
          <w:bCs/>
          <w:sz w:val="24"/>
          <w:szCs w:val="24"/>
          <w:lang w:val="en-US"/>
        </w:rPr>
        <w:t xml:space="preserve">dend policy is </w:t>
      </w:r>
      <w:r>
        <w:rPr>
          <w:bCs/>
          <w:sz w:val="24"/>
          <w:szCs w:val="24"/>
          <w:lang w:val="en-US"/>
        </w:rPr>
        <w:t xml:space="preserve">generally </w:t>
      </w:r>
      <w:r w:rsidR="006047F0" w:rsidRPr="006047F0">
        <w:rPr>
          <w:bCs/>
          <w:sz w:val="24"/>
          <w:szCs w:val="24"/>
          <w:lang w:val="en-US"/>
        </w:rPr>
        <w:t xml:space="preserve">understood as </w:t>
      </w:r>
      <w:r>
        <w:rPr>
          <w:bCs/>
          <w:sz w:val="24"/>
          <w:szCs w:val="24"/>
          <w:lang w:val="en-US"/>
        </w:rPr>
        <w:t xml:space="preserve">a </w:t>
      </w:r>
      <w:r w:rsidR="006047F0" w:rsidRPr="006047F0">
        <w:rPr>
          <w:bCs/>
          <w:sz w:val="24"/>
          <w:szCs w:val="24"/>
          <w:lang w:val="en-US"/>
        </w:rPr>
        <w:t xml:space="preserve">part </w:t>
      </w:r>
      <w:r w:rsidR="00FB5D29">
        <w:rPr>
          <w:bCs/>
          <w:sz w:val="24"/>
          <w:szCs w:val="24"/>
          <w:lang w:val="en-US"/>
        </w:rPr>
        <w:t xml:space="preserve">a company’s </w:t>
      </w:r>
      <w:r w:rsidR="006047F0" w:rsidRPr="006047F0">
        <w:rPr>
          <w:bCs/>
          <w:sz w:val="24"/>
          <w:szCs w:val="24"/>
          <w:lang w:val="en-US"/>
        </w:rPr>
        <w:t xml:space="preserve">financial policy, </w:t>
      </w:r>
      <w:r w:rsidR="00FB5D29">
        <w:rPr>
          <w:bCs/>
          <w:sz w:val="24"/>
          <w:szCs w:val="24"/>
          <w:lang w:val="en-US"/>
        </w:rPr>
        <w:t xml:space="preserve">aimed at the distribution of profit and defining the share of profit that is transferred to </w:t>
      </w:r>
      <w:r w:rsidR="006047F0" w:rsidRPr="006047F0">
        <w:rPr>
          <w:bCs/>
          <w:sz w:val="24"/>
          <w:szCs w:val="24"/>
          <w:lang w:val="en-US"/>
        </w:rPr>
        <w:t xml:space="preserve">owners. </w:t>
      </w:r>
      <w:r w:rsidR="00FB5D29">
        <w:rPr>
          <w:bCs/>
          <w:sz w:val="24"/>
          <w:szCs w:val="24"/>
          <w:lang w:val="en-US"/>
        </w:rPr>
        <w:t xml:space="preserve">It </w:t>
      </w:r>
      <w:r w:rsidR="006047F0" w:rsidRPr="006047F0">
        <w:rPr>
          <w:bCs/>
          <w:sz w:val="24"/>
          <w:szCs w:val="24"/>
          <w:lang w:val="en-US"/>
        </w:rPr>
        <w:t xml:space="preserve">should answer two key questions: </w:t>
      </w:r>
    </w:p>
    <w:p w:rsidR="006047F0" w:rsidRPr="00FB5D29" w:rsidRDefault="00FB5D29" w:rsidP="00FB5D29">
      <w:pPr>
        <w:pStyle w:val="a6"/>
        <w:numPr>
          <w:ilvl w:val="0"/>
          <w:numId w:val="18"/>
        </w:numPr>
        <w:spacing w:line="240" w:lineRule="auto"/>
        <w:jc w:val="left"/>
        <w:rPr>
          <w:bCs/>
          <w:sz w:val="24"/>
          <w:szCs w:val="24"/>
          <w:lang w:val="en-US"/>
        </w:rPr>
      </w:pPr>
      <w:r>
        <w:rPr>
          <w:bCs/>
          <w:sz w:val="24"/>
          <w:szCs w:val="24"/>
          <w:lang w:val="en-US"/>
        </w:rPr>
        <w:t>Do dividend payments influence at t</w:t>
      </w:r>
      <w:r w:rsidR="006047F0" w:rsidRPr="00FB5D29">
        <w:rPr>
          <w:bCs/>
          <w:sz w:val="24"/>
          <w:szCs w:val="24"/>
          <w:lang w:val="en-US"/>
        </w:rPr>
        <w:t xml:space="preserve">he total </w:t>
      </w:r>
      <w:r>
        <w:rPr>
          <w:bCs/>
          <w:sz w:val="24"/>
          <w:szCs w:val="24"/>
          <w:lang w:val="en-US"/>
        </w:rPr>
        <w:t>shareholders’</w:t>
      </w:r>
      <w:r w:rsidR="00410A94" w:rsidRPr="00410A94">
        <w:rPr>
          <w:bCs/>
          <w:sz w:val="24"/>
          <w:szCs w:val="24"/>
          <w:lang w:val="en-US"/>
        </w:rPr>
        <w:t xml:space="preserve"> </w:t>
      </w:r>
      <w:r w:rsidR="006047F0" w:rsidRPr="00FB5D29">
        <w:rPr>
          <w:bCs/>
          <w:sz w:val="24"/>
          <w:szCs w:val="24"/>
          <w:lang w:val="en-US"/>
        </w:rPr>
        <w:t xml:space="preserve">wealth? </w:t>
      </w:r>
    </w:p>
    <w:p w:rsidR="006047F0" w:rsidRPr="006047F0" w:rsidRDefault="006047F0" w:rsidP="006047F0">
      <w:pPr>
        <w:spacing w:line="240" w:lineRule="auto"/>
        <w:jc w:val="left"/>
        <w:rPr>
          <w:bCs/>
          <w:sz w:val="24"/>
          <w:szCs w:val="24"/>
          <w:lang w:val="en-US"/>
        </w:rPr>
      </w:pPr>
      <w:r w:rsidRPr="006047F0">
        <w:rPr>
          <w:bCs/>
          <w:sz w:val="24"/>
          <w:szCs w:val="24"/>
          <w:lang w:val="en-US"/>
        </w:rPr>
        <w:t>2</w:t>
      </w:r>
      <w:r w:rsidR="00FB5D29">
        <w:rPr>
          <w:bCs/>
          <w:sz w:val="24"/>
          <w:szCs w:val="24"/>
          <w:lang w:val="en-US"/>
        </w:rPr>
        <w:t>.</w:t>
      </w:r>
      <w:r w:rsidRPr="006047F0">
        <w:rPr>
          <w:bCs/>
          <w:sz w:val="24"/>
          <w:szCs w:val="24"/>
          <w:lang w:val="en-US"/>
        </w:rPr>
        <w:t xml:space="preserve"> If</w:t>
      </w:r>
      <w:r w:rsidR="00FB5D29">
        <w:rPr>
          <w:bCs/>
          <w:sz w:val="24"/>
          <w:szCs w:val="24"/>
          <w:lang w:val="en-US"/>
        </w:rPr>
        <w:t xml:space="preserve"> they have impact</w:t>
      </w:r>
      <w:r w:rsidRPr="006047F0">
        <w:rPr>
          <w:bCs/>
          <w:sz w:val="24"/>
          <w:szCs w:val="24"/>
          <w:lang w:val="en-US"/>
        </w:rPr>
        <w:t xml:space="preserve">, then what should be the optimal </w:t>
      </w:r>
      <w:r w:rsidR="00FB5D29">
        <w:rPr>
          <w:bCs/>
          <w:sz w:val="24"/>
          <w:szCs w:val="24"/>
          <w:lang w:val="en-US"/>
        </w:rPr>
        <w:t>dividend payment</w:t>
      </w:r>
      <w:r w:rsidRPr="006047F0">
        <w:rPr>
          <w:bCs/>
          <w:sz w:val="24"/>
          <w:szCs w:val="24"/>
          <w:lang w:val="en-US"/>
        </w:rPr>
        <w:t xml:space="preserve">? </w:t>
      </w:r>
    </w:p>
    <w:p w:rsidR="006047F0" w:rsidRPr="006047F0" w:rsidRDefault="006047F0" w:rsidP="006047F0">
      <w:pPr>
        <w:spacing w:line="240" w:lineRule="auto"/>
        <w:rPr>
          <w:bCs/>
          <w:sz w:val="24"/>
          <w:szCs w:val="24"/>
          <w:lang w:val="en-US"/>
        </w:rPr>
      </w:pPr>
      <w:r w:rsidRPr="006047F0">
        <w:rPr>
          <w:bCs/>
          <w:sz w:val="24"/>
          <w:szCs w:val="24"/>
          <w:lang w:val="en-US"/>
        </w:rPr>
        <w:t xml:space="preserve">The main theoretical foundation, </w:t>
      </w:r>
      <w:r w:rsidR="00410A94">
        <w:rPr>
          <w:bCs/>
          <w:sz w:val="24"/>
          <w:szCs w:val="24"/>
          <w:lang w:val="en-US"/>
        </w:rPr>
        <w:t xml:space="preserve">upon </w:t>
      </w:r>
      <w:r w:rsidRPr="006047F0">
        <w:rPr>
          <w:bCs/>
          <w:sz w:val="24"/>
          <w:szCs w:val="24"/>
          <w:lang w:val="en-US"/>
        </w:rPr>
        <w:t xml:space="preserve">which </w:t>
      </w:r>
      <w:r w:rsidR="00410A94">
        <w:rPr>
          <w:bCs/>
          <w:sz w:val="24"/>
          <w:szCs w:val="24"/>
          <w:lang w:val="en-US"/>
        </w:rPr>
        <w:t xml:space="preserve">the </w:t>
      </w:r>
      <w:r w:rsidRPr="006047F0">
        <w:rPr>
          <w:bCs/>
          <w:sz w:val="24"/>
          <w:szCs w:val="24"/>
          <w:lang w:val="en-US"/>
        </w:rPr>
        <w:t>assessment of the market reaction to dividend payments</w:t>
      </w:r>
      <w:r w:rsidR="00410A94">
        <w:rPr>
          <w:bCs/>
          <w:sz w:val="24"/>
          <w:szCs w:val="24"/>
          <w:lang w:val="en-US"/>
        </w:rPr>
        <w:t xml:space="preserve"> is based</w:t>
      </w:r>
      <w:r w:rsidRPr="006047F0">
        <w:rPr>
          <w:bCs/>
          <w:sz w:val="24"/>
          <w:szCs w:val="24"/>
          <w:lang w:val="en-US"/>
        </w:rPr>
        <w:t xml:space="preserve">, </w:t>
      </w:r>
      <w:r w:rsidR="00410A94">
        <w:rPr>
          <w:bCs/>
          <w:sz w:val="24"/>
          <w:szCs w:val="24"/>
          <w:lang w:val="en-US"/>
        </w:rPr>
        <w:t>is the</w:t>
      </w:r>
      <w:r w:rsidRPr="006047F0">
        <w:rPr>
          <w:bCs/>
          <w:sz w:val="24"/>
          <w:szCs w:val="24"/>
          <w:lang w:val="en-US"/>
        </w:rPr>
        <w:t xml:space="preserve"> signal</w:t>
      </w:r>
      <w:r w:rsidR="00410A94">
        <w:rPr>
          <w:bCs/>
          <w:sz w:val="24"/>
          <w:szCs w:val="24"/>
          <w:lang w:val="en-US"/>
        </w:rPr>
        <w:t>ing</w:t>
      </w:r>
      <w:r w:rsidRPr="006047F0">
        <w:rPr>
          <w:bCs/>
          <w:sz w:val="24"/>
          <w:szCs w:val="24"/>
          <w:lang w:val="en-US"/>
        </w:rPr>
        <w:t xml:space="preserve"> theory </w:t>
      </w:r>
      <w:r w:rsidR="00410A94">
        <w:rPr>
          <w:bCs/>
          <w:sz w:val="24"/>
          <w:szCs w:val="24"/>
          <w:lang w:val="en-US"/>
        </w:rPr>
        <w:t>(</w:t>
      </w:r>
      <w:r w:rsidRPr="006047F0">
        <w:rPr>
          <w:bCs/>
          <w:sz w:val="24"/>
          <w:szCs w:val="24"/>
          <w:lang w:val="en-US"/>
        </w:rPr>
        <w:t>Miller, Rock, 1985</w:t>
      </w:r>
      <w:r w:rsidR="00410A94">
        <w:rPr>
          <w:bCs/>
          <w:sz w:val="24"/>
          <w:szCs w:val="24"/>
          <w:lang w:val="en-US"/>
        </w:rPr>
        <w:t>)</w:t>
      </w:r>
      <w:r w:rsidRPr="006047F0">
        <w:rPr>
          <w:bCs/>
          <w:sz w:val="24"/>
          <w:szCs w:val="24"/>
          <w:lang w:val="en-US"/>
        </w:rPr>
        <w:t xml:space="preserve">. </w:t>
      </w:r>
      <w:r w:rsidR="00410A94">
        <w:rPr>
          <w:bCs/>
          <w:sz w:val="24"/>
          <w:szCs w:val="24"/>
          <w:lang w:val="en-US"/>
        </w:rPr>
        <w:t xml:space="preserve">Because of the </w:t>
      </w:r>
      <w:r w:rsidRPr="006047F0">
        <w:rPr>
          <w:bCs/>
          <w:sz w:val="24"/>
          <w:szCs w:val="24"/>
          <w:lang w:val="en-US"/>
        </w:rPr>
        <w:t xml:space="preserve">information asymmetry, the true value of the company is very often unknown to investors. Dividends </w:t>
      </w:r>
      <w:r w:rsidR="00410A94">
        <w:rPr>
          <w:bCs/>
          <w:sz w:val="24"/>
          <w:szCs w:val="24"/>
          <w:lang w:val="en-US"/>
        </w:rPr>
        <w:t xml:space="preserve">may </w:t>
      </w:r>
      <w:r w:rsidRPr="006047F0">
        <w:rPr>
          <w:bCs/>
          <w:sz w:val="24"/>
          <w:szCs w:val="24"/>
          <w:lang w:val="en-US"/>
        </w:rPr>
        <w:t>help</w:t>
      </w:r>
      <w:r w:rsidR="00410A94">
        <w:rPr>
          <w:bCs/>
          <w:sz w:val="24"/>
          <w:szCs w:val="24"/>
          <w:lang w:val="en-US"/>
        </w:rPr>
        <w:t xml:space="preserve"> to</w:t>
      </w:r>
      <w:r w:rsidRPr="006047F0">
        <w:rPr>
          <w:bCs/>
          <w:sz w:val="24"/>
          <w:szCs w:val="24"/>
          <w:lang w:val="en-US"/>
        </w:rPr>
        <w:t xml:space="preserve"> improve </w:t>
      </w:r>
      <w:r w:rsidR="00410A94">
        <w:rPr>
          <w:bCs/>
          <w:sz w:val="24"/>
          <w:szCs w:val="24"/>
          <w:lang w:val="en-US"/>
        </w:rPr>
        <w:t xml:space="preserve">its </w:t>
      </w:r>
      <w:r w:rsidRPr="006047F0">
        <w:rPr>
          <w:bCs/>
          <w:sz w:val="24"/>
          <w:szCs w:val="24"/>
          <w:lang w:val="en-US"/>
        </w:rPr>
        <w:t>understanding. According to th</w:t>
      </w:r>
      <w:r w:rsidR="00410A94">
        <w:rPr>
          <w:bCs/>
          <w:sz w:val="24"/>
          <w:szCs w:val="24"/>
          <w:lang w:val="en-US"/>
        </w:rPr>
        <w:t xml:space="preserve">e </w:t>
      </w:r>
      <w:r w:rsidR="00410A94" w:rsidRPr="006047F0">
        <w:rPr>
          <w:bCs/>
          <w:sz w:val="24"/>
          <w:szCs w:val="24"/>
          <w:lang w:val="en-US"/>
        </w:rPr>
        <w:t>signal</w:t>
      </w:r>
      <w:r w:rsidR="00410A94">
        <w:rPr>
          <w:bCs/>
          <w:sz w:val="24"/>
          <w:szCs w:val="24"/>
          <w:lang w:val="en-US"/>
        </w:rPr>
        <w:t>ing</w:t>
      </w:r>
      <w:r w:rsidRPr="006047F0">
        <w:rPr>
          <w:bCs/>
          <w:sz w:val="24"/>
          <w:szCs w:val="24"/>
          <w:lang w:val="en-US"/>
        </w:rPr>
        <w:t xml:space="preserve"> theory</w:t>
      </w:r>
      <w:r w:rsidR="00410A94">
        <w:rPr>
          <w:bCs/>
          <w:sz w:val="24"/>
          <w:szCs w:val="24"/>
          <w:lang w:val="en-US"/>
        </w:rPr>
        <w:t>,</w:t>
      </w:r>
      <w:r w:rsidRPr="006047F0">
        <w:rPr>
          <w:bCs/>
          <w:sz w:val="24"/>
          <w:szCs w:val="24"/>
          <w:lang w:val="en-US"/>
        </w:rPr>
        <w:t xml:space="preserve"> dividends </w:t>
      </w:r>
      <w:r w:rsidR="00410A94">
        <w:rPr>
          <w:bCs/>
          <w:sz w:val="24"/>
          <w:szCs w:val="24"/>
          <w:lang w:val="en-US"/>
        </w:rPr>
        <w:t xml:space="preserve">give investors a </w:t>
      </w:r>
      <w:r w:rsidRPr="006047F0">
        <w:rPr>
          <w:bCs/>
          <w:sz w:val="24"/>
          <w:szCs w:val="24"/>
          <w:lang w:val="en-US"/>
        </w:rPr>
        <w:t xml:space="preserve">signal </w:t>
      </w:r>
      <w:r w:rsidR="00410A94">
        <w:rPr>
          <w:bCs/>
          <w:sz w:val="24"/>
          <w:szCs w:val="24"/>
          <w:lang w:val="en-US"/>
        </w:rPr>
        <w:t>about the company’s future earnings</w:t>
      </w:r>
      <w:r w:rsidRPr="006047F0">
        <w:rPr>
          <w:bCs/>
          <w:sz w:val="24"/>
          <w:szCs w:val="24"/>
          <w:lang w:val="en-US"/>
        </w:rPr>
        <w:t xml:space="preserve">. High dividends </w:t>
      </w:r>
      <w:r w:rsidR="00410A94">
        <w:rPr>
          <w:bCs/>
          <w:sz w:val="24"/>
          <w:szCs w:val="24"/>
          <w:lang w:val="en-US"/>
        </w:rPr>
        <w:t>mark</w:t>
      </w:r>
      <w:r w:rsidRPr="006047F0">
        <w:rPr>
          <w:bCs/>
          <w:sz w:val="24"/>
          <w:szCs w:val="24"/>
          <w:lang w:val="en-US"/>
        </w:rPr>
        <w:t xml:space="preserve"> the high income of the company, its stability, as well as its </w:t>
      </w:r>
      <w:r w:rsidR="00410A94">
        <w:rPr>
          <w:bCs/>
          <w:sz w:val="24"/>
          <w:szCs w:val="24"/>
          <w:lang w:val="en-US"/>
        </w:rPr>
        <w:t xml:space="preserve">favorable </w:t>
      </w:r>
      <w:r w:rsidRPr="006047F0">
        <w:rPr>
          <w:bCs/>
          <w:sz w:val="24"/>
          <w:szCs w:val="24"/>
          <w:lang w:val="en-US"/>
        </w:rPr>
        <w:t xml:space="preserve">prospects. However, on the other hand, high dividend </w:t>
      </w:r>
      <w:r w:rsidR="00410A94">
        <w:rPr>
          <w:bCs/>
          <w:sz w:val="24"/>
          <w:szCs w:val="24"/>
          <w:lang w:val="en-US"/>
        </w:rPr>
        <w:t xml:space="preserve">may </w:t>
      </w:r>
      <w:r w:rsidRPr="006047F0">
        <w:rPr>
          <w:bCs/>
          <w:sz w:val="24"/>
          <w:szCs w:val="24"/>
          <w:lang w:val="en-US"/>
        </w:rPr>
        <w:t xml:space="preserve">mean that the company's management does not see the capacity for rapid growth and plans to reduce investment. </w:t>
      </w:r>
      <w:r w:rsidR="00410A94">
        <w:rPr>
          <w:bCs/>
          <w:sz w:val="24"/>
          <w:szCs w:val="24"/>
          <w:lang w:val="en-US"/>
        </w:rPr>
        <w:t>So, the</w:t>
      </w:r>
      <w:r w:rsidRPr="006047F0">
        <w:rPr>
          <w:bCs/>
          <w:sz w:val="24"/>
          <w:szCs w:val="24"/>
          <w:lang w:val="en-US"/>
        </w:rPr>
        <w:t xml:space="preserve"> information on dividend payments is giving </w:t>
      </w:r>
      <w:r w:rsidR="00410A94" w:rsidRPr="006047F0">
        <w:rPr>
          <w:bCs/>
          <w:sz w:val="24"/>
          <w:szCs w:val="24"/>
          <w:lang w:val="en-US"/>
        </w:rPr>
        <w:t xml:space="preserve">a mixed signal </w:t>
      </w:r>
      <w:r w:rsidR="00410A94">
        <w:rPr>
          <w:bCs/>
          <w:sz w:val="24"/>
          <w:szCs w:val="24"/>
          <w:lang w:val="en-US"/>
        </w:rPr>
        <w:t xml:space="preserve">to </w:t>
      </w:r>
      <w:r w:rsidRPr="006047F0">
        <w:rPr>
          <w:bCs/>
          <w:sz w:val="24"/>
          <w:szCs w:val="24"/>
          <w:lang w:val="en-US"/>
        </w:rPr>
        <w:t xml:space="preserve">the market </w:t>
      </w:r>
      <w:r w:rsidR="00410A94">
        <w:rPr>
          <w:bCs/>
          <w:sz w:val="24"/>
          <w:szCs w:val="24"/>
          <w:lang w:val="en-US"/>
        </w:rPr>
        <w:t>(</w:t>
      </w:r>
      <w:proofErr w:type="spellStart"/>
      <w:r w:rsidR="00410A94">
        <w:rPr>
          <w:bCs/>
          <w:sz w:val="24"/>
          <w:szCs w:val="24"/>
          <w:lang w:val="en-US"/>
        </w:rPr>
        <w:t>Teplova</w:t>
      </w:r>
      <w:proofErr w:type="spellEnd"/>
      <w:r w:rsidR="00410A94">
        <w:rPr>
          <w:bCs/>
          <w:sz w:val="24"/>
          <w:szCs w:val="24"/>
          <w:lang w:val="en-US"/>
        </w:rPr>
        <w:t>, 2013, p. 521)</w:t>
      </w:r>
      <w:r w:rsidRPr="006047F0">
        <w:rPr>
          <w:bCs/>
          <w:sz w:val="24"/>
          <w:szCs w:val="24"/>
          <w:lang w:val="en-US"/>
        </w:rPr>
        <w:t xml:space="preserve">. </w:t>
      </w:r>
    </w:p>
    <w:p w:rsidR="006047F0" w:rsidRPr="006047F0" w:rsidRDefault="00BC002C" w:rsidP="00BC002C">
      <w:pPr>
        <w:spacing w:line="240" w:lineRule="auto"/>
        <w:rPr>
          <w:bCs/>
          <w:sz w:val="24"/>
          <w:szCs w:val="24"/>
          <w:lang w:val="en-US"/>
        </w:rPr>
      </w:pPr>
      <w:r>
        <w:rPr>
          <w:bCs/>
          <w:sz w:val="24"/>
          <w:szCs w:val="24"/>
          <w:lang w:val="en-US"/>
        </w:rPr>
        <w:t xml:space="preserve">The </w:t>
      </w:r>
      <w:r w:rsidRPr="006047F0">
        <w:rPr>
          <w:bCs/>
          <w:sz w:val="24"/>
          <w:szCs w:val="24"/>
          <w:lang w:val="en-US"/>
        </w:rPr>
        <w:t xml:space="preserve">analysis </w:t>
      </w:r>
      <w:r>
        <w:rPr>
          <w:bCs/>
          <w:sz w:val="24"/>
          <w:szCs w:val="24"/>
          <w:lang w:val="en-US"/>
        </w:rPr>
        <w:t xml:space="preserve">of </w:t>
      </w:r>
      <w:r w:rsidR="006047F0" w:rsidRPr="006047F0">
        <w:rPr>
          <w:bCs/>
          <w:sz w:val="24"/>
          <w:szCs w:val="24"/>
          <w:lang w:val="en-US"/>
        </w:rPr>
        <w:t xml:space="preserve">dividend </w:t>
      </w:r>
      <w:r>
        <w:rPr>
          <w:bCs/>
          <w:sz w:val="24"/>
          <w:szCs w:val="24"/>
          <w:lang w:val="en-US"/>
        </w:rPr>
        <w:t xml:space="preserve">payments of </w:t>
      </w:r>
      <w:r w:rsidR="006047F0" w:rsidRPr="006047F0">
        <w:rPr>
          <w:bCs/>
          <w:sz w:val="24"/>
          <w:szCs w:val="24"/>
          <w:lang w:val="en-US"/>
        </w:rPr>
        <w:t xml:space="preserve">Russian companies allows us to conclude that a </w:t>
      </w:r>
      <w:r>
        <w:rPr>
          <w:bCs/>
          <w:sz w:val="24"/>
          <w:szCs w:val="24"/>
          <w:lang w:val="en-US"/>
        </w:rPr>
        <w:t>many</w:t>
      </w:r>
      <w:r w:rsidR="006047F0" w:rsidRPr="006047F0">
        <w:rPr>
          <w:bCs/>
          <w:sz w:val="24"/>
          <w:szCs w:val="24"/>
          <w:lang w:val="en-US"/>
        </w:rPr>
        <w:t xml:space="preserve"> companies </w:t>
      </w:r>
      <w:r>
        <w:rPr>
          <w:bCs/>
          <w:sz w:val="24"/>
          <w:szCs w:val="24"/>
          <w:lang w:val="en-US"/>
        </w:rPr>
        <w:t xml:space="preserve">are </w:t>
      </w:r>
      <w:r w:rsidR="006047F0" w:rsidRPr="006047F0">
        <w:rPr>
          <w:bCs/>
          <w:sz w:val="24"/>
          <w:szCs w:val="24"/>
          <w:lang w:val="en-US"/>
        </w:rPr>
        <w:t xml:space="preserve">paying dividends </w:t>
      </w:r>
      <w:r>
        <w:rPr>
          <w:bCs/>
          <w:sz w:val="24"/>
          <w:szCs w:val="24"/>
          <w:lang w:val="en-US"/>
        </w:rPr>
        <w:t>ir</w:t>
      </w:r>
      <w:r w:rsidR="006047F0" w:rsidRPr="006047F0">
        <w:rPr>
          <w:bCs/>
          <w:sz w:val="24"/>
          <w:szCs w:val="24"/>
          <w:lang w:val="en-US"/>
        </w:rPr>
        <w:t xml:space="preserve">regularly, and their size is so insignificant that until recently the </w:t>
      </w:r>
      <w:r>
        <w:rPr>
          <w:bCs/>
          <w:sz w:val="24"/>
          <w:szCs w:val="24"/>
          <w:lang w:val="en-US"/>
        </w:rPr>
        <w:t>payback period for</w:t>
      </w:r>
      <w:r w:rsidR="006047F0" w:rsidRPr="006047F0">
        <w:rPr>
          <w:bCs/>
          <w:sz w:val="24"/>
          <w:szCs w:val="24"/>
          <w:lang w:val="en-US"/>
        </w:rPr>
        <w:t xml:space="preserve"> dividend yield</w:t>
      </w:r>
      <w:r>
        <w:rPr>
          <w:bCs/>
          <w:sz w:val="24"/>
          <w:szCs w:val="24"/>
          <w:lang w:val="en-US"/>
        </w:rPr>
        <w:t>s</w:t>
      </w:r>
      <w:r w:rsidR="006047F0" w:rsidRPr="006047F0">
        <w:rPr>
          <w:bCs/>
          <w:sz w:val="24"/>
          <w:szCs w:val="24"/>
          <w:lang w:val="en-US"/>
        </w:rPr>
        <w:t xml:space="preserve"> </w:t>
      </w:r>
      <w:r>
        <w:rPr>
          <w:bCs/>
          <w:sz w:val="24"/>
          <w:szCs w:val="24"/>
          <w:lang w:val="en-US"/>
        </w:rPr>
        <w:t>could be equal to</w:t>
      </w:r>
      <w:r w:rsidR="006047F0" w:rsidRPr="006047F0">
        <w:rPr>
          <w:bCs/>
          <w:sz w:val="24"/>
          <w:szCs w:val="24"/>
          <w:lang w:val="en-US"/>
        </w:rPr>
        <w:t xml:space="preserve"> 30 and sometimes 50 years. However, in recent years there has been a gradual increase in the amount of dividend payments, along with the formalization of the dividend policy in the internal regulations of Russian companies. </w:t>
      </w:r>
    </w:p>
    <w:p w:rsidR="006047F0" w:rsidRPr="006047F0" w:rsidRDefault="006047F0" w:rsidP="006047F0">
      <w:pPr>
        <w:spacing w:line="240" w:lineRule="auto"/>
        <w:jc w:val="left"/>
        <w:rPr>
          <w:bCs/>
          <w:sz w:val="24"/>
          <w:szCs w:val="24"/>
          <w:lang w:val="en-US"/>
        </w:rPr>
      </w:pPr>
      <w:r w:rsidRPr="006047F0">
        <w:rPr>
          <w:bCs/>
          <w:sz w:val="24"/>
          <w:szCs w:val="24"/>
          <w:lang w:val="en-US"/>
        </w:rPr>
        <w:t xml:space="preserve">Dividend policy of </w:t>
      </w:r>
      <w:r w:rsidR="00725B4F" w:rsidRPr="006047F0">
        <w:rPr>
          <w:bCs/>
          <w:sz w:val="24"/>
          <w:szCs w:val="24"/>
          <w:lang w:val="en-US"/>
        </w:rPr>
        <w:t>Russia</w:t>
      </w:r>
      <w:r w:rsidR="00725B4F">
        <w:rPr>
          <w:bCs/>
          <w:sz w:val="24"/>
          <w:szCs w:val="24"/>
          <w:lang w:val="en-US"/>
        </w:rPr>
        <w:t>n</w:t>
      </w:r>
      <w:r w:rsidR="00725B4F" w:rsidRPr="006047F0">
        <w:rPr>
          <w:bCs/>
          <w:sz w:val="24"/>
          <w:szCs w:val="24"/>
          <w:lang w:val="en-US"/>
        </w:rPr>
        <w:t xml:space="preserve"> </w:t>
      </w:r>
      <w:r w:rsidRPr="006047F0">
        <w:rPr>
          <w:bCs/>
          <w:sz w:val="24"/>
          <w:szCs w:val="24"/>
          <w:lang w:val="en-US"/>
        </w:rPr>
        <w:t xml:space="preserve">companies has </w:t>
      </w:r>
      <w:r w:rsidR="00725B4F">
        <w:rPr>
          <w:bCs/>
          <w:sz w:val="24"/>
          <w:szCs w:val="24"/>
          <w:lang w:val="en-US"/>
        </w:rPr>
        <w:t>following</w:t>
      </w:r>
      <w:r w:rsidRPr="006047F0">
        <w:rPr>
          <w:bCs/>
          <w:sz w:val="24"/>
          <w:szCs w:val="24"/>
          <w:lang w:val="en-US"/>
        </w:rPr>
        <w:t xml:space="preserve"> specific features. </w:t>
      </w:r>
    </w:p>
    <w:p w:rsidR="006047F0" w:rsidRPr="006047F0" w:rsidRDefault="006047F0" w:rsidP="00725B4F">
      <w:pPr>
        <w:spacing w:line="240" w:lineRule="auto"/>
        <w:rPr>
          <w:bCs/>
          <w:sz w:val="24"/>
          <w:szCs w:val="24"/>
          <w:lang w:val="en-US"/>
        </w:rPr>
      </w:pPr>
      <w:r w:rsidRPr="006047F0">
        <w:rPr>
          <w:bCs/>
          <w:sz w:val="24"/>
          <w:szCs w:val="24"/>
          <w:lang w:val="en-US"/>
        </w:rPr>
        <w:t>1</w:t>
      </w:r>
      <w:r w:rsidR="00725B4F">
        <w:rPr>
          <w:bCs/>
          <w:sz w:val="24"/>
          <w:szCs w:val="24"/>
          <w:lang w:val="en-US"/>
        </w:rPr>
        <w:t>.</w:t>
      </w:r>
      <w:r w:rsidRPr="006047F0">
        <w:rPr>
          <w:bCs/>
          <w:sz w:val="24"/>
          <w:szCs w:val="24"/>
          <w:lang w:val="en-US"/>
        </w:rPr>
        <w:t xml:space="preserve"> The uneven development of industries. </w:t>
      </w:r>
      <w:r w:rsidR="00725B4F" w:rsidRPr="006047F0">
        <w:rPr>
          <w:bCs/>
          <w:sz w:val="24"/>
          <w:szCs w:val="24"/>
          <w:lang w:val="en-US"/>
        </w:rPr>
        <w:t xml:space="preserve">Oil and gas industry, </w:t>
      </w:r>
      <w:r w:rsidR="00725B4F">
        <w:rPr>
          <w:bCs/>
          <w:sz w:val="24"/>
          <w:szCs w:val="24"/>
          <w:lang w:val="en-US"/>
        </w:rPr>
        <w:t>metal processing</w:t>
      </w:r>
      <w:r w:rsidR="00725B4F" w:rsidRPr="006047F0">
        <w:rPr>
          <w:bCs/>
          <w:sz w:val="24"/>
          <w:szCs w:val="24"/>
          <w:lang w:val="en-US"/>
        </w:rPr>
        <w:t xml:space="preserve"> and telecommunications </w:t>
      </w:r>
      <w:r w:rsidR="00725B4F">
        <w:rPr>
          <w:bCs/>
          <w:sz w:val="24"/>
          <w:szCs w:val="24"/>
          <w:lang w:val="en-US"/>
        </w:rPr>
        <w:t xml:space="preserve">have been the main players at the market and the key </w:t>
      </w:r>
      <w:r w:rsidR="00725B4F" w:rsidRPr="006047F0">
        <w:rPr>
          <w:bCs/>
          <w:sz w:val="24"/>
          <w:szCs w:val="24"/>
          <w:lang w:val="en-US"/>
        </w:rPr>
        <w:t xml:space="preserve">drivers </w:t>
      </w:r>
      <w:r w:rsidRPr="006047F0">
        <w:rPr>
          <w:bCs/>
          <w:sz w:val="24"/>
          <w:szCs w:val="24"/>
          <w:lang w:val="en-US"/>
        </w:rPr>
        <w:t xml:space="preserve">of economic growth for a long period of time. This imbalance affects </w:t>
      </w:r>
      <w:r w:rsidR="00725B4F">
        <w:rPr>
          <w:bCs/>
          <w:sz w:val="24"/>
          <w:szCs w:val="24"/>
          <w:lang w:val="en-US"/>
        </w:rPr>
        <w:t xml:space="preserve">both </w:t>
      </w:r>
      <w:r w:rsidRPr="006047F0">
        <w:rPr>
          <w:bCs/>
          <w:sz w:val="24"/>
          <w:szCs w:val="24"/>
          <w:lang w:val="en-US"/>
        </w:rPr>
        <w:t xml:space="preserve">the </w:t>
      </w:r>
      <w:r w:rsidR="00725B4F">
        <w:rPr>
          <w:bCs/>
          <w:sz w:val="24"/>
          <w:szCs w:val="24"/>
          <w:lang w:val="en-US"/>
        </w:rPr>
        <w:t>profitability of busi</w:t>
      </w:r>
      <w:r w:rsidRPr="006047F0">
        <w:rPr>
          <w:bCs/>
          <w:sz w:val="24"/>
          <w:szCs w:val="24"/>
          <w:lang w:val="en-US"/>
        </w:rPr>
        <w:t>ness</w:t>
      </w:r>
      <w:r w:rsidR="00725B4F">
        <w:rPr>
          <w:bCs/>
          <w:sz w:val="24"/>
          <w:szCs w:val="24"/>
          <w:lang w:val="en-US"/>
        </w:rPr>
        <w:t>es</w:t>
      </w:r>
      <w:r w:rsidRPr="006047F0">
        <w:rPr>
          <w:bCs/>
          <w:sz w:val="24"/>
          <w:szCs w:val="24"/>
          <w:lang w:val="en-US"/>
        </w:rPr>
        <w:t xml:space="preserve"> and the distribution</w:t>
      </w:r>
      <w:r w:rsidR="00725B4F">
        <w:rPr>
          <w:bCs/>
          <w:sz w:val="24"/>
          <w:szCs w:val="24"/>
          <w:lang w:val="en-US"/>
        </w:rPr>
        <w:t xml:space="preserve"> of earnings</w:t>
      </w:r>
      <w:r w:rsidRPr="006047F0">
        <w:rPr>
          <w:bCs/>
          <w:sz w:val="24"/>
          <w:szCs w:val="24"/>
          <w:lang w:val="en-US"/>
        </w:rPr>
        <w:t xml:space="preserve">. More than 80% of all dividend payments </w:t>
      </w:r>
      <w:r w:rsidR="00725B4F">
        <w:rPr>
          <w:bCs/>
          <w:sz w:val="24"/>
          <w:szCs w:val="24"/>
          <w:lang w:val="en-US"/>
        </w:rPr>
        <w:t>are related to</w:t>
      </w:r>
      <w:r w:rsidRPr="006047F0">
        <w:rPr>
          <w:bCs/>
          <w:sz w:val="24"/>
          <w:szCs w:val="24"/>
          <w:lang w:val="en-US"/>
        </w:rPr>
        <w:t xml:space="preserve"> oil and gas industry </w:t>
      </w:r>
      <w:r w:rsidR="00725B4F">
        <w:rPr>
          <w:bCs/>
          <w:sz w:val="24"/>
          <w:szCs w:val="24"/>
          <w:lang w:val="en-US"/>
        </w:rPr>
        <w:t>(</w:t>
      </w:r>
      <w:proofErr w:type="spellStart"/>
      <w:r w:rsidR="00725B4F">
        <w:rPr>
          <w:bCs/>
          <w:sz w:val="24"/>
          <w:szCs w:val="24"/>
          <w:lang w:val="en-US"/>
        </w:rPr>
        <w:t>Lukasiewicz</w:t>
      </w:r>
      <w:proofErr w:type="spellEnd"/>
      <w:r w:rsidR="00725B4F">
        <w:rPr>
          <w:bCs/>
          <w:sz w:val="24"/>
          <w:szCs w:val="24"/>
          <w:lang w:val="en-US"/>
        </w:rPr>
        <w:t>, 2007)</w:t>
      </w:r>
      <w:r w:rsidRPr="006047F0">
        <w:rPr>
          <w:bCs/>
          <w:sz w:val="24"/>
          <w:szCs w:val="24"/>
          <w:lang w:val="en-US"/>
        </w:rPr>
        <w:t xml:space="preserve">, due to high energy prices, capital-intensive activities and the need for these companies to attract additional funding for investment, </w:t>
      </w:r>
      <w:r w:rsidR="00725B4F">
        <w:rPr>
          <w:bCs/>
          <w:sz w:val="24"/>
          <w:szCs w:val="24"/>
          <w:lang w:val="en-US"/>
        </w:rPr>
        <w:t xml:space="preserve">while the </w:t>
      </w:r>
      <w:r w:rsidR="00725B4F" w:rsidRPr="006047F0">
        <w:rPr>
          <w:bCs/>
          <w:sz w:val="24"/>
          <w:szCs w:val="24"/>
          <w:lang w:val="en-US"/>
        </w:rPr>
        <w:t>of financial leverage</w:t>
      </w:r>
      <w:r w:rsidR="00725B4F">
        <w:rPr>
          <w:bCs/>
          <w:sz w:val="24"/>
          <w:szCs w:val="24"/>
          <w:lang w:val="en-US"/>
        </w:rPr>
        <w:t xml:space="preserve"> in this </w:t>
      </w:r>
      <w:r w:rsidR="00725B4F" w:rsidRPr="006047F0">
        <w:rPr>
          <w:bCs/>
          <w:sz w:val="24"/>
          <w:szCs w:val="24"/>
          <w:lang w:val="en-US"/>
        </w:rPr>
        <w:t>industry</w:t>
      </w:r>
      <w:r w:rsidR="00725B4F">
        <w:rPr>
          <w:bCs/>
          <w:sz w:val="24"/>
          <w:szCs w:val="24"/>
          <w:lang w:val="en-US"/>
        </w:rPr>
        <w:t xml:space="preserve"> </w:t>
      </w:r>
      <w:r w:rsidRPr="006047F0">
        <w:rPr>
          <w:bCs/>
          <w:sz w:val="24"/>
          <w:szCs w:val="24"/>
          <w:lang w:val="en-US"/>
        </w:rPr>
        <w:t xml:space="preserve">traditionally </w:t>
      </w:r>
      <w:r w:rsidR="00725B4F">
        <w:rPr>
          <w:bCs/>
          <w:sz w:val="24"/>
          <w:szCs w:val="24"/>
          <w:lang w:val="en-US"/>
        </w:rPr>
        <w:t xml:space="preserve">is rather </w:t>
      </w:r>
      <w:r w:rsidRPr="006047F0">
        <w:rPr>
          <w:bCs/>
          <w:sz w:val="24"/>
          <w:szCs w:val="24"/>
          <w:lang w:val="en-US"/>
        </w:rPr>
        <w:t xml:space="preserve">low (the average equity multiplier </w:t>
      </w:r>
      <w:proofErr w:type="gramStart"/>
      <w:r w:rsidR="00725B4F">
        <w:rPr>
          <w:bCs/>
          <w:sz w:val="24"/>
          <w:szCs w:val="24"/>
          <w:lang w:val="en-US"/>
        </w:rPr>
        <w:t xml:space="preserve">for </w:t>
      </w:r>
      <w:r w:rsidRPr="006047F0">
        <w:rPr>
          <w:bCs/>
          <w:sz w:val="24"/>
          <w:szCs w:val="24"/>
          <w:lang w:val="en-US"/>
        </w:rPr>
        <w:t xml:space="preserve"> 41</w:t>
      </w:r>
      <w:proofErr w:type="gramEnd"/>
      <w:r w:rsidRPr="006047F0">
        <w:rPr>
          <w:bCs/>
          <w:sz w:val="24"/>
          <w:szCs w:val="24"/>
          <w:lang w:val="en-US"/>
        </w:rPr>
        <w:t xml:space="preserve"> </w:t>
      </w:r>
      <w:r w:rsidR="00725B4F">
        <w:rPr>
          <w:bCs/>
          <w:sz w:val="24"/>
          <w:szCs w:val="24"/>
          <w:lang w:val="en-US"/>
        </w:rPr>
        <w:t>world-</w:t>
      </w:r>
      <w:r w:rsidRPr="006047F0">
        <w:rPr>
          <w:bCs/>
          <w:sz w:val="24"/>
          <w:szCs w:val="24"/>
          <w:lang w:val="en-US"/>
        </w:rPr>
        <w:t xml:space="preserve">largest oil companies is 1.98, that is only half the assets of companies </w:t>
      </w:r>
      <w:r w:rsidR="00725B4F">
        <w:rPr>
          <w:bCs/>
          <w:sz w:val="24"/>
          <w:szCs w:val="24"/>
          <w:lang w:val="en-US"/>
        </w:rPr>
        <w:t xml:space="preserve">is </w:t>
      </w:r>
      <w:r w:rsidRPr="006047F0">
        <w:rPr>
          <w:bCs/>
          <w:sz w:val="24"/>
          <w:szCs w:val="24"/>
          <w:lang w:val="en-US"/>
        </w:rPr>
        <w:t xml:space="preserve">formed by </w:t>
      </w:r>
      <w:r w:rsidR="00725B4F">
        <w:rPr>
          <w:bCs/>
          <w:sz w:val="24"/>
          <w:szCs w:val="24"/>
          <w:lang w:val="en-US"/>
        </w:rPr>
        <w:t>debt</w:t>
      </w:r>
      <w:r w:rsidRPr="006047F0">
        <w:rPr>
          <w:bCs/>
          <w:sz w:val="24"/>
          <w:szCs w:val="24"/>
          <w:lang w:val="en-US"/>
        </w:rPr>
        <w:t xml:space="preserve"> </w:t>
      </w:r>
      <w:r w:rsidR="00725B4F">
        <w:rPr>
          <w:bCs/>
          <w:sz w:val="24"/>
          <w:szCs w:val="24"/>
          <w:lang w:val="en-US"/>
        </w:rPr>
        <w:t>(</w:t>
      </w:r>
      <w:proofErr w:type="spellStart"/>
      <w:r w:rsidRPr="006047F0">
        <w:rPr>
          <w:bCs/>
          <w:sz w:val="24"/>
          <w:szCs w:val="24"/>
          <w:lang w:val="en-US"/>
        </w:rPr>
        <w:t>Rogova</w:t>
      </w:r>
      <w:proofErr w:type="spellEnd"/>
      <w:r w:rsidRPr="006047F0">
        <w:rPr>
          <w:bCs/>
          <w:sz w:val="24"/>
          <w:szCs w:val="24"/>
          <w:lang w:val="en-US"/>
        </w:rPr>
        <w:t>, 2014</w:t>
      </w:r>
      <w:r w:rsidR="00725B4F">
        <w:rPr>
          <w:bCs/>
          <w:sz w:val="24"/>
          <w:szCs w:val="24"/>
          <w:lang w:val="en-US"/>
        </w:rPr>
        <w:t>)</w:t>
      </w:r>
      <w:r w:rsidRPr="006047F0">
        <w:rPr>
          <w:bCs/>
          <w:sz w:val="24"/>
          <w:szCs w:val="24"/>
          <w:lang w:val="en-US"/>
        </w:rPr>
        <w:t xml:space="preserve">). It is an opportunity to attract investors </w:t>
      </w:r>
      <w:r w:rsidR="00725B4F">
        <w:rPr>
          <w:bCs/>
          <w:sz w:val="24"/>
          <w:szCs w:val="24"/>
          <w:lang w:val="en-US"/>
        </w:rPr>
        <w:t>that</w:t>
      </w:r>
      <w:r w:rsidRPr="006047F0">
        <w:rPr>
          <w:bCs/>
          <w:sz w:val="24"/>
          <w:szCs w:val="24"/>
          <w:lang w:val="en-US"/>
        </w:rPr>
        <w:t xml:space="preserve"> make</w:t>
      </w:r>
      <w:r w:rsidR="00725B4F">
        <w:rPr>
          <w:bCs/>
          <w:sz w:val="24"/>
          <w:szCs w:val="24"/>
          <w:lang w:val="en-US"/>
        </w:rPr>
        <w:t>s</w:t>
      </w:r>
      <w:r w:rsidRPr="006047F0">
        <w:rPr>
          <w:bCs/>
          <w:sz w:val="24"/>
          <w:szCs w:val="24"/>
          <w:lang w:val="en-US"/>
        </w:rPr>
        <w:t xml:space="preserve"> Russian companies to </w:t>
      </w:r>
      <w:r w:rsidR="00725B4F">
        <w:rPr>
          <w:bCs/>
          <w:sz w:val="24"/>
          <w:szCs w:val="24"/>
          <w:lang w:val="en-US"/>
        </w:rPr>
        <w:t>shift to more</w:t>
      </w:r>
      <w:r w:rsidRPr="006047F0">
        <w:rPr>
          <w:bCs/>
          <w:sz w:val="24"/>
          <w:szCs w:val="24"/>
          <w:lang w:val="en-US"/>
        </w:rPr>
        <w:t xml:space="preserve"> transparent dividend polic</w:t>
      </w:r>
      <w:r w:rsidR="00725B4F">
        <w:rPr>
          <w:bCs/>
          <w:sz w:val="24"/>
          <w:szCs w:val="24"/>
          <w:lang w:val="en-US"/>
        </w:rPr>
        <w:t>ies</w:t>
      </w:r>
      <w:r w:rsidRPr="006047F0">
        <w:rPr>
          <w:bCs/>
          <w:sz w:val="24"/>
          <w:szCs w:val="24"/>
          <w:lang w:val="en-US"/>
        </w:rPr>
        <w:t xml:space="preserve">. High and constant payments in the telecommunications industry are explained by rapid growth </w:t>
      </w:r>
      <w:r w:rsidR="00725B4F">
        <w:rPr>
          <w:bCs/>
          <w:sz w:val="24"/>
          <w:szCs w:val="24"/>
          <w:lang w:val="en-US"/>
        </w:rPr>
        <w:t xml:space="preserve">of these </w:t>
      </w:r>
      <w:r w:rsidRPr="006047F0">
        <w:rPr>
          <w:bCs/>
          <w:sz w:val="24"/>
          <w:szCs w:val="24"/>
          <w:lang w:val="en-US"/>
        </w:rPr>
        <w:t>companies, as well as</w:t>
      </w:r>
      <w:r w:rsidR="00725B4F">
        <w:rPr>
          <w:bCs/>
          <w:sz w:val="24"/>
          <w:szCs w:val="24"/>
          <w:lang w:val="en-US"/>
        </w:rPr>
        <w:t xml:space="preserve"> the </w:t>
      </w:r>
      <w:r w:rsidRPr="006047F0">
        <w:rPr>
          <w:bCs/>
          <w:sz w:val="24"/>
          <w:szCs w:val="24"/>
          <w:lang w:val="en-US"/>
        </w:rPr>
        <w:t xml:space="preserve">corporate governance, relevant </w:t>
      </w:r>
      <w:r w:rsidR="00725B4F">
        <w:rPr>
          <w:bCs/>
          <w:sz w:val="24"/>
          <w:szCs w:val="24"/>
          <w:lang w:val="en-US"/>
        </w:rPr>
        <w:t xml:space="preserve">to </w:t>
      </w:r>
      <w:r w:rsidRPr="006047F0">
        <w:rPr>
          <w:bCs/>
          <w:sz w:val="24"/>
          <w:szCs w:val="24"/>
          <w:lang w:val="en-US"/>
        </w:rPr>
        <w:t xml:space="preserve">international standards. </w:t>
      </w:r>
      <w:r w:rsidR="00725B4F">
        <w:rPr>
          <w:bCs/>
          <w:sz w:val="24"/>
          <w:szCs w:val="24"/>
          <w:lang w:val="en-US"/>
        </w:rPr>
        <w:t xml:space="preserve">The companies in this </w:t>
      </w:r>
      <w:r w:rsidR="00725B4F" w:rsidRPr="006047F0">
        <w:rPr>
          <w:bCs/>
          <w:sz w:val="24"/>
          <w:szCs w:val="24"/>
          <w:lang w:val="en-US"/>
        </w:rPr>
        <w:t>industry</w:t>
      </w:r>
      <w:r w:rsidR="00725B4F">
        <w:rPr>
          <w:bCs/>
          <w:sz w:val="24"/>
          <w:szCs w:val="24"/>
          <w:lang w:val="en-US"/>
        </w:rPr>
        <w:t xml:space="preserve"> have many </w:t>
      </w:r>
      <w:r w:rsidRPr="006047F0">
        <w:rPr>
          <w:bCs/>
          <w:sz w:val="24"/>
          <w:szCs w:val="24"/>
          <w:lang w:val="en-US"/>
        </w:rPr>
        <w:t xml:space="preserve">foreign investors who also have an impact </w:t>
      </w:r>
      <w:r w:rsidR="00725B4F">
        <w:rPr>
          <w:bCs/>
          <w:sz w:val="24"/>
          <w:szCs w:val="24"/>
          <w:lang w:val="en-US"/>
        </w:rPr>
        <w:t>at</w:t>
      </w:r>
      <w:r w:rsidRPr="006047F0">
        <w:rPr>
          <w:bCs/>
          <w:sz w:val="24"/>
          <w:szCs w:val="24"/>
          <w:lang w:val="en-US"/>
        </w:rPr>
        <w:t xml:space="preserve"> the</w:t>
      </w:r>
      <w:r w:rsidR="00725B4F">
        <w:rPr>
          <w:bCs/>
          <w:sz w:val="24"/>
          <w:szCs w:val="24"/>
          <w:lang w:val="en-US"/>
        </w:rPr>
        <w:t>ir</w:t>
      </w:r>
      <w:r w:rsidRPr="006047F0">
        <w:rPr>
          <w:bCs/>
          <w:sz w:val="24"/>
          <w:szCs w:val="24"/>
          <w:lang w:val="en-US"/>
        </w:rPr>
        <w:t xml:space="preserve"> dividend polic</w:t>
      </w:r>
      <w:r w:rsidR="00725B4F">
        <w:rPr>
          <w:bCs/>
          <w:sz w:val="24"/>
          <w:szCs w:val="24"/>
          <w:lang w:val="en-US"/>
        </w:rPr>
        <w:t>ies</w:t>
      </w:r>
      <w:r w:rsidRPr="006047F0">
        <w:rPr>
          <w:bCs/>
          <w:sz w:val="24"/>
          <w:szCs w:val="24"/>
          <w:lang w:val="en-US"/>
        </w:rPr>
        <w:t xml:space="preserve">. </w:t>
      </w:r>
    </w:p>
    <w:p w:rsidR="006047F0" w:rsidRPr="006047F0" w:rsidRDefault="006047F0" w:rsidP="00725B4F">
      <w:pPr>
        <w:spacing w:line="240" w:lineRule="auto"/>
        <w:rPr>
          <w:bCs/>
          <w:sz w:val="24"/>
          <w:szCs w:val="24"/>
          <w:lang w:val="en-US"/>
        </w:rPr>
      </w:pPr>
      <w:r w:rsidRPr="006047F0">
        <w:rPr>
          <w:bCs/>
          <w:sz w:val="24"/>
          <w:szCs w:val="24"/>
          <w:lang w:val="en-US"/>
        </w:rPr>
        <w:t>2</w:t>
      </w:r>
      <w:r w:rsidR="00725B4F">
        <w:rPr>
          <w:bCs/>
          <w:sz w:val="24"/>
          <w:szCs w:val="24"/>
          <w:lang w:val="en-US"/>
        </w:rPr>
        <w:t xml:space="preserve">. The specific </w:t>
      </w:r>
      <w:r w:rsidRPr="006047F0">
        <w:rPr>
          <w:bCs/>
          <w:sz w:val="24"/>
          <w:szCs w:val="24"/>
          <w:lang w:val="en-US"/>
        </w:rPr>
        <w:t xml:space="preserve">structure of shareholders of Russian companies. About 68% of the shares of Russian </w:t>
      </w:r>
      <w:r w:rsidR="00725B4F">
        <w:rPr>
          <w:bCs/>
          <w:sz w:val="24"/>
          <w:szCs w:val="24"/>
          <w:lang w:val="en-US"/>
        </w:rPr>
        <w:t xml:space="preserve">listed </w:t>
      </w:r>
      <w:r w:rsidRPr="006047F0">
        <w:rPr>
          <w:bCs/>
          <w:sz w:val="24"/>
          <w:szCs w:val="24"/>
          <w:lang w:val="en-US"/>
        </w:rPr>
        <w:t xml:space="preserve">companies </w:t>
      </w:r>
      <w:proofErr w:type="gramStart"/>
      <w:r w:rsidRPr="006047F0">
        <w:rPr>
          <w:bCs/>
          <w:sz w:val="24"/>
          <w:szCs w:val="24"/>
          <w:lang w:val="en-US"/>
        </w:rPr>
        <w:t>belong</w:t>
      </w:r>
      <w:r w:rsidR="00386452">
        <w:rPr>
          <w:bCs/>
          <w:sz w:val="24"/>
          <w:szCs w:val="24"/>
          <w:lang w:val="en-US"/>
        </w:rPr>
        <w:t>s</w:t>
      </w:r>
      <w:proofErr w:type="gramEnd"/>
      <w:r w:rsidRPr="006047F0">
        <w:rPr>
          <w:bCs/>
          <w:sz w:val="24"/>
          <w:szCs w:val="24"/>
          <w:lang w:val="en-US"/>
        </w:rPr>
        <w:t xml:space="preserve"> to direct investors</w:t>
      </w:r>
      <w:r w:rsidR="002E5177">
        <w:rPr>
          <w:bCs/>
          <w:sz w:val="24"/>
          <w:szCs w:val="24"/>
          <w:lang w:val="en-US"/>
        </w:rPr>
        <w:t xml:space="preserve">, and the </w:t>
      </w:r>
      <w:r w:rsidRPr="006047F0">
        <w:rPr>
          <w:bCs/>
          <w:sz w:val="24"/>
          <w:szCs w:val="24"/>
          <w:lang w:val="en-US"/>
        </w:rPr>
        <w:t>free float, respectively, is only about 32%. The</w:t>
      </w:r>
      <w:r w:rsidR="002E5177">
        <w:rPr>
          <w:bCs/>
          <w:sz w:val="24"/>
          <w:szCs w:val="24"/>
          <w:lang w:val="en-US"/>
        </w:rPr>
        <w:t xml:space="preserve"> government has the full ownership in </w:t>
      </w:r>
      <w:r w:rsidRPr="006047F0">
        <w:rPr>
          <w:bCs/>
          <w:sz w:val="24"/>
          <w:szCs w:val="24"/>
          <w:lang w:val="en-US"/>
        </w:rPr>
        <w:t xml:space="preserve">than 150 companies, a majority </w:t>
      </w:r>
      <w:r w:rsidR="002E5177">
        <w:rPr>
          <w:bCs/>
          <w:sz w:val="24"/>
          <w:szCs w:val="24"/>
          <w:lang w:val="en-US"/>
        </w:rPr>
        <w:t>stake in</w:t>
      </w:r>
      <w:r w:rsidRPr="006047F0">
        <w:rPr>
          <w:bCs/>
          <w:sz w:val="24"/>
          <w:szCs w:val="24"/>
          <w:lang w:val="en-US"/>
        </w:rPr>
        <w:t xml:space="preserve"> 500</w:t>
      </w:r>
      <w:r w:rsidR="002E5177">
        <w:rPr>
          <w:bCs/>
          <w:sz w:val="24"/>
          <w:szCs w:val="24"/>
          <w:lang w:val="en-US"/>
        </w:rPr>
        <w:t xml:space="preserve"> companies and a </w:t>
      </w:r>
      <w:r w:rsidRPr="006047F0">
        <w:rPr>
          <w:bCs/>
          <w:sz w:val="24"/>
          <w:szCs w:val="24"/>
          <w:lang w:val="en-US"/>
        </w:rPr>
        <w:t xml:space="preserve">blocking </w:t>
      </w:r>
      <w:r w:rsidR="002E5177">
        <w:rPr>
          <w:bCs/>
          <w:sz w:val="24"/>
          <w:szCs w:val="24"/>
          <w:lang w:val="en-US"/>
        </w:rPr>
        <w:t>control in</w:t>
      </w:r>
      <w:r w:rsidRPr="006047F0">
        <w:rPr>
          <w:bCs/>
          <w:sz w:val="24"/>
          <w:szCs w:val="24"/>
          <w:lang w:val="en-US"/>
        </w:rPr>
        <w:t xml:space="preserve"> more than 1000 companies</w:t>
      </w:r>
      <w:r w:rsidR="002E5177">
        <w:rPr>
          <w:bCs/>
          <w:sz w:val="24"/>
          <w:szCs w:val="24"/>
          <w:lang w:val="en-US"/>
        </w:rPr>
        <w:t xml:space="preserve">. It also has minority stakes in </w:t>
      </w:r>
      <w:r w:rsidRPr="006047F0">
        <w:rPr>
          <w:bCs/>
          <w:sz w:val="24"/>
          <w:szCs w:val="24"/>
          <w:lang w:val="en-US"/>
        </w:rPr>
        <w:t xml:space="preserve">about 1,750 companies. </w:t>
      </w:r>
    </w:p>
    <w:p w:rsidR="006047F0" w:rsidRPr="006047F0" w:rsidRDefault="00386452" w:rsidP="00386452">
      <w:pPr>
        <w:spacing w:line="240" w:lineRule="auto"/>
        <w:rPr>
          <w:bCs/>
          <w:sz w:val="24"/>
          <w:szCs w:val="24"/>
          <w:lang w:val="en-US"/>
        </w:rPr>
      </w:pPr>
      <w:r>
        <w:rPr>
          <w:bCs/>
          <w:sz w:val="24"/>
          <w:szCs w:val="24"/>
          <w:lang w:val="en-US"/>
        </w:rPr>
        <w:t xml:space="preserve">Some government-owned companies, as </w:t>
      </w:r>
      <w:proofErr w:type="spellStart"/>
      <w:r>
        <w:rPr>
          <w:bCs/>
          <w:sz w:val="24"/>
          <w:szCs w:val="24"/>
          <w:lang w:val="en-US"/>
        </w:rPr>
        <w:t>Gazprom</w:t>
      </w:r>
      <w:proofErr w:type="spellEnd"/>
      <w:r>
        <w:rPr>
          <w:bCs/>
          <w:sz w:val="24"/>
          <w:szCs w:val="24"/>
          <w:lang w:val="en-US"/>
        </w:rPr>
        <w:t xml:space="preserve">, are paying dividends regularly. </w:t>
      </w:r>
      <w:r w:rsidR="006047F0" w:rsidRPr="006047F0">
        <w:rPr>
          <w:bCs/>
          <w:sz w:val="24"/>
          <w:szCs w:val="24"/>
          <w:lang w:val="en-US"/>
        </w:rPr>
        <w:t xml:space="preserve">However, many state-owned companies are trying to find ways not to share their profits with shareholders. </w:t>
      </w:r>
    </w:p>
    <w:p w:rsidR="006047F0" w:rsidRPr="006047F0" w:rsidRDefault="006047F0" w:rsidP="00386452">
      <w:pPr>
        <w:spacing w:line="240" w:lineRule="auto"/>
        <w:rPr>
          <w:bCs/>
          <w:sz w:val="24"/>
          <w:szCs w:val="24"/>
          <w:lang w:val="en-US"/>
        </w:rPr>
      </w:pPr>
      <w:r w:rsidRPr="006047F0">
        <w:rPr>
          <w:bCs/>
          <w:sz w:val="24"/>
          <w:szCs w:val="24"/>
          <w:lang w:val="en-US"/>
        </w:rPr>
        <w:t xml:space="preserve">3 The </w:t>
      </w:r>
      <w:r w:rsidR="00386452">
        <w:rPr>
          <w:bCs/>
          <w:sz w:val="24"/>
          <w:szCs w:val="24"/>
          <w:lang w:val="en-US"/>
        </w:rPr>
        <w:t>insufficient development</w:t>
      </w:r>
      <w:r w:rsidRPr="006047F0">
        <w:rPr>
          <w:bCs/>
          <w:sz w:val="24"/>
          <w:szCs w:val="24"/>
          <w:lang w:val="en-US"/>
        </w:rPr>
        <w:t xml:space="preserve"> of the legislation. The main problem</w:t>
      </w:r>
      <w:r w:rsidR="00386452">
        <w:rPr>
          <w:bCs/>
          <w:sz w:val="24"/>
          <w:szCs w:val="24"/>
          <w:lang w:val="en-US"/>
        </w:rPr>
        <w:t xml:space="preserve"> shareholders deal with is the </w:t>
      </w:r>
      <w:r w:rsidRPr="006047F0">
        <w:rPr>
          <w:bCs/>
          <w:sz w:val="24"/>
          <w:szCs w:val="24"/>
          <w:lang w:val="en-US"/>
        </w:rPr>
        <w:t xml:space="preserve">timing and mechanism of </w:t>
      </w:r>
      <w:r w:rsidR="00386452">
        <w:rPr>
          <w:bCs/>
          <w:sz w:val="24"/>
          <w:szCs w:val="24"/>
          <w:lang w:val="en-US"/>
        </w:rPr>
        <w:t xml:space="preserve">dividend </w:t>
      </w:r>
      <w:r w:rsidRPr="006047F0">
        <w:rPr>
          <w:bCs/>
          <w:sz w:val="24"/>
          <w:szCs w:val="24"/>
          <w:lang w:val="en-US"/>
        </w:rPr>
        <w:t xml:space="preserve">payments. While in many countries the </w:t>
      </w:r>
      <w:r w:rsidRPr="006047F0">
        <w:rPr>
          <w:bCs/>
          <w:sz w:val="24"/>
          <w:szCs w:val="24"/>
          <w:lang w:val="en-US"/>
        </w:rPr>
        <w:lastRenderedPageBreak/>
        <w:t xml:space="preserve">dividends can be obtained within three days, in Russia it </w:t>
      </w:r>
      <w:r w:rsidR="00386452">
        <w:rPr>
          <w:bCs/>
          <w:sz w:val="24"/>
          <w:szCs w:val="24"/>
          <w:lang w:val="en-US"/>
        </w:rPr>
        <w:t xml:space="preserve">may require a </w:t>
      </w:r>
      <w:r w:rsidRPr="006047F0">
        <w:rPr>
          <w:bCs/>
          <w:sz w:val="24"/>
          <w:szCs w:val="24"/>
          <w:lang w:val="en-US"/>
        </w:rPr>
        <w:t>much longer</w:t>
      </w:r>
      <w:r w:rsidR="00386452">
        <w:rPr>
          <w:bCs/>
          <w:sz w:val="24"/>
          <w:szCs w:val="24"/>
          <w:lang w:val="en-US"/>
        </w:rPr>
        <w:t xml:space="preserve"> period</w:t>
      </w:r>
      <w:r w:rsidRPr="006047F0">
        <w:rPr>
          <w:bCs/>
          <w:sz w:val="24"/>
          <w:szCs w:val="24"/>
          <w:lang w:val="en-US"/>
        </w:rPr>
        <w:t xml:space="preserve">. </w:t>
      </w:r>
      <w:r w:rsidR="00386452">
        <w:rPr>
          <w:bCs/>
          <w:sz w:val="24"/>
          <w:szCs w:val="24"/>
          <w:lang w:val="en-US"/>
        </w:rPr>
        <w:t xml:space="preserve">However the legislation is changing. According to the </w:t>
      </w:r>
      <w:r w:rsidRPr="006047F0">
        <w:rPr>
          <w:bCs/>
          <w:sz w:val="24"/>
          <w:szCs w:val="24"/>
          <w:lang w:val="en-US"/>
        </w:rPr>
        <w:t>Federal Law of 29.12.2012 № 282-FZ</w:t>
      </w:r>
      <w:r w:rsidR="00386452">
        <w:rPr>
          <w:bCs/>
          <w:sz w:val="24"/>
          <w:szCs w:val="24"/>
          <w:lang w:val="en-US"/>
        </w:rPr>
        <w:t xml:space="preserve">, since </w:t>
      </w:r>
      <w:r w:rsidRPr="006047F0">
        <w:rPr>
          <w:bCs/>
          <w:sz w:val="24"/>
          <w:szCs w:val="24"/>
          <w:lang w:val="en-US"/>
        </w:rPr>
        <w:t>2014 dividend</w:t>
      </w:r>
      <w:r w:rsidR="00386452">
        <w:rPr>
          <w:bCs/>
          <w:sz w:val="24"/>
          <w:szCs w:val="24"/>
          <w:lang w:val="en-US"/>
        </w:rPr>
        <w:t>s</w:t>
      </w:r>
      <w:r w:rsidRPr="006047F0">
        <w:rPr>
          <w:bCs/>
          <w:sz w:val="24"/>
          <w:szCs w:val="24"/>
          <w:lang w:val="en-US"/>
        </w:rPr>
        <w:t xml:space="preserve"> payments </w:t>
      </w:r>
      <w:r w:rsidR="00386452">
        <w:rPr>
          <w:bCs/>
          <w:sz w:val="24"/>
          <w:szCs w:val="24"/>
          <w:lang w:val="en-US"/>
        </w:rPr>
        <w:t>should be</w:t>
      </w:r>
      <w:r w:rsidRPr="006047F0">
        <w:rPr>
          <w:bCs/>
          <w:sz w:val="24"/>
          <w:szCs w:val="24"/>
          <w:lang w:val="en-US"/>
        </w:rPr>
        <w:t xml:space="preserve"> </w:t>
      </w:r>
      <w:r w:rsidR="00386452">
        <w:rPr>
          <w:bCs/>
          <w:sz w:val="24"/>
          <w:szCs w:val="24"/>
          <w:lang w:val="en-US"/>
        </w:rPr>
        <w:t xml:space="preserve">paid </w:t>
      </w:r>
      <w:r w:rsidRPr="006047F0">
        <w:rPr>
          <w:bCs/>
          <w:sz w:val="24"/>
          <w:szCs w:val="24"/>
          <w:lang w:val="en-US"/>
        </w:rPr>
        <w:t xml:space="preserve">within a period </w:t>
      </w:r>
      <w:r w:rsidR="00386452">
        <w:rPr>
          <w:bCs/>
          <w:sz w:val="24"/>
          <w:szCs w:val="24"/>
          <w:lang w:val="en-US"/>
        </w:rPr>
        <w:t xml:space="preserve">of </w:t>
      </w:r>
      <w:r w:rsidRPr="006047F0">
        <w:rPr>
          <w:bCs/>
          <w:sz w:val="24"/>
          <w:szCs w:val="24"/>
          <w:lang w:val="en-US"/>
        </w:rPr>
        <w:t xml:space="preserve">25 working days from the date on which the </w:t>
      </w:r>
      <w:r w:rsidR="003349AC">
        <w:rPr>
          <w:bCs/>
          <w:sz w:val="24"/>
          <w:szCs w:val="24"/>
          <w:lang w:val="en-US"/>
        </w:rPr>
        <w:t xml:space="preserve">list of the </w:t>
      </w:r>
      <w:r w:rsidRPr="006047F0">
        <w:rPr>
          <w:bCs/>
          <w:sz w:val="24"/>
          <w:szCs w:val="24"/>
          <w:lang w:val="en-US"/>
        </w:rPr>
        <w:t>persons who are entitled to receive dividends</w:t>
      </w:r>
      <w:r w:rsidR="003349AC">
        <w:rPr>
          <w:bCs/>
          <w:sz w:val="24"/>
          <w:szCs w:val="24"/>
          <w:lang w:val="en-US"/>
        </w:rPr>
        <w:t>, is defined</w:t>
      </w:r>
      <w:r w:rsidRPr="006047F0">
        <w:rPr>
          <w:bCs/>
          <w:sz w:val="24"/>
          <w:szCs w:val="24"/>
          <w:lang w:val="en-US"/>
        </w:rPr>
        <w:t xml:space="preserve">. </w:t>
      </w:r>
      <w:r w:rsidR="003349AC">
        <w:rPr>
          <w:bCs/>
          <w:sz w:val="24"/>
          <w:szCs w:val="24"/>
          <w:lang w:val="en-US"/>
        </w:rPr>
        <w:t>Before this,</w:t>
      </w:r>
      <w:r w:rsidRPr="006047F0">
        <w:rPr>
          <w:bCs/>
          <w:sz w:val="24"/>
          <w:szCs w:val="24"/>
          <w:lang w:val="en-US"/>
        </w:rPr>
        <w:t xml:space="preserve"> the dividend payments were made within 60 days, unless otherwise </w:t>
      </w:r>
      <w:r w:rsidR="003349AC">
        <w:rPr>
          <w:bCs/>
          <w:sz w:val="24"/>
          <w:szCs w:val="24"/>
          <w:lang w:val="en-US"/>
        </w:rPr>
        <w:t xml:space="preserve">has </w:t>
      </w:r>
      <w:r w:rsidRPr="006047F0">
        <w:rPr>
          <w:bCs/>
          <w:sz w:val="24"/>
          <w:szCs w:val="24"/>
          <w:lang w:val="en-US"/>
        </w:rPr>
        <w:t xml:space="preserve">been </w:t>
      </w:r>
      <w:r w:rsidR="003349AC">
        <w:rPr>
          <w:bCs/>
          <w:sz w:val="24"/>
          <w:szCs w:val="24"/>
          <w:lang w:val="en-US"/>
        </w:rPr>
        <w:t>decided</w:t>
      </w:r>
      <w:r w:rsidRPr="006047F0">
        <w:rPr>
          <w:bCs/>
          <w:sz w:val="24"/>
          <w:szCs w:val="24"/>
          <w:lang w:val="en-US"/>
        </w:rPr>
        <w:t xml:space="preserve"> by the company. In practice, </w:t>
      </w:r>
      <w:r w:rsidR="003349AC">
        <w:rPr>
          <w:bCs/>
          <w:sz w:val="24"/>
          <w:szCs w:val="24"/>
          <w:lang w:val="en-US"/>
        </w:rPr>
        <w:t xml:space="preserve">the payments period could be </w:t>
      </w:r>
      <w:r w:rsidRPr="006047F0">
        <w:rPr>
          <w:bCs/>
          <w:sz w:val="24"/>
          <w:szCs w:val="24"/>
          <w:lang w:val="en-US"/>
        </w:rPr>
        <w:t xml:space="preserve">stretched to six months. </w:t>
      </w:r>
    </w:p>
    <w:p w:rsidR="006047F0" w:rsidRPr="006047F0" w:rsidRDefault="006047F0" w:rsidP="003349AC">
      <w:pPr>
        <w:spacing w:line="240" w:lineRule="auto"/>
        <w:rPr>
          <w:bCs/>
          <w:sz w:val="24"/>
          <w:szCs w:val="24"/>
          <w:lang w:val="en-US"/>
        </w:rPr>
      </w:pPr>
      <w:r w:rsidRPr="006047F0">
        <w:rPr>
          <w:bCs/>
          <w:sz w:val="24"/>
          <w:szCs w:val="24"/>
          <w:lang w:val="en-US"/>
        </w:rPr>
        <w:t xml:space="preserve">Thus, Russian companies are currently in the process of improving existing or creating </w:t>
      </w:r>
      <w:r w:rsidR="003349AC">
        <w:rPr>
          <w:bCs/>
          <w:sz w:val="24"/>
          <w:szCs w:val="24"/>
          <w:lang w:val="en-US"/>
        </w:rPr>
        <w:t xml:space="preserve">new, more </w:t>
      </w:r>
      <w:r w:rsidRPr="006047F0">
        <w:rPr>
          <w:bCs/>
          <w:sz w:val="24"/>
          <w:szCs w:val="24"/>
          <w:lang w:val="en-US"/>
        </w:rPr>
        <w:t>effective dividend polic</w:t>
      </w:r>
      <w:r w:rsidR="003349AC">
        <w:rPr>
          <w:bCs/>
          <w:sz w:val="24"/>
          <w:szCs w:val="24"/>
          <w:lang w:val="en-US"/>
        </w:rPr>
        <w:t>ies</w:t>
      </w:r>
      <w:r w:rsidRPr="006047F0">
        <w:rPr>
          <w:bCs/>
          <w:sz w:val="24"/>
          <w:szCs w:val="24"/>
          <w:lang w:val="en-US"/>
        </w:rPr>
        <w:t xml:space="preserve">, which </w:t>
      </w:r>
      <w:r w:rsidR="003349AC">
        <w:rPr>
          <w:bCs/>
          <w:sz w:val="24"/>
          <w:szCs w:val="24"/>
          <w:lang w:val="en-US"/>
        </w:rPr>
        <w:t>gradually become</w:t>
      </w:r>
      <w:r w:rsidRPr="006047F0">
        <w:rPr>
          <w:bCs/>
          <w:sz w:val="24"/>
          <w:szCs w:val="24"/>
          <w:lang w:val="en-US"/>
        </w:rPr>
        <w:t xml:space="preserve"> considered as a tool </w:t>
      </w:r>
      <w:r w:rsidR="003349AC">
        <w:rPr>
          <w:bCs/>
          <w:sz w:val="24"/>
          <w:szCs w:val="24"/>
          <w:lang w:val="en-US"/>
        </w:rPr>
        <w:t xml:space="preserve">of companies’ </w:t>
      </w:r>
      <w:r w:rsidRPr="006047F0">
        <w:rPr>
          <w:bCs/>
          <w:sz w:val="24"/>
          <w:szCs w:val="24"/>
          <w:lang w:val="en-US"/>
        </w:rPr>
        <w:t xml:space="preserve">investment </w:t>
      </w:r>
      <w:r w:rsidR="003349AC">
        <w:rPr>
          <w:bCs/>
          <w:sz w:val="24"/>
          <w:szCs w:val="24"/>
          <w:lang w:val="en-US"/>
        </w:rPr>
        <w:t xml:space="preserve">appeal </w:t>
      </w:r>
      <w:r w:rsidRPr="006047F0">
        <w:rPr>
          <w:bCs/>
          <w:sz w:val="24"/>
          <w:szCs w:val="24"/>
          <w:lang w:val="en-US"/>
        </w:rPr>
        <w:t xml:space="preserve">and value </w:t>
      </w:r>
      <w:r w:rsidR="003349AC">
        <w:rPr>
          <w:bCs/>
          <w:sz w:val="24"/>
          <w:szCs w:val="24"/>
          <w:lang w:val="en-US"/>
        </w:rPr>
        <w:t>growth</w:t>
      </w:r>
      <w:r w:rsidRPr="006047F0">
        <w:rPr>
          <w:bCs/>
          <w:sz w:val="24"/>
          <w:szCs w:val="24"/>
          <w:lang w:val="en-US"/>
        </w:rPr>
        <w:t>.</w:t>
      </w:r>
    </w:p>
    <w:p w:rsidR="00577B34" w:rsidRDefault="00577B34" w:rsidP="007E5F30">
      <w:pPr>
        <w:spacing w:line="240" w:lineRule="auto"/>
        <w:jc w:val="center"/>
        <w:rPr>
          <w:b/>
          <w:bCs/>
          <w:sz w:val="24"/>
          <w:szCs w:val="24"/>
          <w:lang w:val="en-US"/>
        </w:rPr>
      </w:pPr>
    </w:p>
    <w:p w:rsidR="003349AC" w:rsidRDefault="003349AC" w:rsidP="007E5F30">
      <w:pPr>
        <w:spacing w:line="240" w:lineRule="auto"/>
        <w:jc w:val="center"/>
        <w:rPr>
          <w:b/>
          <w:bCs/>
          <w:sz w:val="24"/>
          <w:szCs w:val="24"/>
          <w:lang w:val="en-US"/>
        </w:rPr>
      </w:pPr>
    </w:p>
    <w:p w:rsidR="003349AC" w:rsidRPr="003349AC" w:rsidRDefault="003349AC" w:rsidP="003349AC">
      <w:pPr>
        <w:spacing w:line="240" w:lineRule="auto"/>
        <w:rPr>
          <w:b/>
          <w:bCs/>
          <w:sz w:val="24"/>
          <w:szCs w:val="24"/>
          <w:lang w:val="en-US"/>
        </w:rPr>
      </w:pPr>
      <w:r>
        <w:rPr>
          <w:b/>
          <w:bCs/>
          <w:sz w:val="24"/>
          <w:szCs w:val="24"/>
          <w:lang w:val="en-US"/>
        </w:rPr>
        <w:t>Literature review</w:t>
      </w:r>
    </w:p>
    <w:p w:rsidR="003349AC" w:rsidRDefault="003349AC" w:rsidP="007E5F30">
      <w:pPr>
        <w:spacing w:line="240" w:lineRule="auto"/>
        <w:rPr>
          <w:color w:val="000000"/>
          <w:sz w:val="24"/>
          <w:szCs w:val="24"/>
          <w:lang w:val="en-US"/>
        </w:rPr>
      </w:pPr>
    </w:p>
    <w:p w:rsidR="003349AC" w:rsidRPr="003349AC" w:rsidRDefault="00A96413" w:rsidP="003349AC">
      <w:pPr>
        <w:spacing w:line="240" w:lineRule="auto"/>
        <w:rPr>
          <w:sz w:val="24"/>
          <w:szCs w:val="28"/>
          <w:lang w:val="en-US"/>
        </w:rPr>
      </w:pPr>
      <w:r>
        <w:rPr>
          <w:sz w:val="24"/>
          <w:szCs w:val="28"/>
          <w:lang w:val="en-US"/>
        </w:rPr>
        <w:t xml:space="preserve">Among the papers </w:t>
      </w:r>
      <w:r w:rsidR="003349AC" w:rsidRPr="003349AC">
        <w:rPr>
          <w:sz w:val="24"/>
          <w:szCs w:val="28"/>
          <w:lang w:val="en-US"/>
        </w:rPr>
        <w:t>devoted to the analysis of the impact of the a</w:t>
      </w:r>
      <w:r>
        <w:rPr>
          <w:sz w:val="24"/>
          <w:szCs w:val="28"/>
          <w:lang w:val="en-US"/>
        </w:rPr>
        <w:t>nnouncements</w:t>
      </w:r>
      <w:r w:rsidR="003349AC" w:rsidRPr="003349AC">
        <w:rPr>
          <w:sz w:val="24"/>
          <w:szCs w:val="28"/>
          <w:lang w:val="en-US"/>
        </w:rPr>
        <w:t xml:space="preserve"> on </w:t>
      </w:r>
      <w:r w:rsidRPr="003349AC">
        <w:rPr>
          <w:sz w:val="24"/>
          <w:szCs w:val="28"/>
          <w:lang w:val="en-US"/>
        </w:rPr>
        <w:t>dividend</w:t>
      </w:r>
      <w:r>
        <w:rPr>
          <w:sz w:val="24"/>
          <w:szCs w:val="28"/>
          <w:lang w:val="en-US"/>
        </w:rPr>
        <w:t xml:space="preserve"> </w:t>
      </w:r>
      <w:r w:rsidR="003349AC" w:rsidRPr="003349AC">
        <w:rPr>
          <w:sz w:val="24"/>
          <w:szCs w:val="28"/>
          <w:lang w:val="en-US"/>
        </w:rPr>
        <w:t>payment</w:t>
      </w:r>
      <w:r>
        <w:rPr>
          <w:sz w:val="24"/>
          <w:szCs w:val="28"/>
          <w:lang w:val="en-US"/>
        </w:rPr>
        <w:t xml:space="preserve">s at </w:t>
      </w:r>
      <w:r w:rsidR="003349AC" w:rsidRPr="003349AC">
        <w:rPr>
          <w:sz w:val="24"/>
          <w:szCs w:val="28"/>
          <w:lang w:val="en-US"/>
        </w:rPr>
        <w:t>share</w:t>
      </w:r>
      <w:r>
        <w:rPr>
          <w:sz w:val="24"/>
          <w:szCs w:val="28"/>
          <w:lang w:val="en-US"/>
        </w:rPr>
        <w:t>s</w:t>
      </w:r>
      <w:r w:rsidR="003349AC" w:rsidRPr="003349AC">
        <w:rPr>
          <w:sz w:val="24"/>
          <w:szCs w:val="28"/>
          <w:lang w:val="en-US"/>
        </w:rPr>
        <w:t xml:space="preserve"> prices</w:t>
      </w:r>
      <w:r>
        <w:rPr>
          <w:sz w:val="24"/>
          <w:szCs w:val="28"/>
          <w:lang w:val="en-US"/>
        </w:rPr>
        <w:t xml:space="preserve"> one may notice the </w:t>
      </w:r>
      <w:proofErr w:type="spellStart"/>
      <w:r>
        <w:rPr>
          <w:sz w:val="24"/>
          <w:szCs w:val="28"/>
          <w:lang w:val="en-US"/>
        </w:rPr>
        <w:t>commonless</w:t>
      </w:r>
      <w:proofErr w:type="spellEnd"/>
      <w:r>
        <w:rPr>
          <w:sz w:val="24"/>
          <w:szCs w:val="28"/>
          <w:lang w:val="en-US"/>
        </w:rPr>
        <w:t xml:space="preserve"> of conclusions for developed markets</w:t>
      </w:r>
      <w:r w:rsidR="003349AC" w:rsidRPr="003349AC">
        <w:rPr>
          <w:sz w:val="24"/>
          <w:szCs w:val="28"/>
          <w:lang w:val="en-US"/>
        </w:rPr>
        <w:t xml:space="preserve">. Thus, the </w:t>
      </w:r>
      <w:r>
        <w:rPr>
          <w:sz w:val="24"/>
          <w:szCs w:val="28"/>
          <w:lang w:val="en-US"/>
        </w:rPr>
        <w:t>research</w:t>
      </w:r>
      <w:r w:rsidR="003349AC" w:rsidRPr="003349AC">
        <w:rPr>
          <w:sz w:val="24"/>
          <w:szCs w:val="28"/>
          <w:lang w:val="en-US"/>
        </w:rPr>
        <w:t xml:space="preserve"> of the American market </w:t>
      </w:r>
      <w:r>
        <w:rPr>
          <w:sz w:val="24"/>
          <w:szCs w:val="28"/>
          <w:lang w:val="en-US"/>
        </w:rPr>
        <w:t>(</w:t>
      </w:r>
      <w:r w:rsidR="003349AC" w:rsidRPr="003349AC">
        <w:rPr>
          <w:sz w:val="24"/>
          <w:szCs w:val="28"/>
          <w:lang w:val="en-US"/>
        </w:rPr>
        <w:t xml:space="preserve">Pettit, 1972, </w:t>
      </w:r>
      <w:proofErr w:type="spellStart"/>
      <w:r w:rsidR="003349AC" w:rsidRPr="003349AC">
        <w:rPr>
          <w:sz w:val="24"/>
          <w:szCs w:val="28"/>
          <w:lang w:val="en-US"/>
        </w:rPr>
        <w:t>Aharony</w:t>
      </w:r>
      <w:proofErr w:type="spellEnd"/>
      <w:r w:rsidR="003349AC" w:rsidRPr="003349AC">
        <w:rPr>
          <w:sz w:val="24"/>
          <w:szCs w:val="28"/>
          <w:lang w:val="en-US"/>
        </w:rPr>
        <w:t xml:space="preserve">, </w:t>
      </w:r>
      <w:proofErr w:type="spellStart"/>
      <w:r w:rsidR="003349AC" w:rsidRPr="003349AC">
        <w:rPr>
          <w:sz w:val="24"/>
          <w:szCs w:val="28"/>
          <w:lang w:val="en-US"/>
        </w:rPr>
        <w:t>Swary</w:t>
      </w:r>
      <w:proofErr w:type="spellEnd"/>
      <w:r w:rsidR="003349AC" w:rsidRPr="003349AC">
        <w:rPr>
          <w:sz w:val="24"/>
          <w:szCs w:val="28"/>
          <w:lang w:val="en-US"/>
        </w:rPr>
        <w:t xml:space="preserve">, 1980, </w:t>
      </w:r>
      <w:proofErr w:type="spellStart"/>
      <w:r w:rsidR="003349AC" w:rsidRPr="003349AC">
        <w:rPr>
          <w:sz w:val="24"/>
          <w:szCs w:val="28"/>
          <w:lang w:val="en-US"/>
        </w:rPr>
        <w:t>Grullon</w:t>
      </w:r>
      <w:proofErr w:type="spellEnd"/>
      <w:r w:rsidR="003349AC" w:rsidRPr="003349AC">
        <w:rPr>
          <w:sz w:val="24"/>
          <w:szCs w:val="28"/>
          <w:lang w:val="en-US"/>
        </w:rPr>
        <w:t xml:space="preserve">, </w:t>
      </w:r>
      <w:proofErr w:type="spellStart"/>
      <w:r w:rsidR="003349AC" w:rsidRPr="003349AC">
        <w:rPr>
          <w:sz w:val="24"/>
          <w:szCs w:val="28"/>
          <w:lang w:val="en-US"/>
        </w:rPr>
        <w:t>Roni</w:t>
      </w:r>
      <w:proofErr w:type="spellEnd"/>
      <w:r w:rsidR="003349AC" w:rsidRPr="003349AC">
        <w:rPr>
          <w:sz w:val="24"/>
          <w:szCs w:val="28"/>
          <w:lang w:val="en-US"/>
        </w:rPr>
        <w:t xml:space="preserve">, </w:t>
      </w:r>
      <w:proofErr w:type="spellStart"/>
      <w:r w:rsidR="003349AC" w:rsidRPr="003349AC">
        <w:rPr>
          <w:sz w:val="24"/>
          <w:szCs w:val="28"/>
          <w:lang w:val="en-US"/>
        </w:rPr>
        <w:t>Bhaskaran</w:t>
      </w:r>
      <w:proofErr w:type="spellEnd"/>
      <w:r w:rsidR="003349AC" w:rsidRPr="003349AC">
        <w:rPr>
          <w:sz w:val="24"/>
          <w:szCs w:val="28"/>
          <w:lang w:val="en-US"/>
        </w:rPr>
        <w:t>, 2002</w:t>
      </w:r>
      <w:r>
        <w:rPr>
          <w:sz w:val="24"/>
          <w:szCs w:val="28"/>
          <w:lang w:val="en-US"/>
        </w:rPr>
        <w:t>)</w:t>
      </w:r>
      <w:r w:rsidR="003349AC" w:rsidRPr="003349AC">
        <w:rPr>
          <w:sz w:val="24"/>
          <w:szCs w:val="28"/>
          <w:lang w:val="en-US"/>
        </w:rPr>
        <w:t xml:space="preserve"> </w:t>
      </w:r>
      <w:r>
        <w:rPr>
          <w:sz w:val="24"/>
          <w:szCs w:val="28"/>
          <w:lang w:val="en-US"/>
        </w:rPr>
        <w:t xml:space="preserve">has demonstrated that </w:t>
      </w:r>
      <w:r w:rsidRPr="003349AC">
        <w:rPr>
          <w:sz w:val="24"/>
          <w:szCs w:val="28"/>
          <w:lang w:val="en-US"/>
        </w:rPr>
        <w:t xml:space="preserve">when </w:t>
      </w:r>
      <w:r w:rsidR="003349AC" w:rsidRPr="003349AC">
        <w:rPr>
          <w:sz w:val="24"/>
          <w:szCs w:val="28"/>
          <w:lang w:val="en-US"/>
        </w:rPr>
        <w:t>a company increases its dividend</w:t>
      </w:r>
      <w:r>
        <w:rPr>
          <w:sz w:val="24"/>
          <w:szCs w:val="28"/>
          <w:lang w:val="en-US"/>
        </w:rPr>
        <w:t xml:space="preserve"> payments</w:t>
      </w:r>
      <w:r w:rsidR="003349AC" w:rsidRPr="003349AC">
        <w:rPr>
          <w:sz w:val="24"/>
          <w:szCs w:val="28"/>
          <w:lang w:val="en-US"/>
        </w:rPr>
        <w:t xml:space="preserve">, </w:t>
      </w:r>
      <w:r>
        <w:rPr>
          <w:sz w:val="24"/>
          <w:szCs w:val="28"/>
          <w:lang w:val="en-US"/>
        </w:rPr>
        <w:t>there is an average increase in shares prices</w:t>
      </w:r>
      <w:r w:rsidR="003349AC" w:rsidRPr="003349AC">
        <w:rPr>
          <w:sz w:val="24"/>
          <w:szCs w:val="28"/>
          <w:lang w:val="en-US"/>
        </w:rPr>
        <w:t xml:space="preserve">, if </w:t>
      </w:r>
      <w:r>
        <w:rPr>
          <w:sz w:val="24"/>
          <w:szCs w:val="28"/>
          <w:lang w:val="en-US"/>
        </w:rPr>
        <w:t>a</w:t>
      </w:r>
      <w:r w:rsidR="003349AC" w:rsidRPr="003349AC">
        <w:rPr>
          <w:sz w:val="24"/>
          <w:szCs w:val="28"/>
          <w:lang w:val="en-US"/>
        </w:rPr>
        <w:t xml:space="preserve"> company reduces the dividends, then prices are falling. </w:t>
      </w:r>
    </w:p>
    <w:p w:rsidR="003349AC" w:rsidRPr="003349AC" w:rsidRDefault="003349AC" w:rsidP="003349AC">
      <w:pPr>
        <w:spacing w:line="240" w:lineRule="auto"/>
        <w:rPr>
          <w:sz w:val="24"/>
          <w:szCs w:val="28"/>
          <w:lang w:val="en-US"/>
        </w:rPr>
      </w:pPr>
      <w:proofErr w:type="spellStart"/>
      <w:r w:rsidRPr="003349AC">
        <w:rPr>
          <w:sz w:val="24"/>
          <w:szCs w:val="28"/>
          <w:lang w:val="en-US"/>
        </w:rPr>
        <w:t>Amihud</w:t>
      </w:r>
      <w:proofErr w:type="spellEnd"/>
      <w:r w:rsidR="00A96413">
        <w:rPr>
          <w:sz w:val="24"/>
          <w:szCs w:val="28"/>
          <w:lang w:val="en-US"/>
        </w:rPr>
        <w:t xml:space="preserve"> and</w:t>
      </w:r>
      <w:r w:rsidRPr="003349AC">
        <w:rPr>
          <w:sz w:val="24"/>
          <w:szCs w:val="28"/>
          <w:lang w:val="en-US"/>
        </w:rPr>
        <w:t xml:space="preserve"> </w:t>
      </w:r>
      <w:proofErr w:type="spellStart"/>
      <w:r w:rsidRPr="003349AC">
        <w:rPr>
          <w:sz w:val="24"/>
          <w:szCs w:val="28"/>
          <w:lang w:val="en-US"/>
        </w:rPr>
        <w:t>Murgia</w:t>
      </w:r>
      <w:proofErr w:type="spellEnd"/>
      <w:r w:rsidRPr="003349AC">
        <w:rPr>
          <w:sz w:val="24"/>
          <w:szCs w:val="28"/>
          <w:lang w:val="en-US"/>
        </w:rPr>
        <w:t xml:space="preserve"> </w:t>
      </w:r>
      <w:r w:rsidR="00A96413">
        <w:rPr>
          <w:sz w:val="24"/>
          <w:szCs w:val="28"/>
          <w:lang w:val="en-US"/>
        </w:rPr>
        <w:t>(</w:t>
      </w:r>
      <w:r w:rsidRPr="003349AC">
        <w:rPr>
          <w:sz w:val="24"/>
          <w:szCs w:val="28"/>
          <w:lang w:val="en-US"/>
        </w:rPr>
        <w:t>1997</w:t>
      </w:r>
      <w:r w:rsidR="00A96413">
        <w:rPr>
          <w:sz w:val="24"/>
          <w:szCs w:val="28"/>
          <w:lang w:val="en-US"/>
        </w:rPr>
        <w:t>)</w:t>
      </w:r>
      <w:r w:rsidRPr="003349AC">
        <w:rPr>
          <w:sz w:val="24"/>
          <w:szCs w:val="28"/>
          <w:lang w:val="en-US"/>
        </w:rPr>
        <w:t xml:space="preserve"> </w:t>
      </w:r>
      <w:r w:rsidR="00A96413">
        <w:rPr>
          <w:sz w:val="24"/>
          <w:szCs w:val="28"/>
          <w:lang w:val="en-US"/>
        </w:rPr>
        <w:t>examined</w:t>
      </w:r>
      <w:r w:rsidRPr="003349AC">
        <w:rPr>
          <w:sz w:val="24"/>
          <w:szCs w:val="28"/>
          <w:lang w:val="en-US"/>
        </w:rPr>
        <w:t xml:space="preserve"> the German stock market reaction to the announcement </w:t>
      </w:r>
      <w:r w:rsidR="00A96413">
        <w:rPr>
          <w:sz w:val="24"/>
          <w:szCs w:val="28"/>
          <w:lang w:val="en-US"/>
        </w:rPr>
        <w:t>on</w:t>
      </w:r>
      <w:r w:rsidR="00A96413" w:rsidRPr="00A96413">
        <w:rPr>
          <w:sz w:val="24"/>
          <w:szCs w:val="28"/>
          <w:lang w:val="en-US"/>
        </w:rPr>
        <w:t xml:space="preserve"> </w:t>
      </w:r>
      <w:r w:rsidR="00A96413" w:rsidRPr="003349AC">
        <w:rPr>
          <w:sz w:val="24"/>
          <w:szCs w:val="28"/>
          <w:lang w:val="en-US"/>
        </w:rPr>
        <w:t>dividend</w:t>
      </w:r>
      <w:r w:rsidR="00A96413">
        <w:rPr>
          <w:sz w:val="24"/>
          <w:szCs w:val="28"/>
          <w:lang w:val="en-US"/>
        </w:rPr>
        <w:t xml:space="preserve"> payments</w:t>
      </w:r>
      <w:r w:rsidRPr="003349AC">
        <w:rPr>
          <w:sz w:val="24"/>
          <w:szCs w:val="28"/>
          <w:lang w:val="en-US"/>
        </w:rPr>
        <w:t xml:space="preserve">. The </w:t>
      </w:r>
      <w:r w:rsidR="00A96413">
        <w:rPr>
          <w:sz w:val="24"/>
          <w:szCs w:val="28"/>
          <w:lang w:val="en-US"/>
        </w:rPr>
        <w:t>paper revealed</w:t>
      </w:r>
      <w:r w:rsidRPr="003349AC">
        <w:rPr>
          <w:sz w:val="24"/>
          <w:szCs w:val="28"/>
          <w:lang w:val="en-US"/>
        </w:rPr>
        <w:t xml:space="preserve"> that, despite the different taxation in the United States and Germany, the reaction to the announcement</w:t>
      </w:r>
      <w:r w:rsidR="00A96413">
        <w:rPr>
          <w:sz w:val="24"/>
          <w:szCs w:val="28"/>
          <w:lang w:val="en-US"/>
        </w:rPr>
        <w:t>s</w:t>
      </w:r>
      <w:r w:rsidRPr="003349AC">
        <w:rPr>
          <w:sz w:val="24"/>
          <w:szCs w:val="28"/>
          <w:lang w:val="en-US"/>
        </w:rPr>
        <w:t xml:space="preserve"> o</w:t>
      </w:r>
      <w:r w:rsidR="00A96413">
        <w:rPr>
          <w:sz w:val="24"/>
          <w:szCs w:val="28"/>
          <w:lang w:val="en-US"/>
        </w:rPr>
        <w:t>n</w:t>
      </w:r>
      <w:r w:rsidRPr="003349AC">
        <w:rPr>
          <w:sz w:val="24"/>
          <w:szCs w:val="28"/>
          <w:lang w:val="en-US"/>
        </w:rPr>
        <w:t xml:space="preserve"> </w:t>
      </w:r>
      <w:r w:rsidR="00A96413" w:rsidRPr="003349AC">
        <w:rPr>
          <w:sz w:val="24"/>
          <w:szCs w:val="28"/>
          <w:lang w:val="en-US"/>
        </w:rPr>
        <w:t>dividend</w:t>
      </w:r>
      <w:r w:rsidR="00A96413">
        <w:rPr>
          <w:sz w:val="24"/>
          <w:szCs w:val="28"/>
          <w:lang w:val="en-US"/>
        </w:rPr>
        <w:t xml:space="preserve"> payments</w:t>
      </w:r>
      <w:r w:rsidRPr="003349AC">
        <w:rPr>
          <w:sz w:val="24"/>
          <w:szCs w:val="28"/>
          <w:lang w:val="en-US"/>
        </w:rPr>
        <w:t xml:space="preserve"> </w:t>
      </w:r>
      <w:r w:rsidR="00A96413">
        <w:rPr>
          <w:sz w:val="24"/>
          <w:szCs w:val="28"/>
          <w:lang w:val="en-US"/>
        </w:rPr>
        <w:t>at</w:t>
      </w:r>
      <w:r w:rsidRPr="003349AC">
        <w:rPr>
          <w:sz w:val="24"/>
          <w:szCs w:val="28"/>
          <w:lang w:val="en-US"/>
        </w:rPr>
        <w:t xml:space="preserve"> these markets is similar. </w:t>
      </w:r>
    </w:p>
    <w:p w:rsidR="003349AC" w:rsidRPr="003349AC" w:rsidRDefault="003349AC" w:rsidP="003349AC">
      <w:pPr>
        <w:spacing w:line="240" w:lineRule="auto"/>
        <w:rPr>
          <w:sz w:val="24"/>
          <w:szCs w:val="28"/>
          <w:lang w:val="en-US"/>
        </w:rPr>
      </w:pPr>
      <w:r w:rsidRPr="003349AC">
        <w:rPr>
          <w:sz w:val="24"/>
          <w:szCs w:val="28"/>
          <w:lang w:val="en-US"/>
        </w:rPr>
        <w:t xml:space="preserve">Interesting, and to some extent </w:t>
      </w:r>
      <w:r w:rsidR="00A96413">
        <w:rPr>
          <w:sz w:val="24"/>
          <w:szCs w:val="28"/>
          <w:lang w:val="en-US"/>
        </w:rPr>
        <w:t xml:space="preserve">controversial </w:t>
      </w:r>
      <w:r w:rsidRPr="003349AC">
        <w:rPr>
          <w:sz w:val="24"/>
          <w:szCs w:val="28"/>
          <w:lang w:val="en-US"/>
        </w:rPr>
        <w:t>to the classical signal</w:t>
      </w:r>
      <w:r w:rsidR="00A96413">
        <w:rPr>
          <w:sz w:val="24"/>
          <w:szCs w:val="28"/>
          <w:lang w:val="en-US"/>
        </w:rPr>
        <w:t>ing</w:t>
      </w:r>
      <w:r w:rsidRPr="003349AC">
        <w:rPr>
          <w:sz w:val="24"/>
          <w:szCs w:val="28"/>
          <w:lang w:val="en-US"/>
        </w:rPr>
        <w:t xml:space="preserve"> theory, results were obtained by </w:t>
      </w:r>
      <w:proofErr w:type="spellStart"/>
      <w:r w:rsidRPr="003349AC">
        <w:rPr>
          <w:sz w:val="24"/>
          <w:szCs w:val="28"/>
          <w:lang w:val="en-US"/>
        </w:rPr>
        <w:t>Karim</w:t>
      </w:r>
      <w:proofErr w:type="spellEnd"/>
      <w:r w:rsidRPr="003349AC">
        <w:rPr>
          <w:sz w:val="24"/>
          <w:szCs w:val="28"/>
          <w:lang w:val="en-US"/>
        </w:rPr>
        <w:t xml:space="preserve"> </w:t>
      </w:r>
      <w:r w:rsidR="00A96413">
        <w:rPr>
          <w:sz w:val="24"/>
          <w:szCs w:val="28"/>
          <w:lang w:val="en-US"/>
        </w:rPr>
        <w:t>(</w:t>
      </w:r>
      <w:r w:rsidRPr="003349AC">
        <w:rPr>
          <w:sz w:val="24"/>
          <w:szCs w:val="28"/>
          <w:lang w:val="en-US"/>
        </w:rPr>
        <w:t>2010</w:t>
      </w:r>
      <w:r w:rsidR="00A96413">
        <w:rPr>
          <w:sz w:val="24"/>
          <w:szCs w:val="28"/>
          <w:lang w:val="en-US"/>
        </w:rPr>
        <w:t>)</w:t>
      </w:r>
      <w:r w:rsidRPr="003349AC">
        <w:rPr>
          <w:sz w:val="24"/>
          <w:szCs w:val="28"/>
          <w:lang w:val="en-US"/>
        </w:rPr>
        <w:t xml:space="preserve">, who found that in the period from 2006 to 2008, the shares traded on the </w:t>
      </w:r>
      <w:r w:rsidR="00A96413">
        <w:rPr>
          <w:sz w:val="24"/>
          <w:szCs w:val="28"/>
          <w:lang w:val="en-US"/>
        </w:rPr>
        <w:t>NYSE</w:t>
      </w:r>
      <w:r w:rsidRPr="003349AC">
        <w:rPr>
          <w:sz w:val="24"/>
          <w:szCs w:val="28"/>
          <w:lang w:val="en-US"/>
        </w:rPr>
        <w:t>, showed no significant response to dividend payment</w:t>
      </w:r>
      <w:r w:rsidR="00A96413">
        <w:rPr>
          <w:sz w:val="24"/>
          <w:szCs w:val="28"/>
          <w:lang w:val="en-US"/>
        </w:rPr>
        <w:t>s</w:t>
      </w:r>
      <w:r w:rsidR="00A96413" w:rsidRPr="00A96413">
        <w:rPr>
          <w:sz w:val="24"/>
          <w:szCs w:val="28"/>
          <w:lang w:val="en-US"/>
        </w:rPr>
        <w:t xml:space="preserve"> </w:t>
      </w:r>
      <w:r w:rsidR="00A96413" w:rsidRPr="003349AC">
        <w:rPr>
          <w:sz w:val="24"/>
          <w:szCs w:val="28"/>
          <w:lang w:val="en-US"/>
        </w:rPr>
        <w:t>announcement</w:t>
      </w:r>
      <w:r w:rsidR="00A96413">
        <w:rPr>
          <w:sz w:val="24"/>
          <w:szCs w:val="28"/>
          <w:lang w:val="en-US"/>
        </w:rPr>
        <w:t>s</w:t>
      </w:r>
      <w:r w:rsidRPr="003349AC">
        <w:rPr>
          <w:sz w:val="24"/>
          <w:szCs w:val="28"/>
          <w:lang w:val="en-US"/>
        </w:rPr>
        <w:t xml:space="preserve">, no matter what information is contained in these reports (information on the increase, reduction or </w:t>
      </w:r>
      <w:r w:rsidR="00A96413">
        <w:rPr>
          <w:sz w:val="24"/>
          <w:szCs w:val="28"/>
          <w:lang w:val="en-US"/>
        </w:rPr>
        <w:t>unchanged</w:t>
      </w:r>
      <w:r w:rsidRPr="003349AC">
        <w:rPr>
          <w:sz w:val="24"/>
          <w:szCs w:val="28"/>
          <w:lang w:val="en-US"/>
        </w:rPr>
        <w:t xml:space="preserve"> dividends). </w:t>
      </w:r>
      <w:r w:rsidR="00A96413">
        <w:rPr>
          <w:sz w:val="24"/>
          <w:szCs w:val="28"/>
          <w:lang w:val="en-US"/>
        </w:rPr>
        <w:t xml:space="preserve">At </w:t>
      </w:r>
      <w:r w:rsidRPr="003349AC">
        <w:rPr>
          <w:sz w:val="24"/>
          <w:szCs w:val="28"/>
          <w:lang w:val="en-US"/>
        </w:rPr>
        <w:t xml:space="preserve">the London Stock Exchange </w:t>
      </w:r>
      <w:r w:rsidR="00A96413">
        <w:rPr>
          <w:sz w:val="24"/>
          <w:szCs w:val="28"/>
          <w:lang w:val="en-US"/>
        </w:rPr>
        <w:t xml:space="preserve">companies demonstrated </w:t>
      </w:r>
      <w:r w:rsidRPr="003349AC">
        <w:rPr>
          <w:sz w:val="24"/>
          <w:szCs w:val="28"/>
          <w:lang w:val="en-US"/>
        </w:rPr>
        <w:t xml:space="preserve">a positive </w:t>
      </w:r>
      <w:r w:rsidR="00A96413">
        <w:rPr>
          <w:sz w:val="24"/>
          <w:szCs w:val="28"/>
          <w:lang w:val="en-US"/>
        </w:rPr>
        <w:t>abnormal</w:t>
      </w:r>
      <w:r w:rsidRPr="003349AC">
        <w:rPr>
          <w:sz w:val="24"/>
          <w:szCs w:val="28"/>
          <w:lang w:val="en-US"/>
        </w:rPr>
        <w:t xml:space="preserve"> return in response to </w:t>
      </w:r>
      <w:r w:rsidR="00A96413" w:rsidRPr="003349AC">
        <w:rPr>
          <w:sz w:val="24"/>
          <w:szCs w:val="28"/>
          <w:lang w:val="en-US"/>
        </w:rPr>
        <w:t>announcement</w:t>
      </w:r>
      <w:r w:rsidR="00A96413">
        <w:rPr>
          <w:sz w:val="24"/>
          <w:szCs w:val="28"/>
          <w:lang w:val="en-US"/>
        </w:rPr>
        <w:t xml:space="preserve">s about </w:t>
      </w:r>
      <w:r w:rsidRPr="003349AC">
        <w:rPr>
          <w:sz w:val="24"/>
          <w:szCs w:val="28"/>
          <w:lang w:val="en-US"/>
        </w:rPr>
        <w:t xml:space="preserve">the reduction of dividends, negative - as a reaction to an increase in the amount of dividends, and showed no change in </w:t>
      </w:r>
      <w:r w:rsidR="00A96413">
        <w:rPr>
          <w:sz w:val="24"/>
          <w:szCs w:val="28"/>
          <w:lang w:val="en-US"/>
        </w:rPr>
        <w:t>returns</w:t>
      </w:r>
      <w:r w:rsidRPr="003349AC">
        <w:rPr>
          <w:sz w:val="24"/>
          <w:szCs w:val="28"/>
          <w:lang w:val="en-US"/>
        </w:rPr>
        <w:t xml:space="preserve"> in response to information about the immutability of dividends. Perhaps these results are attributed to the period of the study that preceded the financial crisis. </w:t>
      </w:r>
    </w:p>
    <w:p w:rsidR="003349AC" w:rsidRPr="003349AC" w:rsidRDefault="00A96413" w:rsidP="003349AC">
      <w:pPr>
        <w:spacing w:line="240" w:lineRule="auto"/>
        <w:rPr>
          <w:sz w:val="24"/>
          <w:szCs w:val="28"/>
          <w:lang w:val="en-US"/>
        </w:rPr>
      </w:pPr>
      <w:r>
        <w:rPr>
          <w:sz w:val="24"/>
          <w:szCs w:val="28"/>
          <w:lang w:val="en-US"/>
        </w:rPr>
        <w:t xml:space="preserve">As to emerging markets, </w:t>
      </w:r>
      <w:r w:rsidR="003349AC" w:rsidRPr="003349AC">
        <w:rPr>
          <w:sz w:val="24"/>
          <w:szCs w:val="28"/>
          <w:lang w:val="en-US"/>
        </w:rPr>
        <w:t xml:space="preserve">the </w:t>
      </w:r>
      <w:r>
        <w:rPr>
          <w:sz w:val="24"/>
          <w:szCs w:val="28"/>
          <w:lang w:val="en-US"/>
        </w:rPr>
        <w:t xml:space="preserve">impact </w:t>
      </w:r>
      <w:r w:rsidR="003349AC" w:rsidRPr="003349AC">
        <w:rPr>
          <w:sz w:val="24"/>
          <w:szCs w:val="28"/>
          <w:lang w:val="en-US"/>
        </w:rPr>
        <w:t>of dividend</w:t>
      </w:r>
      <w:r w:rsidRPr="003349AC">
        <w:rPr>
          <w:sz w:val="24"/>
          <w:szCs w:val="28"/>
          <w:lang w:val="en-US"/>
        </w:rPr>
        <w:t xml:space="preserve"> payment</w:t>
      </w:r>
      <w:r>
        <w:rPr>
          <w:sz w:val="24"/>
          <w:szCs w:val="28"/>
          <w:lang w:val="en-US"/>
        </w:rPr>
        <w:t>s</w:t>
      </w:r>
      <w:r w:rsidRPr="00A96413">
        <w:rPr>
          <w:sz w:val="24"/>
          <w:szCs w:val="28"/>
          <w:lang w:val="en-US"/>
        </w:rPr>
        <w:t xml:space="preserve"> </w:t>
      </w:r>
      <w:r w:rsidRPr="003349AC">
        <w:rPr>
          <w:sz w:val="24"/>
          <w:szCs w:val="28"/>
          <w:lang w:val="en-US"/>
        </w:rPr>
        <w:t>announcement</w:t>
      </w:r>
      <w:r>
        <w:rPr>
          <w:sz w:val="24"/>
          <w:szCs w:val="28"/>
          <w:lang w:val="en-US"/>
        </w:rPr>
        <w:t>s</w:t>
      </w:r>
      <w:r w:rsidR="003349AC" w:rsidRPr="003349AC">
        <w:rPr>
          <w:sz w:val="24"/>
          <w:szCs w:val="28"/>
          <w:lang w:val="en-US"/>
        </w:rPr>
        <w:t xml:space="preserve"> </w:t>
      </w:r>
      <w:r>
        <w:rPr>
          <w:sz w:val="24"/>
          <w:szCs w:val="28"/>
          <w:lang w:val="en-US"/>
        </w:rPr>
        <w:t xml:space="preserve">at the </w:t>
      </w:r>
      <w:r w:rsidR="003349AC" w:rsidRPr="003349AC">
        <w:rPr>
          <w:sz w:val="24"/>
          <w:szCs w:val="28"/>
          <w:lang w:val="en-US"/>
        </w:rPr>
        <w:t>shares</w:t>
      </w:r>
      <w:r>
        <w:rPr>
          <w:sz w:val="24"/>
          <w:szCs w:val="28"/>
          <w:lang w:val="en-US"/>
        </w:rPr>
        <w:t xml:space="preserve"> prices is</w:t>
      </w:r>
      <w:r w:rsidR="008F69B1">
        <w:rPr>
          <w:sz w:val="24"/>
          <w:szCs w:val="28"/>
          <w:lang w:val="en-US"/>
        </w:rPr>
        <w:t xml:space="preserve"> less examined</w:t>
      </w:r>
      <w:r w:rsidR="003349AC" w:rsidRPr="003349AC">
        <w:rPr>
          <w:sz w:val="24"/>
          <w:szCs w:val="28"/>
          <w:lang w:val="en-US"/>
        </w:rPr>
        <w:t xml:space="preserve">. </w:t>
      </w:r>
      <w:proofErr w:type="spellStart"/>
      <w:r w:rsidR="003349AC" w:rsidRPr="003349AC">
        <w:rPr>
          <w:sz w:val="24"/>
          <w:szCs w:val="28"/>
          <w:lang w:val="en-US"/>
        </w:rPr>
        <w:t>Aivazian</w:t>
      </w:r>
      <w:proofErr w:type="spellEnd"/>
      <w:r w:rsidR="008F69B1">
        <w:rPr>
          <w:sz w:val="24"/>
          <w:szCs w:val="28"/>
          <w:lang w:val="en-US"/>
        </w:rPr>
        <w:t xml:space="preserve"> and</w:t>
      </w:r>
      <w:r w:rsidR="003349AC" w:rsidRPr="003349AC">
        <w:rPr>
          <w:sz w:val="24"/>
          <w:szCs w:val="28"/>
          <w:lang w:val="en-US"/>
        </w:rPr>
        <w:t xml:space="preserve"> Booth</w:t>
      </w:r>
      <w:r w:rsidR="008F69B1">
        <w:rPr>
          <w:sz w:val="24"/>
          <w:szCs w:val="28"/>
          <w:lang w:val="en-US"/>
        </w:rPr>
        <w:t xml:space="preserve"> (</w:t>
      </w:r>
      <w:r w:rsidR="003349AC" w:rsidRPr="003349AC">
        <w:rPr>
          <w:sz w:val="24"/>
          <w:szCs w:val="28"/>
          <w:lang w:val="en-US"/>
        </w:rPr>
        <w:t>2003</w:t>
      </w:r>
      <w:r w:rsidR="008F69B1">
        <w:rPr>
          <w:sz w:val="24"/>
          <w:szCs w:val="28"/>
          <w:lang w:val="en-US"/>
        </w:rPr>
        <w:t>)</w:t>
      </w:r>
      <w:r w:rsidR="003349AC" w:rsidRPr="003349AC">
        <w:rPr>
          <w:sz w:val="24"/>
          <w:szCs w:val="28"/>
          <w:lang w:val="en-US"/>
        </w:rPr>
        <w:t xml:space="preserve"> compared the dividend polic</w:t>
      </w:r>
      <w:r w:rsidR="008F69B1">
        <w:rPr>
          <w:sz w:val="24"/>
          <w:szCs w:val="28"/>
          <w:lang w:val="en-US"/>
        </w:rPr>
        <w:t>ies</w:t>
      </w:r>
      <w:r w:rsidR="003349AC" w:rsidRPr="003349AC">
        <w:rPr>
          <w:sz w:val="24"/>
          <w:szCs w:val="28"/>
          <w:lang w:val="en-US"/>
        </w:rPr>
        <w:t xml:space="preserve"> in the United States and </w:t>
      </w:r>
      <w:r w:rsidR="008F69B1">
        <w:rPr>
          <w:sz w:val="24"/>
          <w:szCs w:val="28"/>
          <w:lang w:val="en-US"/>
        </w:rPr>
        <w:t xml:space="preserve">8 </w:t>
      </w:r>
      <w:r w:rsidR="003349AC" w:rsidRPr="003349AC">
        <w:rPr>
          <w:sz w:val="24"/>
          <w:szCs w:val="28"/>
          <w:lang w:val="en-US"/>
        </w:rPr>
        <w:t>emerging markets (Jordan, Pakistan</w:t>
      </w:r>
      <w:r w:rsidR="008F69B1">
        <w:rPr>
          <w:sz w:val="24"/>
          <w:szCs w:val="28"/>
          <w:lang w:val="en-US"/>
        </w:rPr>
        <w:t>,</w:t>
      </w:r>
      <w:r w:rsidR="003349AC" w:rsidRPr="003349AC">
        <w:rPr>
          <w:sz w:val="24"/>
          <w:szCs w:val="28"/>
          <w:lang w:val="en-US"/>
        </w:rPr>
        <w:t xml:space="preserve"> Zimbabwe, India, Korea, Malaysia, Turkey and Thailand), and found that </w:t>
      </w:r>
      <w:r w:rsidR="008F69B1">
        <w:rPr>
          <w:sz w:val="24"/>
          <w:szCs w:val="28"/>
          <w:lang w:val="en-US"/>
        </w:rPr>
        <w:t xml:space="preserve">factors influencing </w:t>
      </w:r>
      <w:r w:rsidR="003349AC" w:rsidRPr="003349AC">
        <w:rPr>
          <w:sz w:val="24"/>
          <w:szCs w:val="28"/>
          <w:lang w:val="en-US"/>
        </w:rPr>
        <w:t>dividend polic</w:t>
      </w:r>
      <w:r w:rsidR="008F69B1">
        <w:rPr>
          <w:sz w:val="24"/>
          <w:szCs w:val="28"/>
          <w:lang w:val="en-US"/>
        </w:rPr>
        <w:t xml:space="preserve">ies at the emerging markets and in the USA, are </w:t>
      </w:r>
      <w:r w:rsidR="003349AC" w:rsidRPr="003349AC">
        <w:rPr>
          <w:sz w:val="24"/>
          <w:szCs w:val="28"/>
          <w:lang w:val="en-US"/>
        </w:rPr>
        <w:t xml:space="preserve">the same. First of all, </w:t>
      </w:r>
      <w:r w:rsidR="008F69B1">
        <w:rPr>
          <w:sz w:val="24"/>
          <w:szCs w:val="28"/>
          <w:lang w:val="en-US"/>
        </w:rPr>
        <w:t>dividend policy is shaped by</w:t>
      </w:r>
      <w:r w:rsidR="003349AC" w:rsidRPr="003349AC">
        <w:rPr>
          <w:sz w:val="24"/>
          <w:szCs w:val="28"/>
          <w:lang w:val="en-US"/>
        </w:rPr>
        <w:t xml:space="preserve"> the </w:t>
      </w:r>
      <w:r w:rsidR="008F69B1">
        <w:rPr>
          <w:sz w:val="24"/>
          <w:szCs w:val="28"/>
          <w:lang w:val="en-US"/>
        </w:rPr>
        <w:t>company’s</w:t>
      </w:r>
      <w:r w:rsidR="003349AC" w:rsidRPr="003349AC">
        <w:rPr>
          <w:sz w:val="24"/>
          <w:szCs w:val="28"/>
          <w:lang w:val="en-US"/>
        </w:rPr>
        <w:t xml:space="preserve"> profitability, its </w:t>
      </w:r>
      <w:r w:rsidR="008F69B1">
        <w:rPr>
          <w:sz w:val="24"/>
          <w:szCs w:val="28"/>
          <w:lang w:val="en-US"/>
        </w:rPr>
        <w:t xml:space="preserve">financial </w:t>
      </w:r>
      <w:r w:rsidR="003349AC" w:rsidRPr="003349AC">
        <w:rPr>
          <w:sz w:val="24"/>
          <w:szCs w:val="28"/>
          <w:lang w:val="en-US"/>
        </w:rPr>
        <w:t>leve</w:t>
      </w:r>
      <w:r w:rsidR="008F69B1">
        <w:rPr>
          <w:sz w:val="24"/>
          <w:szCs w:val="28"/>
          <w:lang w:val="en-US"/>
        </w:rPr>
        <w:t>rage</w:t>
      </w:r>
      <w:r w:rsidR="003349AC" w:rsidRPr="003349AC">
        <w:rPr>
          <w:sz w:val="24"/>
          <w:szCs w:val="28"/>
          <w:lang w:val="en-US"/>
        </w:rPr>
        <w:t xml:space="preserve"> and market-to-book ratio. However, the degree of influence of these variables </w:t>
      </w:r>
      <w:r w:rsidR="008F69B1">
        <w:rPr>
          <w:sz w:val="24"/>
          <w:szCs w:val="28"/>
          <w:lang w:val="en-US"/>
        </w:rPr>
        <w:t>is</w:t>
      </w:r>
      <w:r w:rsidR="003349AC" w:rsidRPr="003349AC">
        <w:rPr>
          <w:sz w:val="24"/>
          <w:szCs w:val="28"/>
          <w:lang w:val="en-US"/>
        </w:rPr>
        <w:t xml:space="preserve"> different. </w:t>
      </w:r>
    </w:p>
    <w:p w:rsidR="003349AC" w:rsidRPr="003349AC" w:rsidRDefault="008F69B1" w:rsidP="003349AC">
      <w:pPr>
        <w:spacing w:line="240" w:lineRule="auto"/>
        <w:rPr>
          <w:sz w:val="24"/>
          <w:szCs w:val="28"/>
          <w:lang w:val="en-US"/>
        </w:rPr>
      </w:pPr>
      <w:proofErr w:type="spellStart"/>
      <w:r w:rsidRPr="003349AC">
        <w:rPr>
          <w:sz w:val="24"/>
          <w:szCs w:val="28"/>
          <w:lang w:val="en-US"/>
        </w:rPr>
        <w:t>Altiok-Yilmaz</w:t>
      </w:r>
      <w:proofErr w:type="spellEnd"/>
      <w:r w:rsidRPr="003349AC">
        <w:rPr>
          <w:sz w:val="24"/>
          <w:szCs w:val="28"/>
          <w:lang w:val="en-US"/>
        </w:rPr>
        <w:t xml:space="preserve">, </w:t>
      </w:r>
      <w:proofErr w:type="spellStart"/>
      <w:r w:rsidRPr="003349AC">
        <w:rPr>
          <w:sz w:val="24"/>
          <w:szCs w:val="28"/>
          <w:lang w:val="en-US"/>
        </w:rPr>
        <w:t>Akben-Selcuk</w:t>
      </w:r>
      <w:proofErr w:type="spellEnd"/>
      <w:r>
        <w:rPr>
          <w:sz w:val="24"/>
          <w:szCs w:val="28"/>
          <w:lang w:val="en-US"/>
        </w:rPr>
        <w:t xml:space="preserve"> (</w:t>
      </w:r>
      <w:r w:rsidR="003349AC" w:rsidRPr="003349AC">
        <w:rPr>
          <w:sz w:val="24"/>
          <w:szCs w:val="28"/>
          <w:lang w:val="en-US"/>
        </w:rPr>
        <w:t>2010</w:t>
      </w:r>
      <w:r>
        <w:rPr>
          <w:sz w:val="24"/>
          <w:szCs w:val="28"/>
          <w:lang w:val="en-US"/>
        </w:rPr>
        <w:t xml:space="preserve">) proved the </w:t>
      </w:r>
      <w:r w:rsidR="003349AC" w:rsidRPr="003349AC">
        <w:rPr>
          <w:sz w:val="24"/>
          <w:szCs w:val="28"/>
          <w:lang w:val="en-US"/>
        </w:rPr>
        <w:t xml:space="preserve">confirmation of the </w:t>
      </w:r>
      <w:r w:rsidRPr="003349AC">
        <w:rPr>
          <w:sz w:val="24"/>
          <w:szCs w:val="28"/>
          <w:lang w:val="en-US"/>
        </w:rPr>
        <w:t>signal</w:t>
      </w:r>
      <w:r>
        <w:rPr>
          <w:sz w:val="24"/>
          <w:szCs w:val="28"/>
          <w:lang w:val="en-US"/>
        </w:rPr>
        <w:t>ing</w:t>
      </w:r>
      <w:r w:rsidRPr="003349AC">
        <w:rPr>
          <w:sz w:val="24"/>
          <w:szCs w:val="28"/>
          <w:lang w:val="en-US"/>
        </w:rPr>
        <w:t xml:space="preserve"> </w:t>
      </w:r>
      <w:r w:rsidR="003349AC" w:rsidRPr="003349AC">
        <w:rPr>
          <w:sz w:val="24"/>
          <w:szCs w:val="28"/>
          <w:lang w:val="en-US"/>
        </w:rPr>
        <w:t xml:space="preserve">theory </w:t>
      </w:r>
      <w:r>
        <w:rPr>
          <w:sz w:val="24"/>
          <w:szCs w:val="28"/>
          <w:lang w:val="en-US"/>
        </w:rPr>
        <w:t xml:space="preserve">for </w:t>
      </w:r>
      <w:r w:rsidR="003349AC" w:rsidRPr="003349AC">
        <w:rPr>
          <w:sz w:val="24"/>
          <w:szCs w:val="28"/>
          <w:lang w:val="en-US"/>
        </w:rPr>
        <w:t xml:space="preserve">the Turkish market. </w:t>
      </w:r>
      <w:proofErr w:type="spellStart"/>
      <w:r w:rsidR="003349AC" w:rsidRPr="003349AC">
        <w:rPr>
          <w:sz w:val="24"/>
          <w:szCs w:val="28"/>
          <w:lang w:val="en-US"/>
        </w:rPr>
        <w:t>Berezinets</w:t>
      </w:r>
      <w:proofErr w:type="spellEnd"/>
      <w:r w:rsidR="003349AC" w:rsidRPr="003349AC">
        <w:rPr>
          <w:sz w:val="24"/>
          <w:szCs w:val="28"/>
          <w:lang w:val="en-US"/>
        </w:rPr>
        <w:t xml:space="preserve">, </w:t>
      </w:r>
      <w:proofErr w:type="spellStart"/>
      <w:r w:rsidR="003349AC" w:rsidRPr="003349AC">
        <w:rPr>
          <w:sz w:val="24"/>
          <w:szCs w:val="28"/>
          <w:lang w:val="en-US"/>
        </w:rPr>
        <w:t>Bulatova</w:t>
      </w:r>
      <w:proofErr w:type="spellEnd"/>
      <w:r w:rsidR="003349AC" w:rsidRPr="003349AC">
        <w:rPr>
          <w:sz w:val="24"/>
          <w:szCs w:val="28"/>
          <w:lang w:val="en-US"/>
        </w:rPr>
        <w:t xml:space="preserve"> and </w:t>
      </w:r>
      <w:proofErr w:type="spellStart"/>
      <w:r w:rsidR="003349AC" w:rsidRPr="003349AC">
        <w:rPr>
          <w:sz w:val="24"/>
          <w:szCs w:val="28"/>
          <w:lang w:val="en-US"/>
        </w:rPr>
        <w:t>Il</w:t>
      </w:r>
      <w:r>
        <w:rPr>
          <w:sz w:val="24"/>
          <w:szCs w:val="28"/>
          <w:lang w:val="en-US"/>
        </w:rPr>
        <w:t>y</w:t>
      </w:r>
      <w:r w:rsidR="003349AC" w:rsidRPr="003349AC">
        <w:rPr>
          <w:sz w:val="24"/>
          <w:szCs w:val="28"/>
          <w:lang w:val="en-US"/>
        </w:rPr>
        <w:t>ina</w:t>
      </w:r>
      <w:proofErr w:type="spellEnd"/>
      <w:r w:rsidR="003349AC" w:rsidRPr="003349AC">
        <w:rPr>
          <w:sz w:val="24"/>
          <w:szCs w:val="28"/>
          <w:lang w:val="en-US"/>
        </w:rPr>
        <w:t xml:space="preserve"> (2013) confirmed the similarity of the reactions to the announcement </w:t>
      </w:r>
      <w:r>
        <w:rPr>
          <w:sz w:val="24"/>
          <w:szCs w:val="28"/>
          <w:lang w:val="en-US"/>
        </w:rPr>
        <w:t xml:space="preserve">of </w:t>
      </w:r>
      <w:r w:rsidR="003349AC" w:rsidRPr="003349AC">
        <w:rPr>
          <w:sz w:val="24"/>
          <w:szCs w:val="28"/>
          <w:lang w:val="en-US"/>
        </w:rPr>
        <w:t xml:space="preserve">dividend payments </w:t>
      </w:r>
      <w:r>
        <w:rPr>
          <w:sz w:val="24"/>
          <w:szCs w:val="28"/>
          <w:lang w:val="en-US"/>
        </w:rPr>
        <w:t xml:space="preserve">for the </w:t>
      </w:r>
      <w:r w:rsidR="003349AC" w:rsidRPr="003349AC">
        <w:rPr>
          <w:sz w:val="24"/>
          <w:szCs w:val="28"/>
          <w:lang w:val="en-US"/>
        </w:rPr>
        <w:t xml:space="preserve">emerging market (India) and developed </w:t>
      </w:r>
      <w:r>
        <w:rPr>
          <w:sz w:val="24"/>
          <w:szCs w:val="28"/>
          <w:lang w:val="en-US"/>
        </w:rPr>
        <w:t>market</w:t>
      </w:r>
      <w:r w:rsidR="003349AC" w:rsidRPr="003349AC">
        <w:rPr>
          <w:sz w:val="24"/>
          <w:szCs w:val="28"/>
          <w:lang w:val="en-US"/>
        </w:rPr>
        <w:t>s. The authors found that the Indian market, on average, reacts positively to the announcement</w:t>
      </w:r>
      <w:r>
        <w:rPr>
          <w:sz w:val="24"/>
          <w:szCs w:val="28"/>
          <w:lang w:val="en-US"/>
        </w:rPr>
        <w:t>s</w:t>
      </w:r>
      <w:r w:rsidR="003349AC" w:rsidRPr="003349AC">
        <w:rPr>
          <w:sz w:val="24"/>
          <w:szCs w:val="28"/>
          <w:lang w:val="en-US"/>
        </w:rPr>
        <w:t xml:space="preserve"> of the increase</w:t>
      </w:r>
      <w:r>
        <w:rPr>
          <w:sz w:val="24"/>
          <w:szCs w:val="28"/>
          <w:lang w:val="en-US"/>
        </w:rPr>
        <w:t xml:space="preserve"> in</w:t>
      </w:r>
      <w:r w:rsidR="003349AC" w:rsidRPr="003349AC">
        <w:rPr>
          <w:sz w:val="24"/>
          <w:szCs w:val="28"/>
          <w:lang w:val="en-US"/>
        </w:rPr>
        <w:t xml:space="preserve"> dividend</w:t>
      </w:r>
      <w:r>
        <w:rPr>
          <w:sz w:val="24"/>
          <w:szCs w:val="28"/>
          <w:lang w:val="en-US"/>
        </w:rPr>
        <w:t>s</w:t>
      </w:r>
      <w:r w:rsidR="003349AC" w:rsidRPr="003349AC">
        <w:rPr>
          <w:sz w:val="24"/>
          <w:szCs w:val="28"/>
          <w:lang w:val="en-US"/>
        </w:rPr>
        <w:t>, reacts negatively to the announcement</w:t>
      </w:r>
      <w:r>
        <w:rPr>
          <w:sz w:val="24"/>
          <w:szCs w:val="28"/>
          <w:lang w:val="en-US"/>
        </w:rPr>
        <w:t>s</w:t>
      </w:r>
      <w:r w:rsidR="003349AC" w:rsidRPr="003349AC">
        <w:rPr>
          <w:sz w:val="24"/>
          <w:szCs w:val="28"/>
          <w:lang w:val="en-US"/>
        </w:rPr>
        <w:t xml:space="preserve"> of the </w:t>
      </w:r>
      <w:r>
        <w:rPr>
          <w:sz w:val="24"/>
          <w:szCs w:val="28"/>
          <w:lang w:val="en-US"/>
        </w:rPr>
        <w:t xml:space="preserve">reductions in </w:t>
      </w:r>
      <w:r w:rsidR="003349AC" w:rsidRPr="003349AC">
        <w:rPr>
          <w:sz w:val="24"/>
          <w:szCs w:val="28"/>
          <w:lang w:val="en-US"/>
        </w:rPr>
        <w:t>dividend</w:t>
      </w:r>
      <w:r>
        <w:rPr>
          <w:sz w:val="24"/>
          <w:szCs w:val="28"/>
          <w:lang w:val="en-US"/>
        </w:rPr>
        <w:t xml:space="preserve"> payments</w:t>
      </w:r>
      <w:r w:rsidR="003349AC" w:rsidRPr="003349AC">
        <w:rPr>
          <w:sz w:val="24"/>
          <w:szCs w:val="28"/>
          <w:lang w:val="en-US"/>
        </w:rPr>
        <w:t xml:space="preserve"> and does not respond to </w:t>
      </w:r>
      <w:r>
        <w:rPr>
          <w:sz w:val="24"/>
          <w:szCs w:val="28"/>
          <w:lang w:val="en-US"/>
        </w:rPr>
        <w:t>announcements about</w:t>
      </w:r>
      <w:r w:rsidR="003349AC" w:rsidRPr="003349AC">
        <w:rPr>
          <w:sz w:val="24"/>
          <w:szCs w:val="28"/>
          <w:lang w:val="en-US"/>
        </w:rPr>
        <w:t xml:space="preserve"> a constant value of the dividend. </w:t>
      </w:r>
    </w:p>
    <w:p w:rsidR="003349AC" w:rsidRDefault="003349AC" w:rsidP="003349AC">
      <w:pPr>
        <w:spacing w:line="240" w:lineRule="auto"/>
        <w:rPr>
          <w:sz w:val="24"/>
          <w:szCs w:val="28"/>
          <w:lang w:val="en-US"/>
        </w:rPr>
      </w:pPr>
      <w:r w:rsidRPr="003349AC">
        <w:rPr>
          <w:sz w:val="24"/>
          <w:szCs w:val="28"/>
          <w:lang w:val="en-US"/>
        </w:rPr>
        <w:t xml:space="preserve">Research of the Russian market </w:t>
      </w:r>
      <w:r w:rsidR="008F69B1">
        <w:rPr>
          <w:sz w:val="24"/>
          <w:szCs w:val="28"/>
          <w:lang w:val="en-US"/>
        </w:rPr>
        <w:t xml:space="preserve">is presented by </w:t>
      </w:r>
      <w:proofErr w:type="spellStart"/>
      <w:r w:rsidRPr="003349AC">
        <w:rPr>
          <w:sz w:val="24"/>
          <w:szCs w:val="28"/>
          <w:lang w:val="en-US"/>
        </w:rPr>
        <w:t>T</w:t>
      </w:r>
      <w:r w:rsidR="008F69B1">
        <w:rPr>
          <w:sz w:val="24"/>
          <w:szCs w:val="28"/>
          <w:lang w:val="en-US"/>
        </w:rPr>
        <w:t>eplova</w:t>
      </w:r>
      <w:proofErr w:type="spellEnd"/>
      <w:r w:rsidRPr="003349AC">
        <w:rPr>
          <w:sz w:val="24"/>
          <w:szCs w:val="28"/>
          <w:lang w:val="en-US"/>
        </w:rPr>
        <w:t xml:space="preserve"> (2008), </w:t>
      </w:r>
      <w:r w:rsidR="008F69B1">
        <w:rPr>
          <w:sz w:val="24"/>
          <w:szCs w:val="28"/>
          <w:lang w:val="en-US"/>
        </w:rPr>
        <w:t>who had</w:t>
      </w:r>
      <w:r w:rsidRPr="003349AC">
        <w:rPr>
          <w:sz w:val="24"/>
          <w:szCs w:val="28"/>
          <w:lang w:val="en-US"/>
        </w:rPr>
        <w:t xml:space="preserve"> obtained the opposite results </w:t>
      </w:r>
      <w:r w:rsidR="008F69B1">
        <w:rPr>
          <w:sz w:val="24"/>
          <w:szCs w:val="28"/>
          <w:lang w:val="en-US"/>
        </w:rPr>
        <w:t xml:space="preserve">to the majority of </w:t>
      </w:r>
      <w:r w:rsidRPr="003349AC">
        <w:rPr>
          <w:sz w:val="24"/>
          <w:szCs w:val="28"/>
          <w:lang w:val="en-US"/>
        </w:rPr>
        <w:t xml:space="preserve">other studies. The market reacted negatively to the news </w:t>
      </w:r>
      <w:r w:rsidR="008F69B1">
        <w:rPr>
          <w:sz w:val="24"/>
          <w:szCs w:val="28"/>
          <w:lang w:val="en-US"/>
        </w:rPr>
        <w:t xml:space="preserve">about </w:t>
      </w:r>
      <w:r w:rsidR="008F69B1" w:rsidRPr="003349AC">
        <w:rPr>
          <w:sz w:val="24"/>
          <w:szCs w:val="28"/>
          <w:lang w:val="en-US"/>
        </w:rPr>
        <w:t>dividends</w:t>
      </w:r>
      <w:r w:rsidR="008F69B1">
        <w:rPr>
          <w:sz w:val="24"/>
          <w:szCs w:val="28"/>
          <w:lang w:val="en-US"/>
        </w:rPr>
        <w:t xml:space="preserve"> </w:t>
      </w:r>
      <w:r w:rsidRPr="003349AC">
        <w:rPr>
          <w:sz w:val="24"/>
          <w:szCs w:val="28"/>
          <w:lang w:val="en-US"/>
        </w:rPr>
        <w:t>increas</w:t>
      </w:r>
      <w:r w:rsidR="008F69B1">
        <w:rPr>
          <w:sz w:val="24"/>
          <w:szCs w:val="28"/>
          <w:lang w:val="en-US"/>
        </w:rPr>
        <w:t>e</w:t>
      </w:r>
      <w:r w:rsidRPr="003349AC">
        <w:rPr>
          <w:sz w:val="24"/>
          <w:szCs w:val="28"/>
          <w:lang w:val="en-US"/>
        </w:rPr>
        <w:t xml:space="preserve">. </w:t>
      </w:r>
      <w:r w:rsidR="008F69B1">
        <w:rPr>
          <w:sz w:val="24"/>
          <w:szCs w:val="28"/>
          <w:lang w:val="en-US"/>
        </w:rPr>
        <w:t xml:space="preserve">The explanation was provided, that </w:t>
      </w:r>
      <w:r w:rsidR="008F69B1" w:rsidRPr="003349AC">
        <w:rPr>
          <w:sz w:val="24"/>
          <w:szCs w:val="28"/>
          <w:lang w:val="en-US"/>
        </w:rPr>
        <w:t xml:space="preserve">only large Russian companies </w:t>
      </w:r>
      <w:r w:rsidR="008F69B1">
        <w:rPr>
          <w:sz w:val="24"/>
          <w:szCs w:val="28"/>
          <w:lang w:val="en-US"/>
        </w:rPr>
        <w:t>had been included</w:t>
      </w:r>
      <w:r w:rsidRPr="003349AC">
        <w:rPr>
          <w:sz w:val="24"/>
          <w:szCs w:val="28"/>
          <w:lang w:val="en-US"/>
        </w:rPr>
        <w:t xml:space="preserve"> in </w:t>
      </w:r>
      <w:r w:rsidR="008F69B1">
        <w:rPr>
          <w:sz w:val="24"/>
          <w:szCs w:val="28"/>
          <w:lang w:val="en-US"/>
        </w:rPr>
        <w:t>the</w:t>
      </w:r>
      <w:r w:rsidRPr="003349AC">
        <w:rPr>
          <w:sz w:val="24"/>
          <w:szCs w:val="28"/>
          <w:lang w:val="en-US"/>
        </w:rPr>
        <w:t xml:space="preserve"> sample, and the results </w:t>
      </w:r>
      <w:r w:rsidR="008F69B1">
        <w:rPr>
          <w:sz w:val="24"/>
          <w:szCs w:val="28"/>
          <w:lang w:val="en-US"/>
        </w:rPr>
        <w:t xml:space="preserve">were </w:t>
      </w:r>
      <w:r w:rsidRPr="003349AC">
        <w:rPr>
          <w:sz w:val="24"/>
          <w:szCs w:val="28"/>
          <w:lang w:val="en-US"/>
        </w:rPr>
        <w:t>correlated with the signal</w:t>
      </w:r>
      <w:r w:rsidR="00D6315C">
        <w:rPr>
          <w:sz w:val="24"/>
          <w:szCs w:val="28"/>
          <w:lang w:val="en-US"/>
        </w:rPr>
        <w:t>ing theory</w:t>
      </w:r>
      <w:r w:rsidRPr="003349AC">
        <w:rPr>
          <w:sz w:val="24"/>
          <w:szCs w:val="28"/>
          <w:lang w:val="en-US"/>
        </w:rPr>
        <w:t>.</w:t>
      </w:r>
    </w:p>
    <w:p w:rsidR="00D6315C" w:rsidRDefault="00D6315C" w:rsidP="003349AC">
      <w:pPr>
        <w:spacing w:line="240" w:lineRule="auto"/>
        <w:rPr>
          <w:sz w:val="24"/>
          <w:szCs w:val="28"/>
          <w:lang w:val="en-US"/>
        </w:rPr>
      </w:pPr>
    </w:p>
    <w:p w:rsidR="00D6315C" w:rsidRDefault="00D6315C" w:rsidP="003349AC">
      <w:pPr>
        <w:spacing w:line="240" w:lineRule="auto"/>
        <w:rPr>
          <w:sz w:val="24"/>
          <w:szCs w:val="28"/>
          <w:lang w:val="en-US"/>
        </w:rPr>
      </w:pPr>
    </w:p>
    <w:p w:rsidR="00D6315C" w:rsidRPr="00D6315C" w:rsidRDefault="00D6315C" w:rsidP="00D6315C">
      <w:pPr>
        <w:spacing w:line="240" w:lineRule="auto"/>
        <w:ind w:firstLine="0"/>
        <w:rPr>
          <w:b/>
          <w:sz w:val="24"/>
        </w:rPr>
      </w:pPr>
      <w:r>
        <w:rPr>
          <w:b/>
          <w:sz w:val="24"/>
          <w:lang w:val="en-US"/>
        </w:rPr>
        <w:t>Methodology</w:t>
      </w:r>
      <w:r w:rsidRPr="00D6315C">
        <w:rPr>
          <w:b/>
          <w:sz w:val="24"/>
        </w:rPr>
        <w:t xml:space="preserve"> </w:t>
      </w:r>
      <w:r>
        <w:rPr>
          <w:b/>
          <w:sz w:val="24"/>
          <w:lang w:val="en-US"/>
        </w:rPr>
        <w:t>and</w:t>
      </w:r>
      <w:r w:rsidRPr="00D6315C">
        <w:rPr>
          <w:b/>
          <w:sz w:val="24"/>
        </w:rPr>
        <w:t xml:space="preserve"> </w:t>
      </w:r>
      <w:r>
        <w:rPr>
          <w:b/>
          <w:sz w:val="24"/>
          <w:lang w:val="en-US"/>
        </w:rPr>
        <w:t>data</w:t>
      </w:r>
      <w:r w:rsidRPr="00D6315C">
        <w:rPr>
          <w:b/>
          <w:sz w:val="24"/>
        </w:rPr>
        <w:t xml:space="preserve"> </w:t>
      </w:r>
      <w:r>
        <w:rPr>
          <w:b/>
          <w:sz w:val="24"/>
          <w:lang w:val="en-US"/>
        </w:rPr>
        <w:t>sampling</w:t>
      </w:r>
    </w:p>
    <w:p w:rsidR="00D6315C" w:rsidRDefault="00D6315C" w:rsidP="00D6315C">
      <w:pPr>
        <w:spacing w:line="240" w:lineRule="auto"/>
        <w:ind w:firstLine="0"/>
        <w:rPr>
          <w:b/>
          <w:sz w:val="24"/>
          <w:lang w:val="en-US"/>
        </w:rPr>
      </w:pPr>
    </w:p>
    <w:p w:rsidR="00D6315C" w:rsidRPr="00D6315C" w:rsidRDefault="00D6315C" w:rsidP="001C640C">
      <w:pPr>
        <w:spacing w:line="240" w:lineRule="auto"/>
        <w:rPr>
          <w:sz w:val="24"/>
          <w:lang w:val="en-US"/>
        </w:rPr>
      </w:pPr>
      <w:r w:rsidRPr="00D6315C">
        <w:rPr>
          <w:sz w:val="24"/>
          <w:szCs w:val="24"/>
          <w:lang w:val="en-US"/>
        </w:rPr>
        <w:t>We used event studies for testing the market reaction to the announcement about dividend payments</w:t>
      </w:r>
      <w:r>
        <w:rPr>
          <w:sz w:val="24"/>
          <w:szCs w:val="24"/>
          <w:lang w:val="en-US"/>
        </w:rPr>
        <w:t>.</w:t>
      </w:r>
      <w:r w:rsidRPr="00D6315C">
        <w:rPr>
          <w:sz w:val="24"/>
          <w:szCs w:val="24"/>
          <w:lang w:val="en-US"/>
        </w:rPr>
        <w:t xml:space="preserve"> Foundational work on event study analysis goes back to the 1960s. Ball and Brown </w:t>
      </w:r>
      <w:r>
        <w:rPr>
          <w:sz w:val="24"/>
          <w:szCs w:val="24"/>
          <w:lang w:val="en-US"/>
        </w:rPr>
        <w:t>(</w:t>
      </w:r>
      <w:r w:rsidRPr="00D6315C">
        <w:rPr>
          <w:sz w:val="24"/>
          <w:szCs w:val="24"/>
          <w:lang w:val="en-US"/>
        </w:rPr>
        <w:t>1968</w:t>
      </w:r>
      <w:r>
        <w:rPr>
          <w:sz w:val="24"/>
          <w:szCs w:val="24"/>
          <w:lang w:val="en-US"/>
        </w:rPr>
        <w:t>)</w:t>
      </w:r>
      <w:r w:rsidRPr="00D6315C">
        <w:rPr>
          <w:sz w:val="24"/>
          <w:szCs w:val="24"/>
          <w:lang w:val="en-US"/>
        </w:rPr>
        <w:t xml:space="preserve"> looked at the market response to announcements about companies’ financial results. </w:t>
      </w:r>
      <w:proofErr w:type="spellStart"/>
      <w:r w:rsidRPr="00D6315C">
        <w:rPr>
          <w:sz w:val="24"/>
          <w:szCs w:val="24"/>
          <w:lang w:val="en-US"/>
        </w:rPr>
        <w:t>Fama</w:t>
      </w:r>
      <w:proofErr w:type="spellEnd"/>
      <w:r w:rsidRPr="00D6315C">
        <w:rPr>
          <w:sz w:val="24"/>
          <w:szCs w:val="24"/>
          <w:lang w:val="en-US"/>
        </w:rPr>
        <w:t xml:space="preserve"> et al. </w:t>
      </w:r>
      <w:r>
        <w:rPr>
          <w:sz w:val="24"/>
          <w:szCs w:val="24"/>
          <w:lang w:val="en-US"/>
        </w:rPr>
        <w:t>(</w:t>
      </w:r>
      <w:r w:rsidRPr="00D6315C">
        <w:rPr>
          <w:sz w:val="24"/>
          <w:szCs w:val="24"/>
          <w:lang w:val="en-US"/>
        </w:rPr>
        <w:t>1969</w:t>
      </w:r>
      <w:r>
        <w:rPr>
          <w:sz w:val="24"/>
          <w:szCs w:val="24"/>
          <w:lang w:val="en-US"/>
        </w:rPr>
        <w:t>)</w:t>
      </w:r>
      <w:r w:rsidRPr="00D6315C">
        <w:rPr>
          <w:sz w:val="24"/>
          <w:szCs w:val="24"/>
          <w:lang w:val="en-US"/>
        </w:rPr>
        <w:t xml:space="preserve"> investigated market reaction to information on company stock splitting. The methodology used in many of the current event studies is basically the same as the methodology introduced in these early works. Based on the notion of an efficient market that will respond immediately to any consequential events, the objective of event study analysis is to assess the impact of specific events or happenings on company performance through the market reaction to these events. If an event is perceived to have a positive impact on company performance, the stock price for that company will go up, and if the event is perceived to have a negative impact on company performance, the stock price will go down. In Russia, event study analysis has been used to investigate dividend policies </w:t>
      </w:r>
      <w:r>
        <w:rPr>
          <w:sz w:val="24"/>
          <w:szCs w:val="24"/>
          <w:lang w:val="en-US"/>
        </w:rPr>
        <w:t>(</w:t>
      </w:r>
      <w:proofErr w:type="spellStart"/>
      <w:r w:rsidRPr="00D6315C">
        <w:rPr>
          <w:sz w:val="24"/>
          <w:szCs w:val="24"/>
          <w:lang w:val="en-US"/>
        </w:rPr>
        <w:t>Teplova</w:t>
      </w:r>
      <w:proofErr w:type="spellEnd"/>
      <w:r w:rsidRPr="00D6315C">
        <w:rPr>
          <w:sz w:val="24"/>
          <w:szCs w:val="24"/>
          <w:lang w:val="en-US"/>
        </w:rPr>
        <w:t>, 2008</w:t>
      </w:r>
      <w:r>
        <w:rPr>
          <w:sz w:val="24"/>
          <w:szCs w:val="24"/>
          <w:lang w:val="en-US"/>
        </w:rPr>
        <w:t>)</w:t>
      </w:r>
      <w:r w:rsidRPr="00D6315C">
        <w:rPr>
          <w:sz w:val="24"/>
          <w:szCs w:val="24"/>
          <w:lang w:val="en-US"/>
        </w:rPr>
        <w:t xml:space="preserve">, and capitalization </w:t>
      </w:r>
      <w:r w:rsidR="001C640C">
        <w:rPr>
          <w:sz w:val="24"/>
          <w:szCs w:val="24"/>
          <w:lang w:val="en-US"/>
        </w:rPr>
        <w:t>(</w:t>
      </w:r>
      <w:proofErr w:type="spellStart"/>
      <w:r w:rsidRPr="00D6315C">
        <w:rPr>
          <w:sz w:val="24"/>
          <w:szCs w:val="24"/>
          <w:lang w:val="en-US"/>
        </w:rPr>
        <w:t>Grigoriadi</w:t>
      </w:r>
      <w:proofErr w:type="spellEnd"/>
      <w:r w:rsidRPr="00D6315C">
        <w:rPr>
          <w:sz w:val="24"/>
          <w:szCs w:val="24"/>
          <w:lang w:val="en-US"/>
        </w:rPr>
        <w:t xml:space="preserve">, </w:t>
      </w:r>
      <w:proofErr w:type="spellStart"/>
      <w:r w:rsidRPr="00D6315C">
        <w:rPr>
          <w:sz w:val="24"/>
          <w:szCs w:val="24"/>
          <w:lang w:val="en-US"/>
        </w:rPr>
        <w:t>Ivashkovskaya</w:t>
      </w:r>
      <w:proofErr w:type="spellEnd"/>
      <w:r w:rsidRPr="00D6315C">
        <w:rPr>
          <w:sz w:val="24"/>
          <w:szCs w:val="24"/>
          <w:lang w:val="en-US"/>
        </w:rPr>
        <w:t xml:space="preserve">, </w:t>
      </w:r>
      <w:proofErr w:type="spellStart"/>
      <w:r w:rsidRPr="00D6315C">
        <w:rPr>
          <w:sz w:val="24"/>
          <w:szCs w:val="24"/>
          <w:lang w:val="en-US"/>
        </w:rPr>
        <w:t>Shamraeva</w:t>
      </w:r>
      <w:proofErr w:type="spellEnd"/>
      <w:r w:rsidRPr="00D6315C">
        <w:rPr>
          <w:sz w:val="24"/>
          <w:szCs w:val="24"/>
          <w:lang w:val="en-US"/>
        </w:rPr>
        <w:t xml:space="preserve">, 2009; </w:t>
      </w:r>
      <w:proofErr w:type="spellStart"/>
      <w:r w:rsidRPr="00D6315C">
        <w:rPr>
          <w:sz w:val="24"/>
          <w:szCs w:val="24"/>
          <w:lang w:val="en-US"/>
        </w:rPr>
        <w:t>Okoulov</w:t>
      </w:r>
      <w:proofErr w:type="spellEnd"/>
      <w:r w:rsidRPr="00D6315C">
        <w:rPr>
          <w:sz w:val="24"/>
          <w:szCs w:val="24"/>
          <w:lang w:val="en-US"/>
        </w:rPr>
        <w:t xml:space="preserve">, 2010; </w:t>
      </w:r>
      <w:proofErr w:type="spellStart"/>
      <w:r w:rsidRPr="00D6315C">
        <w:rPr>
          <w:sz w:val="24"/>
          <w:szCs w:val="24"/>
          <w:lang w:val="en-US"/>
        </w:rPr>
        <w:t>Grigorieva</w:t>
      </w:r>
      <w:proofErr w:type="spellEnd"/>
      <w:r w:rsidRPr="00D6315C">
        <w:rPr>
          <w:sz w:val="24"/>
          <w:szCs w:val="24"/>
          <w:lang w:val="en-US"/>
        </w:rPr>
        <w:t xml:space="preserve">, </w:t>
      </w:r>
      <w:proofErr w:type="spellStart"/>
      <w:r w:rsidRPr="00D6315C">
        <w:rPr>
          <w:sz w:val="24"/>
          <w:szCs w:val="24"/>
          <w:lang w:val="en-US"/>
        </w:rPr>
        <w:t>Ivashkovskaya</w:t>
      </w:r>
      <w:proofErr w:type="spellEnd"/>
      <w:r w:rsidRPr="00D6315C">
        <w:rPr>
          <w:sz w:val="24"/>
          <w:szCs w:val="24"/>
          <w:lang w:val="en-US"/>
        </w:rPr>
        <w:t>, 2012</w:t>
      </w:r>
      <w:r w:rsidR="001C640C">
        <w:rPr>
          <w:sz w:val="24"/>
          <w:szCs w:val="24"/>
          <w:lang w:val="en-US"/>
        </w:rPr>
        <w:t>)</w:t>
      </w:r>
      <w:r w:rsidRPr="00D6315C">
        <w:rPr>
          <w:sz w:val="24"/>
          <w:szCs w:val="24"/>
          <w:lang w:val="en-US"/>
        </w:rPr>
        <w:t>.</w:t>
      </w:r>
      <w:r w:rsidR="001C640C">
        <w:rPr>
          <w:sz w:val="24"/>
          <w:szCs w:val="24"/>
          <w:lang w:val="en-US"/>
        </w:rPr>
        <w:t xml:space="preserve"> </w:t>
      </w:r>
      <w:r w:rsidRPr="00D6315C">
        <w:rPr>
          <w:sz w:val="24"/>
          <w:lang w:val="en-US"/>
        </w:rPr>
        <w:t>The method is based on</w:t>
      </w:r>
      <w:r>
        <w:rPr>
          <w:sz w:val="24"/>
          <w:lang w:val="en-US"/>
        </w:rPr>
        <w:t xml:space="preserve"> testing the </w:t>
      </w:r>
      <w:r w:rsidRPr="00D6315C">
        <w:rPr>
          <w:sz w:val="24"/>
          <w:lang w:val="en-US"/>
        </w:rPr>
        <w:t xml:space="preserve">statistical hypothesis </w:t>
      </w:r>
      <w:r>
        <w:rPr>
          <w:sz w:val="24"/>
          <w:lang w:val="en-US"/>
        </w:rPr>
        <w:t xml:space="preserve">about </w:t>
      </w:r>
      <w:r w:rsidRPr="00D6315C">
        <w:rPr>
          <w:sz w:val="24"/>
          <w:lang w:val="en-US"/>
        </w:rPr>
        <w:t xml:space="preserve">significant differences from zero </w:t>
      </w:r>
      <w:r>
        <w:rPr>
          <w:sz w:val="24"/>
          <w:lang w:val="en-US"/>
        </w:rPr>
        <w:t xml:space="preserve">for </w:t>
      </w:r>
      <w:r w:rsidR="001C640C">
        <w:rPr>
          <w:sz w:val="24"/>
          <w:lang w:val="en-US"/>
        </w:rPr>
        <w:t>the expected value o</w:t>
      </w:r>
      <w:r w:rsidRPr="00D6315C">
        <w:rPr>
          <w:sz w:val="24"/>
          <w:lang w:val="en-US"/>
        </w:rPr>
        <w:t xml:space="preserve">f the </w:t>
      </w:r>
      <w:r>
        <w:rPr>
          <w:sz w:val="24"/>
          <w:lang w:val="en-US"/>
        </w:rPr>
        <w:t>abnormal</w:t>
      </w:r>
      <w:r w:rsidRPr="00D6315C">
        <w:rPr>
          <w:sz w:val="24"/>
          <w:lang w:val="en-US"/>
        </w:rPr>
        <w:t xml:space="preserve"> return. </w:t>
      </w:r>
    </w:p>
    <w:p w:rsidR="00D6315C" w:rsidRPr="00D6315C" w:rsidRDefault="00D6315C" w:rsidP="001C640C">
      <w:pPr>
        <w:spacing w:line="240" w:lineRule="auto"/>
        <w:ind w:firstLine="708"/>
        <w:rPr>
          <w:sz w:val="24"/>
          <w:lang w:val="en-US"/>
        </w:rPr>
      </w:pPr>
      <w:r w:rsidRPr="00D6315C">
        <w:rPr>
          <w:sz w:val="24"/>
          <w:lang w:val="en-US"/>
        </w:rPr>
        <w:t xml:space="preserve">In this paper, </w:t>
      </w:r>
      <w:r w:rsidR="001C640C">
        <w:rPr>
          <w:sz w:val="24"/>
          <w:lang w:val="en-US"/>
        </w:rPr>
        <w:t xml:space="preserve">the announcements on dividend payments are considered as events. </w:t>
      </w:r>
      <w:r w:rsidR="001C640C" w:rsidRPr="001C640C">
        <w:rPr>
          <w:sz w:val="24"/>
          <w:lang w:val="en-US"/>
        </w:rPr>
        <w:t>We used the Emerging Markets Information Service (EMIS) database for this purpose</w:t>
      </w:r>
      <w:r w:rsidR="001C640C">
        <w:rPr>
          <w:sz w:val="24"/>
          <w:lang w:val="en-US"/>
        </w:rPr>
        <w:t xml:space="preserve">, limiting our search to the period </w:t>
      </w:r>
      <w:r w:rsidRPr="00D6315C">
        <w:rPr>
          <w:sz w:val="24"/>
          <w:lang w:val="en-US"/>
        </w:rPr>
        <w:t xml:space="preserve">from 1 January 2009 to 1 January 2014. </w:t>
      </w:r>
      <w:r w:rsidR="001C640C">
        <w:rPr>
          <w:sz w:val="24"/>
          <w:lang w:val="en-US"/>
        </w:rPr>
        <w:t xml:space="preserve">All the announcements collected were </w:t>
      </w:r>
      <w:r w:rsidRPr="00D6315C">
        <w:rPr>
          <w:sz w:val="24"/>
          <w:lang w:val="en-US"/>
        </w:rPr>
        <w:t>analyzed for</w:t>
      </w:r>
      <w:r w:rsidR="001C640C">
        <w:rPr>
          <w:sz w:val="24"/>
          <w:lang w:val="en-US"/>
        </w:rPr>
        <w:t xml:space="preserve"> the absence of </w:t>
      </w:r>
      <w:r w:rsidR="001C640C" w:rsidRPr="00D6315C">
        <w:rPr>
          <w:sz w:val="24"/>
          <w:lang w:val="en-US"/>
        </w:rPr>
        <w:t>other significant events that could have an impact on share price</w:t>
      </w:r>
      <w:r w:rsidR="001C640C">
        <w:rPr>
          <w:sz w:val="24"/>
          <w:lang w:val="en-US"/>
        </w:rPr>
        <w:t xml:space="preserve">s within the event window. </w:t>
      </w:r>
      <w:r w:rsidR="001C640C" w:rsidRPr="001C640C">
        <w:rPr>
          <w:sz w:val="24"/>
          <w:szCs w:val="24"/>
          <w:lang w:val="en-US"/>
        </w:rPr>
        <w:t>We also excluded companies for which we could not get information on daily share prices.</w:t>
      </w:r>
      <w:r w:rsidR="001C640C" w:rsidRPr="00D6315C">
        <w:rPr>
          <w:sz w:val="24"/>
          <w:lang w:val="en-US"/>
        </w:rPr>
        <w:t xml:space="preserve"> </w:t>
      </w:r>
      <w:r w:rsidR="001C640C">
        <w:rPr>
          <w:sz w:val="24"/>
          <w:lang w:val="en-US"/>
        </w:rPr>
        <w:t>Our</w:t>
      </w:r>
      <w:r w:rsidRPr="00D6315C">
        <w:rPr>
          <w:sz w:val="24"/>
          <w:lang w:val="en-US"/>
        </w:rPr>
        <w:t xml:space="preserve"> final sample </w:t>
      </w:r>
      <w:r w:rsidR="001C640C">
        <w:rPr>
          <w:sz w:val="24"/>
          <w:lang w:val="en-US"/>
        </w:rPr>
        <w:t xml:space="preserve">consisted of </w:t>
      </w:r>
      <w:r w:rsidRPr="00D6315C">
        <w:rPr>
          <w:sz w:val="24"/>
          <w:lang w:val="en-US"/>
        </w:rPr>
        <w:t xml:space="preserve">115 </w:t>
      </w:r>
      <w:r w:rsidR="001C640C">
        <w:rPr>
          <w:sz w:val="24"/>
          <w:lang w:val="en-US"/>
        </w:rPr>
        <w:t>announcements from 5</w:t>
      </w:r>
      <w:r w:rsidRPr="00D6315C">
        <w:rPr>
          <w:sz w:val="24"/>
          <w:lang w:val="en-US"/>
        </w:rPr>
        <w:t xml:space="preserve">8 companies in various industries. More than 50% of the sample falls on the chemical industry, metallurgical industry and production of fuel and energy minerals. Companies included in the sample, actively trade their shares, </w:t>
      </w:r>
      <w:r w:rsidR="001C640C">
        <w:rPr>
          <w:sz w:val="24"/>
          <w:lang w:val="en-US"/>
        </w:rPr>
        <w:t>both</w:t>
      </w:r>
      <w:r w:rsidRPr="00D6315C">
        <w:rPr>
          <w:sz w:val="24"/>
          <w:lang w:val="en-US"/>
        </w:rPr>
        <w:t xml:space="preserve"> at the Moscow Interbank Currency Exchange, </w:t>
      </w:r>
      <w:r w:rsidR="001C640C">
        <w:rPr>
          <w:sz w:val="24"/>
          <w:lang w:val="en-US"/>
        </w:rPr>
        <w:t>and</w:t>
      </w:r>
      <w:r w:rsidRPr="00D6315C">
        <w:rPr>
          <w:sz w:val="24"/>
          <w:lang w:val="en-US"/>
        </w:rPr>
        <w:t xml:space="preserve"> </w:t>
      </w:r>
      <w:r w:rsidR="001C640C">
        <w:rPr>
          <w:sz w:val="24"/>
          <w:lang w:val="en-US"/>
        </w:rPr>
        <w:t>at</w:t>
      </w:r>
      <w:r w:rsidRPr="00D6315C">
        <w:rPr>
          <w:sz w:val="24"/>
          <w:lang w:val="en-US"/>
        </w:rPr>
        <w:t xml:space="preserve"> foreign exchanges (LSE, NASDAQ, etc.). However, due to the fac</w:t>
      </w:r>
      <w:r w:rsidR="001C640C">
        <w:rPr>
          <w:sz w:val="24"/>
          <w:lang w:val="en-US"/>
        </w:rPr>
        <w:t>t that we examine the reaction of</w:t>
      </w:r>
      <w:r w:rsidRPr="00D6315C">
        <w:rPr>
          <w:sz w:val="24"/>
          <w:lang w:val="en-US"/>
        </w:rPr>
        <w:t xml:space="preserve"> Russian companies, the study is limited to the MICEX. </w:t>
      </w:r>
    </w:p>
    <w:p w:rsidR="00D6315C" w:rsidRPr="00D6315C" w:rsidRDefault="00D6315C" w:rsidP="00B97429">
      <w:pPr>
        <w:spacing w:line="240" w:lineRule="auto"/>
        <w:ind w:firstLine="708"/>
        <w:rPr>
          <w:sz w:val="24"/>
          <w:lang w:val="en-US"/>
        </w:rPr>
      </w:pPr>
      <w:r w:rsidRPr="00D6315C">
        <w:rPr>
          <w:sz w:val="24"/>
          <w:lang w:val="en-US"/>
        </w:rPr>
        <w:t>In our study,</w:t>
      </w:r>
      <w:r w:rsidR="00211D31" w:rsidRPr="00D6315C">
        <w:rPr>
          <w:sz w:val="24"/>
          <w:lang w:val="en-US"/>
        </w:rPr>
        <w:t xml:space="preserve"> 11-day time period is used </w:t>
      </w:r>
      <w:r w:rsidR="00B97429">
        <w:rPr>
          <w:sz w:val="24"/>
          <w:lang w:val="en-US"/>
        </w:rPr>
        <w:t>for</w:t>
      </w:r>
      <w:r w:rsidRPr="00D6315C">
        <w:rPr>
          <w:sz w:val="24"/>
          <w:lang w:val="en-US"/>
        </w:rPr>
        <w:t xml:space="preserve"> the event window (from the fifth day prior to the announcement, </w:t>
      </w:r>
      <w:r w:rsidR="00B97429">
        <w:rPr>
          <w:sz w:val="24"/>
          <w:lang w:val="en-US"/>
        </w:rPr>
        <w:t xml:space="preserve">till </w:t>
      </w:r>
      <w:r w:rsidRPr="00D6315C">
        <w:rPr>
          <w:sz w:val="24"/>
          <w:lang w:val="en-US"/>
        </w:rPr>
        <w:t xml:space="preserve">the fifth day after the announcement). Estimation window is 120 days (4 months), 125 to 5 days before the announcement. </w:t>
      </w:r>
      <w:r w:rsidR="00211D31" w:rsidRPr="00D6315C">
        <w:rPr>
          <w:sz w:val="24"/>
          <w:lang w:val="en-US"/>
        </w:rPr>
        <w:t xml:space="preserve">Estimation window </w:t>
      </w:r>
      <w:r w:rsidRPr="00D6315C">
        <w:rPr>
          <w:sz w:val="24"/>
          <w:lang w:val="en-US"/>
        </w:rPr>
        <w:t xml:space="preserve">and </w:t>
      </w:r>
      <w:r w:rsidR="00211D31" w:rsidRPr="00D6315C">
        <w:rPr>
          <w:sz w:val="24"/>
          <w:lang w:val="en-US"/>
        </w:rPr>
        <w:t xml:space="preserve">event </w:t>
      </w:r>
      <w:r w:rsidRPr="00D6315C">
        <w:rPr>
          <w:sz w:val="24"/>
          <w:lang w:val="en-US"/>
        </w:rPr>
        <w:t xml:space="preserve">window do not overlap each other, thus minimizing the possibility of the influence of </w:t>
      </w:r>
      <w:r w:rsidR="00211D31">
        <w:rPr>
          <w:sz w:val="24"/>
          <w:lang w:val="en-US"/>
        </w:rPr>
        <w:t>the</w:t>
      </w:r>
      <w:r w:rsidRPr="00D6315C">
        <w:rPr>
          <w:sz w:val="24"/>
          <w:lang w:val="en-US"/>
        </w:rPr>
        <w:t xml:space="preserve"> events </w:t>
      </w:r>
      <w:r w:rsidR="00211D31">
        <w:rPr>
          <w:sz w:val="24"/>
          <w:lang w:val="en-US"/>
        </w:rPr>
        <w:t>at</w:t>
      </w:r>
      <w:r w:rsidRPr="00D6315C">
        <w:rPr>
          <w:sz w:val="24"/>
          <w:lang w:val="en-US"/>
        </w:rPr>
        <w:t xml:space="preserve"> the normal </w:t>
      </w:r>
      <w:r w:rsidR="00211D31">
        <w:rPr>
          <w:sz w:val="24"/>
          <w:lang w:val="en-US"/>
        </w:rPr>
        <w:t>returns</w:t>
      </w:r>
      <w:r w:rsidRPr="00D6315C">
        <w:rPr>
          <w:sz w:val="24"/>
          <w:lang w:val="en-US"/>
        </w:rPr>
        <w:t xml:space="preserve">. </w:t>
      </w:r>
    </w:p>
    <w:p w:rsidR="00D6315C" w:rsidRPr="00D6315C" w:rsidRDefault="00211D31" w:rsidP="00211D31">
      <w:pPr>
        <w:spacing w:line="240" w:lineRule="auto"/>
        <w:ind w:firstLine="708"/>
        <w:rPr>
          <w:sz w:val="24"/>
          <w:lang w:val="en-US"/>
        </w:rPr>
      </w:pPr>
      <w:r>
        <w:rPr>
          <w:sz w:val="24"/>
          <w:lang w:val="en-US"/>
        </w:rPr>
        <w:t xml:space="preserve">We used the </w:t>
      </w:r>
      <w:r w:rsidRPr="00D6315C">
        <w:rPr>
          <w:sz w:val="24"/>
          <w:lang w:val="en-US"/>
        </w:rPr>
        <w:t xml:space="preserve">market model </w:t>
      </w:r>
      <w:r>
        <w:rPr>
          <w:sz w:val="24"/>
          <w:lang w:val="en-US"/>
        </w:rPr>
        <w:t xml:space="preserve">to calculate </w:t>
      </w:r>
      <w:r w:rsidR="00D6315C" w:rsidRPr="00D6315C">
        <w:rPr>
          <w:sz w:val="24"/>
          <w:lang w:val="en-US"/>
        </w:rPr>
        <w:t xml:space="preserve">normal </w:t>
      </w:r>
      <w:r>
        <w:rPr>
          <w:sz w:val="24"/>
          <w:lang w:val="en-US"/>
        </w:rPr>
        <w:t>returns as following</w:t>
      </w:r>
      <w:r w:rsidR="00D6315C" w:rsidRPr="00D6315C">
        <w:rPr>
          <w:sz w:val="24"/>
          <w:lang w:val="en-US"/>
        </w:rPr>
        <w:t xml:space="preserve">: </w:t>
      </w:r>
    </w:p>
    <w:p w:rsidR="00D6315C" w:rsidRPr="00D6315C" w:rsidRDefault="00211D31" w:rsidP="00211D31">
      <w:pPr>
        <w:spacing w:line="240" w:lineRule="auto"/>
        <w:ind w:firstLine="0"/>
        <w:jc w:val="right"/>
        <w:rPr>
          <w:sz w:val="24"/>
          <w:lang w:val="en-US"/>
        </w:rPr>
      </w:pPr>
      <w:r w:rsidRPr="004844E5">
        <w:rPr>
          <w:position w:val="-10"/>
          <w:szCs w:val="28"/>
        </w:rPr>
        <w:object w:dxaOrig="2439"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25pt" o:ole="">
            <v:imagedata r:id="rId8" o:title=""/>
          </v:shape>
          <o:OLEObject Type="Embed" ProgID="Equation.3" ShapeID="_x0000_i1025" DrawAspect="Content" ObjectID="_1472459442" r:id="rId9"/>
        </w:object>
      </w:r>
      <w:r>
        <w:rPr>
          <w:szCs w:val="28"/>
          <w:lang w:val="en-US"/>
        </w:rPr>
        <w:t>,</w:t>
      </w:r>
      <w:r>
        <w:rPr>
          <w:szCs w:val="28"/>
          <w:lang w:val="en-US"/>
        </w:rPr>
        <w:tab/>
      </w:r>
      <w:r>
        <w:rPr>
          <w:szCs w:val="28"/>
          <w:lang w:val="en-US"/>
        </w:rPr>
        <w:tab/>
      </w:r>
      <w:r>
        <w:rPr>
          <w:szCs w:val="28"/>
          <w:lang w:val="en-US"/>
        </w:rPr>
        <w:tab/>
      </w:r>
      <w:r>
        <w:rPr>
          <w:szCs w:val="28"/>
          <w:lang w:val="en-US"/>
        </w:rPr>
        <w:tab/>
      </w:r>
      <w:r w:rsidR="00D6315C" w:rsidRPr="00D6315C">
        <w:rPr>
          <w:sz w:val="24"/>
          <w:lang w:val="en-US"/>
        </w:rPr>
        <w:t>  (1)</w:t>
      </w:r>
    </w:p>
    <w:p w:rsidR="00D6315C" w:rsidRPr="00D6315C" w:rsidRDefault="00D6315C" w:rsidP="00211D31">
      <w:pPr>
        <w:spacing w:line="240" w:lineRule="auto"/>
        <w:ind w:firstLine="708"/>
        <w:rPr>
          <w:sz w:val="24"/>
          <w:lang w:val="en-US"/>
        </w:rPr>
      </w:pPr>
      <w:proofErr w:type="gramStart"/>
      <w:r w:rsidRPr="00D6315C">
        <w:rPr>
          <w:sz w:val="24"/>
          <w:lang w:val="en-US"/>
        </w:rPr>
        <w:t>where</w:t>
      </w:r>
      <w:proofErr w:type="gramEnd"/>
      <w:r w:rsidRPr="00D6315C">
        <w:rPr>
          <w:sz w:val="24"/>
          <w:lang w:val="en-US"/>
        </w:rPr>
        <w:t xml:space="preserve"> E(</w:t>
      </w:r>
      <w:proofErr w:type="spellStart"/>
      <w:r w:rsidRPr="00D6315C">
        <w:rPr>
          <w:sz w:val="24"/>
          <w:lang w:val="en-US"/>
        </w:rPr>
        <w:t>R</w:t>
      </w:r>
      <w:r w:rsidRPr="00211D31">
        <w:rPr>
          <w:sz w:val="24"/>
          <w:vertAlign w:val="subscript"/>
          <w:lang w:val="en-US"/>
        </w:rPr>
        <w:t>i</w:t>
      </w:r>
      <w:proofErr w:type="spellEnd"/>
      <w:r w:rsidRPr="00D6315C">
        <w:rPr>
          <w:sz w:val="24"/>
          <w:lang w:val="en-US"/>
        </w:rPr>
        <w:t xml:space="preserve">) </w:t>
      </w:r>
      <w:r w:rsidR="00211D31">
        <w:rPr>
          <w:sz w:val="24"/>
          <w:lang w:val="en-US"/>
        </w:rPr>
        <w:t>denotes</w:t>
      </w:r>
      <w:r w:rsidRPr="00D6315C">
        <w:rPr>
          <w:sz w:val="24"/>
          <w:lang w:val="en-US"/>
        </w:rPr>
        <w:t xml:space="preserve"> the expected rate of return </w:t>
      </w:r>
      <w:r w:rsidR="00211D31">
        <w:rPr>
          <w:sz w:val="24"/>
          <w:lang w:val="en-US"/>
        </w:rPr>
        <w:t xml:space="preserve">for a capital </w:t>
      </w:r>
      <w:r w:rsidRPr="00D6315C">
        <w:rPr>
          <w:sz w:val="24"/>
          <w:lang w:val="en-US"/>
        </w:rPr>
        <w:t>asset; E(</w:t>
      </w:r>
      <w:proofErr w:type="spellStart"/>
      <w:r w:rsidRPr="00D6315C">
        <w:rPr>
          <w:sz w:val="24"/>
          <w:lang w:val="en-US"/>
        </w:rPr>
        <w:t>R</w:t>
      </w:r>
      <w:r w:rsidRPr="00211D31">
        <w:rPr>
          <w:sz w:val="24"/>
          <w:vertAlign w:val="subscript"/>
          <w:lang w:val="en-US"/>
        </w:rPr>
        <w:t>m</w:t>
      </w:r>
      <w:proofErr w:type="spellEnd"/>
      <w:r w:rsidRPr="00D6315C">
        <w:rPr>
          <w:sz w:val="24"/>
          <w:lang w:val="en-US"/>
        </w:rPr>
        <w:t xml:space="preserve">) </w:t>
      </w:r>
      <w:r w:rsidR="00211D31">
        <w:rPr>
          <w:sz w:val="24"/>
          <w:lang w:val="en-US"/>
        </w:rPr>
        <w:t>is</w:t>
      </w:r>
      <w:r w:rsidRPr="00D6315C">
        <w:rPr>
          <w:sz w:val="24"/>
          <w:lang w:val="en-US"/>
        </w:rPr>
        <w:t xml:space="preserve"> the expected return on the market portfolio; </w:t>
      </w:r>
      <w:r w:rsidR="00211D31" w:rsidRPr="004844E5">
        <w:rPr>
          <w:color w:val="000000"/>
          <w:sz w:val="22"/>
          <w:szCs w:val="24"/>
        </w:rPr>
        <w:sym w:font="Symbol" w:char="F061"/>
      </w:r>
      <w:proofErr w:type="spellStart"/>
      <w:r w:rsidR="00211D31" w:rsidRPr="004844E5">
        <w:rPr>
          <w:color w:val="000000"/>
          <w:sz w:val="22"/>
          <w:szCs w:val="24"/>
          <w:vertAlign w:val="subscript"/>
          <w:lang w:val="en-US"/>
        </w:rPr>
        <w:t>i</w:t>
      </w:r>
      <w:proofErr w:type="spellEnd"/>
      <w:r w:rsidR="00211D31" w:rsidRPr="00211D31">
        <w:rPr>
          <w:color w:val="000000"/>
          <w:sz w:val="22"/>
          <w:szCs w:val="24"/>
          <w:lang w:val="en-US"/>
        </w:rPr>
        <w:t xml:space="preserve">, </w:t>
      </w:r>
      <w:r w:rsidR="00211D31" w:rsidRPr="004844E5">
        <w:rPr>
          <w:rFonts w:ascii="Cambria Math" w:hAnsi="Cambria Math"/>
          <w:color w:val="000000"/>
          <w:sz w:val="22"/>
          <w:szCs w:val="24"/>
        </w:rPr>
        <w:t>β</w:t>
      </w:r>
      <w:proofErr w:type="spellStart"/>
      <w:r w:rsidR="00211D31" w:rsidRPr="004844E5">
        <w:rPr>
          <w:color w:val="000000"/>
          <w:sz w:val="22"/>
          <w:szCs w:val="24"/>
          <w:vertAlign w:val="subscript"/>
          <w:lang w:val="en-US"/>
        </w:rPr>
        <w:t>i</w:t>
      </w:r>
      <w:proofErr w:type="spellEnd"/>
      <w:r w:rsidR="00211D31" w:rsidRPr="00D6315C">
        <w:rPr>
          <w:sz w:val="24"/>
          <w:lang w:val="en-US"/>
        </w:rPr>
        <w:t xml:space="preserve"> </w:t>
      </w:r>
      <w:r w:rsidR="00211D31">
        <w:rPr>
          <w:sz w:val="24"/>
          <w:lang w:val="en-US"/>
        </w:rPr>
        <w:t xml:space="preserve">are the </w:t>
      </w:r>
      <w:r w:rsidRPr="00D6315C">
        <w:rPr>
          <w:sz w:val="24"/>
          <w:lang w:val="en-US"/>
        </w:rPr>
        <w:t xml:space="preserve">coefficients of the regression model for the </w:t>
      </w:r>
      <w:r w:rsidR="00211D31">
        <w:rPr>
          <w:sz w:val="24"/>
          <w:lang w:val="en-US"/>
        </w:rPr>
        <w:t>share</w:t>
      </w:r>
      <w:r w:rsidRPr="00D6315C">
        <w:rPr>
          <w:sz w:val="24"/>
          <w:lang w:val="en-US"/>
        </w:rPr>
        <w:t xml:space="preserve"> </w:t>
      </w:r>
      <w:proofErr w:type="spellStart"/>
      <w:r w:rsidRPr="00D6315C">
        <w:rPr>
          <w:sz w:val="24"/>
          <w:lang w:val="en-US"/>
        </w:rPr>
        <w:t>i</w:t>
      </w:r>
      <w:proofErr w:type="spellEnd"/>
      <w:r w:rsidR="00211D31">
        <w:rPr>
          <w:sz w:val="24"/>
          <w:lang w:val="en-US"/>
        </w:rPr>
        <w:t>.</w:t>
      </w:r>
    </w:p>
    <w:p w:rsidR="00211D31" w:rsidRPr="00211D31" w:rsidRDefault="00211D31" w:rsidP="00D6315C">
      <w:pPr>
        <w:spacing w:line="240" w:lineRule="auto"/>
        <w:ind w:firstLine="0"/>
        <w:rPr>
          <w:sz w:val="32"/>
          <w:lang w:val="en-US"/>
        </w:rPr>
      </w:pPr>
      <w:r w:rsidRPr="00211D31">
        <w:rPr>
          <w:sz w:val="24"/>
          <w:lang w:val="en-US"/>
        </w:rPr>
        <w:t xml:space="preserve">To assess the market reaction </w:t>
      </w:r>
      <w:r>
        <w:rPr>
          <w:sz w:val="24"/>
          <w:lang w:val="en-US"/>
        </w:rPr>
        <w:t>the event</w:t>
      </w:r>
      <w:r w:rsidRPr="00211D31">
        <w:rPr>
          <w:sz w:val="24"/>
          <w:lang w:val="en-US"/>
        </w:rPr>
        <w:t xml:space="preserve"> and test our hypotheses we look at the abnormal or excess returns of the investigated stock, which is calculated as the difference between the actual return and the estimated expected return, based on the stock performance during the estimation period:</w:t>
      </w:r>
    </w:p>
    <w:p w:rsidR="00D6315C" w:rsidRPr="00D6315C" w:rsidRDefault="00211D31" w:rsidP="00211D31">
      <w:pPr>
        <w:spacing w:line="240" w:lineRule="auto"/>
        <w:ind w:firstLine="0"/>
        <w:jc w:val="right"/>
        <w:rPr>
          <w:sz w:val="24"/>
          <w:lang w:val="en-US"/>
        </w:rPr>
      </w:pPr>
      <w:r w:rsidRPr="00940706">
        <w:rPr>
          <w:position w:val="-14"/>
          <w:sz w:val="24"/>
          <w:szCs w:val="28"/>
        </w:rPr>
        <w:object w:dxaOrig="2280" w:dyaOrig="400">
          <v:shape id="_x0000_i1026" type="#_x0000_t75" style="width:114pt;height:20.25pt" o:ole="">
            <v:imagedata r:id="rId10" o:title=""/>
          </v:shape>
          <o:OLEObject Type="Embed" ProgID="Equation.3" ShapeID="_x0000_i1026" DrawAspect="Content" ObjectID="_1472459443" r:id="rId11"/>
        </w:object>
      </w:r>
      <w:r>
        <w:rPr>
          <w:sz w:val="24"/>
          <w:szCs w:val="28"/>
          <w:lang w:val="en-US"/>
        </w:rPr>
        <w:t>,</w:t>
      </w:r>
      <w:r>
        <w:rPr>
          <w:sz w:val="24"/>
          <w:szCs w:val="28"/>
          <w:lang w:val="en-US"/>
        </w:rPr>
        <w:tab/>
      </w:r>
      <w:r>
        <w:rPr>
          <w:sz w:val="24"/>
          <w:szCs w:val="28"/>
          <w:lang w:val="en-US"/>
        </w:rPr>
        <w:tab/>
      </w:r>
      <w:r>
        <w:rPr>
          <w:sz w:val="24"/>
          <w:szCs w:val="28"/>
          <w:lang w:val="en-US"/>
        </w:rPr>
        <w:tab/>
      </w:r>
      <w:r>
        <w:rPr>
          <w:sz w:val="24"/>
          <w:szCs w:val="28"/>
          <w:lang w:val="en-US"/>
        </w:rPr>
        <w:tab/>
      </w:r>
      <w:r w:rsidR="00D6315C" w:rsidRPr="00D6315C">
        <w:rPr>
          <w:sz w:val="24"/>
          <w:lang w:val="en-US"/>
        </w:rPr>
        <w:t xml:space="preserve">  (2) </w:t>
      </w:r>
    </w:p>
    <w:p w:rsidR="00D6315C" w:rsidRPr="00211D31" w:rsidRDefault="00D6315C" w:rsidP="00211D31">
      <w:pPr>
        <w:spacing w:line="240" w:lineRule="auto"/>
        <w:ind w:firstLine="708"/>
        <w:rPr>
          <w:sz w:val="24"/>
          <w:szCs w:val="24"/>
          <w:lang w:val="en-US"/>
        </w:rPr>
      </w:pPr>
      <w:proofErr w:type="gramStart"/>
      <w:r w:rsidRPr="00211D31">
        <w:rPr>
          <w:sz w:val="24"/>
          <w:szCs w:val="24"/>
          <w:lang w:val="en-US"/>
        </w:rPr>
        <w:t>where</w:t>
      </w:r>
      <w:proofErr w:type="gramEnd"/>
      <w:r w:rsidRPr="00211D31">
        <w:rPr>
          <w:sz w:val="24"/>
          <w:szCs w:val="24"/>
          <w:lang w:val="en-US"/>
        </w:rPr>
        <w:t xml:space="preserve"> </w:t>
      </w:r>
      <w:proofErr w:type="spellStart"/>
      <w:r w:rsidR="00211D31" w:rsidRPr="00211D31">
        <w:rPr>
          <w:sz w:val="24"/>
          <w:szCs w:val="24"/>
          <w:lang w:val="en-US"/>
        </w:rPr>
        <w:t>AR</w:t>
      </w:r>
      <w:r w:rsidR="00211D31" w:rsidRPr="00211D31">
        <w:rPr>
          <w:sz w:val="24"/>
          <w:szCs w:val="24"/>
          <w:vertAlign w:val="subscript"/>
          <w:lang w:val="en-US"/>
        </w:rPr>
        <w:t>it</w:t>
      </w:r>
      <w:proofErr w:type="spellEnd"/>
      <w:r w:rsidR="00211D31" w:rsidRPr="00211D31">
        <w:rPr>
          <w:sz w:val="24"/>
          <w:szCs w:val="24"/>
          <w:lang w:val="en-US"/>
        </w:rPr>
        <w:t xml:space="preserve"> denotes the abnormal return on the security </w:t>
      </w:r>
      <w:proofErr w:type="spellStart"/>
      <w:r w:rsidR="00211D31" w:rsidRPr="00211D31">
        <w:rPr>
          <w:sz w:val="24"/>
          <w:szCs w:val="24"/>
          <w:lang w:val="en-US"/>
        </w:rPr>
        <w:t>i</w:t>
      </w:r>
      <w:proofErr w:type="spellEnd"/>
      <w:r w:rsidR="00211D31" w:rsidRPr="00211D31">
        <w:rPr>
          <w:sz w:val="24"/>
          <w:szCs w:val="24"/>
          <w:lang w:val="en-US"/>
        </w:rPr>
        <w:t xml:space="preserve"> at day t; </w:t>
      </w:r>
      <w:r w:rsidRPr="00211D31">
        <w:rPr>
          <w:sz w:val="24"/>
          <w:szCs w:val="24"/>
          <w:lang w:val="en-US"/>
        </w:rPr>
        <w:t xml:space="preserve"> </w:t>
      </w:r>
      <w:proofErr w:type="spellStart"/>
      <w:r w:rsidR="00211D31" w:rsidRPr="00211D31">
        <w:rPr>
          <w:sz w:val="24"/>
          <w:szCs w:val="24"/>
          <w:lang w:val="en-US"/>
        </w:rPr>
        <w:t>R</w:t>
      </w:r>
      <w:r w:rsidR="00211D31" w:rsidRPr="00211D31">
        <w:rPr>
          <w:sz w:val="24"/>
          <w:szCs w:val="24"/>
          <w:vertAlign w:val="subscript"/>
          <w:lang w:val="en-US"/>
        </w:rPr>
        <w:t>it</w:t>
      </w:r>
      <w:proofErr w:type="spellEnd"/>
      <w:r w:rsidR="00211D31" w:rsidRPr="00211D31">
        <w:rPr>
          <w:sz w:val="24"/>
          <w:szCs w:val="24"/>
          <w:lang w:val="en-US"/>
        </w:rPr>
        <w:t xml:space="preserve"> denotes the actual market return at day t;</w:t>
      </w:r>
      <w:r w:rsidRPr="00211D31">
        <w:rPr>
          <w:sz w:val="24"/>
          <w:szCs w:val="24"/>
          <w:lang w:val="en-US"/>
        </w:rPr>
        <w:t xml:space="preserve"> E (</w:t>
      </w:r>
      <w:proofErr w:type="spellStart"/>
      <w:r w:rsidRPr="00211D31">
        <w:rPr>
          <w:sz w:val="24"/>
          <w:szCs w:val="24"/>
          <w:lang w:val="en-US"/>
        </w:rPr>
        <w:t>Rit</w:t>
      </w:r>
      <w:proofErr w:type="spellEnd"/>
      <w:r w:rsidRPr="00211D31">
        <w:rPr>
          <w:sz w:val="24"/>
          <w:szCs w:val="24"/>
          <w:lang w:val="en-US"/>
        </w:rPr>
        <w:t xml:space="preserve"> | </w:t>
      </w:r>
      <w:proofErr w:type="spellStart"/>
      <w:r w:rsidRPr="00211D31">
        <w:rPr>
          <w:sz w:val="24"/>
          <w:szCs w:val="24"/>
          <w:lang w:val="en-US"/>
        </w:rPr>
        <w:t>Xt</w:t>
      </w:r>
      <w:proofErr w:type="spellEnd"/>
      <w:r w:rsidRPr="00211D31">
        <w:rPr>
          <w:sz w:val="24"/>
          <w:szCs w:val="24"/>
          <w:lang w:val="en-US"/>
        </w:rPr>
        <w:t xml:space="preserve">) </w:t>
      </w:r>
      <w:r w:rsidR="00211D31" w:rsidRPr="00211D31">
        <w:rPr>
          <w:sz w:val="24"/>
          <w:szCs w:val="24"/>
          <w:lang w:val="en-US"/>
        </w:rPr>
        <w:t>denotes the</w:t>
      </w:r>
      <w:r w:rsidRPr="00211D31">
        <w:rPr>
          <w:sz w:val="24"/>
          <w:szCs w:val="24"/>
          <w:lang w:val="en-US"/>
        </w:rPr>
        <w:t xml:space="preserve"> expected </w:t>
      </w:r>
      <w:r w:rsidR="00211D31" w:rsidRPr="00211D31">
        <w:rPr>
          <w:sz w:val="24"/>
          <w:szCs w:val="24"/>
          <w:lang w:val="en-US"/>
        </w:rPr>
        <w:t xml:space="preserve">market </w:t>
      </w:r>
      <w:r w:rsidRPr="00211D31">
        <w:rPr>
          <w:sz w:val="24"/>
          <w:szCs w:val="24"/>
          <w:lang w:val="en-US"/>
        </w:rPr>
        <w:t xml:space="preserve">return of the </w:t>
      </w:r>
      <w:proofErr w:type="spellStart"/>
      <w:r w:rsidRPr="00211D31">
        <w:rPr>
          <w:sz w:val="24"/>
          <w:szCs w:val="24"/>
          <w:lang w:val="en-US"/>
        </w:rPr>
        <w:t>i-th</w:t>
      </w:r>
      <w:proofErr w:type="spellEnd"/>
      <w:r w:rsidRPr="00211D31">
        <w:rPr>
          <w:sz w:val="24"/>
          <w:szCs w:val="24"/>
          <w:lang w:val="en-US"/>
        </w:rPr>
        <w:t xml:space="preserve"> </w:t>
      </w:r>
      <w:r w:rsidR="00211D31" w:rsidRPr="00211D31">
        <w:rPr>
          <w:sz w:val="24"/>
          <w:szCs w:val="24"/>
          <w:lang w:val="en-US"/>
        </w:rPr>
        <w:t xml:space="preserve">security at </w:t>
      </w:r>
      <w:r w:rsidRPr="00211D31">
        <w:rPr>
          <w:sz w:val="24"/>
          <w:szCs w:val="24"/>
          <w:lang w:val="en-US"/>
        </w:rPr>
        <w:t xml:space="preserve">day t. </w:t>
      </w:r>
    </w:p>
    <w:p w:rsidR="007242DE" w:rsidRDefault="007242DE" w:rsidP="007242DE">
      <w:pPr>
        <w:pStyle w:val="Basictext"/>
        <w:tabs>
          <w:tab w:val="left" w:pos="360"/>
        </w:tabs>
        <w:spacing w:before="0"/>
        <w:rPr>
          <w:rFonts w:cs="Times New Roman"/>
          <w:sz w:val="24"/>
          <w:szCs w:val="24"/>
        </w:rPr>
      </w:pPr>
      <w:r>
        <w:rPr>
          <w:rFonts w:ascii="Georgia" w:hAnsi="Georgia"/>
          <w:sz w:val="20"/>
        </w:rPr>
        <w:lastRenderedPageBreak/>
        <w:tab/>
      </w:r>
      <w:r>
        <w:rPr>
          <w:rFonts w:ascii="Georgia" w:hAnsi="Georgia"/>
          <w:sz w:val="20"/>
        </w:rPr>
        <w:tab/>
      </w:r>
      <w:r w:rsidRPr="007242DE">
        <w:rPr>
          <w:rFonts w:cs="Times New Roman"/>
          <w:sz w:val="24"/>
          <w:szCs w:val="24"/>
        </w:rPr>
        <w:t>Cumulative abnormal returns (CAR) can be calculated by summing the AR for the days of the event window</w:t>
      </w:r>
      <w:r>
        <w:rPr>
          <w:rFonts w:cs="Times New Roman"/>
          <w:sz w:val="24"/>
          <w:szCs w:val="24"/>
        </w:rPr>
        <w:t xml:space="preserve"> (</w:t>
      </w:r>
      <w:r w:rsidRPr="00D6315C">
        <w:rPr>
          <w:sz w:val="24"/>
          <w:lang w:val="en-US"/>
        </w:rPr>
        <w:t>Kothari, Warner, 2007</w:t>
      </w:r>
      <w:r>
        <w:rPr>
          <w:sz w:val="24"/>
          <w:lang w:val="en-US"/>
        </w:rPr>
        <w:t>)</w:t>
      </w:r>
      <w:r w:rsidRPr="007242DE">
        <w:rPr>
          <w:rFonts w:cs="Times New Roman"/>
          <w:sz w:val="24"/>
          <w:szCs w:val="24"/>
        </w:rPr>
        <w:t>. To assess the stock price reaction for significance, cumulative average abnormal returns (CAAR) are calculated for a particular event window as:</w:t>
      </w:r>
    </w:p>
    <w:p w:rsidR="007242DE" w:rsidRPr="007242DE" w:rsidRDefault="007242DE" w:rsidP="007242DE">
      <w:pPr>
        <w:pStyle w:val="Basictext"/>
        <w:tabs>
          <w:tab w:val="left" w:pos="360"/>
        </w:tabs>
        <w:spacing w:before="0"/>
        <w:jc w:val="right"/>
        <w:rPr>
          <w:rFonts w:cs="Times New Roman"/>
          <w:sz w:val="24"/>
          <w:szCs w:val="24"/>
        </w:rPr>
      </w:pPr>
      <w:r w:rsidRPr="00F26A74">
        <w:rPr>
          <w:position w:val="-32"/>
          <w:szCs w:val="28"/>
        </w:rPr>
        <w:object w:dxaOrig="3080" w:dyaOrig="740">
          <v:shape id="_x0000_i1027" type="#_x0000_t75" style="width:153.75pt;height:36.75pt" o:ole="">
            <v:imagedata r:id="rId12" o:title=""/>
          </v:shape>
          <o:OLEObject Type="Embed" ProgID="Equation.3" ShapeID="_x0000_i1027" DrawAspect="Content" ObjectID="_1472459444" r:id="rId13"/>
        </w:object>
      </w:r>
      <w:r>
        <w:rPr>
          <w:szCs w:val="28"/>
        </w:rPr>
        <w:t>,</w:t>
      </w:r>
      <w:r>
        <w:rPr>
          <w:szCs w:val="28"/>
        </w:rPr>
        <w:tab/>
      </w:r>
      <w:r>
        <w:rPr>
          <w:szCs w:val="28"/>
        </w:rPr>
        <w:tab/>
      </w:r>
      <w:r>
        <w:rPr>
          <w:szCs w:val="28"/>
        </w:rPr>
        <w:tab/>
      </w:r>
      <w:r>
        <w:rPr>
          <w:szCs w:val="28"/>
        </w:rPr>
        <w:tab/>
        <w:t>(3)</w:t>
      </w:r>
    </w:p>
    <w:p w:rsidR="00D6315C" w:rsidRPr="00D6315C" w:rsidRDefault="00D6315C" w:rsidP="007242DE">
      <w:pPr>
        <w:spacing w:line="240" w:lineRule="auto"/>
        <w:ind w:firstLine="708"/>
        <w:rPr>
          <w:sz w:val="24"/>
          <w:lang w:val="en-US"/>
        </w:rPr>
      </w:pPr>
      <w:proofErr w:type="gramStart"/>
      <w:r w:rsidRPr="00D6315C">
        <w:rPr>
          <w:sz w:val="24"/>
          <w:lang w:val="en-US"/>
        </w:rPr>
        <w:t>where</w:t>
      </w:r>
      <w:proofErr w:type="gramEnd"/>
      <w:r w:rsidRPr="00D6315C">
        <w:rPr>
          <w:sz w:val="24"/>
          <w:lang w:val="en-US"/>
        </w:rPr>
        <w:t xml:space="preserve">: </w:t>
      </w:r>
      <w:proofErr w:type="spellStart"/>
      <w:r w:rsidRPr="00D6315C">
        <w:rPr>
          <w:sz w:val="24"/>
          <w:lang w:val="en-US"/>
        </w:rPr>
        <w:t>CAR</w:t>
      </w:r>
      <w:r w:rsidR="007242DE">
        <w:rPr>
          <w:sz w:val="24"/>
          <w:vertAlign w:val="subscript"/>
          <w:lang w:val="en-US"/>
        </w:rPr>
        <w:t>i</w:t>
      </w:r>
      <w:proofErr w:type="spellEnd"/>
      <w:r w:rsidRPr="00D6315C">
        <w:rPr>
          <w:sz w:val="24"/>
          <w:lang w:val="en-US"/>
        </w:rPr>
        <w:t>(t</w:t>
      </w:r>
      <w:r w:rsidRPr="007242DE">
        <w:rPr>
          <w:sz w:val="24"/>
          <w:vertAlign w:val="subscript"/>
          <w:lang w:val="en-US"/>
        </w:rPr>
        <w:t>1</w:t>
      </w:r>
      <w:r w:rsidRPr="00D6315C">
        <w:rPr>
          <w:sz w:val="24"/>
          <w:lang w:val="en-US"/>
        </w:rPr>
        <w:t>; t</w:t>
      </w:r>
      <w:r w:rsidRPr="007242DE">
        <w:rPr>
          <w:sz w:val="24"/>
          <w:vertAlign w:val="subscript"/>
          <w:lang w:val="en-US"/>
        </w:rPr>
        <w:t>2</w:t>
      </w:r>
      <w:r w:rsidRPr="00D6315C">
        <w:rPr>
          <w:sz w:val="24"/>
          <w:lang w:val="en-US"/>
        </w:rPr>
        <w:t xml:space="preserve">) </w:t>
      </w:r>
      <w:r w:rsidR="007242DE">
        <w:rPr>
          <w:sz w:val="24"/>
          <w:lang w:val="en-US"/>
        </w:rPr>
        <w:t>denotes</w:t>
      </w:r>
      <w:r w:rsidRPr="00D6315C">
        <w:rPr>
          <w:sz w:val="24"/>
          <w:lang w:val="en-US"/>
        </w:rPr>
        <w:t xml:space="preserve"> cumulative </w:t>
      </w:r>
      <w:r w:rsidR="007242DE">
        <w:rPr>
          <w:sz w:val="24"/>
          <w:lang w:val="en-US"/>
        </w:rPr>
        <w:t>abnormal</w:t>
      </w:r>
      <w:r w:rsidRPr="00D6315C">
        <w:rPr>
          <w:sz w:val="24"/>
          <w:lang w:val="en-US"/>
        </w:rPr>
        <w:t xml:space="preserve"> return within the event window; t</w:t>
      </w:r>
      <w:r w:rsidRPr="007242DE">
        <w:rPr>
          <w:sz w:val="24"/>
          <w:vertAlign w:val="subscript"/>
          <w:lang w:val="en-US"/>
        </w:rPr>
        <w:t>1</w:t>
      </w:r>
      <w:r w:rsidRPr="00D6315C">
        <w:rPr>
          <w:sz w:val="24"/>
          <w:lang w:val="en-US"/>
        </w:rPr>
        <w:t xml:space="preserve"> </w:t>
      </w:r>
      <w:r w:rsidR="007242DE">
        <w:rPr>
          <w:sz w:val="24"/>
          <w:lang w:val="en-US"/>
        </w:rPr>
        <w:t xml:space="preserve">is the first day of the event </w:t>
      </w:r>
      <w:r w:rsidRPr="00D6315C">
        <w:rPr>
          <w:sz w:val="24"/>
          <w:lang w:val="en-US"/>
        </w:rPr>
        <w:t>window</w:t>
      </w:r>
      <w:r w:rsidR="007242DE">
        <w:rPr>
          <w:sz w:val="24"/>
          <w:lang w:val="en-US"/>
        </w:rPr>
        <w:t>;</w:t>
      </w:r>
      <w:r w:rsidRPr="00D6315C">
        <w:rPr>
          <w:sz w:val="24"/>
          <w:lang w:val="en-US"/>
        </w:rPr>
        <w:t xml:space="preserve"> t</w:t>
      </w:r>
      <w:r w:rsidRPr="007242DE">
        <w:rPr>
          <w:sz w:val="24"/>
          <w:vertAlign w:val="subscript"/>
          <w:lang w:val="en-US"/>
        </w:rPr>
        <w:t>2</w:t>
      </w:r>
      <w:r w:rsidRPr="00D6315C">
        <w:rPr>
          <w:sz w:val="24"/>
          <w:lang w:val="en-US"/>
        </w:rPr>
        <w:t xml:space="preserve"> </w:t>
      </w:r>
      <w:r w:rsidR="007242DE">
        <w:rPr>
          <w:sz w:val="24"/>
          <w:lang w:val="en-US"/>
        </w:rPr>
        <w:t>is</w:t>
      </w:r>
      <w:r w:rsidRPr="00D6315C">
        <w:rPr>
          <w:sz w:val="24"/>
          <w:lang w:val="en-US"/>
        </w:rPr>
        <w:t xml:space="preserve"> the upper </w:t>
      </w:r>
      <w:r w:rsidR="007242DE">
        <w:rPr>
          <w:sz w:val="24"/>
          <w:lang w:val="en-US"/>
        </w:rPr>
        <w:t>one; N is the sample size</w:t>
      </w:r>
      <w:r w:rsidRPr="00D6315C">
        <w:rPr>
          <w:sz w:val="24"/>
          <w:lang w:val="en-US"/>
        </w:rPr>
        <w:t xml:space="preserve">. </w:t>
      </w:r>
    </w:p>
    <w:p w:rsidR="00D6315C" w:rsidRPr="00D6315C" w:rsidRDefault="007242DE" w:rsidP="007242DE">
      <w:pPr>
        <w:spacing w:line="240" w:lineRule="auto"/>
        <w:ind w:firstLine="708"/>
        <w:rPr>
          <w:sz w:val="24"/>
          <w:lang w:val="en-US"/>
        </w:rPr>
      </w:pPr>
      <w:r>
        <w:rPr>
          <w:sz w:val="24"/>
          <w:lang w:val="en-US"/>
        </w:rPr>
        <w:t xml:space="preserve">We should test the </w:t>
      </w:r>
      <w:r w:rsidR="00D6315C" w:rsidRPr="00D6315C">
        <w:rPr>
          <w:sz w:val="24"/>
          <w:lang w:val="en-US"/>
        </w:rPr>
        <w:t xml:space="preserve">hypothesis for significant differences from zero </w:t>
      </w:r>
      <w:r>
        <w:rPr>
          <w:sz w:val="24"/>
          <w:lang w:val="en-US"/>
        </w:rPr>
        <w:t xml:space="preserve">of the expected value </w:t>
      </w:r>
      <w:r w:rsidR="00D6315C" w:rsidRPr="00D6315C">
        <w:rPr>
          <w:sz w:val="24"/>
          <w:lang w:val="en-US"/>
        </w:rPr>
        <w:t xml:space="preserve">of </w:t>
      </w:r>
      <w:r>
        <w:rPr>
          <w:sz w:val="24"/>
          <w:lang w:val="en-US"/>
        </w:rPr>
        <w:t>abnormal</w:t>
      </w:r>
      <w:r w:rsidR="00D6315C" w:rsidRPr="00D6315C">
        <w:rPr>
          <w:sz w:val="24"/>
          <w:lang w:val="en-US"/>
        </w:rPr>
        <w:t xml:space="preserve"> returns: </w:t>
      </w:r>
    </w:p>
    <w:p w:rsidR="007242DE" w:rsidRPr="007242DE" w:rsidRDefault="007242DE" w:rsidP="007242DE">
      <w:pPr>
        <w:spacing w:line="240" w:lineRule="auto"/>
        <w:jc w:val="center"/>
        <w:rPr>
          <w:sz w:val="24"/>
          <w:szCs w:val="28"/>
          <w:lang w:val="en-US"/>
        </w:rPr>
      </w:pPr>
      <m:oMath>
        <m:sSub>
          <m:sSubPr>
            <m:ctrlPr>
              <w:rPr>
                <w:rFonts w:ascii="Cambria Math"/>
                <w:sz w:val="24"/>
                <w:szCs w:val="28"/>
              </w:rPr>
            </m:ctrlPr>
          </m:sSubPr>
          <m:e>
            <m:r>
              <m:rPr>
                <m:sty m:val="p"/>
              </m:rPr>
              <w:rPr>
                <w:rFonts w:ascii="Cambria Math"/>
                <w:sz w:val="24"/>
                <w:szCs w:val="28"/>
                <w:lang w:val="en-US"/>
              </w:rPr>
              <m:t>H</m:t>
            </m:r>
          </m:e>
          <m:sub>
            <m:r>
              <m:rPr>
                <m:sty m:val="p"/>
              </m:rPr>
              <w:rPr>
                <w:rFonts w:ascii="Cambria Math"/>
                <w:sz w:val="24"/>
                <w:szCs w:val="28"/>
                <w:lang w:val="en-US"/>
              </w:rPr>
              <m:t>0</m:t>
            </m:r>
          </m:sub>
        </m:sSub>
        <m:r>
          <m:rPr>
            <m:sty m:val="p"/>
          </m:rPr>
          <w:rPr>
            <w:rFonts w:ascii="Cambria Math"/>
            <w:sz w:val="24"/>
            <w:szCs w:val="28"/>
            <w:lang w:val="en-US"/>
          </w:rPr>
          <m:t xml:space="preserve">: </m:t>
        </m:r>
        <m:sSub>
          <m:sSubPr>
            <m:ctrlPr>
              <w:rPr>
                <w:rFonts w:ascii="Cambria Math"/>
                <w:sz w:val="24"/>
                <w:szCs w:val="28"/>
              </w:rPr>
            </m:ctrlPr>
          </m:sSubPr>
          <m:e>
            <m:r>
              <m:rPr>
                <m:sty m:val="p"/>
              </m:rPr>
              <w:rPr>
                <w:rFonts w:ascii="Cambria Math"/>
                <w:sz w:val="24"/>
                <w:szCs w:val="28"/>
                <w:lang w:val="en-US"/>
              </w:rPr>
              <m:t>E [CAAR</m:t>
            </m:r>
          </m:e>
          <m:sub>
            <m:r>
              <m:rPr>
                <m:sty m:val="p"/>
              </m:rPr>
              <w:rPr>
                <w:rFonts w:ascii="Cambria Math"/>
                <w:sz w:val="24"/>
                <w:szCs w:val="28"/>
                <w:lang w:val="en-US"/>
              </w:rPr>
              <m:t>i</m:t>
            </m:r>
          </m:sub>
        </m:sSub>
        <m:d>
          <m:dPr>
            <m:ctrlPr>
              <w:rPr>
                <w:rFonts w:ascii="Cambria Math"/>
                <w:sz w:val="24"/>
                <w:szCs w:val="28"/>
              </w:rPr>
            </m:ctrlPr>
          </m:dPr>
          <m:e>
            <m:sSub>
              <m:sSubPr>
                <m:ctrlPr>
                  <w:rPr>
                    <w:rFonts w:ascii="Cambria Math"/>
                    <w:sz w:val="24"/>
                    <w:szCs w:val="28"/>
                  </w:rPr>
                </m:ctrlPr>
              </m:sSubPr>
              <m:e>
                <m:r>
                  <m:rPr>
                    <m:sty m:val="p"/>
                  </m:rPr>
                  <w:rPr>
                    <w:rFonts w:ascii="Cambria Math"/>
                    <w:sz w:val="24"/>
                    <w:szCs w:val="28"/>
                    <w:lang w:val="en-US"/>
                  </w:rPr>
                  <m:t>t</m:t>
                </m:r>
              </m:e>
              <m:sub>
                <m:r>
                  <m:rPr>
                    <m:sty m:val="p"/>
                  </m:rPr>
                  <w:rPr>
                    <w:rFonts w:ascii="Cambria Math"/>
                    <w:sz w:val="24"/>
                    <w:szCs w:val="28"/>
                    <w:lang w:val="en-US"/>
                  </w:rPr>
                  <m:t>1</m:t>
                </m:r>
              </m:sub>
            </m:sSub>
            <m:r>
              <m:rPr>
                <m:sty m:val="p"/>
              </m:rPr>
              <w:rPr>
                <w:rFonts w:ascii="Cambria Math"/>
                <w:sz w:val="24"/>
                <w:szCs w:val="28"/>
                <w:lang w:val="en-US"/>
              </w:rPr>
              <m:t>;</m:t>
            </m:r>
            <m:sSub>
              <m:sSubPr>
                <m:ctrlPr>
                  <w:rPr>
                    <w:rFonts w:ascii="Cambria Math"/>
                    <w:sz w:val="24"/>
                    <w:szCs w:val="28"/>
                  </w:rPr>
                </m:ctrlPr>
              </m:sSubPr>
              <m:e>
                <m:r>
                  <m:rPr>
                    <m:sty m:val="p"/>
                  </m:rPr>
                  <w:rPr>
                    <w:rFonts w:ascii="Cambria Math"/>
                    <w:sz w:val="24"/>
                    <w:szCs w:val="28"/>
                    <w:lang w:val="en-US"/>
                  </w:rPr>
                  <m:t>t</m:t>
                </m:r>
              </m:e>
              <m:sub>
                <m:r>
                  <m:rPr>
                    <m:sty m:val="p"/>
                  </m:rPr>
                  <w:rPr>
                    <w:rFonts w:ascii="Cambria Math"/>
                    <w:sz w:val="24"/>
                    <w:szCs w:val="28"/>
                    <w:lang w:val="en-US"/>
                  </w:rPr>
                  <m:t>2</m:t>
                </m:r>
              </m:sub>
            </m:sSub>
          </m:e>
        </m:d>
        <m:r>
          <m:rPr>
            <m:sty m:val="p"/>
          </m:rPr>
          <w:rPr>
            <w:rFonts w:ascii="Cambria Math"/>
            <w:sz w:val="24"/>
            <w:szCs w:val="28"/>
            <w:lang w:val="en-US"/>
          </w:rPr>
          <m:t>]=0</m:t>
        </m:r>
      </m:oMath>
      <w:r w:rsidRPr="007242DE">
        <w:rPr>
          <w:sz w:val="24"/>
          <w:szCs w:val="28"/>
        </w:rPr>
        <w:fldChar w:fldCharType="begin"/>
      </w:r>
      <w:r w:rsidRPr="007242DE">
        <w:rPr>
          <w:sz w:val="24"/>
          <w:szCs w:val="28"/>
          <w:lang w:val="en-US"/>
        </w:rPr>
        <w:instrText xml:space="preserve"> QUOTE </w:instrText>
      </w:r>
      <m:oMath>
        <m:sSub>
          <m:sSubPr>
            <m:ctrlPr>
              <w:rPr>
                <w:rFonts w:ascii="Cambria Math"/>
                <w:sz w:val="24"/>
                <w:szCs w:val="28"/>
              </w:rPr>
            </m:ctrlPr>
          </m:sSubPr>
          <m:e>
            <m:r>
              <m:rPr>
                <m:sty m:val="p"/>
              </m:rPr>
              <w:rPr>
                <w:rFonts w:ascii="Cambria Math"/>
                <w:sz w:val="24"/>
                <w:szCs w:val="28"/>
                <w:lang w:val="en-US"/>
              </w:rPr>
              <m:t>H</m:t>
            </m:r>
          </m:e>
          <m:sub>
            <m:r>
              <m:rPr>
                <m:sty m:val="p"/>
              </m:rPr>
              <w:rPr>
                <w:rFonts w:ascii="Cambria Math"/>
                <w:sz w:val="24"/>
                <w:szCs w:val="28"/>
                <w:lang w:val="en-US"/>
              </w:rPr>
              <m:t>0</m:t>
            </m:r>
          </m:sub>
        </m:sSub>
        <m:r>
          <m:rPr>
            <m:sty m:val="p"/>
          </m:rPr>
          <w:rPr>
            <w:rFonts w:ascii="Cambria Math"/>
            <w:sz w:val="24"/>
            <w:szCs w:val="28"/>
            <w:lang w:val="en-US"/>
          </w:rPr>
          <m:t xml:space="preserve">: </m:t>
        </m:r>
        <m:sSub>
          <m:sSubPr>
            <m:ctrlPr>
              <w:rPr>
                <w:rFonts w:ascii="Cambria Math"/>
                <w:sz w:val="24"/>
                <w:szCs w:val="28"/>
              </w:rPr>
            </m:ctrlPr>
          </m:sSubPr>
          <m:e>
            <m:r>
              <m:rPr>
                <m:sty m:val="p"/>
              </m:rPr>
              <w:rPr>
                <w:rFonts w:ascii="Cambria Math"/>
                <w:sz w:val="24"/>
                <w:szCs w:val="28"/>
                <w:lang w:val="en-US"/>
              </w:rPr>
              <m:t>E [CAR</m:t>
            </m:r>
          </m:e>
          <m:sub>
            <m:r>
              <m:rPr>
                <m:sty m:val="p"/>
              </m:rPr>
              <w:rPr>
                <w:rFonts w:ascii="Cambria Math"/>
                <w:sz w:val="24"/>
                <w:szCs w:val="28"/>
                <w:lang w:val="en-US"/>
              </w:rPr>
              <m:t>i</m:t>
            </m:r>
          </m:sub>
        </m:sSub>
        <m:d>
          <m:dPr>
            <m:ctrlPr>
              <w:rPr>
                <w:rFonts w:ascii="Cambria Math"/>
                <w:sz w:val="24"/>
                <w:szCs w:val="28"/>
              </w:rPr>
            </m:ctrlPr>
          </m:dPr>
          <m:e>
            <m:sSub>
              <m:sSubPr>
                <m:ctrlPr>
                  <w:rPr>
                    <w:rFonts w:ascii="Cambria Math"/>
                    <w:sz w:val="24"/>
                    <w:szCs w:val="28"/>
                  </w:rPr>
                </m:ctrlPr>
              </m:sSubPr>
              <m:e>
                <m:r>
                  <m:rPr>
                    <m:sty m:val="p"/>
                  </m:rPr>
                  <w:rPr>
                    <w:rFonts w:ascii="Cambria Math"/>
                    <w:sz w:val="24"/>
                    <w:szCs w:val="28"/>
                    <w:lang w:val="en-US"/>
                  </w:rPr>
                  <m:t>t</m:t>
                </m:r>
              </m:e>
              <m:sub>
                <m:r>
                  <m:rPr>
                    <m:sty m:val="p"/>
                  </m:rPr>
                  <w:rPr>
                    <w:rFonts w:ascii="Cambria Math"/>
                    <w:sz w:val="24"/>
                    <w:szCs w:val="28"/>
                    <w:lang w:val="en-US"/>
                  </w:rPr>
                  <m:t>1</m:t>
                </m:r>
              </m:sub>
            </m:sSub>
            <m:r>
              <m:rPr>
                <m:sty m:val="p"/>
              </m:rPr>
              <w:rPr>
                <w:rFonts w:ascii="Cambria Math"/>
                <w:sz w:val="24"/>
                <w:szCs w:val="28"/>
                <w:lang w:val="en-US"/>
              </w:rPr>
              <m:t>;</m:t>
            </m:r>
            <m:sSub>
              <m:sSubPr>
                <m:ctrlPr>
                  <w:rPr>
                    <w:rFonts w:ascii="Cambria Math"/>
                    <w:sz w:val="24"/>
                    <w:szCs w:val="28"/>
                  </w:rPr>
                </m:ctrlPr>
              </m:sSubPr>
              <m:e>
                <m:r>
                  <m:rPr>
                    <m:sty m:val="p"/>
                  </m:rPr>
                  <w:rPr>
                    <w:rFonts w:ascii="Cambria Math"/>
                    <w:sz w:val="24"/>
                    <w:szCs w:val="28"/>
                    <w:lang w:val="en-US"/>
                  </w:rPr>
                  <m:t>t</m:t>
                </m:r>
              </m:e>
              <m:sub>
                <m:r>
                  <m:rPr>
                    <m:sty m:val="p"/>
                  </m:rPr>
                  <w:rPr>
                    <w:rFonts w:ascii="Cambria Math"/>
                    <w:sz w:val="24"/>
                    <w:szCs w:val="28"/>
                    <w:lang w:val="en-US"/>
                  </w:rPr>
                  <m:t>2</m:t>
                </m:r>
              </m:sub>
            </m:sSub>
          </m:e>
        </m:d>
        <m:r>
          <m:rPr>
            <m:sty m:val="p"/>
          </m:rPr>
          <w:rPr>
            <w:rFonts w:ascii="Cambria Math"/>
            <w:sz w:val="24"/>
            <w:szCs w:val="28"/>
            <w:lang w:val="en-US"/>
          </w:rPr>
          <m:t>]=0</m:t>
        </m:r>
      </m:oMath>
      <w:r w:rsidRPr="007242DE">
        <w:rPr>
          <w:sz w:val="24"/>
          <w:szCs w:val="28"/>
          <w:lang w:val="en-US"/>
        </w:rPr>
        <w:instrText xml:space="preserve"> </w:instrText>
      </w:r>
      <w:r w:rsidRPr="007242DE">
        <w:rPr>
          <w:sz w:val="24"/>
          <w:szCs w:val="28"/>
        </w:rPr>
        <w:fldChar w:fldCharType="end"/>
      </w:r>
      <w:r w:rsidRPr="007242DE">
        <w:rPr>
          <w:sz w:val="24"/>
          <w:szCs w:val="28"/>
          <w:lang w:val="en-US"/>
        </w:rPr>
        <w:tab/>
      </w:r>
      <w:r w:rsidRPr="007242DE">
        <w:rPr>
          <w:sz w:val="24"/>
          <w:szCs w:val="28"/>
          <w:lang w:val="en-US"/>
        </w:rPr>
        <w:tab/>
      </w:r>
      <w:r w:rsidRPr="007242DE">
        <w:rPr>
          <w:sz w:val="24"/>
          <w:szCs w:val="28"/>
          <w:lang w:val="en-US"/>
        </w:rPr>
        <w:tab/>
        <w:t>(4)</w:t>
      </w:r>
    </w:p>
    <w:p w:rsidR="007242DE" w:rsidRPr="007242DE" w:rsidRDefault="007242DE" w:rsidP="007242DE">
      <w:pPr>
        <w:spacing w:line="240" w:lineRule="auto"/>
        <w:jc w:val="center"/>
        <w:rPr>
          <w:sz w:val="24"/>
          <w:szCs w:val="28"/>
          <w:lang w:val="en-US"/>
        </w:rPr>
      </w:pPr>
      <m:oMath>
        <m:sSub>
          <m:sSubPr>
            <m:ctrlPr>
              <w:rPr>
                <w:rFonts w:ascii="Cambria Math"/>
                <w:sz w:val="24"/>
                <w:szCs w:val="28"/>
              </w:rPr>
            </m:ctrlPr>
          </m:sSubPr>
          <m:e>
            <m:r>
              <m:rPr>
                <m:sty m:val="p"/>
              </m:rPr>
              <w:rPr>
                <w:rFonts w:ascii="Cambria Math"/>
                <w:sz w:val="24"/>
                <w:szCs w:val="28"/>
                <w:lang w:val="en-US"/>
              </w:rPr>
              <m:t>H</m:t>
            </m:r>
          </m:e>
          <m:sub>
            <m:r>
              <m:rPr>
                <m:sty m:val="p"/>
              </m:rPr>
              <w:rPr>
                <w:rFonts w:ascii="Cambria Math"/>
                <w:sz w:val="24"/>
                <w:szCs w:val="28"/>
                <w:lang w:val="en-US"/>
              </w:rPr>
              <m:t>1</m:t>
            </m:r>
          </m:sub>
        </m:sSub>
        <m:r>
          <m:rPr>
            <m:sty m:val="p"/>
          </m:rPr>
          <w:rPr>
            <w:rFonts w:ascii="Cambria Math"/>
            <w:sz w:val="24"/>
            <w:szCs w:val="28"/>
            <w:lang w:val="en-US"/>
          </w:rPr>
          <m:t>: E [</m:t>
        </m:r>
        <m:sSub>
          <m:sSubPr>
            <m:ctrlPr>
              <w:rPr>
                <w:rFonts w:ascii="Cambria Math"/>
                <w:sz w:val="24"/>
                <w:szCs w:val="28"/>
              </w:rPr>
            </m:ctrlPr>
          </m:sSubPr>
          <m:e>
            <m:r>
              <m:rPr>
                <m:sty m:val="p"/>
              </m:rPr>
              <w:rPr>
                <w:rFonts w:ascii="Cambria Math"/>
                <w:sz w:val="24"/>
                <w:szCs w:val="28"/>
                <w:lang w:val="en-US"/>
              </w:rPr>
              <m:t>CAAR</m:t>
            </m:r>
          </m:e>
          <m:sub>
            <m:r>
              <m:rPr>
                <m:sty m:val="p"/>
              </m:rPr>
              <w:rPr>
                <w:rFonts w:ascii="Cambria Math"/>
                <w:sz w:val="24"/>
                <w:szCs w:val="28"/>
                <w:lang w:val="en-US"/>
              </w:rPr>
              <m:t>i</m:t>
            </m:r>
          </m:sub>
        </m:sSub>
        <m:d>
          <m:dPr>
            <m:ctrlPr>
              <w:rPr>
                <w:rFonts w:ascii="Cambria Math"/>
                <w:sz w:val="24"/>
                <w:szCs w:val="28"/>
              </w:rPr>
            </m:ctrlPr>
          </m:dPr>
          <m:e>
            <m:sSub>
              <m:sSubPr>
                <m:ctrlPr>
                  <w:rPr>
                    <w:rFonts w:ascii="Cambria Math"/>
                    <w:sz w:val="24"/>
                    <w:szCs w:val="28"/>
                  </w:rPr>
                </m:ctrlPr>
              </m:sSubPr>
              <m:e>
                <m:r>
                  <m:rPr>
                    <m:sty m:val="p"/>
                  </m:rPr>
                  <w:rPr>
                    <w:rFonts w:ascii="Cambria Math"/>
                    <w:sz w:val="24"/>
                    <w:szCs w:val="28"/>
                    <w:lang w:val="en-US"/>
                  </w:rPr>
                  <m:t>t</m:t>
                </m:r>
              </m:e>
              <m:sub>
                <m:r>
                  <m:rPr>
                    <m:sty m:val="p"/>
                  </m:rPr>
                  <w:rPr>
                    <w:rFonts w:ascii="Cambria Math"/>
                    <w:sz w:val="24"/>
                    <w:szCs w:val="28"/>
                    <w:lang w:val="en-US"/>
                  </w:rPr>
                  <m:t>1</m:t>
                </m:r>
              </m:sub>
            </m:sSub>
            <m:r>
              <m:rPr>
                <m:sty m:val="p"/>
              </m:rPr>
              <w:rPr>
                <w:rFonts w:ascii="Cambria Math"/>
                <w:sz w:val="24"/>
                <w:szCs w:val="28"/>
                <w:lang w:val="en-US"/>
              </w:rPr>
              <m:t>;</m:t>
            </m:r>
            <m:sSub>
              <m:sSubPr>
                <m:ctrlPr>
                  <w:rPr>
                    <w:rFonts w:ascii="Cambria Math"/>
                    <w:sz w:val="24"/>
                    <w:szCs w:val="28"/>
                  </w:rPr>
                </m:ctrlPr>
              </m:sSubPr>
              <m:e>
                <m:r>
                  <m:rPr>
                    <m:sty m:val="p"/>
                  </m:rPr>
                  <w:rPr>
                    <w:rFonts w:ascii="Cambria Math"/>
                    <w:sz w:val="24"/>
                    <w:szCs w:val="28"/>
                    <w:lang w:val="en-US"/>
                  </w:rPr>
                  <m:t>t</m:t>
                </m:r>
              </m:e>
              <m:sub>
                <m:r>
                  <m:rPr>
                    <m:sty m:val="p"/>
                  </m:rPr>
                  <w:rPr>
                    <w:rFonts w:ascii="Cambria Math"/>
                    <w:sz w:val="24"/>
                    <w:szCs w:val="28"/>
                    <w:lang w:val="en-US"/>
                  </w:rPr>
                  <m:t>2</m:t>
                </m:r>
              </m:sub>
            </m:sSub>
          </m:e>
        </m:d>
        <m:r>
          <m:rPr>
            <m:sty m:val="p"/>
          </m:rPr>
          <w:rPr>
            <w:rFonts w:ascii="Cambria Math"/>
            <w:sz w:val="24"/>
            <w:szCs w:val="28"/>
            <w:lang w:val="en-US"/>
          </w:rPr>
          <m:t>]</m:t>
        </m:r>
        <m:r>
          <m:rPr>
            <m:sty m:val="p"/>
          </m:rPr>
          <w:rPr>
            <w:rFonts w:ascii="Cambria Math"/>
            <w:sz w:val="24"/>
            <w:szCs w:val="28"/>
            <w:lang w:val="en-US"/>
          </w:rPr>
          <m:t>≠</m:t>
        </m:r>
        <m:r>
          <m:rPr>
            <m:sty m:val="p"/>
          </m:rPr>
          <w:rPr>
            <w:rFonts w:ascii="Cambria Math"/>
            <w:sz w:val="24"/>
            <w:szCs w:val="28"/>
            <w:lang w:val="en-US"/>
          </w:rPr>
          <m:t>0</m:t>
        </m:r>
      </m:oMath>
      <w:r w:rsidRPr="007242DE">
        <w:rPr>
          <w:sz w:val="24"/>
          <w:szCs w:val="28"/>
          <w:lang w:val="en-US"/>
        </w:rPr>
        <w:tab/>
      </w:r>
      <w:r w:rsidRPr="007242DE">
        <w:rPr>
          <w:sz w:val="24"/>
          <w:szCs w:val="28"/>
          <w:lang w:val="en-US"/>
        </w:rPr>
        <w:tab/>
      </w:r>
      <w:r w:rsidRPr="007242DE">
        <w:rPr>
          <w:sz w:val="24"/>
          <w:szCs w:val="28"/>
          <w:lang w:val="en-US"/>
        </w:rPr>
        <w:tab/>
        <w:t>(5)</w:t>
      </w:r>
    </w:p>
    <w:p w:rsidR="007242DE" w:rsidRDefault="007242DE" w:rsidP="00D6315C">
      <w:pPr>
        <w:spacing w:line="240" w:lineRule="auto"/>
        <w:ind w:firstLine="0"/>
        <w:rPr>
          <w:sz w:val="24"/>
          <w:szCs w:val="28"/>
          <w:lang w:val="en-US"/>
        </w:rPr>
      </w:pPr>
    </w:p>
    <w:p w:rsidR="007242DE" w:rsidRDefault="007242DE" w:rsidP="00D6315C">
      <w:pPr>
        <w:spacing w:line="240" w:lineRule="auto"/>
        <w:ind w:firstLine="0"/>
        <w:rPr>
          <w:sz w:val="24"/>
          <w:szCs w:val="28"/>
          <w:lang w:val="en-US"/>
        </w:rPr>
      </w:pPr>
    </w:p>
    <w:p w:rsidR="00D6315C" w:rsidRDefault="00D6315C" w:rsidP="00D6315C">
      <w:pPr>
        <w:spacing w:line="240" w:lineRule="auto"/>
        <w:ind w:firstLine="0"/>
        <w:rPr>
          <w:b/>
          <w:sz w:val="24"/>
          <w:lang w:val="en-US"/>
        </w:rPr>
      </w:pPr>
      <w:r>
        <w:rPr>
          <w:b/>
          <w:sz w:val="24"/>
          <w:lang w:val="en-US"/>
        </w:rPr>
        <w:t>Research hypotheses</w:t>
      </w:r>
    </w:p>
    <w:p w:rsidR="00D6315C" w:rsidRPr="00D6315C" w:rsidRDefault="00D6315C" w:rsidP="007E5F30">
      <w:pPr>
        <w:spacing w:line="240" w:lineRule="auto"/>
        <w:rPr>
          <w:sz w:val="24"/>
          <w:lang w:val="en-US"/>
        </w:rPr>
      </w:pPr>
    </w:p>
    <w:p w:rsidR="007242DE" w:rsidRDefault="007242DE" w:rsidP="007242DE">
      <w:pPr>
        <w:spacing w:line="240" w:lineRule="auto"/>
        <w:rPr>
          <w:sz w:val="24"/>
          <w:lang w:val="en-US"/>
        </w:rPr>
      </w:pPr>
      <w:r w:rsidRPr="007242DE">
        <w:rPr>
          <w:sz w:val="24"/>
          <w:lang w:val="en-US"/>
        </w:rPr>
        <w:t xml:space="preserve">The information collected for the study included the name of the company, </w:t>
      </w:r>
      <w:r>
        <w:rPr>
          <w:sz w:val="24"/>
          <w:lang w:val="en-US"/>
        </w:rPr>
        <w:t>the</w:t>
      </w:r>
      <w:r w:rsidRPr="007242DE">
        <w:rPr>
          <w:sz w:val="24"/>
          <w:lang w:val="en-US"/>
        </w:rPr>
        <w:t xml:space="preserve"> date of the announcement, the industry to which the company belongs, as well as information on how dividend</w:t>
      </w:r>
      <w:r>
        <w:rPr>
          <w:sz w:val="24"/>
          <w:lang w:val="en-US"/>
        </w:rPr>
        <w:t xml:space="preserve"> payments had changed</w:t>
      </w:r>
      <w:r w:rsidRPr="007242DE">
        <w:rPr>
          <w:sz w:val="24"/>
          <w:lang w:val="en-US"/>
        </w:rPr>
        <w:t xml:space="preserve">. </w:t>
      </w:r>
      <w:r>
        <w:rPr>
          <w:sz w:val="24"/>
          <w:lang w:val="en-US"/>
        </w:rPr>
        <w:t xml:space="preserve">We divided the sample into </w:t>
      </w:r>
      <w:r w:rsidRPr="007242DE">
        <w:rPr>
          <w:sz w:val="24"/>
          <w:lang w:val="en-US"/>
        </w:rPr>
        <w:t xml:space="preserve">three groups </w:t>
      </w:r>
      <w:r>
        <w:rPr>
          <w:sz w:val="24"/>
          <w:lang w:val="en-US"/>
        </w:rPr>
        <w:t xml:space="preserve">according to the character of the announcement </w:t>
      </w:r>
      <w:r w:rsidRPr="007242DE">
        <w:rPr>
          <w:sz w:val="24"/>
          <w:lang w:val="en-US"/>
        </w:rPr>
        <w:t>- the "good", "bad" and "neutral"</w:t>
      </w:r>
      <w:r>
        <w:rPr>
          <w:sz w:val="24"/>
          <w:lang w:val="en-US"/>
        </w:rPr>
        <w:t xml:space="preserve"> news. To</w:t>
      </w:r>
      <w:r w:rsidRPr="007242DE">
        <w:rPr>
          <w:sz w:val="24"/>
          <w:lang w:val="en-US"/>
        </w:rPr>
        <w:t xml:space="preserve"> "good" news </w:t>
      </w:r>
      <w:r>
        <w:rPr>
          <w:sz w:val="24"/>
          <w:lang w:val="en-US"/>
        </w:rPr>
        <w:t xml:space="preserve">we </w:t>
      </w:r>
      <w:r w:rsidRPr="007242DE">
        <w:rPr>
          <w:sz w:val="24"/>
          <w:lang w:val="en-US"/>
        </w:rPr>
        <w:t xml:space="preserve">related announcement of dividend increase more than 5% and the announcement of the resumption of dividend payments. </w:t>
      </w:r>
      <w:r w:rsidR="0044696C">
        <w:rPr>
          <w:sz w:val="24"/>
          <w:lang w:val="en-US"/>
        </w:rPr>
        <w:t>To</w:t>
      </w:r>
      <w:r w:rsidRPr="007242DE">
        <w:rPr>
          <w:sz w:val="24"/>
          <w:lang w:val="en-US"/>
        </w:rPr>
        <w:t xml:space="preserve"> "bad" news </w:t>
      </w:r>
      <w:r w:rsidR="0044696C">
        <w:rPr>
          <w:sz w:val="24"/>
          <w:lang w:val="en-US"/>
        </w:rPr>
        <w:t xml:space="preserve">there were related </w:t>
      </w:r>
      <w:r w:rsidRPr="007242DE">
        <w:rPr>
          <w:sz w:val="24"/>
          <w:lang w:val="en-US"/>
        </w:rPr>
        <w:t>the announcement</w:t>
      </w:r>
      <w:r w:rsidR="0044696C">
        <w:rPr>
          <w:sz w:val="24"/>
          <w:lang w:val="en-US"/>
        </w:rPr>
        <w:t>s</w:t>
      </w:r>
      <w:r w:rsidRPr="007242DE">
        <w:rPr>
          <w:sz w:val="24"/>
          <w:lang w:val="en-US"/>
        </w:rPr>
        <w:t xml:space="preserve"> of the reduction of dividend payments by more than 5% and the refusal to pay dividends after the company </w:t>
      </w:r>
      <w:r w:rsidR="0044696C">
        <w:rPr>
          <w:sz w:val="24"/>
          <w:lang w:val="en-US"/>
        </w:rPr>
        <w:t xml:space="preserve">had </w:t>
      </w:r>
      <w:r w:rsidRPr="007242DE">
        <w:rPr>
          <w:sz w:val="24"/>
          <w:lang w:val="en-US"/>
        </w:rPr>
        <w:t xml:space="preserve">paid them for a certain period. The third group ("neutral" news) </w:t>
      </w:r>
      <w:r w:rsidR="0044696C">
        <w:rPr>
          <w:sz w:val="24"/>
          <w:lang w:val="en-US"/>
        </w:rPr>
        <w:t xml:space="preserve">contained announcements with </w:t>
      </w:r>
      <w:r w:rsidRPr="007242DE">
        <w:rPr>
          <w:sz w:val="24"/>
          <w:lang w:val="en-US"/>
        </w:rPr>
        <w:t xml:space="preserve">information that </w:t>
      </w:r>
      <w:r w:rsidR="0044696C">
        <w:rPr>
          <w:sz w:val="24"/>
          <w:lang w:val="en-US"/>
        </w:rPr>
        <w:t>dividend payments had not changed</w:t>
      </w:r>
      <w:r w:rsidRPr="007242DE">
        <w:rPr>
          <w:sz w:val="24"/>
          <w:lang w:val="en-US"/>
        </w:rPr>
        <w:t xml:space="preserve"> or </w:t>
      </w:r>
      <w:r w:rsidR="0044696C">
        <w:rPr>
          <w:sz w:val="24"/>
          <w:lang w:val="en-US"/>
        </w:rPr>
        <w:t xml:space="preserve">had changed </w:t>
      </w:r>
      <w:r w:rsidRPr="007242DE">
        <w:rPr>
          <w:sz w:val="24"/>
          <w:lang w:val="en-US"/>
        </w:rPr>
        <w:t xml:space="preserve">slightly (decreased or increased by less than 5%). In the final sample, more than half the news </w:t>
      </w:r>
      <w:proofErr w:type="gramStart"/>
      <w:r w:rsidRPr="007242DE">
        <w:rPr>
          <w:sz w:val="24"/>
          <w:lang w:val="en-US"/>
        </w:rPr>
        <w:t>were</w:t>
      </w:r>
      <w:proofErr w:type="gramEnd"/>
      <w:r w:rsidRPr="007242DE">
        <w:rPr>
          <w:sz w:val="24"/>
          <w:lang w:val="en-US"/>
        </w:rPr>
        <w:t xml:space="preserve"> "good", about a third - "bad" and the other "neutral" (Fig. 1).</w:t>
      </w:r>
    </w:p>
    <w:p w:rsidR="00A317F4" w:rsidRDefault="00A317F4" w:rsidP="007E5F30">
      <w:pPr>
        <w:spacing w:line="240" w:lineRule="auto"/>
      </w:pPr>
      <w:r>
        <w:rPr>
          <w:noProof/>
        </w:rPr>
        <w:drawing>
          <wp:inline distT="0" distB="0" distL="0" distR="0">
            <wp:extent cx="3968750" cy="2463800"/>
            <wp:effectExtent l="0" t="0" r="0" b="0"/>
            <wp:docPr id="41" name="Диаграмма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317F4" w:rsidRPr="0044696C" w:rsidRDefault="0044696C" w:rsidP="007E5F30">
      <w:pPr>
        <w:spacing w:line="240" w:lineRule="auto"/>
        <w:ind w:firstLine="0"/>
        <w:jc w:val="center"/>
        <w:rPr>
          <w:sz w:val="24"/>
          <w:lang w:val="en-US"/>
        </w:rPr>
      </w:pPr>
      <w:proofErr w:type="gramStart"/>
      <w:r>
        <w:rPr>
          <w:sz w:val="24"/>
          <w:lang w:val="en-US"/>
        </w:rPr>
        <w:t>Fig.</w:t>
      </w:r>
      <w:r w:rsidR="00A317F4" w:rsidRPr="0044696C">
        <w:rPr>
          <w:sz w:val="24"/>
          <w:lang w:val="en-US"/>
        </w:rPr>
        <w:t xml:space="preserve"> </w:t>
      </w:r>
      <w:r w:rsidR="00245C3C" w:rsidRPr="0044696C">
        <w:rPr>
          <w:sz w:val="24"/>
          <w:lang w:val="en-US"/>
        </w:rPr>
        <w:t>1</w:t>
      </w:r>
      <w:r w:rsidR="00C368CA" w:rsidRPr="0044696C">
        <w:rPr>
          <w:sz w:val="24"/>
          <w:lang w:val="en-US"/>
        </w:rPr>
        <w:t>.</w:t>
      </w:r>
      <w:proofErr w:type="gramEnd"/>
      <w:r w:rsidR="00A317F4" w:rsidRPr="0044696C">
        <w:rPr>
          <w:sz w:val="24"/>
          <w:lang w:val="en-US"/>
        </w:rPr>
        <w:t xml:space="preserve"> </w:t>
      </w:r>
      <w:r>
        <w:rPr>
          <w:sz w:val="24"/>
          <w:lang w:val="en-US"/>
        </w:rPr>
        <w:t>The distribution of the sample according to the character of news</w:t>
      </w:r>
    </w:p>
    <w:p w:rsidR="0044696C" w:rsidRDefault="0044696C" w:rsidP="007E5F30">
      <w:pPr>
        <w:spacing w:line="240" w:lineRule="auto"/>
        <w:rPr>
          <w:sz w:val="24"/>
          <w:lang w:val="en-US"/>
        </w:rPr>
      </w:pPr>
      <w:r>
        <w:rPr>
          <w:sz w:val="24"/>
          <w:lang w:val="en-US"/>
        </w:rPr>
        <w:t>Following the results obtained by the majority of academic papers, we posed our three basic hypotheses as follows.</w:t>
      </w:r>
    </w:p>
    <w:p w:rsidR="0044696C" w:rsidRPr="0044696C" w:rsidRDefault="0044696C" w:rsidP="0044696C">
      <w:pPr>
        <w:spacing w:line="240" w:lineRule="auto"/>
        <w:rPr>
          <w:bCs/>
          <w:i/>
          <w:sz w:val="24"/>
          <w:szCs w:val="24"/>
          <w:lang w:val="en-US"/>
        </w:rPr>
      </w:pPr>
      <w:r w:rsidRPr="0044696C">
        <w:rPr>
          <w:bCs/>
          <w:i/>
          <w:sz w:val="24"/>
          <w:szCs w:val="24"/>
          <w:lang w:val="en-US"/>
        </w:rPr>
        <w:t xml:space="preserve">H1: Announcements </w:t>
      </w:r>
      <w:r>
        <w:rPr>
          <w:bCs/>
          <w:i/>
          <w:sz w:val="24"/>
          <w:szCs w:val="24"/>
          <w:lang w:val="en-US"/>
        </w:rPr>
        <w:t xml:space="preserve">about the </w:t>
      </w:r>
      <w:r w:rsidRPr="0044696C">
        <w:rPr>
          <w:bCs/>
          <w:i/>
          <w:sz w:val="24"/>
          <w:szCs w:val="24"/>
          <w:lang w:val="en-US"/>
        </w:rPr>
        <w:t>increase</w:t>
      </w:r>
      <w:r>
        <w:rPr>
          <w:bCs/>
          <w:i/>
          <w:sz w:val="24"/>
          <w:szCs w:val="24"/>
          <w:lang w:val="en-US"/>
        </w:rPr>
        <w:t xml:space="preserve"> of</w:t>
      </w:r>
      <w:r w:rsidRPr="0044696C">
        <w:rPr>
          <w:bCs/>
          <w:i/>
          <w:sz w:val="24"/>
          <w:szCs w:val="24"/>
          <w:lang w:val="en-US"/>
        </w:rPr>
        <w:t xml:space="preserve"> dividend payments </w:t>
      </w:r>
      <w:r>
        <w:rPr>
          <w:bCs/>
          <w:i/>
          <w:sz w:val="24"/>
          <w:szCs w:val="24"/>
          <w:lang w:val="en-US"/>
        </w:rPr>
        <w:t xml:space="preserve">would cause the growth of share prices of </w:t>
      </w:r>
      <w:r w:rsidRPr="0044696C">
        <w:rPr>
          <w:bCs/>
          <w:i/>
          <w:sz w:val="24"/>
          <w:szCs w:val="24"/>
          <w:lang w:val="en-US"/>
        </w:rPr>
        <w:t xml:space="preserve">Russian companies. </w:t>
      </w:r>
    </w:p>
    <w:p w:rsidR="0044696C" w:rsidRPr="0044696C" w:rsidRDefault="0044696C" w:rsidP="0044696C">
      <w:pPr>
        <w:spacing w:line="240" w:lineRule="auto"/>
        <w:rPr>
          <w:bCs/>
          <w:i/>
          <w:sz w:val="24"/>
          <w:szCs w:val="24"/>
          <w:lang w:val="en-US"/>
        </w:rPr>
      </w:pPr>
      <w:r w:rsidRPr="0044696C">
        <w:rPr>
          <w:bCs/>
          <w:i/>
          <w:sz w:val="24"/>
          <w:szCs w:val="24"/>
          <w:lang w:val="en-US"/>
        </w:rPr>
        <w:t>H2</w:t>
      </w:r>
      <w:r>
        <w:rPr>
          <w:bCs/>
          <w:i/>
          <w:sz w:val="24"/>
          <w:szCs w:val="24"/>
          <w:lang w:val="en-US"/>
        </w:rPr>
        <w:t>:</w:t>
      </w:r>
      <w:r w:rsidRPr="0044696C">
        <w:rPr>
          <w:bCs/>
          <w:i/>
          <w:sz w:val="24"/>
          <w:szCs w:val="24"/>
          <w:lang w:val="en-US"/>
        </w:rPr>
        <w:t xml:space="preserve"> Announcements </w:t>
      </w:r>
      <w:r>
        <w:rPr>
          <w:bCs/>
          <w:i/>
          <w:sz w:val="24"/>
          <w:szCs w:val="24"/>
          <w:lang w:val="en-US"/>
        </w:rPr>
        <w:t>about the de</w:t>
      </w:r>
      <w:r w:rsidRPr="0044696C">
        <w:rPr>
          <w:bCs/>
          <w:i/>
          <w:sz w:val="24"/>
          <w:szCs w:val="24"/>
          <w:lang w:val="en-US"/>
        </w:rPr>
        <w:t>crease</w:t>
      </w:r>
      <w:r>
        <w:rPr>
          <w:bCs/>
          <w:i/>
          <w:sz w:val="24"/>
          <w:szCs w:val="24"/>
          <w:lang w:val="en-US"/>
        </w:rPr>
        <w:t xml:space="preserve"> of</w:t>
      </w:r>
      <w:r w:rsidRPr="0044696C">
        <w:rPr>
          <w:bCs/>
          <w:i/>
          <w:sz w:val="24"/>
          <w:szCs w:val="24"/>
          <w:lang w:val="en-US"/>
        </w:rPr>
        <w:t xml:space="preserve"> dividend payments </w:t>
      </w:r>
      <w:r>
        <w:rPr>
          <w:bCs/>
          <w:i/>
          <w:sz w:val="24"/>
          <w:szCs w:val="24"/>
          <w:lang w:val="en-US"/>
        </w:rPr>
        <w:t>would cause the diminishing of share prices</w:t>
      </w:r>
      <w:r w:rsidRPr="0044696C">
        <w:rPr>
          <w:bCs/>
          <w:i/>
          <w:sz w:val="24"/>
          <w:szCs w:val="24"/>
          <w:lang w:val="en-US"/>
        </w:rPr>
        <w:t xml:space="preserve">. </w:t>
      </w:r>
    </w:p>
    <w:p w:rsidR="0044696C" w:rsidRPr="0044696C" w:rsidRDefault="0044696C" w:rsidP="0044696C">
      <w:pPr>
        <w:spacing w:line="240" w:lineRule="auto"/>
        <w:rPr>
          <w:bCs/>
          <w:i/>
          <w:sz w:val="24"/>
          <w:szCs w:val="24"/>
          <w:lang w:val="en-US"/>
        </w:rPr>
      </w:pPr>
      <w:r w:rsidRPr="0044696C">
        <w:rPr>
          <w:bCs/>
          <w:i/>
          <w:sz w:val="24"/>
          <w:szCs w:val="24"/>
          <w:lang w:val="en-US"/>
        </w:rPr>
        <w:t xml:space="preserve">Hypothesis 3: Reports of constant dividend payments do not affect the </w:t>
      </w:r>
      <w:r>
        <w:rPr>
          <w:bCs/>
          <w:i/>
          <w:sz w:val="24"/>
          <w:szCs w:val="24"/>
          <w:lang w:val="en-US"/>
        </w:rPr>
        <w:t>share prices</w:t>
      </w:r>
      <w:r w:rsidRPr="0044696C">
        <w:rPr>
          <w:bCs/>
          <w:i/>
          <w:sz w:val="24"/>
          <w:szCs w:val="24"/>
          <w:lang w:val="en-US"/>
        </w:rPr>
        <w:t xml:space="preserve">. </w:t>
      </w:r>
    </w:p>
    <w:p w:rsidR="0044696C" w:rsidRPr="0044696C" w:rsidRDefault="0044696C" w:rsidP="0044696C">
      <w:pPr>
        <w:spacing w:line="240" w:lineRule="auto"/>
        <w:rPr>
          <w:bCs/>
          <w:sz w:val="24"/>
          <w:szCs w:val="24"/>
          <w:lang w:val="en-US"/>
        </w:rPr>
      </w:pPr>
      <w:r w:rsidRPr="0044696C">
        <w:rPr>
          <w:bCs/>
          <w:sz w:val="24"/>
          <w:szCs w:val="24"/>
          <w:lang w:val="en-US"/>
        </w:rPr>
        <w:lastRenderedPageBreak/>
        <w:t>In addition, we assumed that the reaction of companies in various sectors of the economy w</w:t>
      </w:r>
      <w:r>
        <w:rPr>
          <w:bCs/>
          <w:sz w:val="24"/>
          <w:szCs w:val="24"/>
          <w:lang w:val="en-US"/>
        </w:rPr>
        <w:t>ould differ</w:t>
      </w:r>
      <w:r w:rsidRPr="0044696C">
        <w:rPr>
          <w:bCs/>
          <w:sz w:val="24"/>
          <w:szCs w:val="24"/>
          <w:lang w:val="en-US"/>
        </w:rPr>
        <w:t xml:space="preserve">. </w:t>
      </w:r>
      <w:r>
        <w:rPr>
          <w:bCs/>
          <w:sz w:val="24"/>
          <w:szCs w:val="24"/>
          <w:lang w:val="en-US"/>
        </w:rPr>
        <w:t xml:space="preserve">To </w:t>
      </w:r>
      <w:r w:rsidRPr="0044696C">
        <w:rPr>
          <w:bCs/>
          <w:sz w:val="24"/>
          <w:szCs w:val="24"/>
          <w:lang w:val="en-US"/>
        </w:rPr>
        <w:t>verify this</w:t>
      </w:r>
      <w:r>
        <w:rPr>
          <w:bCs/>
          <w:sz w:val="24"/>
          <w:szCs w:val="24"/>
          <w:lang w:val="en-US"/>
        </w:rPr>
        <w:t xml:space="preserve">, we </w:t>
      </w:r>
      <w:r w:rsidRPr="0044696C">
        <w:rPr>
          <w:bCs/>
          <w:sz w:val="24"/>
          <w:szCs w:val="24"/>
          <w:lang w:val="en-US"/>
        </w:rPr>
        <w:t>formulate</w:t>
      </w:r>
      <w:r>
        <w:rPr>
          <w:bCs/>
          <w:sz w:val="24"/>
          <w:szCs w:val="24"/>
          <w:lang w:val="en-US"/>
        </w:rPr>
        <w:t>d</w:t>
      </w:r>
      <w:r w:rsidRPr="0044696C">
        <w:rPr>
          <w:bCs/>
          <w:sz w:val="24"/>
          <w:szCs w:val="24"/>
          <w:lang w:val="en-US"/>
        </w:rPr>
        <w:t xml:space="preserve"> the following hypothesis. </w:t>
      </w:r>
    </w:p>
    <w:p w:rsidR="00A317F4" w:rsidRDefault="0044696C" w:rsidP="0044696C">
      <w:pPr>
        <w:spacing w:line="240" w:lineRule="auto"/>
        <w:rPr>
          <w:bCs/>
          <w:i/>
          <w:sz w:val="24"/>
          <w:szCs w:val="24"/>
          <w:lang w:val="en-US"/>
        </w:rPr>
      </w:pPr>
      <w:r w:rsidRPr="0044696C">
        <w:rPr>
          <w:bCs/>
          <w:i/>
          <w:sz w:val="24"/>
          <w:szCs w:val="24"/>
          <w:lang w:val="en-US"/>
        </w:rPr>
        <w:t xml:space="preserve">H4: </w:t>
      </w:r>
      <w:r>
        <w:rPr>
          <w:bCs/>
          <w:i/>
          <w:sz w:val="24"/>
          <w:szCs w:val="24"/>
          <w:lang w:val="en-US"/>
        </w:rPr>
        <w:t xml:space="preserve">The </w:t>
      </w:r>
      <w:r w:rsidRPr="0044696C">
        <w:rPr>
          <w:bCs/>
          <w:i/>
          <w:sz w:val="24"/>
          <w:szCs w:val="24"/>
          <w:lang w:val="en-US"/>
        </w:rPr>
        <w:t xml:space="preserve">reaction to the "good" news will vary depending on the industry in which the </w:t>
      </w:r>
      <w:r>
        <w:rPr>
          <w:bCs/>
          <w:i/>
          <w:sz w:val="24"/>
          <w:szCs w:val="24"/>
          <w:lang w:val="en-US"/>
        </w:rPr>
        <w:t>company</w:t>
      </w:r>
      <w:r w:rsidRPr="0044696C">
        <w:rPr>
          <w:bCs/>
          <w:i/>
          <w:sz w:val="24"/>
          <w:szCs w:val="24"/>
          <w:lang w:val="en-US"/>
        </w:rPr>
        <w:t xml:space="preserve"> operates.</w:t>
      </w:r>
    </w:p>
    <w:p w:rsidR="0044696C" w:rsidRDefault="0044696C" w:rsidP="0044696C">
      <w:pPr>
        <w:spacing w:line="240" w:lineRule="auto"/>
        <w:rPr>
          <w:bCs/>
          <w:i/>
          <w:sz w:val="24"/>
          <w:szCs w:val="24"/>
          <w:lang w:val="en-US"/>
        </w:rPr>
      </w:pPr>
    </w:p>
    <w:p w:rsidR="006C16C9" w:rsidRDefault="006C16C9" w:rsidP="0044696C">
      <w:pPr>
        <w:spacing w:line="240" w:lineRule="auto"/>
        <w:rPr>
          <w:bCs/>
          <w:i/>
          <w:sz w:val="24"/>
          <w:szCs w:val="24"/>
          <w:lang w:val="en-US"/>
        </w:rPr>
      </w:pPr>
    </w:p>
    <w:p w:rsidR="0044696C" w:rsidRPr="0044696C" w:rsidRDefault="0044696C" w:rsidP="0044696C">
      <w:pPr>
        <w:spacing w:line="240" w:lineRule="auto"/>
        <w:rPr>
          <w:b/>
          <w:bCs/>
          <w:sz w:val="24"/>
          <w:szCs w:val="24"/>
          <w:lang w:val="en-US"/>
        </w:rPr>
      </w:pPr>
      <w:r w:rsidRPr="0044696C">
        <w:rPr>
          <w:b/>
          <w:bCs/>
          <w:sz w:val="24"/>
          <w:szCs w:val="24"/>
          <w:lang w:val="en-US"/>
        </w:rPr>
        <w:t>Results and discussion</w:t>
      </w:r>
    </w:p>
    <w:p w:rsidR="0044696C" w:rsidRPr="0044696C" w:rsidRDefault="0044696C" w:rsidP="0044696C">
      <w:pPr>
        <w:spacing w:line="240" w:lineRule="auto"/>
        <w:rPr>
          <w:bCs/>
          <w:sz w:val="24"/>
          <w:szCs w:val="24"/>
        </w:rPr>
      </w:pPr>
    </w:p>
    <w:p w:rsidR="009D069C" w:rsidRPr="006C16C9" w:rsidRDefault="0044696C" w:rsidP="007E5F30">
      <w:pPr>
        <w:spacing w:line="240" w:lineRule="auto"/>
        <w:rPr>
          <w:bCs/>
          <w:szCs w:val="28"/>
          <w:lang w:val="en-US"/>
        </w:rPr>
      </w:pPr>
      <w:r>
        <w:rPr>
          <w:sz w:val="24"/>
          <w:lang w:val="en-US"/>
        </w:rPr>
        <w:t>The</w:t>
      </w:r>
      <w:r w:rsidRPr="0044696C">
        <w:rPr>
          <w:sz w:val="24"/>
          <w:lang w:val="en-US"/>
        </w:rPr>
        <w:t xml:space="preserve"> </w:t>
      </w:r>
      <w:r>
        <w:rPr>
          <w:sz w:val="24"/>
          <w:lang w:val="en-US"/>
        </w:rPr>
        <w:t>GRANK</w:t>
      </w:r>
      <w:r w:rsidRPr="0044696C">
        <w:rPr>
          <w:sz w:val="24"/>
          <w:lang w:val="en-US"/>
        </w:rPr>
        <w:t xml:space="preserve"> </w:t>
      </w:r>
      <w:r>
        <w:rPr>
          <w:sz w:val="24"/>
          <w:lang w:val="en-US"/>
        </w:rPr>
        <w:t>method</w:t>
      </w:r>
      <w:r w:rsidRPr="0044696C">
        <w:rPr>
          <w:sz w:val="24"/>
          <w:lang w:val="en-US"/>
        </w:rPr>
        <w:t xml:space="preserve"> </w:t>
      </w:r>
      <w:r>
        <w:rPr>
          <w:sz w:val="24"/>
          <w:lang w:val="en-US"/>
        </w:rPr>
        <w:t>was</w:t>
      </w:r>
      <w:r w:rsidRPr="0044696C">
        <w:rPr>
          <w:sz w:val="24"/>
          <w:lang w:val="en-US"/>
        </w:rPr>
        <w:t xml:space="preserve"> </w:t>
      </w:r>
      <w:r>
        <w:rPr>
          <w:sz w:val="24"/>
          <w:lang w:val="en-US"/>
        </w:rPr>
        <w:t>used</w:t>
      </w:r>
      <w:r w:rsidRPr="0044696C">
        <w:rPr>
          <w:sz w:val="24"/>
          <w:lang w:val="en-US"/>
        </w:rPr>
        <w:t xml:space="preserve"> </w:t>
      </w:r>
      <w:r>
        <w:rPr>
          <w:sz w:val="24"/>
          <w:lang w:val="en-US"/>
        </w:rPr>
        <w:t>to</w:t>
      </w:r>
      <w:r w:rsidRPr="0044696C">
        <w:rPr>
          <w:sz w:val="24"/>
          <w:lang w:val="en-US"/>
        </w:rPr>
        <w:t xml:space="preserve"> </w:t>
      </w:r>
      <w:r>
        <w:rPr>
          <w:sz w:val="24"/>
          <w:lang w:val="en-US"/>
        </w:rPr>
        <w:t>test</w:t>
      </w:r>
      <w:r w:rsidRPr="0044696C">
        <w:rPr>
          <w:sz w:val="24"/>
          <w:lang w:val="en-US"/>
        </w:rPr>
        <w:t xml:space="preserve"> </w:t>
      </w:r>
      <w:r>
        <w:rPr>
          <w:sz w:val="24"/>
          <w:lang w:val="en-US"/>
        </w:rPr>
        <w:t>our</w:t>
      </w:r>
      <w:r w:rsidRPr="0044696C">
        <w:rPr>
          <w:sz w:val="24"/>
          <w:lang w:val="en-US"/>
        </w:rPr>
        <w:t xml:space="preserve"> </w:t>
      </w:r>
      <w:r>
        <w:rPr>
          <w:sz w:val="24"/>
          <w:lang w:val="en-US"/>
        </w:rPr>
        <w:t>hypotheses</w:t>
      </w:r>
      <w:r w:rsidRPr="0044696C">
        <w:rPr>
          <w:sz w:val="24"/>
          <w:lang w:val="en-US"/>
        </w:rPr>
        <w:t xml:space="preserve"> </w:t>
      </w:r>
      <w:r>
        <w:rPr>
          <w:sz w:val="24"/>
          <w:lang w:val="en-US"/>
        </w:rPr>
        <w:t>(</w:t>
      </w:r>
      <w:proofErr w:type="spellStart"/>
      <w:r w:rsidR="00245C3C" w:rsidRPr="00DB21BB">
        <w:rPr>
          <w:sz w:val="24"/>
          <w:szCs w:val="28"/>
          <w:lang w:val="en-US"/>
        </w:rPr>
        <w:t>Kolari</w:t>
      </w:r>
      <w:proofErr w:type="spellEnd"/>
      <w:r w:rsidR="00245C3C" w:rsidRPr="0044696C">
        <w:rPr>
          <w:sz w:val="24"/>
          <w:szCs w:val="28"/>
          <w:lang w:val="en-US"/>
        </w:rPr>
        <w:t>, 2010</w:t>
      </w:r>
      <w:r>
        <w:rPr>
          <w:sz w:val="24"/>
          <w:szCs w:val="28"/>
          <w:lang w:val="en-US"/>
        </w:rPr>
        <w:t>). The results obtained are presented at Table 1</w:t>
      </w:r>
      <w:r w:rsidR="009D069C" w:rsidRPr="006C16C9">
        <w:rPr>
          <w:bCs/>
          <w:sz w:val="24"/>
          <w:szCs w:val="28"/>
          <w:lang w:val="en-US"/>
        </w:rPr>
        <w:t>.</w:t>
      </w:r>
    </w:p>
    <w:p w:rsidR="009D069C" w:rsidRPr="006C16C9" w:rsidRDefault="006C16C9" w:rsidP="007E5F30">
      <w:pPr>
        <w:spacing w:line="240" w:lineRule="auto"/>
        <w:jc w:val="right"/>
        <w:rPr>
          <w:bCs/>
          <w:sz w:val="24"/>
          <w:szCs w:val="24"/>
          <w:lang w:val="en-US"/>
        </w:rPr>
      </w:pPr>
      <w:r>
        <w:rPr>
          <w:bCs/>
          <w:i/>
          <w:sz w:val="24"/>
          <w:szCs w:val="24"/>
          <w:lang w:val="en-US"/>
        </w:rPr>
        <w:t>Table 1</w:t>
      </w:r>
    </w:p>
    <w:p w:rsidR="009D069C" w:rsidRPr="006C16C9" w:rsidRDefault="006C16C9" w:rsidP="007E5F30">
      <w:pPr>
        <w:spacing w:line="240" w:lineRule="auto"/>
        <w:jc w:val="center"/>
        <w:rPr>
          <w:bCs/>
          <w:sz w:val="24"/>
          <w:szCs w:val="24"/>
          <w:lang w:val="en-US"/>
        </w:rPr>
      </w:pPr>
      <w:r>
        <w:rPr>
          <w:bCs/>
          <w:sz w:val="24"/>
          <w:szCs w:val="24"/>
          <w:lang w:val="en-US"/>
        </w:rPr>
        <w:t>Test statistics results for all the types of announcements</w:t>
      </w:r>
    </w:p>
    <w:tbl>
      <w:tblPr>
        <w:tblStyle w:val="af"/>
        <w:tblW w:w="9747" w:type="dxa"/>
        <w:tblLook w:val="04A0"/>
      </w:tblPr>
      <w:tblGrid>
        <w:gridCol w:w="1800"/>
        <w:gridCol w:w="2180"/>
        <w:gridCol w:w="2649"/>
        <w:gridCol w:w="3118"/>
      </w:tblGrid>
      <w:tr w:rsidR="009D069C" w:rsidRPr="006C16C9" w:rsidTr="00C55440">
        <w:trPr>
          <w:trHeight w:val="375"/>
        </w:trPr>
        <w:tc>
          <w:tcPr>
            <w:tcW w:w="1800" w:type="dxa"/>
            <w:noWrap/>
            <w:hideMark/>
          </w:tcPr>
          <w:p w:rsidR="009D069C" w:rsidRPr="006C16C9" w:rsidRDefault="006C16C9" w:rsidP="007E5F30">
            <w:pPr>
              <w:widowControl/>
              <w:spacing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Type of the news</w:t>
            </w:r>
          </w:p>
        </w:tc>
        <w:tc>
          <w:tcPr>
            <w:tcW w:w="2180" w:type="dxa"/>
          </w:tcPr>
          <w:p w:rsidR="006C16C9" w:rsidRDefault="009D069C" w:rsidP="007E5F30">
            <w:pPr>
              <w:widowControl/>
              <w:spacing w:line="240" w:lineRule="auto"/>
              <w:jc w:val="center"/>
              <w:rPr>
                <w:rFonts w:ascii="Times New Roman" w:hAnsi="Times New Roman"/>
                <w:bCs/>
                <w:color w:val="000000"/>
                <w:sz w:val="24"/>
                <w:szCs w:val="24"/>
                <w:lang w:val="en-US"/>
              </w:rPr>
            </w:pPr>
            <w:r w:rsidRPr="00C55440">
              <w:rPr>
                <w:rFonts w:ascii="Times New Roman" w:hAnsi="Times New Roman"/>
                <w:bCs/>
                <w:color w:val="000000"/>
                <w:sz w:val="24"/>
                <w:szCs w:val="24"/>
              </w:rPr>
              <w:t xml:space="preserve">CAAR </w:t>
            </w:r>
          </w:p>
          <w:p w:rsidR="009D069C" w:rsidRPr="00C55440" w:rsidRDefault="009D069C" w:rsidP="007E5F30">
            <w:pPr>
              <w:widowControl/>
              <w:spacing w:line="240" w:lineRule="auto"/>
              <w:jc w:val="center"/>
              <w:rPr>
                <w:rFonts w:ascii="Times New Roman" w:hAnsi="Times New Roman"/>
                <w:bCs/>
                <w:color w:val="000000"/>
                <w:sz w:val="24"/>
                <w:szCs w:val="24"/>
              </w:rPr>
            </w:pPr>
            <w:r w:rsidRPr="00C55440">
              <w:rPr>
                <w:rFonts w:ascii="Times New Roman" w:hAnsi="Times New Roman"/>
                <w:bCs/>
                <w:color w:val="000000"/>
                <w:sz w:val="24"/>
                <w:szCs w:val="24"/>
              </w:rPr>
              <w:t>GRANK</w:t>
            </w:r>
          </w:p>
        </w:tc>
        <w:tc>
          <w:tcPr>
            <w:tcW w:w="2649" w:type="dxa"/>
          </w:tcPr>
          <w:p w:rsidR="009D069C" w:rsidRPr="006C16C9" w:rsidRDefault="006C16C9" w:rsidP="006C16C9">
            <w:pPr>
              <w:widowControl/>
              <w:spacing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Student</w:t>
            </w:r>
            <w:r w:rsidRPr="006C16C9">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test</w:t>
            </w:r>
            <w:r w:rsidRPr="006C16C9">
              <w:rPr>
                <w:rFonts w:ascii="Times New Roman" w:hAnsi="Times New Roman"/>
                <w:bCs/>
                <w:color w:val="000000"/>
                <w:sz w:val="24"/>
                <w:szCs w:val="24"/>
                <w:lang w:val="en-US"/>
              </w:rPr>
              <w:t xml:space="preserve">, </w:t>
            </w:r>
            <w:r w:rsidR="009D069C" w:rsidRPr="006C16C9">
              <w:rPr>
                <w:rFonts w:ascii="Times New Roman" w:hAnsi="Times New Roman"/>
                <w:bCs/>
                <w:color w:val="000000"/>
                <w:sz w:val="24"/>
                <w:szCs w:val="24"/>
                <w:lang w:val="en-US"/>
              </w:rPr>
              <w:t>10</w:t>
            </w:r>
            <w:r w:rsidR="0092545E" w:rsidRPr="006C16C9">
              <w:rPr>
                <w:rFonts w:ascii="Times New Roman" w:hAnsi="Times New Roman"/>
                <w:bCs/>
                <w:color w:val="000000"/>
                <w:sz w:val="24"/>
                <w:szCs w:val="24"/>
                <w:lang w:val="en-US"/>
              </w:rPr>
              <w:t>-</w:t>
            </w:r>
            <w:r w:rsidR="009D069C" w:rsidRPr="006C16C9">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level of significance</w:t>
            </w:r>
          </w:p>
        </w:tc>
        <w:tc>
          <w:tcPr>
            <w:tcW w:w="3118" w:type="dxa"/>
            <w:noWrap/>
            <w:hideMark/>
          </w:tcPr>
          <w:p w:rsidR="009D069C" w:rsidRPr="006C16C9" w:rsidRDefault="006C16C9" w:rsidP="006C16C9">
            <w:pPr>
              <w:widowControl/>
              <w:spacing w:line="240" w:lineRule="auto"/>
              <w:jc w:val="center"/>
              <w:rPr>
                <w:rFonts w:ascii="Times New Roman" w:hAnsi="Times New Roman"/>
                <w:bCs/>
                <w:color w:val="000000"/>
                <w:sz w:val="24"/>
                <w:szCs w:val="24"/>
                <w:lang w:val="en-US"/>
              </w:rPr>
            </w:pPr>
            <w:r>
              <w:rPr>
                <w:rFonts w:ascii="Times New Roman" w:hAnsi="Times New Roman"/>
                <w:bCs/>
                <w:color w:val="000000"/>
                <w:sz w:val="24"/>
                <w:szCs w:val="24"/>
                <w:lang w:val="en-US"/>
              </w:rPr>
              <w:t>Student</w:t>
            </w:r>
            <w:r w:rsidRPr="006C16C9">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test</w:t>
            </w:r>
            <w:r w:rsidRPr="006C16C9">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5</w:t>
            </w:r>
            <w:r w:rsidRPr="006C16C9">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level of significance</w:t>
            </w:r>
          </w:p>
        </w:tc>
      </w:tr>
      <w:tr w:rsidR="009D069C" w:rsidRPr="00C55440" w:rsidTr="00C55440">
        <w:trPr>
          <w:trHeight w:val="375"/>
        </w:trPr>
        <w:tc>
          <w:tcPr>
            <w:tcW w:w="1800" w:type="dxa"/>
            <w:noWrap/>
            <w:hideMark/>
          </w:tcPr>
          <w:p w:rsidR="009D069C" w:rsidRPr="006C16C9" w:rsidRDefault="006C16C9" w:rsidP="007E5F30">
            <w:pPr>
              <w:widowControl/>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Good</w:t>
            </w:r>
          </w:p>
        </w:tc>
        <w:tc>
          <w:tcPr>
            <w:tcW w:w="2180" w:type="dxa"/>
          </w:tcPr>
          <w:p w:rsidR="009D069C" w:rsidRPr="00C55440" w:rsidRDefault="009D069C" w:rsidP="007E5F30">
            <w:pPr>
              <w:spacing w:line="240" w:lineRule="auto"/>
              <w:jc w:val="center"/>
              <w:rPr>
                <w:rFonts w:ascii="Times New Roman" w:hAnsi="Times New Roman"/>
                <w:color w:val="000000"/>
                <w:sz w:val="24"/>
                <w:szCs w:val="24"/>
              </w:rPr>
            </w:pPr>
            <w:r w:rsidRPr="00C55440">
              <w:rPr>
                <w:rFonts w:ascii="Times New Roman" w:hAnsi="Times New Roman"/>
                <w:color w:val="000000"/>
                <w:sz w:val="24"/>
                <w:szCs w:val="24"/>
              </w:rPr>
              <w:t>-8,07489*</w:t>
            </w:r>
          </w:p>
        </w:tc>
        <w:tc>
          <w:tcPr>
            <w:tcW w:w="2649" w:type="dxa"/>
          </w:tcPr>
          <w:p w:rsidR="009D069C" w:rsidRPr="00C55440" w:rsidRDefault="009D069C" w:rsidP="007E5F30">
            <w:pPr>
              <w:spacing w:line="240" w:lineRule="auto"/>
              <w:jc w:val="center"/>
              <w:rPr>
                <w:rFonts w:ascii="Times New Roman" w:hAnsi="Times New Roman"/>
                <w:color w:val="000000"/>
                <w:sz w:val="24"/>
                <w:szCs w:val="24"/>
              </w:rPr>
            </w:pPr>
            <w:r w:rsidRPr="00C55440">
              <w:rPr>
                <w:rFonts w:ascii="Times New Roman" w:hAnsi="Times New Roman"/>
                <w:color w:val="000000"/>
                <w:sz w:val="24"/>
                <w:szCs w:val="24"/>
              </w:rPr>
              <w:t>1,676</w:t>
            </w:r>
          </w:p>
        </w:tc>
        <w:tc>
          <w:tcPr>
            <w:tcW w:w="3118" w:type="dxa"/>
            <w:noWrap/>
            <w:hideMark/>
          </w:tcPr>
          <w:p w:rsidR="009D069C" w:rsidRPr="00C55440" w:rsidRDefault="009D069C" w:rsidP="007E5F30">
            <w:pPr>
              <w:spacing w:line="240" w:lineRule="auto"/>
              <w:jc w:val="center"/>
              <w:rPr>
                <w:rFonts w:ascii="Times New Roman" w:hAnsi="Times New Roman"/>
                <w:color w:val="000000"/>
                <w:sz w:val="24"/>
                <w:szCs w:val="24"/>
              </w:rPr>
            </w:pPr>
            <w:r w:rsidRPr="00C55440">
              <w:rPr>
                <w:rFonts w:ascii="Times New Roman" w:hAnsi="Times New Roman"/>
                <w:color w:val="000000"/>
                <w:sz w:val="24"/>
                <w:szCs w:val="24"/>
              </w:rPr>
              <w:t>2,009</w:t>
            </w:r>
          </w:p>
        </w:tc>
      </w:tr>
      <w:tr w:rsidR="009D069C" w:rsidRPr="00C55440" w:rsidTr="00C55440">
        <w:trPr>
          <w:trHeight w:val="375"/>
        </w:trPr>
        <w:tc>
          <w:tcPr>
            <w:tcW w:w="1800" w:type="dxa"/>
            <w:noWrap/>
            <w:hideMark/>
          </w:tcPr>
          <w:p w:rsidR="009D069C" w:rsidRPr="006C16C9" w:rsidRDefault="006C16C9" w:rsidP="007E5F30">
            <w:pPr>
              <w:widowControl/>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Bad</w:t>
            </w:r>
          </w:p>
        </w:tc>
        <w:tc>
          <w:tcPr>
            <w:tcW w:w="2180" w:type="dxa"/>
          </w:tcPr>
          <w:p w:rsidR="009D069C" w:rsidRPr="00C55440" w:rsidRDefault="009D069C" w:rsidP="007E5F30">
            <w:pPr>
              <w:spacing w:line="240" w:lineRule="auto"/>
              <w:jc w:val="center"/>
              <w:rPr>
                <w:rFonts w:ascii="Times New Roman" w:hAnsi="Times New Roman"/>
                <w:color w:val="000000"/>
                <w:sz w:val="24"/>
                <w:szCs w:val="24"/>
              </w:rPr>
            </w:pPr>
            <w:r w:rsidRPr="00C55440">
              <w:rPr>
                <w:rFonts w:ascii="Times New Roman" w:hAnsi="Times New Roman"/>
                <w:color w:val="000000"/>
                <w:sz w:val="24"/>
                <w:szCs w:val="24"/>
              </w:rPr>
              <w:t>-2,02063**</w:t>
            </w:r>
          </w:p>
        </w:tc>
        <w:tc>
          <w:tcPr>
            <w:tcW w:w="2649" w:type="dxa"/>
          </w:tcPr>
          <w:p w:rsidR="009D069C" w:rsidRPr="00C55440" w:rsidRDefault="009D069C" w:rsidP="007E5F30">
            <w:pPr>
              <w:spacing w:line="240" w:lineRule="auto"/>
              <w:jc w:val="center"/>
              <w:rPr>
                <w:rFonts w:ascii="Times New Roman" w:hAnsi="Times New Roman"/>
                <w:color w:val="000000"/>
                <w:sz w:val="24"/>
                <w:szCs w:val="24"/>
              </w:rPr>
            </w:pPr>
            <w:r w:rsidRPr="00C55440">
              <w:rPr>
                <w:rFonts w:ascii="Times New Roman" w:hAnsi="Times New Roman"/>
                <w:color w:val="000000"/>
                <w:sz w:val="24"/>
                <w:szCs w:val="24"/>
              </w:rPr>
              <w:t>1,699</w:t>
            </w:r>
          </w:p>
        </w:tc>
        <w:tc>
          <w:tcPr>
            <w:tcW w:w="3118" w:type="dxa"/>
            <w:noWrap/>
            <w:hideMark/>
          </w:tcPr>
          <w:p w:rsidR="009D069C" w:rsidRPr="00C55440" w:rsidRDefault="009D069C" w:rsidP="007E5F30">
            <w:pPr>
              <w:spacing w:line="240" w:lineRule="auto"/>
              <w:jc w:val="center"/>
              <w:rPr>
                <w:rFonts w:ascii="Times New Roman" w:hAnsi="Times New Roman"/>
                <w:color w:val="000000"/>
                <w:sz w:val="24"/>
                <w:szCs w:val="24"/>
              </w:rPr>
            </w:pPr>
            <w:r w:rsidRPr="00C55440">
              <w:rPr>
                <w:rFonts w:ascii="Times New Roman" w:hAnsi="Times New Roman"/>
                <w:color w:val="000000"/>
                <w:sz w:val="24"/>
                <w:szCs w:val="24"/>
              </w:rPr>
              <w:t>2,045</w:t>
            </w:r>
          </w:p>
        </w:tc>
      </w:tr>
      <w:tr w:rsidR="009D069C" w:rsidRPr="00C55440" w:rsidTr="00C55440">
        <w:trPr>
          <w:trHeight w:val="375"/>
        </w:trPr>
        <w:tc>
          <w:tcPr>
            <w:tcW w:w="1800" w:type="dxa"/>
            <w:noWrap/>
            <w:hideMark/>
          </w:tcPr>
          <w:p w:rsidR="009D069C" w:rsidRPr="006C16C9" w:rsidRDefault="006C16C9" w:rsidP="007E5F30">
            <w:pPr>
              <w:widowControl/>
              <w:spacing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Neutral</w:t>
            </w:r>
          </w:p>
        </w:tc>
        <w:tc>
          <w:tcPr>
            <w:tcW w:w="2180" w:type="dxa"/>
          </w:tcPr>
          <w:p w:rsidR="009D069C" w:rsidRPr="00C55440" w:rsidRDefault="009D069C" w:rsidP="007E5F30">
            <w:pPr>
              <w:spacing w:line="240" w:lineRule="auto"/>
              <w:jc w:val="center"/>
              <w:rPr>
                <w:rFonts w:ascii="Times New Roman" w:hAnsi="Times New Roman"/>
                <w:color w:val="000000"/>
                <w:sz w:val="24"/>
                <w:szCs w:val="24"/>
              </w:rPr>
            </w:pPr>
            <w:r w:rsidRPr="00C55440">
              <w:rPr>
                <w:rFonts w:ascii="Times New Roman" w:hAnsi="Times New Roman"/>
                <w:color w:val="000000"/>
                <w:sz w:val="24"/>
                <w:szCs w:val="24"/>
              </w:rPr>
              <w:t>-1,59641</w:t>
            </w:r>
          </w:p>
        </w:tc>
        <w:tc>
          <w:tcPr>
            <w:tcW w:w="2649" w:type="dxa"/>
          </w:tcPr>
          <w:p w:rsidR="009D069C" w:rsidRPr="00C55440" w:rsidRDefault="009D069C" w:rsidP="007E5F30">
            <w:pPr>
              <w:spacing w:line="240" w:lineRule="auto"/>
              <w:jc w:val="center"/>
              <w:rPr>
                <w:rFonts w:ascii="Times New Roman" w:hAnsi="Times New Roman"/>
                <w:color w:val="000000"/>
                <w:sz w:val="24"/>
                <w:szCs w:val="24"/>
              </w:rPr>
            </w:pPr>
            <w:r w:rsidRPr="00C55440">
              <w:rPr>
                <w:rFonts w:ascii="Times New Roman" w:hAnsi="Times New Roman"/>
                <w:color w:val="000000"/>
                <w:sz w:val="24"/>
                <w:szCs w:val="24"/>
              </w:rPr>
              <w:t>1,753</w:t>
            </w:r>
          </w:p>
        </w:tc>
        <w:tc>
          <w:tcPr>
            <w:tcW w:w="3118" w:type="dxa"/>
            <w:noWrap/>
            <w:hideMark/>
          </w:tcPr>
          <w:p w:rsidR="009D069C" w:rsidRPr="00C55440" w:rsidRDefault="009D069C" w:rsidP="007E5F30">
            <w:pPr>
              <w:spacing w:line="240" w:lineRule="auto"/>
              <w:jc w:val="center"/>
              <w:rPr>
                <w:rFonts w:ascii="Times New Roman" w:hAnsi="Times New Roman"/>
                <w:color w:val="000000"/>
                <w:sz w:val="24"/>
                <w:szCs w:val="24"/>
              </w:rPr>
            </w:pPr>
            <w:r w:rsidRPr="00C55440">
              <w:rPr>
                <w:rFonts w:ascii="Times New Roman" w:hAnsi="Times New Roman"/>
                <w:color w:val="000000"/>
                <w:sz w:val="24"/>
                <w:szCs w:val="24"/>
              </w:rPr>
              <w:t>2,131</w:t>
            </w:r>
          </w:p>
        </w:tc>
      </w:tr>
    </w:tbl>
    <w:p w:rsidR="009D069C" w:rsidRPr="006C16C9" w:rsidRDefault="009D069C" w:rsidP="007E5F30">
      <w:pPr>
        <w:spacing w:line="240" w:lineRule="auto"/>
        <w:ind w:firstLine="426"/>
        <w:rPr>
          <w:color w:val="000000"/>
          <w:sz w:val="22"/>
          <w:szCs w:val="24"/>
          <w:lang w:val="en-US"/>
        </w:rPr>
      </w:pPr>
      <w:r w:rsidRPr="006C16C9">
        <w:rPr>
          <w:color w:val="000000"/>
          <w:sz w:val="20"/>
          <w:szCs w:val="24"/>
          <w:lang w:val="en-US"/>
        </w:rPr>
        <w:t xml:space="preserve">* </w:t>
      </w:r>
      <w:r w:rsidRPr="006C16C9">
        <w:rPr>
          <w:color w:val="000000"/>
          <w:sz w:val="22"/>
          <w:szCs w:val="24"/>
          <w:lang w:val="en-US"/>
        </w:rPr>
        <w:t xml:space="preserve">- </w:t>
      </w:r>
      <w:r w:rsidR="006C16C9">
        <w:rPr>
          <w:color w:val="000000"/>
          <w:sz w:val="22"/>
          <w:szCs w:val="24"/>
          <w:lang w:val="en-US"/>
        </w:rPr>
        <w:t xml:space="preserve">significant at the </w:t>
      </w:r>
      <w:r w:rsidRPr="006C16C9">
        <w:rPr>
          <w:color w:val="000000"/>
          <w:sz w:val="22"/>
          <w:szCs w:val="24"/>
          <w:lang w:val="en-US"/>
        </w:rPr>
        <w:t>5</w:t>
      </w:r>
      <w:r w:rsidR="006C16C9">
        <w:rPr>
          <w:color w:val="000000"/>
          <w:sz w:val="22"/>
          <w:szCs w:val="24"/>
          <w:lang w:val="en-US"/>
        </w:rPr>
        <w:t>-</w:t>
      </w:r>
      <w:r w:rsidRPr="006C16C9">
        <w:rPr>
          <w:color w:val="000000"/>
          <w:sz w:val="22"/>
          <w:szCs w:val="24"/>
          <w:lang w:val="en-US"/>
        </w:rPr>
        <w:t>%</w:t>
      </w:r>
      <w:r w:rsidR="006C16C9">
        <w:rPr>
          <w:color w:val="000000"/>
          <w:sz w:val="22"/>
          <w:szCs w:val="24"/>
          <w:lang w:val="en-US"/>
        </w:rPr>
        <w:t xml:space="preserve"> level of significance</w:t>
      </w:r>
      <w:r w:rsidRPr="006C16C9">
        <w:rPr>
          <w:color w:val="000000"/>
          <w:sz w:val="22"/>
          <w:szCs w:val="24"/>
          <w:lang w:val="en-US"/>
        </w:rPr>
        <w:t>;</w:t>
      </w:r>
    </w:p>
    <w:p w:rsidR="009D069C" w:rsidRPr="006C16C9" w:rsidRDefault="009D069C" w:rsidP="007E5F30">
      <w:pPr>
        <w:spacing w:line="240" w:lineRule="auto"/>
        <w:ind w:firstLine="426"/>
        <w:rPr>
          <w:color w:val="000000"/>
          <w:sz w:val="22"/>
          <w:szCs w:val="24"/>
          <w:lang w:val="en-US"/>
        </w:rPr>
      </w:pPr>
      <w:proofErr w:type="gramStart"/>
      <w:r w:rsidRPr="006C16C9">
        <w:rPr>
          <w:color w:val="000000"/>
          <w:sz w:val="22"/>
          <w:szCs w:val="24"/>
          <w:lang w:val="en-US"/>
        </w:rPr>
        <w:t xml:space="preserve">** - </w:t>
      </w:r>
      <w:r w:rsidR="006C16C9">
        <w:rPr>
          <w:color w:val="000000"/>
          <w:sz w:val="22"/>
          <w:szCs w:val="24"/>
          <w:lang w:val="en-US"/>
        </w:rPr>
        <w:t>significant at the 10-</w:t>
      </w:r>
      <w:r w:rsidR="006C16C9" w:rsidRPr="006C16C9">
        <w:rPr>
          <w:color w:val="000000"/>
          <w:sz w:val="22"/>
          <w:szCs w:val="24"/>
          <w:lang w:val="en-US"/>
        </w:rPr>
        <w:t>%</w:t>
      </w:r>
      <w:r w:rsidR="006C16C9">
        <w:rPr>
          <w:color w:val="000000"/>
          <w:sz w:val="22"/>
          <w:szCs w:val="24"/>
          <w:lang w:val="en-US"/>
        </w:rPr>
        <w:t xml:space="preserve"> level of significance</w:t>
      </w:r>
      <w:r w:rsidRPr="006C16C9">
        <w:rPr>
          <w:color w:val="000000"/>
          <w:sz w:val="22"/>
          <w:szCs w:val="24"/>
          <w:lang w:val="en-US"/>
        </w:rPr>
        <w:t>.</w:t>
      </w:r>
      <w:proofErr w:type="gramEnd"/>
    </w:p>
    <w:p w:rsidR="006C16C9" w:rsidRPr="006C16C9" w:rsidRDefault="006C16C9" w:rsidP="006C16C9">
      <w:pPr>
        <w:spacing w:line="240" w:lineRule="auto"/>
        <w:rPr>
          <w:sz w:val="24"/>
          <w:lang w:val="en-US"/>
        </w:rPr>
      </w:pPr>
      <w:r>
        <w:rPr>
          <w:sz w:val="24"/>
          <w:lang w:val="en-US"/>
        </w:rPr>
        <w:t>The</w:t>
      </w:r>
      <w:r w:rsidRPr="006C16C9">
        <w:rPr>
          <w:sz w:val="24"/>
          <w:lang w:val="en-US"/>
        </w:rPr>
        <w:t xml:space="preserve"> hypothesis of normality of the distribution </w:t>
      </w:r>
      <w:r>
        <w:rPr>
          <w:sz w:val="24"/>
          <w:lang w:val="en-US"/>
        </w:rPr>
        <w:t>for</w:t>
      </w:r>
      <w:r w:rsidRPr="006C16C9">
        <w:rPr>
          <w:sz w:val="24"/>
          <w:lang w:val="en-US"/>
        </w:rPr>
        <w:t xml:space="preserve"> the sample of "good" </w:t>
      </w:r>
      <w:r>
        <w:rPr>
          <w:sz w:val="24"/>
          <w:lang w:val="en-US"/>
        </w:rPr>
        <w:t>announcements</w:t>
      </w:r>
      <w:r w:rsidRPr="006C16C9">
        <w:rPr>
          <w:sz w:val="24"/>
          <w:lang w:val="en-US"/>
        </w:rPr>
        <w:t xml:space="preserve"> </w:t>
      </w:r>
      <w:r>
        <w:rPr>
          <w:sz w:val="24"/>
          <w:lang w:val="en-US"/>
        </w:rPr>
        <w:t xml:space="preserve">is </w:t>
      </w:r>
      <w:r w:rsidRPr="006C16C9">
        <w:rPr>
          <w:sz w:val="24"/>
          <w:lang w:val="en-US"/>
        </w:rPr>
        <w:t>rejected at 5</w:t>
      </w:r>
      <w:r>
        <w:rPr>
          <w:sz w:val="24"/>
          <w:lang w:val="en-US"/>
        </w:rPr>
        <w:t>-</w:t>
      </w:r>
      <w:r w:rsidRPr="006C16C9">
        <w:rPr>
          <w:sz w:val="24"/>
          <w:lang w:val="en-US"/>
        </w:rPr>
        <w:t xml:space="preserve">% significance level, and the hypothesis of normality of the distribution </w:t>
      </w:r>
      <w:r>
        <w:rPr>
          <w:sz w:val="24"/>
          <w:lang w:val="en-US"/>
        </w:rPr>
        <w:t>for</w:t>
      </w:r>
      <w:r w:rsidRPr="006C16C9">
        <w:rPr>
          <w:sz w:val="24"/>
          <w:lang w:val="en-US"/>
        </w:rPr>
        <w:t xml:space="preserve"> the sample of "</w:t>
      </w:r>
      <w:r>
        <w:rPr>
          <w:sz w:val="24"/>
          <w:lang w:val="en-US"/>
        </w:rPr>
        <w:t>bad</w:t>
      </w:r>
      <w:r w:rsidRPr="006C16C9">
        <w:rPr>
          <w:sz w:val="24"/>
          <w:lang w:val="en-US"/>
        </w:rPr>
        <w:t xml:space="preserve">" </w:t>
      </w:r>
      <w:r>
        <w:rPr>
          <w:sz w:val="24"/>
          <w:lang w:val="en-US"/>
        </w:rPr>
        <w:t>announcements</w:t>
      </w:r>
      <w:r w:rsidRPr="006C16C9">
        <w:rPr>
          <w:sz w:val="24"/>
          <w:lang w:val="en-US"/>
        </w:rPr>
        <w:t xml:space="preserve"> </w:t>
      </w:r>
      <w:r>
        <w:rPr>
          <w:sz w:val="24"/>
          <w:lang w:val="en-US"/>
        </w:rPr>
        <w:t xml:space="preserve">is </w:t>
      </w:r>
      <w:r w:rsidRPr="006C16C9">
        <w:rPr>
          <w:sz w:val="24"/>
          <w:lang w:val="en-US"/>
        </w:rPr>
        <w:t xml:space="preserve">rejected at 10% significance level. Thus, we can conclude that the announcement </w:t>
      </w:r>
      <w:r>
        <w:rPr>
          <w:sz w:val="24"/>
          <w:lang w:val="en-US"/>
        </w:rPr>
        <w:t>about</w:t>
      </w:r>
      <w:r w:rsidRPr="006C16C9">
        <w:rPr>
          <w:sz w:val="24"/>
          <w:lang w:val="en-US"/>
        </w:rPr>
        <w:t xml:space="preserve"> the changes in dividend payments affect</w:t>
      </w:r>
      <w:r>
        <w:rPr>
          <w:sz w:val="24"/>
          <w:lang w:val="en-US"/>
        </w:rPr>
        <w:t>s</w:t>
      </w:r>
      <w:r w:rsidRPr="006C16C9">
        <w:rPr>
          <w:sz w:val="24"/>
          <w:lang w:val="en-US"/>
        </w:rPr>
        <w:t xml:space="preserve"> significantly the company's </w:t>
      </w:r>
      <w:r>
        <w:rPr>
          <w:sz w:val="24"/>
          <w:lang w:val="en-US"/>
        </w:rPr>
        <w:t>share price</w:t>
      </w:r>
      <w:r w:rsidRPr="006C16C9">
        <w:rPr>
          <w:sz w:val="24"/>
          <w:lang w:val="en-US"/>
        </w:rPr>
        <w:t xml:space="preserve">. "Neutral" news, on the other hand, </w:t>
      </w:r>
      <w:proofErr w:type="gramStart"/>
      <w:r w:rsidRPr="006C16C9">
        <w:rPr>
          <w:sz w:val="24"/>
          <w:lang w:val="en-US"/>
        </w:rPr>
        <w:t>do</w:t>
      </w:r>
      <w:proofErr w:type="gramEnd"/>
      <w:r w:rsidRPr="006C16C9">
        <w:rPr>
          <w:sz w:val="24"/>
          <w:lang w:val="en-US"/>
        </w:rPr>
        <w:t xml:space="preserve"> not affect the company's share price, </w:t>
      </w:r>
      <w:r>
        <w:rPr>
          <w:sz w:val="24"/>
          <w:lang w:val="en-US"/>
        </w:rPr>
        <w:t>so</w:t>
      </w:r>
      <w:r w:rsidRPr="006C16C9">
        <w:rPr>
          <w:sz w:val="24"/>
          <w:lang w:val="en-US"/>
        </w:rPr>
        <w:t xml:space="preserve"> our third hypothesis is supported. </w:t>
      </w:r>
    </w:p>
    <w:p w:rsidR="000819F8" w:rsidRPr="006C16C9" w:rsidRDefault="006C16C9" w:rsidP="006C16C9">
      <w:pPr>
        <w:spacing w:line="240" w:lineRule="auto"/>
        <w:jc w:val="center"/>
        <w:rPr>
          <w:noProof/>
        </w:rPr>
      </w:pPr>
      <w:r w:rsidRPr="006C16C9">
        <w:rPr>
          <w:sz w:val="24"/>
          <w:lang w:val="en-US"/>
        </w:rPr>
        <w:t>To check the remaining hypothes</w:t>
      </w:r>
      <w:r>
        <w:rPr>
          <w:sz w:val="24"/>
          <w:lang w:val="en-US"/>
        </w:rPr>
        <w:t>i</w:t>
      </w:r>
      <w:r w:rsidRPr="006C16C9">
        <w:rPr>
          <w:sz w:val="24"/>
          <w:lang w:val="en-US"/>
        </w:rPr>
        <w:t>s</w:t>
      </w:r>
      <w:r>
        <w:rPr>
          <w:sz w:val="24"/>
          <w:lang w:val="en-US"/>
        </w:rPr>
        <w:t>, we have calculated abnormal returns and cumulative abnormal return</w:t>
      </w:r>
      <w:r w:rsidRPr="006C16C9">
        <w:rPr>
          <w:sz w:val="24"/>
          <w:lang w:val="en-US"/>
        </w:rPr>
        <w:t xml:space="preserve"> for each </w:t>
      </w:r>
      <w:r>
        <w:rPr>
          <w:sz w:val="24"/>
          <w:lang w:val="en-US"/>
        </w:rPr>
        <w:t xml:space="preserve">announcement in the </w:t>
      </w:r>
      <w:r w:rsidRPr="006C16C9">
        <w:rPr>
          <w:sz w:val="24"/>
          <w:lang w:val="en-US"/>
        </w:rPr>
        <w:t xml:space="preserve">sample. Analysis of the </w:t>
      </w:r>
      <w:r>
        <w:rPr>
          <w:sz w:val="24"/>
          <w:lang w:val="en-US"/>
        </w:rPr>
        <w:t>cumulative abnormal return</w:t>
      </w:r>
      <w:r w:rsidRPr="006C16C9">
        <w:rPr>
          <w:sz w:val="24"/>
          <w:lang w:val="en-US"/>
        </w:rPr>
        <w:t xml:space="preserve"> shows that the "good" news (increase of dividends) from 2009 to 2014 </w:t>
      </w:r>
      <w:proofErr w:type="gramStart"/>
      <w:r w:rsidRPr="006C16C9">
        <w:rPr>
          <w:sz w:val="24"/>
          <w:lang w:val="en-US"/>
        </w:rPr>
        <w:t>have</w:t>
      </w:r>
      <w:proofErr w:type="gramEnd"/>
      <w:r w:rsidRPr="006C16C9">
        <w:rPr>
          <w:sz w:val="24"/>
          <w:lang w:val="en-US"/>
        </w:rPr>
        <w:t xml:space="preserve"> a negative effect on the reaction of the stock market (Fig. 2).</w:t>
      </w:r>
      <w:r w:rsidR="000819F8">
        <w:rPr>
          <w:noProof/>
        </w:rPr>
        <w:drawing>
          <wp:inline distT="0" distB="0" distL="0" distR="0">
            <wp:extent cx="4400550" cy="2362200"/>
            <wp:effectExtent l="0" t="0" r="0" b="0"/>
            <wp:docPr id="43" name="Рисунок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19F8" w:rsidRPr="006C16C9" w:rsidRDefault="006C16C9" w:rsidP="007E5F30">
      <w:pPr>
        <w:spacing w:line="240" w:lineRule="auto"/>
        <w:jc w:val="center"/>
        <w:rPr>
          <w:noProof/>
          <w:sz w:val="24"/>
          <w:lang w:val="en-US"/>
        </w:rPr>
      </w:pPr>
      <w:r>
        <w:rPr>
          <w:noProof/>
          <w:sz w:val="24"/>
          <w:lang w:val="en-US"/>
        </w:rPr>
        <w:t>Fig</w:t>
      </w:r>
      <w:r w:rsidR="000819F8" w:rsidRPr="006C16C9">
        <w:rPr>
          <w:noProof/>
          <w:sz w:val="24"/>
          <w:lang w:val="en-US"/>
        </w:rPr>
        <w:t xml:space="preserve"> </w:t>
      </w:r>
      <w:r w:rsidR="002A090D" w:rsidRPr="006C16C9">
        <w:rPr>
          <w:noProof/>
          <w:sz w:val="24"/>
          <w:lang w:val="en-US"/>
        </w:rPr>
        <w:t>2</w:t>
      </w:r>
      <w:r w:rsidR="004346F1" w:rsidRPr="006C16C9">
        <w:rPr>
          <w:noProof/>
          <w:sz w:val="24"/>
          <w:lang w:val="en-US"/>
        </w:rPr>
        <w:t>.</w:t>
      </w:r>
      <w:r w:rsidR="000819F8" w:rsidRPr="006C16C9">
        <w:rPr>
          <w:noProof/>
          <w:sz w:val="24"/>
          <w:lang w:val="en-US"/>
        </w:rPr>
        <w:t xml:space="preserve"> </w:t>
      </w:r>
      <w:r>
        <w:rPr>
          <w:noProof/>
          <w:sz w:val="24"/>
          <w:lang w:val="en-US"/>
        </w:rPr>
        <w:t>The reaction at the “good” announcements</w:t>
      </w:r>
    </w:p>
    <w:p w:rsidR="006C16C9" w:rsidRPr="006C16C9" w:rsidRDefault="006C16C9" w:rsidP="006C16C9">
      <w:pPr>
        <w:spacing w:line="240" w:lineRule="auto"/>
        <w:rPr>
          <w:noProof/>
          <w:sz w:val="24"/>
          <w:lang w:val="en-US"/>
        </w:rPr>
      </w:pPr>
      <w:r w:rsidRPr="006C16C9">
        <w:rPr>
          <w:noProof/>
          <w:sz w:val="24"/>
          <w:lang w:val="en-US"/>
        </w:rPr>
        <w:t xml:space="preserve">The figure </w:t>
      </w:r>
      <w:r w:rsidR="00F679FA">
        <w:rPr>
          <w:noProof/>
          <w:sz w:val="24"/>
          <w:lang w:val="en-US"/>
        </w:rPr>
        <w:t>demonstrates the n</w:t>
      </w:r>
      <w:r w:rsidRPr="006C16C9">
        <w:rPr>
          <w:noProof/>
          <w:sz w:val="24"/>
          <w:lang w:val="en-US"/>
        </w:rPr>
        <w:t>egative</w:t>
      </w:r>
      <w:r w:rsidR="00F679FA">
        <w:rPr>
          <w:noProof/>
          <w:sz w:val="24"/>
          <w:lang w:val="en-US"/>
        </w:rPr>
        <w:t xml:space="preserve"> CAAR within</w:t>
      </w:r>
      <w:r w:rsidRPr="006C16C9">
        <w:rPr>
          <w:noProof/>
          <w:sz w:val="24"/>
          <w:lang w:val="en-US"/>
        </w:rPr>
        <w:t xml:space="preserve"> the entire event window, i</w:t>
      </w:r>
      <w:r w:rsidR="00F679FA">
        <w:rPr>
          <w:noProof/>
          <w:sz w:val="24"/>
          <w:lang w:val="en-US"/>
        </w:rPr>
        <w:t>.</w:t>
      </w:r>
      <w:r w:rsidRPr="006C16C9">
        <w:rPr>
          <w:noProof/>
          <w:sz w:val="24"/>
          <w:lang w:val="en-US"/>
        </w:rPr>
        <w:t xml:space="preserve">e company's stock price declines </w:t>
      </w:r>
      <w:r w:rsidR="00F679FA">
        <w:rPr>
          <w:noProof/>
          <w:sz w:val="24"/>
          <w:lang w:val="en-US"/>
        </w:rPr>
        <w:t>steadily over the observed period</w:t>
      </w:r>
      <w:r w:rsidRPr="006C16C9">
        <w:rPr>
          <w:noProof/>
          <w:sz w:val="24"/>
          <w:lang w:val="en-US"/>
        </w:rPr>
        <w:t xml:space="preserve">. </w:t>
      </w:r>
      <w:r w:rsidR="00F679FA" w:rsidRPr="006C16C9">
        <w:rPr>
          <w:noProof/>
          <w:sz w:val="24"/>
          <w:lang w:val="en-US"/>
        </w:rPr>
        <w:t xml:space="preserve">After </w:t>
      </w:r>
      <w:r w:rsidRPr="006C16C9">
        <w:rPr>
          <w:noProof/>
          <w:sz w:val="24"/>
          <w:lang w:val="en-US"/>
        </w:rPr>
        <w:t>all the market participants recognize that the company increases dividends</w:t>
      </w:r>
      <w:r w:rsidR="00F679FA">
        <w:rPr>
          <w:noProof/>
          <w:sz w:val="24"/>
          <w:lang w:val="en-US"/>
        </w:rPr>
        <w:t xml:space="preserve"> (</w:t>
      </w:r>
      <w:r w:rsidRPr="006C16C9">
        <w:rPr>
          <w:noProof/>
          <w:sz w:val="24"/>
          <w:lang w:val="en-US"/>
        </w:rPr>
        <w:t>t = 0</w:t>
      </w:r>
      <w:r w:rsidR="00F679FA">
        <w:rPr>
          <w:noProof/>
          <w:sz w:val="24"/>
          <w:lang w:val="en-US"/>
        </w:rPr>
        <w:t>)</w:t>
      </w:r>
      <w:r w:rsidRPr="006C16C9">
        <w:rPr>
          <w:noProof/>
          <w:sz w:val="24"/>
          <w:lang w:val="en-US"/>
        </w:rPr>
        <w:t>, share prices begin to decrease at a higher rate compared to the previous five days before the announcement. Thus, the first hypothesis</w:t>
      </w:r>
      <w:r w:rsidR="00F679FA">
        <w:rPr>
          <w:noProof/>
          <w:sz w:val="24"/>
          <w:lang w:val="en-US"/>
        </w:rPr>
        <w:t>,</w:t>
      </w:r>
      <w:r w:rsidRPr="006C16C9">
        <w:rPr>
          <w:noProof/>
          <w:sz w:val="24"/>
          <w:lang w:val="en-US"/>
        </w:rPr>
        <w:t xml:space="preserve"> that the news of the dividend increase </w:t>
      </w:r>
      <w:r w:rsidR="00F679FA">
        <w:rPr>
          <w:noProof/>
          <w:sz w:val="24"/>
          <w:lang w:val="en-US"/>
        </w:rPr>
        <w:t>causes</w:t>
      </w:r>
      <w:r w:rsidRPr="006C16C9">
        <w:rPr>
          <w:noProof/>
          <w:sz w:val="24"/>
          <w:lang w:val="en-US"/>
        </w:rPr>
        <w:t xml:space="preserve"> an increase </w:t>
      </w:r>
      <w:r w:rsidR="00F679FA">
        <w:rPr>
          <w:noProof/>
          <w:sz w:val="24"/>
          <w:lang w:val="en-US"/>
        </w:rPr>
        <w:t>of share prices,</w:t>
      </w:r>
      <w:r w:rsidRPr="006C16C9">
        <w:rPr>
          <w:noProof/>
          <w:sz w:val="24"/>
          <w:lang w:val="en-US"/>
        </w:rPr>
        <w:t xml:space="preserve"> was incorrect. </w:t>
      </w:r>
    </w:p>
    <w:p w:rsidR="006C16C9" w:rsidRDefault="006C16C9" w:rsidP="006C16C9">
      <w:pPr>
        <w:spacing w:line="240" w:lineRule="auto"/>
        <w:rPr>
          <w:noProof/>
          <w:sz w:val="24"/>
          <w:lang w:val="en-US"/>
        </w:rPr>
      </w:pPr>
      <w:r w:rsidRPr="006C16C9">
        <w:rPr>
          <w:noProof/>
          <w:sz w:val="24"/>
          <w:lang w:val="en-US"/>
        </w:rPr>
        <w:lastRenderedPageBreak/>
        <w:t>Next, we consider the market reaction to the "bad" news (Fig. 3). The figure clearly express</w:t>
      </w:r>
      <w:r w:rsidR="00F679FA">
        <w:rPr>
          <w:noProof/>
          <w:sz w:val="24"/>
          <w:lang w:val="en-US"/>
        </w:rPr>
        <w:t>es</w:t>
      </w:r>
      <w:r w:rsidRPr="006C16C9">
        <w:rPr>
          <w:noProof/>
          <w:sz w:val="24"/>
          <w:lang w:val="en-US"/>
        </w:rPr>
        <w:t xml:space="preserve"> a positive market reaction to the "bad" news throughout the event window. </w:t>
      </w:r>
      <w:r w:rsidR="00F679FA">
        <w:rPr>
          <w:noProof/>
          <w:sz w:val="24"/>
          <w:lang w:val="en-US"/>
        </w:rPr>
        <w:t>CAAR meaning</w:t>
      </w:r>
      <w:r w:rsidRPr="006C16C9">
        <w:rPr>
          <w:noProof/>
          <w:sz w:val="24"/>
          <w:lang w:val="en-US"/>
        </w:rPr>
        <w:t xml:space="preserve"> is greater than zero and increasing, i</w:t>
      </w:r>
      <w:r w:rsidR="00F679FA">
        <w:rPr>
          <w:noProof/>
          <w:sz w:val="24"/>
          <w:lang w:val="en-US"/>
        </w:rPr>
        <w:t>.</w:t>
      </w:r>
      <w:r w:rsidRPr="006C16C9">
        <w:rPr>
          <w:noProof/>
          <w:sz w:val="24"/>
          <w:lang w:val="en-US"/>
        </w:rPr>
        <w:t xml:space="preserve">e average stock prices grow at the company's announcement </w:t>
      </w:r>
      <w:r w:rsidR="00F679FA">
        <w:rPr>
          <w:noProof/>
          <w:sz w:val="24"/>
          <w:lang w:val="en-US"/>
        </w:rPr>
        <w:t>about the dividends</w:t>
      </w:r>
      <w:r w:rsidRPr="006C16C9">
        <w:rPr>
          <w:noProof/>
          <w:sz w:val="24"/>
          <w:lang w:val="en-US"/>
        </w:rPr>
        <w:t xml:space="preserve"> reduc</w:t>
      </w:r>
      <w:r w:rsidR="00F679FA">
        <w:rPr>
          <w:noProof/>
          <w:sz w:val="24"/>
          <w:lang w:val="en-US"/>
        </w:rPr>
        <w:t>tion</w:t>
      </w:r>
      <w:r w:rsidRPr="006C16C9">
        <w:rPr>
          <w:noProof/>
          <w:sz w:val="24"/>
          <w:lang w:val="en-US"/>
        </w:rPr>
        <w:t xml:space="preserve">. </w:t>
      </w:r>
      <w:r w:rsidR="00F679FA">
        <w:rPr>
          <w:noProof/>
          <w:sz w:val="24"/>
          <w:lang w:val="en-US"/>
        </w:rPr>
        <w:t>So, the</w:t>
      </w:r>
      <w:r w:rsidRPr="006C16C9">
        <w:rPr>
          <w:noProof/>
          <w:sz w:val="24"/>
          <w:lang w:val="en-US"/>
        </w:rPr>
        <w:t xml:space="preserve"> second hypothesis was also incorrect.</w:t>
      </w:r>
    </w:p>
    <w:p w:rsidR="000819F8" w:rsidRPr="004346F1" w:rsidRDefault="000819F8" w:rsidP="007E5F30">
      <w:pPr>
        <w:spacing w:line="240" w:lineRule="auto"/>
        <w:rPr>
          <w:noProof/>
          <w:sz w:val="24"/>
        </w:rPr>
      </w:pPr>
    </w:p>
    <w:p w:rsidR="000819F8" w:rsidRDefault="000819F8" w:rsidP="007E5F30">
      <w:pPr>
        <w:spacing w:line="240" w:lineRule="auto"/>
        <w:rPr>
          <w:noProof/>
        </w:rPr>
      </w:pPr>
      <w:r>
        <w:rPr>
          <w:noProof/>
        </w:rPr>
        <w:drawing>
          <wp:inline distT="0" distB="0" distL="0" distR="0">
            <wp:extent cx="4572000" cy="2743200"/>
            <wp:effectExtent l="0" t="0" r="0" b="0"/>
            <wp:docPr id="44" name="Рисунок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819F8" w:rsidRPr="004346F1" w:rsidRDefault="000819F8" w:rsidP="007E5F30">
      <w:pPr>
        <w:spacing w:line="240" w:lineRule="auto"/>
        <w:jc w:val="center"/>
        <w:rPr>
          <w:noProof/>
          <w:sz w:val="24"/>
        </w:rPr>
      </w:pPr>
      <w:r w:rsidRPr="004346F1">
        <w:rPr>
          <w:noProof/>
          <w:sz w:val="24"/>
        </w:rPr>
        <w:t xml:space="preserve">Рис. </w:t>
      </w:r>
      <w:r w:rsidR="004346F1" w:rsidRPr="004346F1">
        <w:rPr>
          <w:noProof/>
          <w:sz w:val="24"/>
        </w:rPr>
        <w:t>8.</w:t>
      </w:r>
      <w:r w:rsidRPr="004346F1">
        <w:rPr>
          <w:noProof/>
          <w:sz w:val="24"/>
        </w:rPr>
        <w:t xml:space="preserve"> Реакция российских компаний на «плохую» новость</w:t>
      </w:r>
    </w:p>
    <w:p w:rsidR="000819F8" w:rsidRDefault="004346F1" w:rsidP="007E5F30">
      <w:pPr>
        <w:spacing w:line="240" w:lineRule="auto"/>
        <w:rPr>
          <w:color w:val="000000"/>
          <w:szCs w:val="24"/>
        </w:rPr>
      </w:pPr>
      <w:r w:rsidRPr="004346F1">
        <w:rPr>
          <w:noProof/>
          <w:sz w:val="24"/>
        </w:rPr>
        <w:t xml:space="preserve">Отметим схожесть полученных нами результатов с теми, к которым </w:t>
      </w:r>
      <w:r w:rsidR="000819F8" w:rsidRPr="004346F1">
        <w:rPr>
          <w:noProof/>
          <w:sz w:val="24"/>
        </w:rPr>
        <w:t>пришла Т.</w:t>
      </w:r>
      <w:r w:rsidRPr="004346F1">
        <w:rPr>
          <w:noProof/>
          <w:sz w:val="24"/>
        </w:rPr>
        <w:t>В.</w:t>
      </w:r>
      <w:r w:rsidR="000819F8" w:rsidRPr="004346F1">
        <w:rPr>
          <w:noProof/>
          <w:sz w:val="24"/>
        </w:rPr>
        <w:t xml:space="preserve"> Теплова (2008), исследуя реакцию российских компаний на объявления о дивидендных выплатах с 1999 по 2006 год</w:t>
      </w:r>
      <w:r>
        <w:rPr>
          <w:noProof/>
          <w:sz w:val="24"/>
        </w:rPr>
        <w:t>, то есть, несмотря на тенденцию к увеличению выплаты дивидендов, реакция рынка не изменилась</w:t>
      </w:r>
      <w:r w:rsidR="000819F8" w:rsidRPr="004346F1">
        <w:rPr>
          <w:noProof/>
          <w:sz w:val="24"/>
        </w:rPr>
        <w:t>.</w:t>
      </w:r>
      <w:r w:rsidR="000819F8">
        <w:rPr>
          <w:noProof/>
        </w:rPr>
        <w:t xml:space="preserve"> </w:t>
      </w:r>
      <w:r w:rsidR="000819F8" w:rsidRPr="004346F1">
        <w:rPr>
          <w:noProof/>
          <w:sz w:val="24"/>
        </w:rPr>
        <w:t>Такая обратная реакция была также отмечена ещё в нескольких странах</w:t>
      </w:r>
      <w:r w:rsidRPr="004346F1">
        <w:rPr>
          <w:noProof/>
          <w:sz w:val="24"/>
        </w:rPr>
        <w:t xml:space="preserve"> – </w:t>
      </w:r>
      <w:r>
        <w:rPr>
          <w:noProof/>
          <w:sz w:val="24"/>
        </w:rPr>
        <w:t>в</w:t>
      </w:r>
      <w:r w:rsidRPr="004346F1">
        <w:rPr>
          <w:noProof/>
          <w:sz w:val="24"/>
        </w:rPr>
        <w:t xml:space="preserve"> </w:t>
      </w:r>
      <w:r>
        <w:rPr>
          <w:noProof/>
          <w:sz w:val="24"/>
        </w:rPr>
        <w:t>Дании</w:t>
      </w:r>
      <w:r w:rsidRPr="004346F1">
        <w:rPr>
          <w:noProof/>
          <w:sz w:val="24"/>
        </w:rPr>
        <w:t xml:space="preserve"> </w:t>
      </w:r>
      <w:r w:rsidRPr="004346F1">
        <w:rPr>
          <w:noProof/>
          <w:sz w:val="22"/>
        </w:rPr>
        <w:t>[</w:t>
      </w:r>
      <w:r w:rsidRPr="004346F1">
        <w:rPr>
          <w:sz w:val="24"/>
          <w:lang w:val="en-US"/>
        </w:rPr>
        <w:t>Sorensen</w:t>
      </w:r>
      <w:r w:rsidRPr="004346F1">
        <w:rPr>
          <w:sz w:val="24"/>
        </w:rPr>
        <w:t xml:space="preserve">, </w:t>
      </w:r>
      <w:proofErr w:type="spellStart"/>
      <w:r w:rsidR="007258BA" w:rsidRPr="004346F1">
        <w:rPr>
          <w:sz w:val="24"/>
          <w:lang w:val="en-US"/>
        </w:rPr>
        <w:t>Arveschoug</w:t>
      </w:r>
      <w:proofErr w:type="spellEnd"/>
      <w:r w:rsidR="007258BA" w:rsidRPr="004346F1">
        <w:rPr>
          <w:sz w:val="24"/>
        </w:rPr>
        <w:t>,</w:t>
      </w:r>
      <w:r w:rsidR="007258BA" w:rsidRPr="007258BA">
        <w:rPr>
          <w:sz w:val="24"/>
        </w:rPr>
        <w:t xml:space="preserve"> </w:t>
      </w:r>
      <w:r w:rsidRPr="004346F1">
        <w:rPr>
          <w:sz w:val="24"/>
        </w:rPr>
        <w:t>2004</w:t>
      </w:r>
      <w:r w:rsidRPr="004346F1">
        <w:rPr>
          <w:noProof/>
          <w:sz w:val="24"/>
        </w:rPr>
        <w:t xml:space="preserve">] </w:t>
      </w:r>
      <w:r>
        <w:rPr>
          <w:noProof/>
          <w:sz w:val="24"/>
        </w:rPr>
        <w:t xml:space="preserve">и в работе </w:t>
      </w:r>
      <w:r w:rsidR="000819F8" w:rsidRPr="004346F1">
        <w:rPr>
          <w:color w:val="000000"/>
          <w:sz w:val="24"/>
          <w:szCs w:val="24"/>
        </w:rPr>
        <w:t xml:space="preserve">М. </w:t>
      </w:r>
      <w:proofErr w:type="spellStart"/>
      <w:r w:rsidR="000819F8" w:rsidRPr="004346F1">
        <w:rPr>
          <w:color w:val="000000"/>
          <w:sz w:val="24"/>
          <w:szCs w:val="24"/>
        </w:rPr>
        <w:t>Карим</w:t>
      </w:r>
      <w:r>
        <w:rPr>
          <w:color w:val="000000"/>
          <w:sz w:val="24"/>
          <w:szCs w:val="24"/>
        </w:rPr>
        <w:t>а</w:t>
      </w:r>
      <w:proofErr w:type="spellEnd"/>
      <w:r w:rsidR="000819F8" w:rsidRPr="004346F1">
        <w:rPr>
          <w:color w:val="000000"/>
          <w:sz w:val="24"/>
          <w:szCs w:val="24"/>
        </w:rPr>
        <w:t xml:space="preserve"> [</w:t>
      </w:r>
      <w:proofErr w:type="spellStart"/>
      <w:r>
        <w:rPr>
          <w:color w:val="000000"/>
          <w:sz w:val="24"/>
          <w:szCs w:val="24"/>
          <w:lang w:val="en-US"/>
        </w:rPr>
        <w:t>Karim</w:t>
      </w:r>
      <w:proofErr w:type="spellEnd"/>
      <w:r w:rsidRPr="004346F1">
        <w:rPr>
          <w:color w:val="000000"/>
          <w:sz w:val="24"/>
          <w:szCs w:val="24"/>
        </w:rPr>
        <w:t>,</w:t>
      </w:r>
      <w:r w:rsidR="00204FFC" w:rsidRPr="00204FFC">
        <w:rPr>
          <w:color w:val="000000"/>
          <w:sz w:val="24"/>
          <w:szCs w:val="24"/>
        </w:rPr>
        <w:t xml:space="preserve"> 2010</w:t>
      </w:r>
      <w:r w:rsidR="000819F8" w:rsidRPr="004346F1">
        <w:rPr>
          <w:color w:val="000000"/>
          <w:sz w:val="24"/>
          <w:szCs w:val="24"/>
        </w:rPr>
        <w:t>]</w:t>
      </w:r>
      <w:r w:rsidR="000819F8" w:rsidRPr="004346F1">
        <w:rPr>
          <w:sz w:val="24"/>
          <w:szCs w:val="24"/>
        </w:rPr>
        <w:t xml:space="preserve">, </w:t>
      </w:r>
      <w:r w:rsidR="00204FFC">
        <w:rPr>
          <w:sz w:val="24"/>
          <w:szCs w:val="24"/>
        </w:rPr>
        <w:t>на эмпирических данных компаний</w:t>
      </w:r>
      <w:r w:rsidR="000819F8" w:rsidRPr="004346F1">
        <w:rPr>
          <w:sz w:val="24"/>
          <w:szCs w:val="24"/>
        </w:rPr>
        <w:t>, торгующи</w:t>
      </w:r>
      <w:r w:rsidR="00204FFC">
        <w:rPr>
          <w:sz w:val="24"/>
          <w:szCs w:val="24"/>
        </w:rPr>
        <w:t>х</w:t>
      </w:r>
      <w:r w:rsidR="000819F8" w:rsidRPr="004346F1">
        <w:rPr>
          <w:sz w:val="24"/>
          <w:szCs w:val="24"/>
        </w:rPr>
        <w:t>ся на</w:t>
      </w:r>
      <w:r w:rsidR="000819F8" w:rsidRPr="004346F1">
        <w:rPr>
          <w:color w:val="000000"/>
          <w:sz w:val="24"/>
          <w:szCs w:val="24"/>
        </w:rPr>
        <w:t xml:space="preserve"> Лондонской фондовой бирже</w:t>
      </w:r>
      <w:r w:rsidR="000819F8" w:rsidRPr="00E91867">
        <w:rPr>
          <w:color w:val="000000"/>
          <w:szCs w:val="24"/>
        </w:rPr>
        <w:t>.</w:t>
      </w:r>
    </w:p>
    <w:p w:rsidR="000819F8" w:rsidRPr="00391098" w:rsidRDefault="000819F8" w:rsidP="007E5F30">
      <w:pPr>
        <w:spacing w:line="240" w:lineRule="auto"/>
        <w:rPr>
          <w:noProof/>
          <w:sz w:val="24"/>
        </w:rPr>
      </w:pPr>
      <w:r w:rsidRPr="00391098">
        <w:rPr>
          <w:noProof/>
          <w:sz w:val="24"/>
        </w:rPr>
        <w:t xml:space="preserve">Увеличение размера дивидендов </w:t>
      </w:r>
      <w:r w:rsidR="00204FFC" w:rsidRPr="00391098">
        <w:rPr>
          <w:noProof/>
          <w:sz w:val="24"/>
        </w:rPr>
        <w:t>может восприниматься акционерами с двух противоположных точек зрения. Позитивный смысл этой новости</w:t>
      </w:r>
      <w:r w:rsidRPr="00391098">
        <w:rPr>
          <w:noProof/>
          <w:sz w:val="24"/>
        </w:rPr>
        <w:t xml:space="preserve"> состоит в том, что увеличение дивидендов приносит дополнительный доход акционерам, тем самым снижая риск того, что его вложение в ценную бумагу не окупится. Негативн</w:t>
      </w:r>
      <w:r w:rsidR="00391098" w:rsidRPr="00391098">
        <w:rPr>
          <w:noProof/>
          <w:sz w:val="24"/>
        </w:rPr>
        <w:t xml:space="preserve">ый эффект заключается в </w:t>
      </w:r>
      <w:r w:rsidRPr="00391098">
        <w:rPr>
          <w:noProof/>
          <w:sz w:val="24"/>
        </w:rPr>
        <w:t>потер</w:t>
      </w:r>
      <w:r w:rsidR="00391098" w:rsidRPr="00391098">
        <w:rPr>
          <w:noProof/>
          <w:sz w:val="24"/>
        </w:rPr>
        <w:t>е</w:t>
      </w:r>
      <w:r w:rsidRPr="00391098">
        <w:rPr>
          <w:noProof/>
          <w:sz w:val="24"/>
        </w:rPr>
        <w:t xml:space="preserve"> акционером будущей прибыли, которую он мог </w:t>
      </w:r>
      <w:r w:rsidR="00391098" w:rsidRPr="00391098">
        <w:rPr>
          <w:noProof/>
          <w:sz w:val="24"/>
        </w:rPr>
        <w:t xml:space="preserve">бы </w:t>
      </w:r>
      <w:r w:rsidRPr="00391098">
        <w:rPr>
          <w:noProof/>
          <w:sz w:val="24"/>
        </w:rPr>
        <w:t>получить, если бы компания использовала все свои инвестиционные возможности. Таким образом, анализируя реакцию рынка на объявления о дивидендах, можно сделать вывод, что для инвесторов в российские компании гораздо важнее будущий доход</w:t>
      </w:r>
      <w:r w:rsidR="00391098">
        <w:rPr>
          <w:noProof/>
          <w:sz w:val="24"/>
        </w:rPr>
        <w:t xml:space="preserve"> от инвестиционной деятельности</w:t>
      </w:r>
      <w:r w:rsidRPr="00391098">
        <w:rPr>
          <w:noProof/>
          <w:sz w:val="24"/>
        </w:rPr>
        <w:t>, нежели текущий от дивидендов.</w:t>
      </w:r>
    </w:p>
    <w:p w:rsidR="000819F8" w:rsidRPr="00391098" w:rsidRDefault="000819F8" w:rsidP="007E5F30">
      <w:pPr>
        <w:spacing w:line="240" w:lineRule="auto"/>
        <w:rPr>
          <w:noProof/>
          <w:sz w:val="24"/>
        </w:rPr>
      </w:pPr>
      <w:r w:rsidRPr="00391098">
        <w:rPr>
          <w:noProof/>
          <w:sz w:val="24"/>
        </w:rPr>
        <w:t>Полученные реакции согласуются с теорией иррелевантности дивидендов Модильяни и Миллера</w:t>
      </w:r>
      <w:r w:rsidR="00391098" w:rsidRPr="00391098">
        <w:rPr>
          <w:noProof/>
          <w:sz w:val="24"/>
        </w:rPr>
        <w:t xml:space="preserve"> и политикой остаточного дивиденда</w:t>
      </w:r>
      <w:r w:rsidRPr="00391098">
        <w:rPr>
          <w:noProof/>
          <w:sz w:val="24"/>
        </w:rPr>
        <w:t xml:space="preserve">. Компании выплачивают дивиденды только тогда, когда они не имеют возможности вложить свои средства в инвестиционные проекты. </w:t>
      </w:r>
    </w:p>
    <w:p w:rsidR="000819F8" w:rsidRPr="00391098" w:rsidRDefault="00391098" w:rsidP="007E5F30">
      <w:pPr>
        <w:spacing w:line="240" w:lineRule="auto"/>
        <w:rPr>
          <w:noProof/>
          <w:sz w:val="24"/>
        </w:rPr>
      </w:pPr>
      <w:r w:rsidRPr="00391098">
        <w:rPr>
          <w:noProof/>
          <w:sz w:val="24"/>
        </w:rPr>
        <w:t xml:space="preserve">ОАО </w:t>
      </w:r>
      <w:r w:rsidR="000819F8" w:rsidRPr="00391098">
        <w:rPr>
          <w:noProof/>
          <w:sz w:val="24"/>
        </w:rPr>
        <w:t xml:space="preserve">«Магнит» не является </w:t>
      </w:r>
      <w:r w:rsidRPr="00391098">
        <w:rPr>
          <w:noProof/>
          <w:sz w:val="24"/>
        </w:rPr>
        <w:t>придерживается этой политики</w:t>
      </w:r>
      <w:r w:rsidR="000819F8" w:rsidRPr="00391098">
        <w:rPr>
          <w:noProof/>
          <w:sz w:val="24"/>
        </w:rPr>
        <w:t xml:space="preserve"> и регулярно выплачивает дивиденды. Именно поэтому, когда мы отдельно рассмотрели реакцию её акций на </w:t>
      </w:r>
      <w:r>
        <w:rPr>
          <w:noProof/>
          <w:sz w:val="24"/>
        </w:rPr>
        <w:t xml:space="preserve">объявления об </w:t>
      </w:r>
      <w:r w:rsidR="000819F8" w:rsidRPr="00391098">
        <w:rPr>
          <w:noProof/>
          <w:sz w:val="24"/>
        </w:rPr>
        <w:t>изменени</w:t>
      </w:r>
      <w:r>
        <w:rPr>
          <w:noProof/>
          <w:sz w:val="24"/>
        </w:rPr>
        <w:t>и</w:t>
      </w:r>
      <w:r w:rsidR="000819F8" w:rsidRPr="00391098">
        <w:rPr>
          <w:noProof/>
          <w:sz w:val="24"/>
        </w:rPr>
        <w:t xml:space="preserve"> размера дивидендов (см. рис. </w:t>
      </w:r>
      <w:r>
        <w:rPr>
          <w:noProof/>
          <w:sz w:val="24"/>
        </w:rPr>
        <w:t>6</w:t>
      </w:r>
      <w:r w:rsidR="000819F8" w:rsidRPr="00391098">
        <w:rPr>
          <w:noProof/>
          <w:sz w:val="24"/>
        </w:rPr>
        <w:t>), она оказалась отлична от реакции всего рынка</w:t>
      </w:r>
      <w:r>
        <w:rPr>
          <w:noProof/>
          <w:sz w:val="24"/>
        </w:rPr>
        <w:t>,</w:t>
      </w:r>
      <w:r w:rsidR="000819F8" w:rsidRPr="00391098">
        <w:rPr>
          <w:noProof/>
          <w:sz w:val="24"/>
        </w:rPr>
        <w:t xml:space="preserve"> и при уменьшении размера дивидендных выплат акции компаний падали.</w:t>
      </w:r>
    </w:p>
    <w:p w:rsidR="000819F8" w:rsidRPr="003E5E1D" w:rsidRDefault="000819F8" w:rsidP="007E5F30">
      <w:pPr>
        <w:spacing w:line="240" w:lineRule="auto"/>
        <w:rPr>
          <w:noProof/>
          <w:sz w:val="24"/>
        </w:rPr>
      </w:pPr>
      <w:r w:rsidRPr="003E5E1D">
        <w:rPr>
          <w:noProof/>
          <w:sz w:val="24"/>
        </w:rPr>
        <w:t>Так как увеличение дивидендов – более распространённая практика, проверим, отличается ли реакция компаний на «хорошую» новость в разных секторах экономики</w:t>
      </w:r>
      <w:r w:rsidR="003E5E1D" w:rsidRPr="003E5E1D">
        <w:rPr>
          <w:noProof/>
          <w:sz w:val="24"/>
        </w:rPr>
        <w:t xml:space="preserve"> (гипотеза 4)</w:t>
      </w:r>
      <w:r w:rsidRPr="003E5E1D">
        <w:rPr>
          <w:noProof/>
          <w:sz w:val="24"/>
        </w:rPr>
        <w:t xml:space="preserve">. Для этого </w:t>
      </w:r>
      <w:r w:rsidR="003E5E1D">
        <w:rPr>
          <w:noProof/>
          <w:sz w:val="24"/>
        </w:rPr>
        <w:t>мы разделили</w:t>
      </w:r>
      <w:r w:rsidRPr="003E5E1D">
        <w:rPr>
          <w:noProof/>
          <w:sz w:val="24"/>
        </w:rPr>
        <w:t xml:space="preserve"> выборку на несколько групп в зависимости от </w:t>
      </w:r>
      <w:r w:rsidRPr="003E5E1D">
        <w:rPr>
          <w:noProof/>
          <w:sz w:val="24"/>
        </w:rPr>
        <w:lastRenderedPageBreak/>
        <w:t>отрасли, в которой функционирует компания. Наиболее часто встречающимися оказались такие отрасли как химическое и металлургическое производство, добыча топливно-энергетических полезных ископаемых и добыча полезных ископаемых, не включая топливно-энергетические.</w:t>
      </w:r>
    </w:p>
    <w:p w:rsidR="000819F8" w:rsidRPr="00B757BF" w:rsidRDefault="003E5E1D" w:rsidP="007E5F30">
      <w:pPr>
        <w:spacing w:line="240" w:lineRule="auto"/>
        <w:rPr>
          <w:noProof/>
          <w:sz w:val="24"/>
        </w:rPr>
      </w:pPr>
      <w:r w:rsidRPr="00B757BF">
        <w:rPr>
          <w:noProof/>
          <w:sz w:val="24"/>
        </w:rPr>
        <w:t>Для проверки</w:t>
      </w:r>
      <w:r w:rsidR="000819F8" w:rsidRPr="00B757BF">
        <w:rPr>
          <w:noProof/>
          <w:sz w:val="24"/>
        </w:rPr>
        <w:t xml:space="preserve"> гипотез</w:t>
      </w:r>
      <w:r w:rsidRPr="00B757BF">
        <w:rPr>
          <w:noProof/>
          <w:sz w:val="24"/>
        </w:rPr>
        <w:t>ы</w:t>
      </w:r>
      <w:r w:rsidR="000819F8" w:rsidRPr="00B757BF">
        <w:rPr>
          <w:noProof/>
          <w:sz w:val="24"/>
        </w:rPr>
        <w:t xml:space="preserve"> о значимости влияния объявлений отдельной отрасли на рыночную стоимость акций</w:t>
      </w:r>
      <w:r w:rsidRPr="00B757BF">
        <w:rPr>
          <w:noProof/>
          <w:sz w:val="24"/>
        </w:rPr>
        <w:t xml:space="preserve"> был проведен </w:t>
      </w:r>
      <w:r w:rsidR="000819F8" w:rsidRPr="00B757BF">
        <w:rPr>
          <w:noProof/>
          <w:sz w:val="24"/>
        </w:rPr>
        <w:t xml:space="preserve">тест Коррадо (табл. </w:t>
      </w:r>
      <w:r w:rsidRPr="00B757BF">
        <w:rPr>
          <w:noProof/>
          <w:sz w:val="24"/>
        </w:rPr>
        <w:t>3</w:t>
      </w:r>
      <w:r w:rsidR="000819F8" w:rsidRPr="00B757BF">
        <w:rPr>
          <w:noProof/>
          <w:sz w:val="24"/>
        </w:rPr>
        <w:t>)</w:t>
      </w:r>
    </w:p>
    <w:p w:rsidR="000819F8" w:rsidRPr="00B757BF" w:rsidRDefault="000819F8" w:rsidP="007E5F30">
      <w:pPr>
        <w:spacing w:line="240" w:lineRule="auto"/>
        <w:jc w:val="right"/>
        <w:rPr>
          <w:noProof/>
          <w:sz w:val="24"/>
        </w:rPr>
      </w:pPr>
      <w:r w:rsidRPr="00B757BF">
        <w:rPr>
          <w:noProof/>
          <w:sz w:val="24"/>
        </w:rPr>
        <w:t xml:space="preserve">Таблица </w:t>
      </w:r>
      <w:r w:rsidR="003E5E1D" w:rsidRPr="00B757BF">
        <w:rPr>
          <w:noProof/>
          <w:sz w:val="24"/>
        </w:rPr>
        <w:t>3</w:t>
      </w:r>
    </w:p>
    <w:p w:rsidR="000819F8" w:rsidRPr="00B757BF" w:rsidRDefault="000819F8" w:rsidP="007E5F30">
      <w:pPr>
        <w:spacing w:line="240" w:lineRule="auto"/>
        <w:jc w:val="center"/>
        <w:rPr>
          <w:i/>
          <w:noProof/>
          <w:sz w:val="24"/>
        </w:rPr>
      </w:pPr>
      <w:r w:rsidRPr="00B757BF">
        <w:rPr>
          <w:bCs/>
          <w:sz w:val="24"/>
          <w:szCs w:val="28"/>
        </w:rPr>
        <w:t>Значения тестовых статистик для различных отраслей</w:t>
      </w:r>
    </w:p>
    <w:tbl>
      <w:tblPr>
        <w:tblStyle w:val="af"/>
        <w:tblW w:w="9747" w:type="dxa"/>
        <w:tblLook w:val="04A0"/>
      </w:tblPr>
      <w:tblGrid>
        <w:gridCol w:w="3984"/>
        <w:gridCol w:w="1227"/>
        <w:gridCol w:w="2268"/>
        <w:gridCol w:w="2268"/>
      </w:tblGrid>
      <w:tr w:rsidR="000819F8" w:rsidRPr="00721A4A" w:rsidTr="00721A4A">
        <w:trPr>
          <w:trHeight w:val="300"/>
        </w:trPr>
        <w:tc>
          <w:tcPr>
            <w:tcW w:w="3984" w:type="dxa"/>
            <w:noWrap/>
            <w:hideMark/>
          </w:tcPr>
          <w:p w:rsidR="000819F8" w:rsidRPr="00721A4A" w:rsidRDefault="000819F8" w:rsidP="007E5F30">
            <w:pPr>
              <w:widowControl/>
              <w:spacing w:line="240" w:lineRule="auto"/>
              <w:rPr>
                <w:rFonts w:ascii="Times New Roman" w:hAnsi="Times New Roman"/>
                <w:bCs/>
                <w:color w:val="000000"/>
                <w:sz w:val="24"/>
                <w:szCs w:val="28"/>
              </w:rPr>
            </w:pPr>
            <w:r w:rsidRPr="00721A4A">
              <w:rPr>
                <w:rFonts w:ascii="Times New Roman" w:hAnsi="Times New Roman"/>
                <w:bCs/>
                <w:color w:val="000000"/>
                <w:sz w:val="24"/>
                <w:szCs w:val="28"/>
              </w:rPr>
              <w:t>Отрасль</w:t>
            </w:r>
          </w:p>
        </w:tc>
        <w:tc>
          <w:tcPr>
            <w:tcW w:w="1227" w:type="dxa"/>
            <w:noWrap/>
            <w:hideMark/>
          </w:tcPr>
          <w:p w:rsidR="000819F8" w:rsidRPr="00721A4A" w:rsidRDefault="000819F8" w:rsidP="007E5F30">
            <w:pPr>
              <w:widowControl/>
              <w:spacing w:line="240" w:lineRule="auto"/>
              <w:jc w:val="center"/>
              <w:rPr>
                <w:rFonts w:ascii="Times New Roman" w:hAnsi="Times New Roman"/>
                <w:bCs/>
                <w:color w:val="000000"/>
                <w:sz w:val="24"/>
                <w:szCs w:val="28"/>
              </w:rPr>
            </w:pPr>
            <w:r w:rsidRPr="00721A4A">
              <w:rPr>
                <w:rFonts w:ascii="Times New Roman" w:hAnsi="Times New Roman"/>
                <w:bCs/>
                <w:color w:val="000000"/>
                <w:sz w:val="24"/>
                <w:szCs w:val="28"/>
              </w:rPr>
              <w:t>CAAR GRANK</w:t>
            </w:r>
          </w:p>
        </w:tc>
        <w:tc>
          <w:tcPr>
            <w:tcW w:w="2268" w:type="dxa"/>
          </w:tcPr>
          <w:p w:rsidR="000819F8" w:rsidRPr="00721A4A" w:rsidRDefault="000819F8" w:rsidP="007E5F30">
            <w:pPr>
              <w:widowControl/>
              <w:spacing w:line="240" w:lineRule="auto"/>
              <w:jc w:val="center"/>
              <w:rPr>
                <w:rFonts w:ascii="Times New Roman" w:hAnsi="Times New Roman"/>
                <w:bCs/>
                <w:color w:val="000000"/>
                <w:sz w:val="24"/>
                <w:szCs w:val="28"/>
              </w:rPr>
            </w:pPr>
            <w:r w:rsidRPr="00721A4A">
              <w:rPr>
                <w:rFonts w:ascii="Times New Roman" w:hAnsi="Times New Roman"/>
                <w:bCs/>
                <w:color w:val="000000"/>
                <w:sz w:val="24"/>
                <w:szCs w:val="28"/>
              </w:rPr>
              <w:t>Табличное значение критерия Стьюдента, 10% уровень значимости</w:t>
            </w:r>
          </w:p>
        </w:tc>
        <w:tc>
          <w:tcPr>
            <w:tcW w:w="2268" w:type="dxa"/>
          </w:tcPr>
          <w:p w:rsidR="000819F8" w:rsidRPr="00721A4A" w:rsidRDefault="000819F8" w:rsidP="007E5F30">
            <w:pPr>
              <w:widowControl/>
              <w:spacing w:line="240" w:lineRule="auto"/>
              <w:jc w:val="center"/>
              <w:rPr>
                <w:rFonts w:ascii="Times New Roman" w:hAnsi="Times New Roman"/>
                <w:bCs/>
                <w:color w:val="000000"/>
                <w:sz w:val="24"/>
                <w:szCs w:val="28"/>
              </w:rPr>
            </w:pPr>
            <w:r w:rsidRPr="00721A4A">
              <w:rPr>
                <w:rFonts w:ascii="Times New Roman" w:hAnsi="Times New Roman"/>
                <w:bCs/>
                <w:color w:val="000000"/>
                <w:sz w:val="24"/>
                <w:szCs w:val="28"/>
              </w:rPr>
              <w:t>Табличное значение критерия Стьюдента,</w:t>
            </w:r>
          </w:p>
          <w:p w:rsidR="000819F8" w:rsidRPr="00721A4A" w:rsidRDefault="000819F8" w:rsidP="007E5F30">
            <w:pPr>
              <w:widowControl/>
              <w:spacing w:line="240" w:lineRule="auto"/>
              <w:jc w:val="center"/>
              <w:rPr>
                <w:rFonts w:ascii="Times New Roman" w:hAnsi="Times New Roman"/>
                <w:bCs/>
                <w:color w:val="000000"/>
                <w:sz w:val="24"/>
                <w:szCs w:val="28"/>
              </w:rPr>
            </w:pPr>
            <w:r w:rsidRPr="00721A4A">
              <w:rPr>
                <w:rFonts w:ascii="Times New Roman" w:hAnsi="Times New Roman"/>
                <w:bCs/>
                <w:color w:val="000000"/>
                <w:sz w:val="24"/>
                <w:szCs w:val="28"/>
              </w:rPr>
              <w:t>5% уровень значимости</w:t>
            </w:r>
          </w:p>
        </w:tc>
      </w:tr>
      <w:tr w:rsidR="000819F8" w:rsidRPr="00721A4A" w:rsidTr="00721A4A">
        <w:trPr>
          <w:trHeight w:val="300"/>
        </w:trPr>
        <w:tc>
          <w:tcPr>
            <w:tcW w:w="3984" w:type="dxa"/>
            <w:noWrap/>
            <w:hideMark/>
          </w:tcPr>
          <w:p w:rsidR="000819F8" w:rsidRPr="00721A4A" w:rsidRDefault="000819F8" w:rsidP="007E5F30">
            <w:pPr>
              <w:widowControl/>
              <w:spacing w:line="240" w:lineRule="auto"/>
              <w:rPr>
                <w:rFonts w:ascii="Times New Roman" w:hAnsi="Times New Roman"/>
                <w:color w:val="000000"/>
                <w:sz w:val="24"/>
                <w:szCs w:val="28"/>
              </w:rPr>
            </w:pPr>
            <w:r w:rsidRPr="00721A4A">
              <w:rPr>
                <w:rFonts w:ascii="Times New Roman" w:hAnsi="Times New Roman"/>
                <w:color w:val="000000"/>
                <w:sz w:val="24"/>
                <w:szCs w:val="28"/>
              </w:rPr>
              <w:t>Химическое производство</w:t>
            </w:r>
          </w:p>
        </w:tc>
        <w:tc>
          <w:tcPr>
            <w:tcW w:w="1227" w:type="dxa"/>
            <w:noWrap/>
            <w:hideMark/>
          </w:tcPr>
          <w:p w:rsidR="000819F8" w:rsidRPr="00721A4A" w:rsidRDefault="000819F8" w:rsidP="007E5F30">
            <w:pPr>
              <w:spacing w:line="240" w:lineRule="auto"/>
              <w:jc w:val="center"/>
              <w:rPr>
                <w:rFonts w:ascii="Times New Roman" w:eastAsia="BatangChe" w:hAnsi="Times New Roman"/>
                <w:color w:val="000000"/>
                <w:sz w:val="24"/>
                <w:szCs w:val="22"/>
              </w:rPr>
            </w:pPr>
            <w:r w:rsidRPr="00721A4A">
              <w:rPr>
                <w:rFonts w:ascii="Times New Roman" w:eastAsia="BatangChe" w:hAnsi="Times New Roman"/>
                <w:color w:val="000000"/>
                <w:sz w:val="24"/>
                <w:szCs w:val="22"/>
              </w:rPr>
              <w:t>-3,04469*</w:t>
            </w:r>
          </w:p>
        </w:tc>
        <w:tc>
          <w:tcPr>
            <w:tcW w:w="2268" w:type="dxa"/>
          </w:tcPr>
          <w:p w:rsidR="000819F8" w:rsidRPr="00721A4A" w:rsidRDefault="000819F8" w:rsidP="007E5F30">
            <w:pPr>
              <w:spacing w:line="240" w:lineRule="auto"/>
              <w:jc w:val="center"/>
              <w:rPr>
                <w:rFonts w:ascii="Times New Roman" w:hAnsi="Times New Roman"/>
                <w:color w:val="000000"/>
                <w:sz w:val="24"/>
                <w:szCs w:val="22"/>
              </w:rPr>
            </w:pPr>
            <w:r w:rsidRPr="00721A4A">
              <w:rPr>
                <w:rFonts w:ascii="Times New Roman" w:hAnsi="Times New Roman"/>
                <w:color w:val="000000"/>
                <w:sz w:val="24"/>
                <w:szCs w:val="22"/>
              </w:rPr>
              <w:t>1,943</w:t>
            </w:r>
          </w:p>
        </w:tc>
        <w:tc>
          <w:tcPr>
            <w:tcW w:w="2268" w:type="dxa"/>
          </w:tcPr>
          <w:p w:rsidR="000819F8" w:rsidRPr="00721A4A" w:rsidRDefault="000819F8" w:rsidP="007E5F30">
            <w:pPr>
              <w:spacing w:line="240" w:lineRule="auto"/>
              <w:jc w:val="center"/>
              <w:rPr>
                <w:rFonts w:ascii="Times New Roman" w:hAnsi="Times New Roman"/>
                <w:color w:val="000000"/>
                <w:sz w:val="24"/>
                <w:szCs w:val="22"/>
              </w:rPr>
            </w:pPr>
            <w:r w:rsidRPr="00721A4A">
              <w:rPr>
                <w:rFonts w:ascii="Times New Roman" w:hAnsi="Times New Roman"/>
                <w:color w:val="000000"/>
                <w:sz w:val="24"/>
                <w:szCs w:val="22"/>
              </w:rPr>
              <w:t>2,446</w:t>
            </w:r>
          </w:p>
        </w:tc>
      </w:tr>
      <w:tr w:rsidR="000819F8" w:rsidRPr="00721A4A" w:rsidTr="00721A4A">
        <w:trPr>
          <w:trHeight w:val="300"/>
        </w:trPr>
        <w:tc>
          <w:tcPr>
            <w:tcW w:w="3984" w:type="dxa"/>
            <w:noWrap/>
            <w:hideMark/>
          </w:tcPr>
          <w:p w:rsidR="000819F8" w:rsidRPr="00721A4A" w:rsidRDefault="000819F8" w:rsidP="007E5F30">
            <w:pPr>
              <w:widowControl/>
              <w:spacing w:line="240" w:lineRule="auto"/>
              <w:rPr>
                <w:rFonts w:ascii="Times New Roman" w:hAnsi="Times New Roman"/>
                <w:color w:val="000000"/>
                <w:sz w:val="24"/>
                <w:szCs w:val="28"/>
              </w:rPr>
            </w:pPr>
            <w:r w:rsidRPr="00721A4A">
              <w:rPr>
                <w:rFonts w:ascii="Times New Roman" w:hAnsi="Times New Roman"/>
                <w:color w:val="000000"/>
                <w:sz w:val="24"/>
                <w:szCs w:val="28"/>
              </w:rPr>
              <w:t>Добыча топливно-энергетических полезных ископаемых</w:t>
            </w:r>
          </w:p>
        </w:tc>
        <w:tc>
          <w:tcPr>
            <w:tcW w:w="1227" w:type="dxa"/>
            <w:noWrap/>
            <w:hideMark/>
          </w:tcPr>
          <w:p w:rsidR="000819F8" w:rsidRPr="00721A4A" w:rsidRDefault="000819F8" w:rsidP="007E5F30">
            <w:pPr>
              <w:spacing w:line="240" w:lineRule="auto"/>
              <w:jc w:val="center"/>
              <w:rPr>
                <w:rFonts w:ascii="Times New Roman" w:eastAsia="BatangChe" w:hAnsi="Times New Roman"/>
                <w:color w:val="000000"/>
                <w:sz w:val="24"/>
                <w:szCs w:val="22"/>
              </w:rPr>
            </w:pPr>
            <w:r w:rsidRPr="00721A4A">
              <w:rPr>
                <w:rFonts w:ascii="Times New Roman" w:eastAsia="BatangChe" w:hAnsi="Times New Roman"/>
                <w:color w:val="000000"/>
                <w:sz w:val="24"/>
                <w:szCs w:val="22"/>
              </w:rPr>
              <w:t>-6,23283*</w:t>
            </w:r>
          </w:p>
        </w:tc>
        <w:tc>
          <w:tcPr>
            <w:tcW w:w="2268" w:type="dxa"/>
          </w:tcPr>
          <w:p w:rsidR="000819F8" w:rsidRPr="00721A4A" w:rsidRDefault="000819F8" w:rsidP="007E5F30">
            <w:pPr>
              <w:spacing w:line="240" w:lineRule="auto"/>
              <w:jc w:val="center"/>
              <w:rPr>
                <w:rFonts w:ascii="Times New Roman" w:hAnsi="Times New Roman"/>
                <w:color w:val="000000"/>
                <w:sz w:val="24"/>
                <w:szCs w:val="22"/>
              </w:rPr>
            </w:pPr>
            <w:r w:rsidRPr="00721A4A">
              <w:rPr>
                <w:rFonts w:ascii="Times New Roman" w:hAnsi="Times New Roman"/>
                <w:color w:val="000000"/>
                <w:sz w:val="24"/>
                <w:szCs w:val="22"/>
              </w:rPr>
              <w:t>1,895</w:t>
            </w:r>
          </w:p>
        </w:tc>
        <w:tc>
          <w:tcPr>
            <w:tcW w:w="2268" w:type="dxa"/>
          </w:tcPr>
          <w:p w:rsidR="000819F8" w:rsidRPr="00721A4A" w:rsidRDefault="000819F8" w:rsidP="007E5F30">
            <w:pPr>
              <w:spacing w:line="240" w:lineRule="auto"/>
              <w:jc w:val="center"/>
              <w:rPr>
                <w:rFonts w:ascii="Times New Roman" w:hAnsi="Times New Roman"/>
                <w:color w:val="000000"/>
                <w:sz w:val="24"/>
                <w:szCs w:val="22"/>
              </w:rPr>
            </w:pPr>
            <w:r w:rsidRPr="00721A4A">
              <w:rPr>
                <w:rFonts w:ascii="Times New Roman" w:hAnsi="Times New Roman"/>
                <w:color w:val="000000"/>
                <w:sz w:val="24"/>
                <w:szCs w:val="22"/>
              </w:rPr>
              <w:t>2,365</w:t>
            </w:r>
          </w:p>
        </w:tc>
      </w:tr>
      <w:tr w:rsidR="000819F8" w:rsidRPr="00721A4A" w:rsidTr="00721A4A">
        <w:trPr>
          <w:trHeight w:val="300"/>
        </w:trPr>
        <w:tc>
          <w:tcPr>
            <w:tcW w:w="3984" w:type="dxa"/>
            <w:noWrap/>
            <w:hideMark/>
          </w:tcPr>
          <w:p w:rsidR="000819F8" w:rsidRPr="00721A4A" w:rsidRDefault="000819F8" w:rsidP="007E5F30">
            <w:pPr>
              <w:widowControl/>
              <w:spacing w:line="240" w:lineRule="auto"/>
              <w:rPr>
                <w:rFonts w:ascii="Times New Roman" w:hAnsi="Times New Roman"/>
                <w:color w:val="000000"/>
                <w:sz w:val="24"/>
                <w:szCs w:val="28"/>
              </w:rPr>
            </w:pPr>
            <w:r w:rsidRPr="00721A4A">
              <w:rPr>
                <w:rFonts w:ascii="Times New Roman" w:hAnsi="Times New Roman"/>
                <w:color w:val="000000"/>
                <w:sz w:val="24"/>
                <w:szCs w:val="28"/>
              </w:rPr>
              <w:t xml:space="preserve">Добыча полезных ископаемых, </w:t>
            </w:r>
            <w:proofErr w:type="gramStart"/>
            <w:r w:rsidRPr="00721A4A">
              <w:rPr>
                <w:rFonts w:ascii="Times New Roman" w:hAnsi="Times New Roman"/>
                <w:color w:val="000000"/>
                <w:sz w:val="24"/>
                <w:szCs w:val="28"/>
              </w:rPr>
              <w:t>кроме</w:t>
            </w:r>
            <w:proofErr w:type="gramEnd"/>
            <w:r w:rsidRPr="00721A4A">
              <w:rPr>
                <w:rFonts w:ascii="Times New Roman" w:hAnsi="Times New Roman"/>
                <w:color w:val="000000"/>
                <w:sz w:val="24"/>
                <w:szCs w:val="28"/>
              </w:rPr>
              <w:t xml:space="preserve"> топливно-энергетических</w:t>
            </w:r>
          </w:p>
        </w:tc>
        <w:tc>
          <w:tcPr>
            <w:tcW w:w="1227" w:type="dxa"/>
            <w:noWrap/>
            <w:hideMark/>
          </w:tcPr>
          <w:p w:rsidR="000819F8" w:rsidRPr="00721A4A" w:rsidRDefault="000819F8" w:rsidP="007E5F30">
            <w:pPr>
              <w:spacing w:line="240" w:lineRule="auto"/>
              <w:jc w:val="center"/>
              <w:rPr>
                <w:rFonts w:ascii="Times New Roman" w:eastAsia="BatangChe" w:hAnsi="Times New Roman"/>
                <w:color w:val="000000"/>
                <w:sz w:val="24"/>
                <w:szCs w:val="22"/>
              </w:rPr>
            </w:pPr>
            <w:r w:rsidRPr="00721A4A">
              <w:rPr>
                <w:rFonts w:ascii="Times New Roman" w:eastAsia="BatangChe" w:hAnsi="Times New Roman"/>
                <w:color w:val="000000"/>
                <w:sz w:val="24"/>
                <w:szCs w:val="22"/>
              </w:rPr>
              <w:t>-3,32323*</w:t>
            </w:r>
          </w:p>
        </w:tc>
        <w:tc>
          <w:tcPr>
            <w:tcW w:w="2268" w:type="dxa"/>
          </w:tcPr>
          <w:p w:rsidR="000819F8" w:rsidRPr="00721A4A" w:rsidRDefault="000819F8" w:rsidP="007E5F30">
            <w:pPr>
              <w:spacing w:line="240" w:lineRule="auto"/>
              <w:jc w:val="center"/>
              <w:rPr>
                <w:rFonts w:ascii="Times New Roman" w:hAnsi="Times New Roman"/>
                <w:color w:val="000000"/>
                <w:sz w:val="24"/>
                <w:szCs w:val="22"/>
              </w:rPr>
            </w:pPr>
            <w:r w:rsidRPr="00721A4A">
              <w:rPr>
                <w:rFonts w:ascii="Times New Roman" w:hAnsi="Times New Roman"/>
                <w:color w:val="000000"/>
                <w:sz w:val="24"/>
                <w:szCs w:val="22"/>
              </w:rPr>
              <w:t>2,015</w:t>
            </w:r>
          </w:p>
        </w:tc>
        <w:tc>
          <w:tcPr>
            <w:tcW w:w="2268" w:type="dxa"/>
          </w:tcPr>
          <w:p w:rsidR="000819F8" w:rsidRPr="00721A4A" w:rsidRDefault="000819F8" w:rsidP="007E5F30">
            <w:pPr>
              <w:spacing w:line="240" w:lineRule="auto"/>
              <w:jc w:val="center"/>
              <w:rPr>
                <w:rFonts w:ascii="Times New Roman" w:hAnsi="Times New Roman"/>
                <w:color w:val="000000"/>
                <w:sz w:val="24"/>
                <w:szCs w:val="22"/>
              </w:rPr>
            </w:pPr>
            <w:r w:rsidRPr="00721A4A">
              <w:rPr>
                <w:rFonts w:ascii="Times New Roman" w:hAnsi="Times New Roman"/>
                <w:color w:val="000000"/>
                <w:sz w:val="24"/>
                <w:szCs w:val="22"/>
              </w:rPr>
              <w:t>2,570</w:t>
            </w:r>
          </w:p>
        </w:tc>
      </w:tr>
      <w:tr w:rsidR="000819F8" w:rsidRPr="00721A4A" w:rsidTr="00721A4A">
        <w:trPr>
          <w:trHeight w:val="300"/>
        </w:trPr>
        <w:tc>
          <w:tcPr>
            <w:tcW w:w="3984" w:type="dxa"/>
            <w:noWrap/>
            <w:hideMark/>
          </w:tcPr>
          <w:p w:rsidR="000819F8" w:rsidRPr="00721A4A" w:rsidRDefault="000819F8" w:rsidP="007E5F30">
            <w:pPr>
              <w:widowControl/>
              <w:spacing w:line="240" w:lineRule="auto"/>
              <w:rPr>
                <w:rFonts w:ascii="Times New Roman" w:hAnsi="Times New Roman"/>
                <w:color w:val="000000"/>
                <w:sz w:val="24"/>
                <w:szCs w:val="28"/>
              </w:rPr>
            </w:pPr>
            <w:r w:rsidRPr="00721A4A">
              <w:rPr>
                <w:rFonts w:ascii="Times New Roman" w:hAnsi="Times New Roman"/>
                <w:color w:val="000000"/>
                <w:sz w:val="24"/>
                <w:szCs w:val="28"/>
              </w:rPr>
              <w:t>Металлургическое производство</w:t>
            </w:r>
          </w:p>
        </w:tc>
        <w:tc>
          <w:tcPr>
            <w:tcW w:w="1227" w:type="dxa"/>
            <w:noWrap/>
            <w:hideMark/>
          </w:tcPr>
          <w:p w:rsidR="000819F8" w:rsidRPr="00721A4A" w:rsidRDefault="000819F8" w:rsidP="007E5F30">
            <w:pPr>
              <w:spacing w:line="240" w:lineRule="auto"/>
              <w:jc w:val="center"/>
              <w:rPr>
                <w:rFonts w:ascii="Times New Roman" w:eastAsia="BatangChe" w:hAnsi="Times New Roman"/>
                <w:color w:val="000000"/>
                <w:sz w:val="24"/>
                <w:szCs w:val="22"/>
              </w:rPr>
            </w:pPr>
            <w:r w:rsidRPr="00721A4A">
              <w:rPr>
                <w:rFonts w:ascii="Times New Roman" w:eastAsia="BatangChe" w:hAnsi="Times New Roman"/>
                <w:color w:val="000000"/>
                <w:sz w:val="24"/>
                <w:szCs w:val="22"/>
              </w:rPr>
              <w:t>-3,32356*</w:t>
            </w:r>
          </w:p>
        </w:tc>
        <w:tc>
          <w:tcPr>
            <w:tcW w:w="2268" w:type="dxa"/>
          </w:tcPr>
          <w:p w:rsidR="000819F8" w:rsidRPr="00721A4A" w:rsidRDefault="000819F8" w:rsidP="007E5F30">
            <w:pPr>
              <w:widowControl/>
              <w:spacing w:line="240" w:lineRule="auto"/>
              <w:jc w:val="center"/>
              <w:rPr>
                <w:rFonts w:ascii="Times New Roman" w:hAnsi="Times New Roman"/>
                <w:color w:val="000000"/>
                <w:sz w:val="24"/>
                <w:szCs w:val="28"/>
              </w:rPr>
            </w:pPr>
            <w:r w:rsidRPr="00721A4A">
              <w:rPr>
                <w:rFonts w:ascii="Times New Roman" w:hAnsi="Times New Roman"/>
                <w:color w:val="000000"/>
                <w:sz w:val="24"/>
                <w:szCs w:val="28"/>
              </w:rPr>
              <w:t>1,895</w:t>
            </w:r>
          </w:p>
        </w:tc>
        <w:tc>
          <w:tcPr>
            <w:tcW w:w="2268" w:type="dxa"/>
          </w:tcPr>
          <w:p w:rsidR="000819F8" w:rsidRPr="00721A4A" w:rsidRDefault="000819F8" w:rsidP="007E5F30">
            <w:pPr>
              <w:widowControl/>
              <w:spacing w:line="240" w:lineRule="auto"/>
              <w:jc w:val="center"/>
              <w:rPr>
                <w:rFonts w:ascii="Times New Roman" w:hAnsi="Times New Roman"/>
                <w:color w:val="000000"/>
                <w:sz w:val="24"/>
                <w:szCs w:val="28"/>
              </w:rPr>
            </w:pPr>
            <w:r w:rsidRPr="00721A4A">
              <w:rPr>
                <w:rFonts w:ascii="Times New Roman" w:hAnsi="Times New Roman"/>
                <w:color w:val="000000"/>
                <w:sz w:val="24"/>
                <w:szCs w:val="28"/>
              </w:rPr>
              <w:t>2,365</w:t>
            </w:r>
          </w:p>
        </w:tc>
      </w:tr>
    </w:tbl>
    <w:p w:rsidR="000819F8" w:rsidRPr="00AB42AB" w:rsidRDefault="000819F8" w:rsidP="007E5F30">
      <w:pPr>
        <w:spacing w:line="240" w:lineRule="auto"/>
        <w:ind w:firstLine="426"/>
        <w:rPr>
          <w:color w:val="000000"/>
          <w:sz w:val="20"/>
          <w:szCs w:val="24"/>
        </w:rPr>
      </w:pPr>
      <w:r w:rsidRPr="00AB42AB">
        <w:rPr>
          <w:color w:val="000000"/>
          <w:sz w:val="20"/>
          <w:szCs w:val="24"/>
        </w:rPr>
        <w:t>* - значимо на 5%-ом уровне значимости;</w:t>
      </w:r>
    </w:p>
    <w:p w:rsidR="000819F8" w:rsidRDefault="000819F8" w:rsidP="007E5F30">
      <w:pPr>
        <w:spacing w:line="240" w:lineRule="auto"/>
        <w:ind w:firstLine="426"/>
        <w:rPr>
          <w:color w:val="000000"/>
          <w:sz w:val="20"/>
          <w:szCs w:val="24"/>
        </w:rPr>
      </w:pPr>
      <w:r w:rsidRPr="00AB42AB">
        <w:rPr>
          <w:color w:val="000000"/>
          <w:sz w:val="20"/>
          <w:szCs w:val="24"/>
        </w:rPr>
        <w:t>** - значимо на 10%-ом уровне значимости.</w:t>
      </w:r>
    </w:p>
    <w:p w:rsidR="000819F8" w:rsidRPr="00B757BF" w:rsidRDefault="000819F8" w:rsidP="007E5F30">
      <w:pPr>
        <w:spacing w:line="240" w:lineRule="auto"/>
        <w:rPr>
          <w:noProof/>
          <w:sz w:val="24"/>
        </w:rPr>
      </w:pPr>
      <w:r w:rsidRPr="00B757BF">
        <w:rPr>
          <w:noProof/>
          <w:sz w:val="24"/>
        </w:rPr>
        <w:t xml:space="preserve">Все выборки, разделённые по отраслям, имеют распределение отличное от нормального, то есть новости в этих выборках значимо влияют на рыночную стоимость компаний. Рассмотрим поведение кривых кумулятивных усреднённых избыточных доходностей разных отраслей (рис. </w:t>
      </w:r>
      <w:r w:rsidR="00B757BF">
        <w:rPr>
          <w:noProof/>
          <w:sz w:val="24"/>
        </w:rPr>
        <w:t>9</w:t>
      </w:r>
      <w:r w:rsidRPr="00B757BF">
        <w:rPr>
          <w:noProof/>
          <w:sz w:val="24"/>
        </w:rPr>
        <w:t>)</w:t>
      </w:r>
      <w:r w:rsidR="00B757BF">
        <w:rPr>
          <w:noProof/>
          <w:sz w:val="24"/>
        </w:rPr>
        <w:t>.</w:t>
      </w:r>
    </w:p>
    <w:p w:rsidR="000819F8" w:rsidRDefault="000819F8" w:rsidP="007E5F30">
      <w:pPr>
        <w:spacing w:line="240" w:lineRule="auto"/>
        <w:ind w:firstLine="0"/>
        <w:rPr>
          <w:noProof/>
        </w:rPr>
      </w:pPr>
      <w:r>
        <w:rPr>
          <w:noProof/>
        </w:rPr>
        <w:drawing>
          <wp:inline distT="0" distB="0" distL="0" distR="0">
            <wp:extent cx="5486400" cy="2922905"/>
            <wp:effectExtent l="0" t="0" r="0" b="0"/>
            <wp:docPr id="45" name="Рисунок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819F8" w:rsidRPr="00B757BF" w:rsidRDefault="000819F8" w:rsidP="007E5F30">
      <w:pPr>
        <w:spacing w:line="240" w:lineRule="auto"/>
        <w:jc w:val="center"/>
        <w:rPr>
          <w:noProof/>
          <w:sz w:val="24"/>
        </w:rPr>
      </w:pPr>
      <w:r w:rsidRPr="00B757BF">
        <w:rPr>
          <w:noProof/>
          <w:sz w:val="24"/>
        </w:rPr>
        <w:t xml:space="preserve">Рис. </w:t>
      </w:r>
      <w:r w:rsidR="00B757BF" w:rsidRPr="00B757BF">
        <w:rPr>
          <w:noProof/>
          <w:sz w:val="24"/>
        </w:rPr>
        <w:t>9.</w:t>
      </w:r>
      <w:r w:rsidRPr="00B757BF">
        <w:rPr>
          <w:noProof/>
          <w:sz w:val="24"/>
        </w:rPr>
        <w:t xml:space="preserve"> Реакция различных отраслей экономики на увеличение дивидендых выплат</w:t>
      </w:r>
    </w:p>
    <w:p w:rsidR="000819F8" w:rsidRPr="00B757BF" w:rsidRDefault="00B757BF" w:rsidP="007E5F30">
      <w:pPr>
        <w:spacing w:line="240" w:lineRule="auto"/>
        <w:rPr>
          <w:bCs/>
          <w:sz w:val="24"/>
          <w:szCs w:val="28"/>
        </w:rPr>
      </w:pPr>
      <w:r w:rsidRPr="00B757BF">
        <w:rPr>
          <w:bCs/>
          <w:sz w:val="24"/>
          <w:szCs w:val="28"/>
        </w:rPr>
        <w:t xml:space="preserve">Таким образом, </w:t>
      </w:r>
      <w:r w:rsidR="000819F8" w:rsidRPr="00B757BF">
        <w:rPr>
          <w:bCs/>
          <w:sz w:val="24"/>
          <w:szCs w:val="28"/>
        </w:rPr>
        <w:t>четвёртая гипотеза</w:t>
      </w:r>
      <w:r w:rsidR="008626F8">
        <w:rPr>
          <w:bCs/>
          <w:sz w:val="24"/>
          <w:szCs w:val="28"/>
        </w:rPr>
        <w:t xml:space="preserve"> исследования</w:t>
      </w:r>
      <w:r w:rsidR="000819F8" w:rsidRPr="00B757BF">
        <w:rPr>
          <w:bCs/>
          <w:sz w:val="24"/>
          <w:szCs w:val="28"/>
        </w:rPr>
        <w:t xml:space="preserve"> подтверждается. </w:t>
      </w:r>
      <w:proofErr w:type="gramStart"/>
      <w:r w:rsidR="000819F8" w:rsidRPr="00B757BF">
        <w:rPr>
          <w:bCs/>
          <w:sz w:val="24"/>
          <w:szCs w:val="28"/>
        </w:rPr>
        <w:t>Акции компаний, функционирующих в топливно-энергетической и металлургической отраслях, негативно, но достаточно сдержанно реагируют на информацию о повышении дивидендов.</w:t>
      </w:r>
      <w:proofErr w:type="gramEnd"/>
      <w:r w:rsidR="000819F8" w:rsidRPr="00B757BF">
        <w:rPr>
          <w:bCs/>
          <w:sz w:val="24"/>
          <w:szCs w:val="28"/>
        </w:rPr>
        <w:t xml:space="preserve"> Стоимость акций компани</w:t>
      </w:r>
      <w:r>
        <w:rPr>
          <w:bCs/>
          <w:sz w:val="24"/>
          <w:szCs w:val="28"/>
        </w:rPr>
        <w:t>й</w:t>
      </w:r>
      <w:r w:rsidR="000819F8" w:rsidRPr="00B757BF">
        <w:rPr>
          <w:bCs/>
          <w:sz w:val="24"/>
          <w:szCs w:val="28"/>
        </w:rPr>
        <w:t xml:space="preserve"> падает, но не сильно.</w:t>
      </w:r>
    </w:p>
    <w:p w:rsidR="000819F8" w:rsidRPr="00B757BF" w:rsidRDefault="000819F8" w:rsidP="007E5F30">
      <w:pPr>
        <w:spacing w:line="240" w:lineRule="auto"/>
        <w:rPr>
          <w:bCs/>
          <w:sz w:val="24"/>
          <w:szCs w:val="28"/>
        </w:rPr>
      </w:pPr>
      <w:r w:rsidRPr="00B757BF">
        <w:rPr>
          <w:bCs/>
          <w:sz w:val="24"/>
          <w:szCs w:val="28"/>
        </w:rPr>
        <w:t xml:space="preserve">Более интересна реакция компаний химической </w:t>
      </w:r>
      <w:r w:rsidR="001C0C36">
        <w:rPr>
          <w:bCs/>
          <w:sz w:val="24"/>
          <w:szCs w:val="28"/>
        </w:rPr>
        <w:t>промышленности</w:t>
      </w:r>
      <w:r w:rsidRPr="00B757BF">
        <w:rPr>
          <w:bCs/>
          <w:sz w:val="24"/>
          <w:szCs w:val="28"/>
        </w:rPr>
        <w:t xml:space="preserve"> и компаний, добывающих полезные ископаемые (не включая топливно-энергетические). </w:t>
      </w:r>
      <w:r w:rsidRPr="00B757BF">
        <w:rPr>
          <w:bCs/>
          <w:sz w:val="24"/>
          <w:szCs w:val="28"/>
        </w:rPr>
        <w:lastRenderedPageBreak/>
        <w:t xml:space="preserve">Предприятия резко негативно реагируют на </w:t>
      </w:r>
      <w:r w:rsidR="001C0C36">
        <w:rPr>
          <w:bCs/>
          <w:sz w:val="24"/>
          <w:szCs w:val="28"/>
        </w:rPr>
        <w:t>объявления</w:t>
      </w:r>
      <w:r w:rsidRPr="00B757BF">
        <w:rPr>
          <w:bCs/>
          <w:sz w:val="24"/>
          <w:szCs w:val="28"/>
        </w:rPr>
        <w:t xml:space="preserve"> о повышении дивидендов. Средняя избыточная доходность компаний химической </w:t>
      </w:r>
      <w:r w:rsidR="001C0C36">
        <w:rPr>
          <w:bCs/>
          <w:sz w:val="24"/>
          <w:szCs w:val="28"/>
        </w:rPr>
        <w:t>промышленности</w:t>
      </w:r>
      <w:r w:rsidRPr="00B757BF">
        <w:rPr>
          <w:bCs/>
          <w:sz w:val="24"/>
          <w:szCs w:val="28"/>
        </w:rPr>
        <w:t xml:space="preserve"> на следующий день после публикации </w:t>
      </w:r>
      <w:r w:rsidR="001C0C36">
        <w:rPr>
          <w:bCs/>
          <w:sz w:val="24"/>
          <w:szCs w:val="28"/>
        </w:rPr>
        <w:t>объявления</w:t>
      </w:r>
      <w:r w:rsidRPr="00B757BF">
        <w:rPr>
          <w:bCs/>
          <w:sz w:val="24"/>
          <w:szCs w:val="28"/>
        </w:rPr>
        <w:t xml:space="preserve"> составляет -5,3% (рис. </w:t>
      </w:r>
      <w:r w:rsidR="001C0C36">
        <w:rPr>
          <w:bCs/>
          <w:sz w:val="24"/>
          <w:szCs w:val="28"/>
        </w:rPr>
        <w:t>10</w:t>
      </w:r>
      <w:r w:rsidRPr="00B757BF">
        <w:rPr>
          <w:bCs/>
          <w:sz w:val="24"/>
          <w:szCs w:val="28"/>
        </w:rPr>
        <w:t xml:space="preserve">). Средняя избыточная доходность компаний, занимающихся добычей полезных ископаемых, в момент времени </w:t>
      </w:r>
      <w:r w:rsidRPr="00B757BF">
        <w:rPr>
          <w:bCs/>
          <w:sz w:val="24"/>
          <w:szCs w:val="28"/>
          <w:lang w:val="en-US"/>
        </w:rPr>
        <w:t>t</w:t>
      </w:r>
      <w:r w:rsidRPr="00B757BF">
        <w:rPr>
          <w:bCs/>
          <w:sz w:val="24"/>
          <w:szCs w:val="28"/>
        </w:rPr>
        <w:t xml:space="preserve">=1 составляет -2,5%, а в момент </w:t>
      </w:r>
      <w:r w:rsidRPr="00B757BF">
        <w:rPr>
          <w:bCs/>
          <w:sz w:val="24"/>
          <w:szCs w:val="28"/>
          <w:lang w:val="en-US"/>
        </w:rPr>
        <w:t>t</w:t>
      </w:r>
      <w:r w:rsidRPr="00B757BF">
        <w:rPr>
          <w:bCs/>
          <w:sz w:val="24"/>
          <w:szCs w:val="28"/>
        </w:rPr>
        <w:t>=3 показатель уменьшается до -4,78% (рис. 1</w:t>
      </w:r>
      <w:r w:rsidR="001C0C36">
        <w:rPr>
          <w:bCs/>
          <w:sz w:val="24"/>
          <w:szCs w:val="28"/>
        </w:rPr>
        <w:t>1</w:t>
      </w:r>
      <w:r w:rsidRPr="00B757BF">
        <w:rPr>
          <w:bCs/>
          <w:sz w:val="24"/>
          <w:szCs w:val="28"/>
        </w:rPr>
        <w:t xml:space="preserve">). </w:t>
      </w:r>
    </w:p>
    <w:p w:rsidR="000819F8" w:rsidRDefault="000819F8" w:rsidP="007E5F30">
      <w:pPr>
        <w:spacing w:line="240" w:lineRule="auto"/>
        <w:rPr>
          <w:noProof/>
        </w:rPr>
      </w:pPr>
      <w:r>
        <w:rPr>
          <w:noProof/>
        </w:rPr>
        <w:drawing>
          <wp:inline distT="0" distB="0" distL="0" distR="0">
            <wp:extent cx="4568825" cy="2740025"/>
            <wp:effectExtent l="0" t="0" r="22225" b="22225"/>
            <wp:docPr id="46" name="Рисунок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819F8" w:rsidRPr="001C0C36" w:rsidRDefault="000819F8" w:rsidP="007E5F30">
      <w:pPr>
        <w:spacing w:line="240" w:lineRule="auto"/>
        <w:jc w:val="center"/>
        <w:rPr>
          <w:noProof/>
          <w:sz w:val="24"/>
        </w:rPr>
      </w:pPr>
      <w:r w:rsidRPr="001C0C36">
        <w:rPr>
          <w:noProof/>
          <w:sz w:val="24"/>
        </w:rPr>
        <w:t>Рис. 1</w:t>
      </w:r>
      <w:r w:rsidR="001C0C36" w:rsidRPr="001C0C36">
        <w:rPr>
          <w:noProof/>
          <w:sz w:val="24"/>
        </w:rPr>
        <w:t>0.</w:t>
      </w:r>
      <w:r w:rsidRPr="001C0C36">
        <w:rPr>
          <w:sz w:val="24"/>
        </w:rPr>
        <w:t xml:space="preserve"> </w:t>
      </w:r>
      <w:r w:rsidRPr="001C0C36">
        <w:rPr>
          <w:noProof/>
          <w:sz w:val="24"/>
        </w:rPr>
        <w:t>Поведение средней избыточной доходности компаний химической отрасли («хорошая» новость)</w:t>
      </w:r>
    </w:p>
    <w:p w:rsidR="000819F8" w:rsidRPr="0076276E" w:rsidRDefault="000819F8" w:rsidP="007E5F30">
      <w:pPr>
        <w:spacing w:line="240" w:lineRule="auto"/>
        <w:rPr>
          <w:noProof/>
        </w:rPr>
      </w:pPr>
    </w:p>
    <w:p w:rsidR="000819F8" w:rsidRDefault="000819F8" w:rsidP="007E5F30">
      <w:pPr>
        <w:spacing w:line="240" w:lineRule="auto"/>
        <w:rPr>
          <w:noProof/>
        </w:rPr>
      </w:pPr>
      <w:r>
        <w:rPr>
          <w:noProof/>
        </w:rPr>
        <w:drawing>
          <wp:inline distT="0" distB="0" distL="0" distR="0">
            <wp:extent cx="4568825" cy="2740025"/>
            <wp:effectExtent l="0" t="0" r="22225" b="22225"/>
            <wp:docPr id="47" name="Рисунок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819F8" w:rsidRPr="001C0C36" w:rsidRDefault="000819F8" w:rsidP="007E5F30">
      <w:pPr>
        <w:spacing w:line="240" w:lineRule="auto"/>
        <w:jc w:val="center"/>
        <w:rPr>
          <w:noProof/>
          <w:sz w:val="24"/>
        </w:rPr>
      </w:pPr>
      <w:r w:rsidRPr="001C0C36">
        <w:rPr>
          <w:noProof/>
          <w:sz w:val="24"/>
        </w:rPr>
        <w:t>Рис. 1</w:t>
      </w:r>
      <w:r w:rsidR="001C0C36" w:rsidRPr="001C0C36">
        <w:rPr>
          <w:noProof/>
          <w:sz w:val="24"/>
        </w:rPr>
        <w:t>1.</w:t>
      </w:r>
      <w:r w:rsidRPr="001C0C36">
        <w:rPr>
          <w:sz w:val="24"/>
        </w:rPr>
        <w:t xml:space="preserve"> </w:t>
      </w:r>
      <w:r w:rsidRPr="001C0C36">
        <w:rPr>
          <w:noProof/>
          <w:sz w:val="24"/>
        </w:rPr>
        <w:t>Поведение средней избыточной доходности компаний, занимающихся добычей полезных ископаемых, кроме топливно-энергетических («хорошая» новость)</w:t>
      </w:r>
    </w:p>
    <w:p w:rsidR="000819F8" w:rsidRPr="001C0C36" w:rsidRDefault="000819F8" w:rsidP="007E5F30">
      <w:pPr>
        <w:spacing w:line="240" w:lineRule="auto"/>
        <w:rPr>
          <w:noProof/>
          <w:sz w:val="24"/>
          <w:szCs w:val="24"/>
        </w:rPr>
      </w:pPr>
      <w:r w:rsidRPr="001C0C36">
        <w:rPr>
          <w:noProof/>
          <w:sz w:val="24"/>
          <w:szCs w:val="24"/>
        </w:rPr>
        <w:t>Такие результаты</w:t>
      </w:r>
      <w:r w:rsidR="001C0C36" w:rsidRPr="001C0C36">
        <w:rPr>
          <w:noProof/>
          <w:sz w:val="24"/>
          <w:szCs w:val="24"/>
        </w:rPr>
        <w:t>, в принципе, ожидаемы</w:t>
      </w:r>
      <w:r w:rsidRPr="001C0C36">
        <w:rPr>
          <w:noProof/>
          <w:sz w:val="24"/>
          <w:szCs w:val="24"/>
        </w:rPr>
        <w:t>. Базовые сектора российского рынка (топливно-энергети</w:t>
      </w:r>
      <w:r w:rsidR="001C0C36">
        <w:rPr>
          <w:noProof/>
          <w:sz w:val="24"/>
          <w:szCs w:val="24"/>
        </w:rPr>
        <w:t>ч</w:t>
      </w:r>
      <w:r w:rsidRPr="001C0C36">
        <w:rPr>
          <w:noProof/>
          <w:sz w:val="24"/>
          <w:szCs w:val="24"/>
        </w:rPr>
        <w:t>еский и металлурги</w:t>
      </w:r>
      <w:r w:rsidR="001C0C36">
        <w:rPr>
          <w:noProof/>
          <w:sz w:val="24"/>
          <w:szCs w:val="24"/>
        </w:rPr>
        <w:t>я</w:t>
      </w:r>
      <w:r w:rsidRPr="001C0C36">
        <w:rPr>
          <w:noProof/>
          <w:sz w:val="24"/>
          <w:szCs w:val="24"/>
        </w:rPr>
        <w:t>) в последнее время не демонстрируют высоких темпов роста. Если говорить о топливно-энергетической отрасли, то можно наблюдать спад производства электроэнергии. Экперты объясняют это сокращением её экпорта в Китай и Финляндию. Кроме того, несмотря на то, что добыча нефти продолжает расти, таких темпов недостаточно, чтобы удовлетворить весь внутренний и внешний спрос, поэтому мы видим сокращение экпорта нефти.</w:t>
      </w:r>
    </w:p>
    <w:p w:rsidR="000819F8" w:rsidRPr="00707B58" w:rsidRDefault="000819F8" w:rsidP="007E5F30">
      <w:pPr>
        <w:spacing w:line="240" w:lineRule="auto"/>
        <w:rPr>
          <w:noProof/>
          <w:sz w:val="24"/>
        </w:rPr>
      </w:pPr>
      <w:r w:rsidRPr="00707B58">
        <w:rPr>
          <w:noProof/>
          <w:sz w:val="24"/>
        </w:rPr>
        <w:t xml:space="preserve">Впервые за последние </w:t>
      </w:r>
      <w:r w:rsidR="00B83C0F">
        <w:rPr>
          <w:noProof/>
          <w:sz w:val="24"/>
        </w:rPr>
        <w:t>че</w:t>
      </w:r>
      <w:r w:rsidRPr="00707B58">
        <w:rPr>
          <w:noProof/>
          <w:sz w:val="24"/>
        </w:rPr>
        <w:t xml:space="preserve">тыре года </w:t>
      </w:r>
      <w:r w:rsidR="00B83C0F">
        <w:rPr>
          <w:noProof/>
          <w:sz w:val="24"/>
        </w:rPr>
        <w:t>не растет</w:t>
      </w:r>
      <w:r w:rsidRPr="00707B58">
        <w:rPr>
          <w:noProof/>
          <w:sz w:val="24"/>
        </w:rPr>
        <w:t xml:space="preserve"> металлургическое производство. </w:t>
      </w:r>
      <w:r w:rsidRPr="00707B58">
        <w:rPr>
          <w:noProof/>
          <w:sz w:val="24"/>
        </w:rPr>
        <w:lastRenderedPageBreak/>
        <w:t>Основной причиной послужило снижение цен на мировом рынке. Страны Европы и Америка также показывают отрицательные показатели, только Китай, Япония и Индия увеличивают своё производство. Главной причиной увеличения производства стали в Китае является появление множества небольших заводов. Предложение существенно превысило спрос, и поэтому китайские металлургические компании стали продавать сталь по более низким ценам.</w:t>
      </w:r>
    </w:p>
    <w:p w:rsidR="000819F8" w:rsidRPr="00707B58" w:rsidRDefault="000819F8" w:rsidP="007E5F30">
      <w:pPr>
        <w:spacing w:line="240" w:lineRule="auto"/>
        <w:rPr>
          <w:noProof/>
          <w:sz w:val="24"/>
          <w:szCs w:val="24"/>
        </w:rPr>
      </w:pPr>
      <w:r w:rsidRPr="00707B58">
        <w:rPr>
          <w:noProof/>
          <w:sz w:val="24"/>
          <w:szCs w:val="24"/>
        </w:rPr>
        <w:t>Акционеры не ожидают высокой будущей прибыли в компаниях данных отраслей, поэтому они скорее заинтересованы в получении дивидендов.</w:t>
      </w:r>
    </w:p>
    <w:p w:rsidR="009D069C" w:rsidRDefault="000819F8" w:rsidP="007E5F30">
      <w:pPr>
        <w:spacing w:line="240" w:lineRule="auto"/>
        <w:rPr>
          <w:noProof/>
          <w:sz w:val="24"/>
        </w:rPr>
      </w:pPr>
      <w:r w:rsidRPr="00B83C0F">
        <w:rPr>
          <w:noProof/>
          <w:sz w:val="24"/>
        </w:rPr>
        <w:t>Химическое производство</w:t>
      </w:r>
      <w:r w:rsidRPr="001C0C36">
        <w:rPr>
          <w:noProof/>
          <w:sz w:val="24"/>
        </w:rPr>
        <w:t>, например, напротив, в последние годы показывает высокий рост. В данной отрасли существует возможность для инвестиций в покупку новых технологий за</w:t>
      </w:r>
      <w:r w:rsidR="00B83C0F">
        <w:rPr>
          <w:noProof/>
          <w:sz w:val="24"/>
        </w:rPr>
        <w:t xml:space="preserve"> </w:t>
      </w:r>
      <w:r w:rsidRPr="001C0C36">
        <w:rPr>
          <w:noProof/>
          <w:sz w:val="24"/>
        </w:rPr>
        <w:t xml:space="preserve">рубежом, разработку новых химических элементов, составов и т.д. </w:t>
      </w:r>
      <w:r w:rsidR="00707B58">
        <w:rPr>
          <w:noProof/>
          <w:sz w:val="24"/>
        </w:rPr>
        <w:t xml:space="preserve">Аналогичная ситуация наблюдается и </w:t>
      </w:r>
      <w:r w:rsidR="00707B58" w:rsidRPr="00B83C0F">
        <w:rPr>
          <w:noProof/>
          <w:sz w:val="24"/>
        </w:rPr>
        <w:t>в сфере неэнергетических полезных ископаемых</w:t>
      </w:r>
      <w:r w:rsidR="00B83C0F">
        <w:rPr>
          <w:noProof/>
          <w:sz w:val="24"/>
        </w:rPr>
        <w:t xml:space="preserve"> (таблица 4)</w:t>
      </w:r>
      <w:r w:rsidR="00707B58">
        <w:rPr>
          <w:noProof/>
          <w:sz w:val="24"/>
        </w:rPr>
        <w:t xml:space="preserve">. </w:t>
      </w:r>
    </w:p>
    <w:p w:rsidR="00B83C0F" w:rsidRDefault="00B83C0F" w:rsidP="007E5F30">
      <w:pPr>
        <w:spacing w:line="240" w:lineRule="auto"/>
        <w:jc w:val="right"/>
        <w:rPr>
          <w:noProof/>
          <w:sz w:val="24"/>
        </w:rPr>
      </w:pPr>
      <w:r>
        <w:rPr>
          <w:noProof/>
          <w:sz w:val="24"/>
        </w:rPr>
        <w:t>Таблица 4</w:t>
      </w:r>
    </w:p>
    <w:p w:rsidR="00B83C0F" w:rsidRDefault="00B83C0F" w:rsidP="007E5F30">
      <w:pPr>
        <w:spacing w:line="240" w:lineRule="auto"/>
        <w:jc w:val="center"/>
        <w:rPr>
          <w:noProof/>
          <w:sz w:val="24"/>
        </w:rPr>
      </w:pPr>
      <w:r>
        <w:rPr>
          <w:noProof/>
          <w:sz w:val="24"/>
        </w:rPr>
        <w:t>Индекс промышленного производства в России, %</w:t>
      </w:r>
    </w:p>
    <w:tbl>
      <w:tblPr>
        <w:tblStyle w:val="af"/>
        <w:tblW w:w="0" w:type="auto"/>
        <w:tblLook w:val="04A0"/>
      </w:tblPr>
      <w:tblGrid>
        <w:gridCol w:w="6622"/>
        <w:gridCol w:w="666"/>
        <w:gridCol w:w="666"/>
        <w:gridCol w:w="666"/>
        <w:gridCol w:w="666"/>
      </w:tblGrid>
      <w:tr w:rsidR="00B83C0F" w:rsidRPr="00B83C0F" w:rsidTr="00B83C0F">
        <w:trPr>
          <w:trHeight w:val="420"/>
        </w:trPr>
        <w:tc>
          <w:tcPr>
            <w:tcW w:w="0" w:type="auto"/>
            <w:noWrap/>
            <w:hideMark/>
          </w:tcPr>
          <w:p w:rsidR="00B83C0F" w:rsidRPr="00B83C0F" w:rsidRDefault="00B83C0F" w:rsidP="007E5F30">
            <w:pPr>
              <w:widowControl/>
              <w:spacing w:line="240" w:lineRule="auto"/>
              <w:jc w:val="center"/>
              <w:rPr>
                <w:rFonts w:ascii="Times New Roman CYR" w:hAnsi="Times New Roman CYR"/>
                <w:bCs/>
              </w:rPr>
            </w:pPr>
            <w:r w:rsidRPr="00B83C0F">
              <w:rPr>
                <w:rFonts w:ascii="Times New Roman CYR" w:hAnsi="Times New Roman CYR"/>
                <w:bCs/>
              </w:rPr>
              <w:t> </w:t>
            </w:r>
          </w:p>
        </w:tc>
        <w:tc>
          <w:tcPr>
            <w:tcW w:w="0" w:type="auto"/>
            <w:noWrap/>
            <w:hideMark/>
          </w:tcPr>
          <w:p w:rsidR="00B83C0F" w:rsidRPr="00B83C0F" w:rsidRDefault="00B83C0F" w:rsidP="007E5F30">
            <w:pPr>
              <w:widowControl/>
              <w:spacing w:line="240" w:lineRule="auto"/>
              <w:jc w:val="center"/>
              <w:rPr>
                <w:rFonts w:ascii="Times New Roman CYR" w:hAnsi="Times New Roman CYR"/>
                <w:bCs/>
              </w:rPr>
            </w:pPr>
            <w:r w:rsidRPr="00B83C0F">
              <w:rPr>
                <w:rFonts w:ascii="Times New Roman CYR" w:hAnsi="Times New Roman CYR"/>
                <w:bCs/>
              </w:rPr>
              <w:t>2010</w:t>
            </w:r>
          </w:p>
        </w:tc>
        <w:tc>
          <w:tcPr>
            <w:tcW w:w="0" w:type="auto"/>
            <w:noWrap/>
            <w:hideMark/>
          </w:tcPr>
          <w:p w:rsidR="00B83C0F" w:rsidRPr="00B83C0F" w:rsidRDefault="00B83C0F" w:rsidP="007E5F30">
            <w:pPr>
              <w:widowControl/>
              <w:spacing w:line="240" w:lineRule="auto"/>
              <w:jc w:val="center"/>
              <w:rPr>
                <w:rFonts w:ascii="Times New Roman CYR" w:hAnsi="Times New Roman CYR"/>
                <w:bCs/>
              </w:rPr>
            </w:pPr>
            <w:r w:rsidRPr="00B83C0F">
              <w:rPr>
                <w:rFonts w:ascii="Times New Roman CYR" w:hAnsi="Times New Roman CYR"/>
                <w:bCs/>
              </w:rPr>
              <w:t>2011</w:t>
            </w:r>
          </w:p>
        </w:tc>
        <w:tc>
          <w:tcPr>
            <w:tcW w:w="0" w:type="auto"/>
            <w:noWrap/>
            <w:hideMark/>
          </w:tcPr>
          <w:p w:rsidR="00B83C0F" w:rsidRPr="00B83C0F" w:rsidRDefault="00B83C0F" w:rsidP="007E5F30">
            <w:pPr>
              <w:widowControl/>
              <w:spacing w:line="240" w:lineRule="auto"/>
              <w:jc w:val="center"/>
              <w:rPr>
                <w:rFonts w:ascii="Times New Roman CYR" w:hAnsi="Times New Roman CYR"/>
                <w:bCs/>
              </w:rPr>
            </w:pPr>
            <w:r w:rsidRPr="00B83C0F">
              <w:rPr>
                <w:rFonts w:ascii="Times New Roman CYR" w:hAnsi="Times New Roman CYR"/>
                <w:bCs/>
              </w:rPr>
              <w:t>2012</w:t>
            </w:r>
          </w:p>
        </w:tc>
        <w:tc>
          <w:tcPr>
            <w:tcW w:w="0" w:type="auto"/>
            <w:noWrap/>
            <w:hideMark/>
          </w:tcPr>
          <w:p w:rsidR="00B83C0F" w:rsidRPr="00B83C0F" w:rsidRDefault="00B83C0F" w:rsidP="007E5F30">
            <w:pPr>
              <w:widowControl/>
              <w:spacing w:line="240" w:lineRule="auto"/>
              <w:jc w:val="center"/>
              <w:rPr>
                <w:rFonts w:ascii="Times New Roman CYR" w:hAnsi="Times New Roman CYR"/>
                <w:bCs/>
              </w:rPr>
            </w:pPr>
            <w:r w:rsidRPr="00B83C0F">
              <w:rPr>
                <w:rFonts w:ascii="Times New Roman CYR" w:hAnsi="Times New Roman CYR"/>
                <w:bCs/>
              </w:rPr>
              <w:t>2013</w:t>
            </w:r>
          </w:p>
        </w:tc>
      </w:tr>
      <w:tr w:rsidR="00B83C0F" w:rsidRPr="00B83C0F" w:rsidTr="00B83C0F">
        <w:trPr>
          <w:trHeight w:val="315"/>
        </w:trPr>
        <w:tc>
          <w:tcPr>
            <w:tcW w:w="0" w:type="auto"/>
            <w:hideMark/>
          </w:tcPr>
          <w:p w:rsidR="00B83C0F" w:rsidRPr="00B83C0F" w:rsidRDefault="00B83C0F" w:rsidP="007E5F30">
            <w:pPr>
              <w:widowControl/>
              <w:spacing w:line="240" w:lineRule="auto"/>
              <w:rPr>
                <w:rFonts w:ascii="Times New Roman CYR" w:hAnsi="Times New Roman CYR"/>
                <w:bCs/>
                <w:color w:val="000000"/>
              </w:rPr>
            </w:pPr>
            <w:r w:rsidRPr="00B83C0F">
              <w:rPr>
                <w:rFonts w:ascii="Times New Roman CYR" w:hAnsi="Times New Roman CYR"/>
                <w:bCs/>
                <w:color w:val="000000"/>
              </w:rPr>
              <w:t>Промышленное производство</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107,3</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105,0</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103,4</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100,4</w:t>
            </w:r>
          </w:p>
        </w:tc>
      </w:tr>
      <w:tr w:rsidR="00B83C0F" w:rsidRPr="00B83C0F" w:rsidTr="00B83C0F">
        <w:trPr>
          <w:trHeight w:val="255"/>
        </w:trPr>
        <w:tc>
          <w:tcPr>
            <w:tcW w:w="0" w:type="auto"/>
            <w:hideMark/>
          </w:tcPr>
          <w:p w:rsidR="00B83C0F" w:rsidRPr="00B83C0F" w:rsidRDefault="00B83C0F" w:rsidP="007E5F30">
            <w:pPr>
              <w:widowControl/>
              <w:spacing w:line="240" w:lineRule="auto"/>
              <w:ind w:firstLineChars="300" w:firstLine="600"/>
              <w:rPr>
                <w:rFonts w:ascii="Times New Roman CYR" w:hAnsi="Times New Roman CYR"/>
                <w:color w:val="000000"/>
              </w:rPr>
            </w:pPr>
            <w:r w:rsidRPr="00B83C0F">
              <w:rPr>
                <w:rFonts w:ascii="Times New Roman CYR" w:hAnsi="Times New Roman CYR"/>
                <w:color w:val="000000"/>
              </w:rPr>
              <w:t>из него:</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 </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 </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 </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 </w:t>
            </w:r>
          </w:p>
        </w:tc>
      </w:tr>
      <w:tr w:rsidR="00B83C0F" w:rsidRPr="00B83C0F" w:rsidTr="00B83C0F">
        <w:trPr>
          <w:trHeight w:val="315"/>
        </w:trPr>
        <w:tc>
          <w:tcPr>
            <w:tcW w:w="0" w:type="auto"/>
            <w:hideMark/>
          </w:tcPr>
          <w:p w:rsidR="00B83C0F" w:rsidRPr="00B83C0F" w:rsidRDefault="00B83C0F" w:rsidP="007E5F30">
            <w:pPr>
              <w:widowControl/>
              <w:spacing w:line="240" w:lineRule="auto"/>
              <w:ind w:firstLineChars="100" w:firstLine="200"/>
              <w:rPr>
                <w:rFonts w:ascii="Times New Roman CYR" w:hAnsi="Times New Roman CYR"/>
                <w:color w:val="000000"/>
              </w:rPr>
            </w:pPr>
            <w:r w:rsidRPr="00B83C0F">
              <w:rPr>
                <w:rFonts w:ascii="Times New Roman CYR" w:hAnsi="Times New Roman CYR"/>
                <w:color w:val="000000"/>
              </w:rPr>
              <w:t>добыча полезных ископаемых</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103,8</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101,8</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101,0</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101,1</w:t>
            </w:r>
          </w:p>
        </w:tc>
      </w:tr>
      <w:tr w:rsidR="00B83C0F" w:rsidRPr="00B83C0F" w:rsidTr="00B83C0F">
        <w:trPr>
          <w:trHeight w:val="255"/>
        </w:trPr>
        <w:tc>
          <w:tcPr>
            <w:tcW w:w="0" w:type="auto"/>
            <w:hideMark/>
          </w:tcPr>
          <w:p w:rsidR="00B83C0F" w:rsidRPr="00B83C0F" w:rsidRDefault="00B83C0F" w:rsidP="007E5F30">
            <w:pPr>
              <w:widowControl/>
              <w:spacing w:line="240" w:lineRule="auto"/>
              <w:ind w:firstLineChars="500" w:firstLine="1000"/>
              <w:rPr>
                <w:rFonts w:ascii="Times New Roman CYR" w:hAnsi="Times New Roman CYR"/>
                <w:color w:val="000000"/>
              </w:rPr>
            </w:pPr>
            <w:r w:rsidRPr="00B83C0F">
              <w:rPr>
                <w:rFonts w:ascii="Times New Roman CYR" w:hAnsi="Times New Roman CYR"/>
                <w:color w:val="000000"/>
              </w:rPr>
              <w:t>в том числе:</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 </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 </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 </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 </w:t>
            </w:r>
          </w:p>
        </w:tc>
      </w:tr>
      <w:tr w:rsidR="00B83C0F" w:rsidRPr="00B83C0F" w:rsidTr="00B83C0F">
        <w:trPr>
          <w:trHeight w:val="251"/>
        </w:trPr>
        <w:tc>
          <w:tcPr>
            <w:tcW w:w="0" w:type="auto"/>
            <w:hideMark/>
          </w:tcPr>
          <w:p w:rsidR="00B83C0F" w:rsidRPr="00B83C0F" w:rsidRDefault="00B83C0F" w:rsidP="007E5F30">
            <w:pPr>
              <w:widowControl/>
              <w:spacing w:line="240" w:lineRule="auto"/>
              <w:ind w:firstLineChars="200" w:firstLine="400"/>
              <w:rPr>
                <w:rFonts w:ascii="Times New Roman CYR" w:hAnsi="Times New Roman CYR"/>
                <w:i/>
                <w:color w:val="000000"/>
              </w:rPr>
            </w:pPr>
            <w:r w:rsidRPr="00B83C0F">
              <w:rPr>
                <w:rFonts w:ascii="Times New Roman CYR" w:hAnsi="Times New Roman CYR"/>
                <w:i/>
                <w:color w:val="000000"/>
              </w:rPr>
              <w:t>добыча топливно-энергетических полезных ископаемых</w:t>
            </w:r>
          </w:p>
        </w:tc>
        <w:tc>
          <w:tcPr>
            <w:tcW w:w="0" w:type="auto"/>
            <w:hideMark/>
          </w:tcPr>
          <w:p w:rsidR="00B83C0F" w:rsidRPr="00B83C0F" w:rsidRDefault="00B83C0F" w:rsidP="007E5F30">
            <w:pPr>
              <w:widowControl/>
              <w:spacing w:line="240" w:lineRule="auto"/>
              <w:jc w:val="right"/>
              <w:rPr>
                <w:rFonts w:ascii="Times New Roman CYR" w:hAnsi="Times New Roman CYR"/>
                <w:i/>
                <w:color w:val="000000"/>
              </w:rPr>
            </w:pPr>
            <w:r w:rsidRPr="00B83C0F">
              <w:rPr>
                <w:rFonts w:ascii="Times New Roman CYR" w:hAnsi="Times New Roman CYR"/>
                <w:i/>
                <w:color w:val="000000"/>
              </w:rPr>
              <w:t>103,6</w:t>
            </w:r>
          </w:p>
        </w:tc>
        <w:tc>
          <w:tcPr>
            <w:tcW w:w="0" w:type="auto"/>
            <w:hideMark/>
          </w:tcPr>
          <w:p w:rsidR="00B83C0F" w:rsidRPr="00B83C0F" w:rsidRDefault="00B83C0F" w:rsidP="007E5F30">
            <w:pPr>
              <w:widowControl/>
              <w:spacing w:line="240" w:lineRule="auto"/>
              <w:jc w:val="right"/>
              <w:rPr>
                <w:rFonts w:ascii="Times New Roman CYR" w:hAnsi="Times New Roman CYR"/>
                <w:i/>
                <w:color w:val="000000"/>
              </w:rPr>
            </w:pPr>
            <w:r w:rsidRPr="00B83C0F">
              <w:rPr>
                <w:rFonts w:ascii="Times New Roman CYR" w:hAnsi="Times New Roman CYR"/>
                <w:i/>
                <w:color w:val="000000"/>
              </w:rPr>
              <w:t>101,2</w:t>
            </w:r>
          </w:p>
        </w:tc>
        <w:tc>
          <w:tcPr>
            <w:tcW w:w="0" w:type="auto"/>
            <w:hideMark/>
          </w:tcPr>
          <w:p w:rsidR="00B83C0F" w:rsidRPr="00B83C0F" w:rsidRDefault="00B83C0F" w:rsidP="007E5F30">
            <w:pPr>
              <w:widowControl/>
              <w:spacing w:line="240" w:lineRule="auto"/>
              <w:jc w:val="right"/>
              <w:rPr>
                <w:rFonts w:ascii="Times New Roman CYR" w:hAnsi="Times New Roman CYR"/>
                <w:i/>
                <w:color w:val="000000"/>
              </w:rPr>
            </w:pPr>
            <w:r w:rsidRPr="00B83C0F">
              <w:rPr>
                <w:rFonts w:ascii="Times New Roman CYR" w:hAnsi="Times New Roman CYR"/>
                <w:i/>
                <w:color w:val="000000"/>
              </w:rPr>
              <w:t>100,7</w:t>
            </w:r>
          </w:p>
        </w:tc>
        <w:tc>
          <w:tcPr>
            <w:tcW w:w="0" w:type="auto"/>
            <w:hideMark/>
          </w:tcPr>
          <w:p w:rsidR="00B83C0F" w:rsidRPr="00B83C0F" w:rsidRDefault="00B83C0F" w:rsidP="007E5F30">
            <w:pPr>
              <w:widowControl/>
              <w:spacing w:line="240" w:lineRule="auto"/>
              <w:jc w:val="right"/>
              <w:rPr>
                <w:rFonts w:ascii="Times New Roman CYR" w:hAnsi="Times New Roman CYR"/>
                <w:i/>
                <w:color w:val="000000"/>
              </w:rPr>
            </w:pPr>
            <w:r w:rsidRPr="00B83C0F">
              <w:rPr>
                <w:rFonts w:ascii="Times New Roman CYR" w:hAnsi="Times New Roman CYR"/>
                <w:i/>
                <w:color w:val="000000"/>
              </w:rPr>
              <w:t>100,9</w:t>
            </w:r>
          </w:p>
        </w:tc>
      </w:tr>
      <w:tr w:rsidR="00B83C0F" w:rsidRPr="00B83C0F" w:rsidTr="00B83C0F">
        <w:trPr>
          <w:trHeight w:val="510"/>
        </w:trPr>
        <w:tc>
          <w:tcPr>
            <w:tcW w:w="0" w:type="auto"/>
            <w:hideMark/>
          </w:tcPr>
          <w:p w:rsidR="00B83C0F" w:rsidRPr="00B83C0F" w:rsidRDefault="00B83C0F" w:rsidP="007E5F30">
            <w:pPr>
              <w:widowControl/>
              <w:spacing w:line="240" w:lineRule="auto"/>
              <w:ind w:firstLineChars="200" w:firstLine="400"/>
              <w:rPr>
                <w:rFonts w:ascii="Times New Roman CYR" w:hAnsi="Times New Roman CYR"/>
                <w:i/>
                <w:color w:val="000000"/>
              </w:rPr>
            </w:pPr>
            <w:r w:rsidRPr="00B83C0F">
              <w:rPr>
                <w:rFonts w:ascii="Times New Roman CYR" w:hAnsi="Times New Roman CYR"/>
                <w:i/>
                <w:color w:val="000000"/>
              </w:rPr>
              <w:t xml:space="preserve">добыча полезных ископаемых, </w:t>
            </w:r>
            <w:proofErr w:type="gramStart"/>
            <w:r w:rsidRPr="00B83C0F">
              <w:rPr>
                <w:rFonts w:ascii="Times New Roman CYR" w:hAnsi="Times New Roman CYR"/>
                <w:i/>
                <w:color w:val="000000"/>
              </w:rPr>
              <w:t>кроме</w:t>
            </w:r>
            <w:proofErr w:type="gramEnd"/>
            <w:r w:rsidRPr="00B83C0F">
              <w:rPr>
                <w:rFonts w:ascii="Times New Roman CYR" w:hAnsi="Times New Roman CYR"/>
                <w:i/>
                <w:color w:val="000000"/>
              </w:rPr>
              <w:t xml:space="preserve"> топливно-энергетических</w:t>
            </w:r>
          </w:p>
        </w:tc>
        <w:tc>
          <w:tcPr>
            <w:tcW w:w="0" w:type="auto"/>
            <w:hideMark/>
          </w:tcPr>
          <w:p w:rsidR="00B83C0F" w:rsidRPr="00B83C0F" w:rsidRDefault="00B83C0F" w:rsidP="007E5F30">
            <w:pPr>
              <w:widowControl/>
              <w:spacing w:line="240" w:lineRule="auto"/>
              <w:jc w:val="right"/>
              <w:rPr>
                <w:rFonts w:ascii="Times New Roman CYR" w:hAnsi="Times New Roman CYR"/>
                <w:i/>
                <w:color w:val="000000"/>
              </w:rPr>
            </w:pPr>
            <w:r w:rsidRPr="00B83C0F">
              <w:rPr>
                <w:rFonts w:ascii="Times New Roman CYR" w:hAnsi="Times New Roman CYR"/>
                <w:i/>
                <w:color w:val="000000"/>
              </w:rPr>
              <w:t>104,9</w:t>
            </w:r>
          </w:p>
        </w:tc>
        <w:tc>
          <w:tcPr>
            <w:tcW w:w="0" w:type="auto"/>
            <w:hideMark/>
          </w:tcPr>
          <w:p w:rsidR="00B83C0F" w:rsidRPr="00B83C0F" w:rsidRDefault="00B83C0F" w:rsidP="007E5F30">
            <w:pPr>
              <w:widowControl/>
              <w:spacing w:line="240" w:lineRule="auto"/>
              <w:jc w:val="right"/>
              <w:rPr>
                <w:rFonts w:ascii="Times New Roman CYR" w:hAnsi="Times New Roman CYR"/>
                <w:i/>
                <w:color w:val="000000"/>
              </w:rPr>
            </w:pPr>
            <w:r w:rsidRPr="00B83C0F">
              <w:rPr>
                <w:rFonts w:ascii="Times New Roman CYR" w:hAnsi="Times New Roman CYR"/>
                <w:i/>
                <w:color w:val="000000"/>
              </w:rPr>
              <w:t>106,6</w:t>
            </w:r>
          </w:p>
        </w:tc>
        <w:tc>
          <w:tcPr>
            <w:tcW w:w="0" w:type="auto"/>
            <w:hideMark/>
          </w:tcPr>
          <w:p w:rsidR="00B83C0F" w:rsidRPr="00B83C0F" w:rsidRDefault="00B83C0F" w:rsidP="007E5F30">
            <w:pPr>
              <w:widowControl/>
              <w:spacing w:line="240" w:lineRule="auto"/>
              <w:jc w:val="right"/>
              <w:rPr>
                <w:rFonts w:ascii="Times New Roman CYR" w:hAnsi="Times New Roman CYR"/>
                <w:i/>
                <w:color w:val="000000"/>
              </w:rPr>
            </w:pPr>
            <w:r w:rsidRPr="00B83C0F">
              <w:rPr>
                <w:rFonts w:ascii="Times New Roman CYR" w:hAnsi="Times New Roman CYR"/>
                <w:i/>
                <w:color w:val="000000"/>
              </w:rPr>
              <w:t>103,4</w:t>
            </w:r>
          </w:p>
        </w:tc>
        <w:tc>
          <w:tcPr>
            <w:tcW w:w="0" w:type="auto"/>
            <w:hideMark/>
          </w:tcPr>
          <w:p w:rsidR="00B83C0F" w:rsidRPr="00B83C0F" w:rsidRDefault="00B83C0F" w:rsidP="007E5F30">
            <w:pPr>
              <w:widowControl/>
              <w:spacing w:line="240" w:lineRule="auto"/>
              <w:jc w:val="right"/>
              <w:rPr>
                <w:rFonts w:ascii="Times New Roman CYR" w:hAnsi="Times New Roman CYR"/>
                <w:i/>
                <w:color w:val="000000"/>
              </w:rPr>
            </w:pPr>
            <w:r w:rsidRPr="00B83C0F">
              <w:rPr>
                <w:rFonts w:ascii="Times New Roman CYR" w:hAnsi="Times New Roman CYR"/>
                <w:i/>
                <w:color w:val="000000"/>
              </w:rPr>
              <w:t>102,3</w:t>
            </w:r>
          </w:p>
        </w:tc>
      </w:tr>
      <w:tr w:rsidR="00B83C0F" w:rsidRPr="00B83C0F" w:rsidTr="00B83C0F">
        <w:trPr>
          <w:trHeight w:val="315"/>
        </w:trPr>
        <w:tc>
          <w:tcPr>
            <w:tcW w:w="0" w:type="auto"/>
            <w:hideMark/>
          </w:tcPr>
          <w:p w:rsidR="00B83C0F" w:rsidRPr="00B83C0F" w:rsidRDefault="00B83C0F" w:rsidP="007E5F30">
            <w:pPr>
              <w:widowControl/>
              <w:spacing w:line="240" w:lineRule="auto"/>
              <w:ind w:firstLineChars="100" w:firstLine="200"/>
              <w:rPr>
                <w:rFonts w:ascii="Times New Roman CYR" w:hAnsi="Times New Roman CYR"/>
                <w:color w:val="000000"/>
              </w:rPr>
            </w:pPr>
            <w:r w:rsidRPr="00B83C0F">
              <w:rPr>
                <w:rFonts w:ascii="Times New Roman CYR" w:hAnsi="Times New Roman CYR"/>
                <w:color w:val="000000"/>
              </w:rPr>
              <w:t>обрабатывающие производства</w:t>
            </w:r>
            <w:r w:rsidRPr="00B83C0F">
              <w:rPr>
                <w:rFonts w:ascii="Times New Roman CYR" w:hAnsi="Times New Roman CYR"/>
                <w:color w:val="000000"/>
                <w:vertAlign w:val="superscript"/>
              </w:rPr>
              <w:t xml:space="preserve"> 3)</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110,6</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108,0</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105,1</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100,5</w:t>
            </w:r>
          </w:p>
        </w:tc>
      </w:tr>
      <w:tr w:rsidR="00B83C0F" w:rsidRPr="00B83C0F" w:rsidTr="00B83C0F">
        <w:trPr>
          <w:trHeight w:val="255"/>
        </w:trPr>
        <w:tc>
          <w:tcPr>
            <w:tcW w:w="0" w:type="auto"/>
            <w:hideMark/>
          </w:tcPr>
          <w:p w:rsidR="00B83C0F" w:rsidRPr="00B83C0F" w:rsidRDefault="00B83C0F" w:rsidP="007E5F30">
            <w:pPr>
              <w:widowControl/>
              <w:spacing w:line="240" w:lineRule="auto"/>
              <w:ind w:firstLineChars="500" w:firstLine="1000"/>
              <w:rPr>
                <w:rFonts w:ascii="Times New Roman CYR" w:hAnsi="Times New Roman CYR"/>
                <w:color w:val="000000"/>
              </w:rPr>
            </w:pPr>
            <w:r w:rsidRPr="00B83C0F">
              <w:rPr>
                <w:rFonts w:ascii="Times New Roman CYR" w:hAnsi="Times New Roman CYR"/>
                <w:color w:val="000000"/>
              </w:rPr>
              <w:t>в том числе:</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 </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 </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 </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 </w:t>
            </w:r>
          </w:p>
        </w:tc>
      </w:tr>
      <w:tr w:rsidR="00B83C0F" w:rsidRPr="00B83C0F" w:rsidTr="00BB19FF">
        <w:trPr>
          <w:trHeight w:val="307"/>
        </w:trPr>
        <w:tc>
          <w:tcPr>
            <w:tcW w:w="0" w:type="auto"/>
            <w:hideMark/>
          </w:tcPr>
          <w:p w:rsidR="00B83C0F" w:rsidRPr="00B83C0F" w:rsidRDefault="00B83C0F" w:rsidP="007E5F30">
            <w:pPr>
              <w:widowControl/>
              <w:spacing w:line="240" w:lineRule="auto"/>
              <w:ind w:firstLineChars="200" w:firstLine="400"/>
              <w:rPr>
                <w:rFonts w:ascii="Times New Roman CYR" w:hAnsi="Times New Roman CYR"/>
                <w:color w:val="000000"/>
              </w:rPr>
            </w:pPr>
            <w:r w:rsidRPr="00B83C0F">
              <w:rPr>
                <w:rFonts w:ascii="Times New Roman CYR" w:hAnsi="Times New Roman CYR"/>
                <w:color w:val="000000"/>
              </w:rPr>
              <w:t>производство пищевых продуктов, включая напитки, и табака</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103,2</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103,9</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104,1</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100,6</w:t>
            </w:r>
          </w:p>
        </w:tc>
      </w:tr>
      <w:tr w:rsidR="00B83C0F" w:rsidRPr="00B83C0F" w:rsidTr="00B83C0F">
        <w:trPr>
          <w:trHeight w:val="255"/>
        </w:trPr>
        <w:tc>
          <w:tcPr>
            <w:tcW w:w="0" w:type="auto"/>
            <w:hideMark/>
          </w:tcPr>
          <w:p w:rsidR="00B83C0F" w:rsidRPr="00B83C0F" w:rsidRDefault="00B83C0F" w:rsidP="007E5F30">
            <w:pPr>
              <w:widowControl/>
              <w:spacing w:line="240" w:lineRule="auto"/>
              <w:ind w:firstLineChars="200" w:firstLine="400"/>
              <w:rPr>
                <w:rFonts w:ascii="Times New Roman CYR" w:hAnsi="Times New Roman CYR"/>
                <w:color w:val="000000"/>
              </w:rPr>
            </w:pPr>
            <w:r w:rsidRPr="00B83C0F">
              <w:rPr>
                <w:rFonts w:ascii="Times New Roman CYR" w:hAnsi="Times New Roman CYR"/>
                <w:color w:val="000000"/>
              </w:rPr>
              <w:t>текстильное и швейное производство</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108,8</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100,8</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100,7</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104,3</w:t>
            </w:r>
          </w:p>
        </w:tc>
      </w:tr>
      <w:tr w:rsidR="00B83C0F" w:rsidRPr="00B83C0F" w:rsidTr="00BB19FF">
        <w:trPr>
          <w:trHeight w:val="287"/>
        </w:trPr>
        <w:tc>
          <w:tcPr>
            <w:tcW w:w="0" w:type="auto"/>
            <w:hideMark/>
          </w:tcPr>
          <w:p w:rsidR="00B83C0F" w:rsidRPr="00B83C0F" w:rsidRDefault="00B83C0F" w:rsidP="007E5F30">
            <w:pPr>
              <w:widowControl/>
              <w:spacing w:line="240" w:lineRule="auto"/>
              <w:ind w:firstLineChars="200" w:firstLine="400"/>
              <w:rPr>
                <w:rFonts w:ascii="Times New Roman CYR" w:hAnsi="Times New Roman CYR"/>
                <w:color w:val="000000"/>
              </w:rPr>
            </w:pPr>
            <w:r w:rsidRPr="00B83C0F">
              <w:rPr>
                <w:rFonts w:ascii="Times New Roman CYR" w:hAnsi="Times New Roman CYR"/>
                <w:color w:val="000000"/>
              </w:rPr>
              <w:t>производство кожи, изделий из кожи и производство обуви</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119,9</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105,7</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98,1</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95,6</w:t>
            </w:r>
          </w:p>
        </w:tc>
      </w:tr>
      <w:tr w:rsidR="00B83C0F" w:rsidRPr="00B83C0F" w:rsidTr="00B83C0F">
        <w:trPr>
          <w:trHeight w:val="510"/>
        </w:trPr>
        <w:tc>
          <w:tcPr>
            <w:tcW w:w="0" w:type="auto"/>
            <w:hideMark/>
          </w:tcPr>
          <w:p w:rsidR="00B83C0F" w:rsidRPr="00B83C0F" w:rsidRDefault="00B83C0F" w:rsidP="007E5F30">
            <w:pPr>
              <w:widowControl/>
              <w:spacing w:line="240" w:lineRule="auto"/>
              <w:ind w:firstLineChars="200" w:firstLine="400"/>
              <w:rPr>
                <w:rFonts w:ascii="Times New Roman CYR" w:hAnsi="Times New Roman CYR"/>
                <w:color w:val="000000"/>
              </w:rPr>
            </w:pPr>
            <w:r w:rsidRPr="00B83C0F">
              <w:rPr>
                <w:rFonts w:ascii="Times New Roman CYR" w:hAnsi="Times New Roman CYR"/>
                <w:color w:val="000000"/>
              </w:rPr>
              <w:t>обработка древесины и производство изделий из дерева</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113,4</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110,2</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96,2</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108,0</w:t>
            </w:r>
          </w:p>
        </w:tc>
      </w:tr>
      <w:tr w:rsidR="00B83C0F" w:rsidRPr="00B83C0F" w:rsidTr="00B83C0F">
        <w:trPr>
          <w:trHeight w:val="510"/>
        </w:trPr>
        <w:tc>
          <w:tcPr>
            <w:tcW w:w="0" w:type="auto"/>
            <w:hideMark/>
          </w:tcPr>
          <w:p w:rsidR="00B83C0F" w:rsidRPr="00B83C0F" w:rsidRDefault="00B83C0F" w:rsidP="007E5F30">
            <w:pPr>
              <w:widowControl/>
              <w:spacing w:line="240" w:lineRule="auto"/>
              <w:ind w:firstLineChars="200" w:firstLine="400"/>
              <w:rPr>
                <w:rFonts w:ascii="Times New Roman CYR" w:hAnsi="Times New Roman CYR"/>
                <w:color w:val="000000"/>
              </w:rPr>
            </w:pPr>
            <w:r w:rsidRPr="00B83C0F">
              <w:rPr>
                <w:rFonts w:ascii="Times New Roman CYR" w:hAnsi="Times New Roman CYR"/>
                <w:color w:val="000000"/>
              </w:rPr>
              <w:t>целлюлозно-бумажное производство; издательская и полиграфическая деятельность</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103,1</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106,5</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105,8</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94,8</w:t>
            </w:r>
          </w:p>
        </w:tc>
      </w:tr>
      <w:tr w:rsidR="00B83C0F" w:rsidRPr="00B83C0F" w:rsidTr="00B83C0F">
        <w:trPr>
          <w:trHeight w:val="255"/>
        </w:trPr>
        <w:tc>
          <w:tcPr>
            <w:tcW w:w="0" w:type="auto"/>
            <w:hideMark/>
          </w:tcPr>
          <w:p w:rsidR="00B83C0F" w:rsidRPr="00B83C0F" w:rsidRDefault="00B83C0F" w:rsidP="007E5F30">
            <w:pPr>
              <w:widowControl/>
              <w:spacing w:line="240" w:lineRule="auto"/>
              <w:ind w:firstLineChars="200" w:firstLine="400"/>
              <w:rPr>
                <w:rFonts w:ascii="Times New Roman CYR" w:hAnsi="Times New Roman CYR"/>
                <w:color w:val="000000"/>
              </w:rPr>
            </w:pPr>
            <w:r w:rsidRPr="00B83C0F">
              <w:rPr>
                <w:rFonts w:ascii="Times New Roman CYR" w:hAnsi="Times New Roman CYR"/>
                <w:color w:val="000000"/>
              </w:rPr>
              <w:t>производство кокса и нефтепродуктов</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106,0</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103,8</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103,1</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102,3</w:t>
            </w:r>
          </w:p>
        </w:tc>
      </w:tr>
      <w:tr w:rsidR="00B83C0F" w:rsidRPr="00B83C0F" w:rsidTr="00B83C0F">
        <w:trPr>
          <w:trHeight w:val="255"/>
        </w:trPr>
        <w:tc>
          <w:tcPr>
            <w:tcW w:w="0" w:type="auto"/>
            <w:hideMark/>
          </w:tcPr>
          <w:p w:rsidR="00B83C0F" w:rsidRPr="00B83C0F" w:rsidRDefault="00B83C0F" w:rsidP="007E5F30">
            <w:pPr>
              <w:widowControl/>
              <w:spacing w:line="240" w:lineRule="auto"/>
              <w:ind w:firstLineChars="200" w:firstLine="400"/>
              <w:rPr>
                <w:rFonts w:ascii="Times New Roman CYR" w:hAnsi="Times New Roman CYR"/>
                <w:i/>
                <w:color w:val="000000"/>
              </w:rPr>
            </w:pPr>
            <w:r w:rsidRPr="00B83C0F">
              <w:rPr>
                <w:rFonts w:ascii="Times New Roman CYR" w:hAnsi="Times New Roman CYR"/>
                <w:i/>
                <w:color w:val="000000"/>
              </w:rPr>
              <w:t>химическое производство</w:t>
            </w:r>
          </w:p>
        </w:tc>
        <w:tc>
          <w:tcPr>
            <w:tcW w:w="0" w:type="auto"/>
            <w:hideMark/>
          </w:tcPr>
          <w:p w:rsidR="00B83C0F" w:rsidRPr="00B83C0F" w:rsidRDefault="00B83C0F" w:rsidP="007E5F30">
            <w:pPr>
              <w:widowControl/>
              <w:spacing w:line="240" w:lineRule="auto"/>
              <w:jc w:val="right"/>
              <w:rPr>
                <w:rFonts w:ascii="Times New Roman CYR" w:hAnsi="Times New Roman CYR"/>
                <w:i/>
                <w:color w:val="000000"/>
              </w:rPr>
            </w:pPr>
            <w:r w:rsidRPr="00B83C0F">
              <w:rPr>
                <w:rFonts w:ascii="Times New Roman CYR" w:hAnsi="Times New Roman CYR"/>
                <w:i/>
                <w:color w:val="000000"/>
              </w:rPr>
              <w:t>110,6</w:t>
            </w:r>
          </w:p>
        </w:tc>
        <w:tc>
          <w:tcPr>
            <w:tcW w:w="0" w:type="auto"/>
            <w:hideMark/>
          </w:tcPr>
          <w:p w:rsidR="00B83C0F" w:rsidRPr="00B83C0F" w:rsidRDefault="00B83C0F" w:rsidP="007E5F30">
            <w:pPr>
              <w:widowControl/>
              <w:spacing w:line="240" w:lineRule="auto"/>
              <w:jc w:val="right"/>
              <w:rPr>
                <w:rFonts w:ascii="Times New Roman CYR" w:hAnsi="Times New Roman CYR"/>
                <w:i/>
                <w:color w:val="000000"/>
              </w:rPr>
            </w:pPr>
            <w:r w:rsidRPr="00B83C0F">
              <w:rPr>
                <w:rFonts w:ascii="Times New Roman CYR" w:hAnsi="Times New Roman CYR"/>
                <w:i/>
                <w:color w:val="000000"/>
              </w:rPr>
              <w:t>109,5</w:t>
            </w:r>
          </w:p>
        </w:tc>
        <w:tc>
          <w:tcPr>
            <w:tcW w:w="0" w:type="auto"/>
            <w:hideMark/>
          </w:tcPr>
          <w:p w:rsidR="00B83C0F" w:rsidRPr="00B83C0F" w:rsidRDefault="00B83C0F" w:rsidP="007E5F30">
            <w:pPr>
              <w:widowControl/>
              <w:spacing w:line="240" w:lineRule="auto"/>
              <w:jc w:val="right"/>
              <w:rPr>
                <w:rFonts w:ascii="Times New Roman CYR" w:hAnsi="Times New Roman CYR"/>
                <w:i/>
                <w:color w:val="000000"/>
              </w:rPr>
            </w:pPr>
            <w:r w:rsidRPr="00B83C0F">
              <w:rPr>
                <w:rFonts w:ascii="Times New Roman CYR" w:hAnsi="Times New Roman CYR"/>
                <w:i/>
                <w:color w:val="000000"/>
              </w:rPr>
              <w:t>104,1</w:t>
            </w:r>
          </w:p>
        </w:tc>
        <w:tc>
          <w:tcPr>
            <w:tcW w:w="0" w:type="auto"/>
            <w:hideMark/>
          </w:tcPr>
          <w:p w:rsidR="00B83C0F" w:rsidRPr="00B83C0F" w:rsidRDefault="00B83C0F" w:rsidP="007E5F30">
            <w:pPr>
              <w:widowControl/>
              <w:spacing w:line="240" w:lineRule="auto"/>
              <w:jc w:val="right"/>
              <w:rPr>
                <w:rFonts w:ascii="Times New Roman CYR" w:hAnsi="Times New Roman CYR"/>
                <w:i/>
                <w:color w:val="000000"/>
              </w:rPr>
            </w:pPr>
            <w:r w:rsidRPr="00B83C0F">
              <w:rPr>
                <w:rFonts w:ascii="Times New Roman CYR" w:hAnsi="Times New Roman CYR"/>
                <w:i/>
                <w:color w:val="000000"/>
              </w:rPr>
              <w:t>105,4</w:t>
            </w:r>
          </w:p>
        </w:tc>
      </w:tr>
      <w:tr w:rsidR="00B83C0F" w:rsidRPr="00B83C0F" w:rsidTr="00B83C0F">
        <w:trPr>
          <w:trHeight w:val="269"/>
        </w:trPr>
        <w:tc>
          <w:tcPr>
            <w:tcW w:w="0" w:type="auto"/>
            <w:hideMark/>
          </w:tcPr>
          <w:p w:rsidR="00B83C0F" w:rsidRPr="00B83C0F" w:rsidRDefault="00B83C0F" w:rsidP="007E5F30">
            <w:pPr>
              <w:widowControl/>
              <w:spacing w:line="240" w:lineRule="auto"/>
              <w:ind w:firstLineChars="200" w:firstLine="400"/>
              <w:rPr>
                <w:rFonts w:ascii="Times New Roman CYR" w:hAnsi="Times New Roman CYR"/>
                <w:color w:val="000000"/>
              </w:rPr>
            </w:pPr>
            <w:r w:rsidRPr="00B83C0F">
              <w:rPr>
                <w:rFonts w:ascii="Times New Roman CYR" w:hAnsi="Times New Roman CYR"/>
                <w:color w:val="000000"/>
              </w:rPr>
              <w:t>производство резиновых и пластмассовых изделий</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124,4</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111,4</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112,8</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105,9</w:t>
            </w:r>
          </w:p>
        </w:tc>
      </w:tr>
      <w:tr w:rsidR="00B83C0F" w:rsidRPr="00B83C0F" w:rsidTr="00B83C0F">
        <w:trPr>
          <w:trHeight w:val="510"/>
        </w:trPr>
        <w:tc>
          <w:tcPr>
            <w:tcW w:w="0" w:type="auto"/>
            <w:hideMark/>
          </w:tcPr>
          <w:p w:rsidR="00B83C0F" w:rsidRPr="00B83C0F" w:rsidRDefault="00B83C0F" w:rsidP="007E5F30">
            <w:pPr>
              <w:widowControl/>
              <w:spacing w:line="240" w:lineRule="auto"/>
              <w:ind w:firstLineChars="200" w:firstLine="400"/>
              <w:rPr>
                <w:rFonts w:ascii="Times New Roman CYR" w:hAnsi="Times New Roman CYR"/>
                <w:color w:val="000000"/>
              </w:rPr>
            </w:pPr>
            <w:r w:rsidRPr="00B83C0F">
              <w:rPr>
                <w:rFonts w:ascii="Times New Roman CYR" w:hAnsi="Times New Roman CYR"/>
                <w:color w:val="000000"/>
              </w:rPr>
              <w:t>производство прочих неметаллических минеральных продуктов</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114,5</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107,4</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110,7</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98,0</w:t>
            </w:r>
          </w:p>
        </w:tc>
      </w:tr>
      <w:tr w:rsidR="00B83C0F" w:rsidRPr="00B83C0F" w:rsidTr="00B83C0F">
        <w:trPr>
          <w:trHeight w:val="510"/>
        </w:trPr>
        <w:tc>
          <w:tcPr>
            <w:tcW w:w="0" w:type="auto"/>
            <w:hideMark/>
          </w:tcPr>
          <w:p w:rsidR="00B83C0F" w:rsidRPr="00B83C0F" w:rsidRDefault="00B83C0F" w:rsidP="007E5F30">
            <w:pPr>
              <w:widowControl/>
              <w:spacing w:line="240" w:lineRule="auto"/>
              <w:ind w:firstLineChars="200" w:firstLine="400"/>
              <w:rPr>
                <w:rFonts w:ascii="Times New Roman CYR" w:hAnsi="Times New Roman CYR"/>
                <w:i/>
                <w:color w:val="000000"/>
              </w:rPr>
            </w:pPr>
            <w:r w:rsidRPr="00B83C0F">
              <w:rPr>
                <w:rFonts w:ascii="Times New Roman CYR" w:hAnsi="Times New Roman CYR"/>
                <w:i/>
                <w:color w:val="000000"/>
              </w:rPr>
              <w:t>металлургическое производство и производство готовых металлических изделий</w:t>
            </w:r>
          </w:p>
        </w:tc>
        <w:tc>
          <w:tcPr>
            <w:tcW w:w="0" w:type="auto"/>
            <w:hideMark/>
          </w:tcPr>
          <w:p w:rsidR="00B83C0F" w:rsidRPr="00B83C0F" w:rsidRDefault="00B83C0F" w:rsidP="007E5F30">
            <w:pPr>
              <w:widowControl/>
              <w:spacing w:line="240" w:lineRule="auto"/>
              <w:jc w:val="right"/>
              <w:rPr>
                <w:rFonts w:ascii="Times New Roman CYR" w:hAnsi="Times New Roman CYR"/>
                <w:i/>
                <w:color w:val="000000"/>
              </w:rPr>
            </w:pPr>
            <w:r w:rsidRPr="00B83C0F">
              <w:rPr>
                <w:rFonts w:ascii="Times New Roman CYR" w:hAnsi="Times New Roman CYR"/>
                <w:i/>
                <w:color w:val="000000"/>
              </w:rPr>
              <w:t>112,4</w:t>
            </w:r>
          </w:p>
        </w:tc>
        <w:tc>
          <w:tcPr>
            <w:tcW w:w="0" w:type="auto"/>
            <w:hideMark/>
          </w:tcPr>
          <w:p w:rsidR="00B83C0F" w:rsidRPr="00B83C0F" w:rsidRDefault="00B83C0F" w:rsidP="007E5F30">
            <w:pPr>
              <w:widowControl/>
              <w:spacing w:line="240" w:lineRule="auto"/>
              <w:jc w:val="right"/>
              <w:rPr>
                <w:rFonts w:ascii="Times New Roman CYR" w:hAnsi="Times New Roman CYR"/>
                <w:i/>
                <w:color w:val="000000"/>
              </w:rPr>
            </w:pPr>
            <w:r w:rsidRPr="00B83C0F">
              <w:rPr>
                <w:rFonts w:ascii="Times New Roman CYR" w:hAnsi="Times New Roman CYR"/>
                <w:i/>
                <w:color w:val="000000"/>
              </w:rPr>
              <w:t>107,0</w:t>
            </w:r>
          </w:p>
        </w:tc>
        <w:tc>
          <w:tcPr>
            <w:tcW w:w="0" w:type="auto"/>
            <w:hideMark/>
          </w:tcPr>
          <w:p w:rsidR="00B83C0F" w:rsidRPr="00B83C0F" w:rsidRDefault="00B83C0F" w:rsidP="007E5F30">
            <w:pPr>
              <w:widowControl/>
              <w:spacing w:line="240" w:lineRule="auto"/>
              <w:jc w:val="right"/>
              <w:rPr>
                <w:rFonts w:ascii="Times New Roman CYR" w:hAnsi="Times New Roman CYR"/>
                <w:i/>
                <w:color w:val="000000"/>
              </w:rPr>
            </w:pPr>
            <w:r w:rsidRPr="00B83C0F">
              <w:rPr>
                <w:rFonts w:ascii="Times New Roman CYR" w:hAnsi="Times New Roman CYR"/>
                <w:i/>
                <w:color w:val="000000"/>
              </w:rPr>
              <w:t>104,8</w:t>
            </w:r>
          </w:p>
        </w:tc>
        <w:tc>
          <w:tcPr>
            <w:tcW w:w="0" w:type="auto"/>
            <w:hideMark/>
          </w:tcPr>
          <w:p w:rsidR="00B83C0F" w:rsidRPr="00B83C0F" w:rsidRDefault="00B83C0F" w:rsidP="007E5F30">
            <w:pPr>
              <w:widowControl/>
              <w:spacing w:line="240" w:lineRule="auto"/>
              <w:jc w:val="right"/>
              <w:rPr>
                <w:rFonts w:ascii="Times New Roman CYR" w:hAnsi="Times New Roman CYR"/>
                <w:i/>
                <w:color w:val="000000"/>
              </w:rPr>
            </w:pPr>
            <w:r w:rsidRPr="00B83C0F">
              <w:rPr>
                <w:rFonts w:ascii="Times New Roman CYR" w:hAnsi="Times New Roman CYR"/>
                <w:i/>
                <w:color w:val="000000"/>
              </w:rPr>
              <w:t>100,0</w:t>
            </w:r>
          </w:p>
        </w:tc>
      </w:tr>
      <w:tr w:rsidR="00B83C0F" w:rsidRPr="00B83C0F" w:rsidTr="00B83C0F">
        <w:trPr>
          <w:trHeight w:val="255"/>
        </w:trPr>
        <w:tc>
          <w:tcPr>
            <w:tcW w:w="0" w:type="auto"/>
            <w:hideMark/>
          </w:tcPr>
          <w:p w:rsidR="00B83C0F" w:rsidRPr="00B83C0F" w:rsidRDefault="00B83C0F" w:rsidP="007E5F30">
            <w:pPr>
              <w:widowControl/>
              <w:spacing w:line="240" w:lineRule="auto"/>
              <w:ind w:firstLineChars="200" w:firstLine="400"/>
              <w:rPr>
                <w:rFonts w:ascii="Times New Roman CYR" w:hAnsi="Times New Roman CYR"/>
                <w:color w:val="000000"/>
              </w:rPr>
            </w:pPr>
            <w:r w:rsidRPr="00B83C0F">
              <w:rPr>
                <w:rFonts w:ascii="Times New Roman CYR" w:hAnsi="Times New Roman CYR"/>
                <w:color w:val="000000"/>
              </w:rPr>
              <w:t>производство машин и оборудования</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115,2</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111,1</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102,7</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96,6</w:t>
            </w:r>
          </w:p>
        </w:tc>
      </w:tr>
      <w:tr w:rsidR="00B83C0F" w:rsidRPr="00B83C0F" w:rsidTr="00B83C0F">
        <w:trPr>
          <w:trHeight w:val="510"/>
        </w:trPr>
        <w:tc>
          <w:tcPr>
            <w:tcW w:w="0" w:type="auto"/>
            <w:hideMark/>
          </w:tcPr>
          <w:p w:rsidR="00B83C0F" w:rsidRPr="00B83C0F" w:rsidRDefault="00B83C0F" w:rsidP="007E5F30">
            <w:pPr>
              <w:widowControl/>
              <w:spacing w:line="240" w:lineRule="auto"/>
              <w:ind w:firstLineChars="200" w:firstLine="400"/>
              <w:rPr>
                <w:rFonts w:ascii="Times New Roman CYR" w:hAnsi="Times New Roman CYR"/>
                <w:color w:val="000000"/>
              </w:rPr>
            </w:pPr>
            <w:r w:rsidRPr="00B83C0F">
              <w:rPr>
                <w:rFonts w:ascii="Times New Roman CYR" w:hAnsi="Times New Roman CYR"/>
                <w:color w:val="000000"/>
              </w:rPr>
              <w:t>производство электрооборудования, электронного и оптического оборудования</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118,9</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111,9</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106,4</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99,0</w:t>
            </w:r>
          </w:p>
        </w:tc>
      </w:tr>
      <w:tr w:rsidR="00B83C0F" w:rsidRPr="00B83C0F" w:rsidTr="00B83C0F">
        <w:trPr>
          <w:trHeight w:val="285"/>
        </w:trPr>
        <w:tc>
          <w:tcPr>
            <w:tcW w:w="0" w:type="auto"/>
            <w:hideMark/>
          </w:tcPr>
          <w:p w:rsidR="00B83C0F" w:rsidRPr="00B83C0F" w:rsidRDefault="00B83C0F" w:rsidP="007E5F30">
            <w:pPr>
              <w:widowControl/>
              <w:spacing w:line="240" w:lineRule="auto"/>
              <w:ind w:firstLineChars="200" w:firstLine="400"/>
              <w:rPr>
                <w:rFonts w:ascii="Times New Roman CYR" w:hAnsi="Times New Roman CYR"/>
                <w:color w:val="000000"/>
              </w:rPr>
            </w:pPr>
            <w:r w:rsidRPr="00B83C0F">
              <w:rPr>
                <w:rFonts w:ascii="Times New Roman CYR" w:hAnsi="Times New Roman CYR"/>
                <w:color w:val="000000"/>
              </w:rPr>
              <w:t>производство транспортных средств и оборудования</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127,2</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117,2</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110,3</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102,2</w:t>
            </w:r>
          </w:p>
        </w:tc>
      </w:tr>
      <w:tr w:rsidR="00B83C0F" w:rsidRPr="00B83C0F" w:rsidTr="00B83C0F">
        <w:trPr>
          <w:trHeight w:val="255"/>
        </w:trPr>
        <w:tc>
          <w:tcPr>
            <w:tcW w:w="0" w:type="auto"/>
            <w:hideMark/>
          </w:tcPr>
          <w:p w:rsidR="00B83C0F" w:rsidRPr="00B83C0F" w:rsidRDefault="00B83C0F" w:rsidP="007E5F30">
            <w:pPr>
              <w:widowControl/>
              <w:spacing w:line="240" w:lineRule="auto"/>
              <w:ind w:firstLineChars="200" w:firstLine="400"/>
              <w:rPr>
                <w:rFonts w:ascii="Times New Roman CYR" w:hAnsi="Times New Roman CYR"/>
                <w:color w:val="000000"/>
              </w:rPr>
            </w:pPr>
            <w:r w:rsidRPr="00B83C0F">
              <w:rPr>
                <w:rFonts w:ascii="Times New Roman CYR" w:hAnsi="Times New Roman CYR"/>
                <w:color w:val="000000"/>
              </w:rPr>
              <w:t>прочие производства</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120,6</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105,3</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102,6</w:t>
            </w:r>
          </w:p>
        </w:tc>
        <w:tc>
          <w:tcPr>
            <w:tcW w:w="0" w:type="auto"/>
            <w:hideMark/>
          </w:tcPr>
          <w:p w:rsidR="00B83C0F" w:rsidRPr="00B83C0F" w:rsidRDefault="00B83C0F" w:rsidP="007E5F30">
            <w:pPr>
              <w:widowControl/>
              <w:spacing w:line="240" w:lineRule="auto"/>
              <w:jc w:val="right"/>
              <w:rPr>
                <w:rFonts w:ascii="Times New Roman CYR" w:hAnsi="Times New Roman CYR"/>
                <w:color w:val="000000"/>
              </w:rPr>
            </w:pPr>
            <w:r w:rsidRPr="00B83C0F">
              <w:rPr>
                <w:rFonts w:ascii="Times New Roman CYR" w:hAnsi="Times New Roman CYR"/>
                <w:color w:val="000000"/>
              </w:rPr>
              <w:t>95,4</w:t>
            </w:r>
          </w:p>
        </w:tc>
      </w:tr>
      <w:tr w:rsidR="00B83C0F" w:rsidRPr="00B83C0F" w:rsidTr="00B83C0F">
        <w:trPr>
          <w:trHeight w:val="293"/>
        </w:trPr>
        <w:tc>
          <w:tcPr>
            <w:tcW w:w="0" w:type="auto"/>
            <w:hideMark/>
          </w:tcPr>
          <w:p w:rsidR="00B83C0F" w:rsidRPr="00B83C0F" w:rsidRDefault="00B83C0F" w:rsidP="007E5F30">
            <w:pPr>
              <w:widowControl/>
              <w:spacing w:line="240" w:lineRule="auto"/>
              <w:ind w:firstLineChars="100" w:firstLine="200"/>
              <w:rPr>
                <w:rFonts w:ascii="Times New Roman CYR" w:hAnsi="Times New Roman CYR"/>
                <w:i/>
                <w:color w:val="000000"/>
              </w:rPr>
            </w:pPr>
            <w:r w:rsidRPr="00B83C0F">
              <w:rPr>
                <w:rFonts w:ascii="Times New Roman CYR" w:hAnsi="Times New Roman CYR"/>
                <w:i/>
                <w:color w:val="000000"/>
              </w:rPr>
              <w:t>производство и распределение  электроэнергии, газа и воды</w:t>
            </w:r>
          </w:p>
        </w:tc>
        <w:tc>
          <w:tcPr>
            <w:tcW w:w="0" w:type="auto"/>
            <w:hideMark/>
          </w:tcPr>
          <w:p w:rsidR="00B83C0F" w:rsidRPr="00B83C0F" w:rsidRDefault="00B83C0F" w:rsidP="007E5F30">
            <w:pPr>
              <w:widowControl/>
              <w:spacing w:line="240" w:lineRule="auto"/>
              <w:jc w:val="right"/>
              <w:rPr>
                <w:rFonts w:ascii="Times New Roman CYR" w:hAnsi="Times New Roman CYR"/>
                <w:i/>
                <w:color w:val="000000"/>
              </w:rPr>
            </w:pPr>
            <w:r w:rsidRPr="00B83C0F">
              <w:rPr>
                <w:rFonts w:ascii="Times New Roman CYR" w:hAnsi="Times New Roman CYR"/>
                <w:i/>
                <w:color w:val="000000"/>
              </w:rPr>
              <w:t>102,2</w:t>
            </w:r>
          </w:p>
        </w:tc>
        <w:tc>
          <w:tcPr>
            <w:tcW w:w="0" w:type="auto"/>
            <w:hideMark/>
          </w:tcPr>
          <w:p w:rsidR="00B83C0F" w:rsidRPr="00B83C0F" w:rsidRDefault="00B83C0F" w:rsidP="007E5F30">
            <w:pPr>
              <w:widowControl/>
              <w:spacing w:line="240" w:lineRule="auto"/>
              <w:jc w:val="right"/>
              <w:rPr>
                <w:rFonts w:ascii="Times New Roman CYR" w:hAnsi="Times New Roman CYR"/>
                <w:i/>
                <w:color w:val="000000"/>
              </w:rPr>
            </w:pPr>
            <w:r w:rsidRPr="00B83C0F">
              <w:rPr>
                <w:rFonts w:ascii="Times New Roman CYR" w:hAnsi="Times New Roman CYR"/>
                <w:i/>
                <w:color w:val="000000"/>
              </w:rPr>
              <w:t>100,2</w:t>
            </w:r>
          </w:p>
        </w:tc>
        <w:tc>
          <w:tcPr>
            <w:tcW w:w="0" w:type="auto"/>
            <w:hideMark/>
          </w:tcPr>
          <w:p w:rsidR="00B83C0F" w:rsidRPr="00B83C0F" w:rsidRDefault="00B83C0F" w:rsidP="007E5F30">
            <w:pPr>
              <w:widowControl/>
              <w:spacing w:line="240" w:lineRule="auto"/>
              <w:jc w:val="right"/>
              <w:rPr>
                <w:rFonts w:ascii="Times New Roman CYR" w:hAnsi="Times New Roman CYR"/>
                <w:i/>
                <w:color w:val="000000"/>
              </w:rPr>
            </w:pPr>
            <w:r w:rsidRPr="00B83C0F">
              <w:rPr>
                <w:rFonts w:ascii="Times New Roman CYR" w:hAnsi="Times New Roman CYR"/>
                <w:i/>
                <w:color w:val="000000"/>
              </w:rPr>
              <w:t>101,3</w:t>
            </w:r>
          </w:p>
        </w:tc>
        <w:tc>
          <w:tcPr>
            <w:tcW w:w="0" w:type="auto"/>
            <w:hideMark/>
          </w:tcPr>
          <w:p w:rsidR="00B83C0F" w:rsidRPr="00B83C0F" w:rsidRDefault="00B83C0F" w:rsidP="007E5F30">
            <w:pPr>
              <w:widowControl/>
              <w:spacing w:line="240" w:lineRule="auto"/>
              <w:jc w:val="right"/>
              <w:rPr>
                <w:rFonts w:ascii="Times New Roman CYR" w:hAnsi="Times New Roman CYR"/>
                <w:i/>
                <w:color w:val="000000"/>
              </w:rPr>
            </w:pPr>
            <w:r w:rsidRPr="00B83C0F">
              <w:rPr>
                <w:rFonts w:ascii="Times New Roman CYR" w:hAnsi="Times New Roman CYR"/>
                <w:i/>
                <w:color w:val="000000"/>
              </w:rPr>
              <w:t>97,5</w:t>
            </w:r>
          </w:p>
        </w:tc>
      </w:tr>
    </w:tbl>
    <w:p w:rsidR="00B83C0F" w:rsidRPr="00B83C0F" w:rsidRDefault="00B83C0F" w:rsidP="007E5F30">
      <w:pPr>
        <w:spacing w:line="240" w:lineRule="auto"/>
        <w:rPr>
          <w:noProof/>
          <w:sz w:val="24"/>
          <w:lang w:val="en-US"/>
        </w:rPr>
      </w:pPr>
      <w:r>
        <w:rPr>
          <w:noProof/>
          <w:sz w:val="24"/>
        </w:rPr>
        <w:t xml:space="preserve">Источник: </w:t>
      </w:r>
      <w:r>
        <w:rPr>
          <w:noProof/>
          <w:sz w:val="24"/>
          <w:lang w:val="en-US"/>
        </w:rPr>
        <w:t>[</w:t>
      </w:r>
      <w:r>
        <w:rPr>
          <w:noProof/>
          <w:sz w:val="24"/>
        </w:rPr>
        <w:t>Росстат, 2014</w:t>
      </w:r>
      <w:r>
        <w:rPr>
          <w:rStyle w:val="a5"/>
          <w:noProof/>
          <w:sz w:val="24"/>
        </w:rPr>
        <w:footnoteReference w:id="1"/>
      </w:r>
      <w:r>
        <w:rPr>
          <w:noProof/>
          <w:sz w:val="24"/>
          <w:lang w:val="en-US"/>
        </w:rPr>
        <w:t>]</w:t>
      </w:r>
    </w:p>
    <w:p w:rsidR="00707B58" w:rsidRDefault="00707B58" w:rsidP="007E5F30">
      <w:pPr>
        <w:spacing w:line="240" w:lineRule="auto"/>
        <w:rPr>
          <w:bCs/>
          <w:sz w:val="24"/>
          <w:szCs w:val="28"/>
        </w:rPr>
      </w:pPr>
      <w:r>
        <w:rPr>
          <w:noProof/>
          <w:sz w:val="24"/>
        </w:rPr>
        <w:lastRenderedPageBreak/>
        <w:t xml:space="preserve">Таким образом, выдвинутые нами </w:t>
      </w:r>
      <w:r w:rsidRPr="00C52C0C">
        <w:rPr>
          <w:i/>
          <w:noProof/>
          <w:sz w:val="24"/>
        </w:rPr>
        <w:t>гипотезы, характеризующие реакцию рынка акций на «хорошие» и «плохие» объявления, были на основании проведенных аналитических расчетов опровергнуты</w:t>
      </w:r>
      <w:r>
        <w:rPr>
          <w:noProof/>
          <w:sz w:val="24"/>
        </w:rPr>
        <w:t xml:space="preserve">. Полученные результаты </w:t>
      </w:r>
      <w:r w:rsidRPr="00707B58">
        <w:rPr>
          <w:bCs/>
          <w:sz w:val="24"/>
          <w:szCs w:val="28"/>
        </w:rPr>
        <w:t xml:space="preserve">не согласуются с сигнальной теорией дивидендов, на которую ориентируются многие исследователи, но согласуются с теорией </w:t>
      </w:r>
      <w:proofErr w:type="spellStart"/>
      <w:r w:rsidRPr="00707B58">
        <w:rPr>
          <w:bCs/>
          <w:sz w:val="24"/>
          <w:szCs w:val="28"/>
        </w:rPr>
        <w:t>иррелевантности</w:t>
      </w:r>
      <w:proofErr w:type="spellEnd"/>
      <w:r w:rsidRPr="00707B58">
        <w:rPr>
          <w:bCs/>
          <w:sz w:val="24"/>
          <w:szCs w:val="28"/>
        </w:rPr>
        <w:t xml:space="preserve"> дивидендов и политикой остаточного дивиденда, которой придерживается большая часть российских компаний</w:t>
      </w:r>
      <w:r w:rsidRPr="00C52C0C">
        <w:rPr>
          <w:bCs/>
          <w:i/>
          <w:sz w:val="24"/>
          <w:szCs w:val="28"/>
        </w:rPr>
        <w:t xml:space="preserve">. </w:t>
      </w:r>
      <w:proofErr w:type="gramStart"/>
      <w:r w:rsidRPr="00C52C0C">
        <w:rPr>
          <w:bCs/>
          <w:i/>
          <w:sz w:val="24"/>
          <w:szCs w:val="28"/>
        </w:rPr>
        <w:t>Гипотеза о том, что «нейтральная» новость (</w:t>
      </w:r>
      <w:r w:rsidR="00C52C0C">
        <w:rPr>
          <w:bCs/>
          <w:i/>
          <w:sz w:val="24"/>
          <w:szCs w:val="28"/>
        </w:rPr>
        <w:t>объявление о том</w:t>
      </w:r>
      <w:r w:rsidRPr="00C52C0C">
        <w:rPr>
          <w:bCs/>
          <w:i/>
          <w:sz w:val="24"/>
          <w:szCs w:val="28"/>
        </w:rPr>
        <w:t>, что дивиденды компании не изменились) не влияет на рыночную стоимость компании, подтвердилась</w:t>
      </w:r>
      <w:r>
        <w:rPr>
          <w:bCs/>
          <w:sz w:val="24"/>
          <w:szCs w:val="28"/>
        </w:rPr>
        <w:t xml:space="preserve">, то есть реакция наблюдается только на «хорошие» или «плохие» новости. </w:t>
      </w:r>
      <w:proofErr w:type="gramEnd"/>
    </w:p>
    <w:p w:rsidR="00C52C0C" w:rsidRDefault="00C52C0C" w:rsidP="007E5F30">
      <w:pPr>
        <w:spacing w:line="240" w:lineRule="auto"/>
        <w:rPr>
          <w:bCs/>
          <w:szCs w:val="28"/>
        </w:rPr>
      </w:pPr>
      <w:r w:rsidRPr="00C52C0C">
        <w:rPr>
          <w:bCs/>
          <w:i/>
          <w:sz w:val="24"/>
          <w:szCs w:val="28"/>
        </w:rPr>
        <w:t>Гипотеза о том, что компании в разных отраслях реагируют на новость об увеличении дивидендов по-разному, подтвердилась</w:t>
      </w:r>
      <w:r w:rsidRPr="00C52C0C">
        <w:rPr>
          <w:bCs/>
          <w:sz w:val="24"/>
          <w:szCs w:val="28"/>
        </w:rPr>
        <w:t>. Несмотря на общую негативную реакцию на «хорошую» новость во всех отраслях, сила реакции отличается. Так, акции компаний химической промышленности и добычи полезных ископаемых, кроме топливно-энергетических, гораздо сильнее реагируют на повышение дивидендов. Это можно объяснить тем, что компании данных отраслей имеют возможность бурно развиваться, инвестируя свои средства в прибыльные проекты</w:t>
      </w:r>
      <w:r>
        <w:rPr>
          <w:bCs/>
          <w:szCs w:val="28"/>
        </w:rPr>
        <w:t>.</w:t>
      </w:r>
    </w:p>
    <w:p w:rsidR="00DF3564" w:rsidRPr="00DF3564" w:rsidRDefault="00DF3564" w:rsidP="007E5F30">
      <w:pPr>
        <w:tabs>
          <w:tab w:val="left" w:pos="960"/>
          <w:tab w:val="center" w:pos="4819"/>
        </w:tabs>
        <w:spacing w:line="240" w:lineRule="auto"/>
        <w:ind w:firstLine="0"/>
        <w:jc w:val="center"/>
        <w:rPr>
          <w:b/>
          <w:bCs/>
          <w:sz w:val="24"/>
          <w:szCs w:val="28"/>
        </w:rPr>
      </w:pPr>
      <w:r w:rsidRPr="00DF3564">
        <w:rPr>
          <w:b/>
          <w:bCs/>
          <w:sz w:val="24"/>
          <w:szCs w:val="28"/>
        </w:rPr>
        <w:t>Заключение</w:t>
      </w:r>
    </w:p>
    <w:p w:rsidR="00DF3564" w:rsidRPr="00DF3564" w:rsidRDefault="00DF3564" w:rsidP="007E5F30">
      <w:pPr>
        <w:spacing w:line="240" w:lineRule="auto"/>
        <w:rPr>
          <w:sz w:val="24"/>
        </w:rPr>
      </w:pPr>
      <w:r w:rsidRPr="00DF3564">
        <w:rPr>
          <w:sz w:val="24"/>
        </w:rPr>
        <w:t xml:space="preserve">Повышение квалификации российских инвесторов, а также развитие рынка капитала приводят к тому, что при принятии своих решений компании вынуждены учитывать всё больше факторов. Любое корпоративное решение может вызвать как позитивную, так и негативную реакцию рынка. К таким решениям можно отнести выбор стратегии осуществления дивидендной политики. Когда фирма объявляет о своём намерении повысить или понизить дивиденды, это несёт определённый информационный сигнал рынку, по которому участники судят об инвестиционном </w:t>
      </w:r>
      <w:r w:rsidR="002B7521">
        <w:rPr>
          <w:sz w:val="24"/>
        </w:rPr>
        <w:t>потенциале</w:t>
      </w:r>
      <w:r w:rsidRPr="00DF3564">
        <w:rPr>
          <w:sz w:val="24"/>
        </w:rPr>
        <w:t xml:space="preserve"> компании. </w:t>
      </w:r>
    </w:p>
    <w:p w:rsidR="00DF3564" w:rsidRDefault="00DF3564" w:rsidP="007E5F30">
      <w:pPr>
        <w:spacing w:line="240" w:lineRule="auto"/>
        <w:rPr>
          <w:sz w:val="24"/>
        </w:rPr>
      </w:pPr>
      <w:r w:rsidRPr="00DF3564">
        <w:rPr>
          <w:sz w:val="24"/>
        </w:rPr>
        <w:t>Поведение компаний и инвесторов можно объяснить при помощи теорий дивидендов</w:t>
      </w:r>
      <w:r w:rsidR="002B7521">
        <w:rPr>
          <w:sz w:val="24"/>
        </w:rPr>
        <w:t>, в частности – сигнальной теории</w:t>
      </w:r>
      <w:r w:rsidRPr="00DF3564">
        <w:rPr>
          <w:sz w:val="24"/>
        </w:rPr>
        <w:t xml:space="preserve">. Согласно ей, повышение выплат свидетельствует о том, что компания ожидает существенного роста прибыли в предстоящем периоде и, как следствие, можно видеть рост стоимости её акций. </w:t>
      </w:r>
    </w:p>
    <w:p w:rsidR="00DF3564" w:rsidRPr="00DF3564" w:rsidRDefault="002B7521" w:rsidP="007E5F30">
      <w:pPr>
        <w:spacing w:line="240" w:lineRule="auto"/>
        <w:rPr>
          <w:sz w:val="24"/>
        </w:rPr>
      </w:pPr>
      <w:r>
        <w:rPr>
          <w:sz w:val="24"/>
        </w:rPr>
        <w:t xml:space="preserve">Однако проведенное нами исследование позволило установить, </w:t>
      </w:r>
      <w:r w:rsidR="00DF3564" w:rsidRPr="00DF3564">
        <w:rPr>
          <w:sz w:val="24"/>
        </w:rPr>
        <w:t xml:space="preserve">что реакция рынка на объявления о дивидендных выплатах </w:t>
      </w:r>
      <w:proofErr w:type="spellStart"/>
      <w:r w:rsidR="00DF3564" w:rsidRPr="00DF3564">
        <w:rPr>
          <w:sz w:val="24"/>
        </w:rPr>
        <w:t>обратна</w:t>
      </w:r>
      <w:proofErr w:type="spellEnd"/>
      <w:r w:rsidR="00DF3564" w:rsidRPr="00DF3564">
        <w:rPr>
          <w:sz w:val="24"/>
        </w:rPr>
        <w:t xml:space="preserve"> типу новости, то есть увеличение дивидендов негативно влияет на стоимость акций и снижает рыночную стоимость компании. Уменьшение дивидендов, напротив, увеличивает её стоимость. «Нейтральные» новости никак не влияют на стоимость компаний.</w:t>
      </w:r>
    </w:p>
    <w:p w:rsidR="00DF3564" w:rsidRPr="00DF3564" w:rsidRDefault="00DF3564" w:rsidP="007E5F30">
      <w:pPr>
        <w:spacing w:line="240" w:lineRule="auto"/>
        <w:rPr>
          <w:sz w:val="24"/>
        </w:rPr>
      </w:pPr>
      <w:r w:rsidRPr="00DF3564">
        <w:rPr>
          <w:sz w:val="24"/>
        </w:rPr>
        <w:t xml:space="preserve">Данные результаты соотносятся с теорией </w:t>
      </w:r>
      <w:proofErr w:type="spellStart"/>
      <w:r w:rsidRPr="00DF3564">
        <w:rPr>
          <w:sz w:val="24"/>
        </w:rPr>
        <w:t>иррелевантности</w:t>
      </w:r>
      <w:proofErr w:type="spellEnd"/>
      <w:r w:rsidRPr="00DF3564">
        <w:rPr>
          <w:sz w:val="24"/>
        </w:rPr>
        <w:t xml:space="preserve"> дивидендов Модильяни и Миллера, согласно которой компании в первую очередь отдают предпочтение реализации инвестиционных проектов. Выплата дивидендов свидетельствует об отсутствии таких проектов. Инвесторы понимают, что компания не принесёт им будущую прибыль и продают свои акции, как следствие, рыночная стоимость компаний уменьшается.</w:t>
      </w:r>
      <w:r w:rsidR="002B7521">
        <w:rPr>
          <w:sz w:val="24"/>
        </w:rPr>
        <w:t xml:space="preserve"> Таким образом, инвесторы рассматривают выплаты дивидендов скорее, как свидетельство того, что у компании отсутствуют прибыльные инвестиционные проекты, чем как свидетельство ее стабильности и инвестиционной привлекательности. То есть активы роста компании оказываются для инвесторов более значимыми, чем уже размещенные активы.</w:t>
      </w:r>
      <w:r w:rsidR="00C37AA8">
        <w:rPr>
          <w:sz w:val="24"/>
        </w:rPr>
        <w:t xml:space="preserve"> </w:t>
      </w:r>
    </w:p>
    <w:p w:rsidR="00DF3564" w:rsidRPr="00DF3564" w:rsidRDefault="002B7521" w:rsidP="007E5F30">
      <w:pPr>
        <w:spacing w:line="240" w:lineRule="auto"/>
        <w:rPr>
          <w:sz w:val="24"/>
        </w:rPr>
      </w:pPr>
      <w:r>
        <w:rPr>
          <w:sz w:val="24"/>
        </w:rPr>
        <w:t xml:space="preserve">При более детальной оценке реакции рынка на «хорошие» объявления, связанной с отраслевой структурой рынка, было установлено, что </w:t>
      </w:r>
      <w:r w:rsidR="00DF3564" w:rsidRPr="00DF3564">
        <w:rPr>
          <w:sz w:val="24"/>
        </w:rPr>
        <w:t>акции компаний металлургической и топливно-энергетической отраслей почти не реагируют на объявления об увеличении дивидендов</w:t>
      </w:r>
      <w:r>
        <w:rPr>
          <w:sz w:val="24"/>
        </w:rPr>
        <w:t xml:space="preserve">, что свидетельствует о вступлении этих </w:t>
      </w:r>
      <w:r>
        <w:rPr>
          <w:sz w:val="24"/>
        </w:rPr>
        <w:lastRenderedPageBreak/>
        <w:t>отраслей</w:t>
      </w:r>
      <w:r w:rsidR="00AB2B03">
        <w:rPr>
          <w:sz w:val="24"/>
        </w:rPr>
        <w:t xml:space="preserve"> в фазу зрелости.</w:t>
      </w:r>
      <w:r>
        <w:rPr>
          <w:sz w:val="24"/>
        </w:rPr>
        <w:t xml:space="preserve"> </w:t>
      </w:r>
      <w:r w:rsidR="00AB2B03">
        <w:rPr>
          <w:sz w:val="24"/>
        </w:rPr>
        <w:t xml:space="preserve">Акционеры </w:t>
      </w:r>
      <w:r w:rsidR="00AB2B03" w:rsidRPr="00DF3564">
        <w:rPr>
          <w:sz w:val="24"/>
        </w:rPr>
        <w:t xml:space="preserve">этих компаний предпочитают доходы в виде дивидендов, </w:t>
      </w:r>
      <w:r w:rsidR="00AB2B03">
        <w:rPr>
          <w:sz w:val="24"/>
        </w:rPr>
        <w:t>стремясь снизить свои риски от инвестирования на медленно растущих рынках</w:t>
      </w:r>
      <w:r w:rsidR="00DF3564" w:rsidRPr="00DF3564">
        <w:rPr>
          <w:sz w:val="24"/>
        </w:rPr>
        <w:t xml:space="preserve">. Акции компаний, функционирующих в химической </w:t>
      </w:r>
      <w:r w:rsidR="00AB2B03">
        <w:rPr>
          <w:sz w:val="24"/>
        </w:rPr>
        <w:t>промышленности</w:t>
      </w:r>
      <w:r w:rsidR="00DF3564" w:rsidRPr="00DF3564">
        <w:rPr>
          <w:sz w:val="24"/>
        </w:rPr>
        <w:t xml:space="preserve"> и добывающих полезные ископаемые (</w:t>
      </w:r>
      <w:proofErr w:type="gramStart"/>
      <w:r w:rsidR="00DF3564" w:rsidRPr="00DF3564">
        <w:rPr>
          <w:sz w:val="24"/>
        </w:rPr>
        <w:t>кроме</w:t>
      </w:r>
      <w:proofErr w:type="gramEnd"/>
      <w:r w:rsidR="00DF3564" w:rsidRPr="00DF3564">
        <w:rPr>
          <w:sz w:val="24"/>
        </w:rPr>
        <w:t xml:space="preserve"> топливно-энергетических)</w:t>
      </w:r>
      <w:r w:rsidR="00AB2B03">
        <w:rPr>
          <w:sz w:val="24"/>
        </w:rPr>
        <w:t>,</w:t>
      </w:r>
      <w:r w:rsidR="00DF3564" w:rsidRPr="00DF3564">
        <w:rPr>
          <w:sz w:val="24"/>
        </w:rPr>
        <w:t xml:space="preserve"> </w:t>
      </w:r>
      <w:r w:rsidR="00AB2B03">
        <w:rPr>
          <w:sz w:val="24"/>
        </w:rPr>
        <w:t xml:space="preserve">демонстрируют ярко выраженную </w:t>
      </w:r>
      <w:r w:rsidR="00DF3564" w:rsidRPr="00DF3564">
        <w:rPr>
          <w:sz w:val="24"/>
        </w:rPr>
        <w:t>негативн</w:t>
      </w:r>
      <w:r w:rsidR="00AB2B03">
        <w:rPr>
          <w:sz w:val="24"/>
        </w:rPr>
        <w:t>ую реакцию на</w:t>
      </w:r>
      <w:r w:rsidR="00DF3564" w:rsidRPr="00DF3564">
        <w:rPr>
          <w:sz w:val="24"/>
        </w:rPr>
        <w:t xml:space="preserve"> «хорошие» новости. </w:t>
      </w:r>
      <w:r w:rsidR="00AB2B03">
        <w:rPr>
          <w:sz w:val="24"/>
        </w:rPr>
        <w:t xml:space="preserve">Эти отрасли демонстрируют быстрый рост, и </w:t>
      </w:r>
      <w:r w:rsidR="00AB2B03" w:rsidRPr="00DF3564">
        <w:rPr>
          <w:sz w:val="24"/>
        </w:rPr>
        <w:t xml:space="preserve">компании </w:t>
      </w:r>
      <w:r w:rsidR="00DF3564" w:rsidRPr="00DF3564">
        <w:rPr>
          <w:sz w:val="24"/>
        </w:rPr>
        <w:t>имеют множество возможностей для развития и реализации инвестиционных проектов, а инвесторы предпочитают будущие доходы текущим.</w:t>
      </w:r>
    </w:p>
    <w:p w:rsidR="00DF3564" w:rsidRPr="00DF3564" w:rsidRDefault="00DF3564" w:rsidP="007E5F30">
      <w:pPr>
        <w:spacing w:line="240" w:lineRule="auto"/>
        <w:rPr>
          <w:sz w:val="24"/>
        </w:rPr>
      </w:pPr>
      <w:r w:rsidRPr="00DF3564">
        <w:rPr>
          <w:sz w:val="24"/>
        </w:rPr>
        <w:t xml:space="preserve">Полученные в данной работе результаты имеют </w:t>
      </w:r>
      <w:proofErr w:type="gramStart"/>
      <w:r w:rsidRPr="00DF3564">
        <w:rPr>
          <w:sz w:val="24"/>
        </w:rPr>
        <w:t>ценность</w:t>
      </w:r>
      <w:proofErr w:type="gramEnd"/>
      <w:r w:rsidRPr="00DF3564">
        <w:rPr>
          <w:sz w:val="24"/>
        </w:rPr>
        <w:t xml:space="preserve"> как для компаний, так и для инвесторов. Рыночная стоимость рассматривается как показатель эффективности принимаемых компанией решений и инструментов управления. Зная, как рынок может отреагировать на новость об изменении размера дивидендных выплат, компания может регулировать свою рыночную стоимость. Инвесторы и другие участники рынка, зная результаты данного исследования, могут делать выводы о том, когда им выгоднее приобретать или продавать акции.</w:t>
      </w:r>
    </w:p>
    <w:p w:rsidR="00DF3564" w:rsidRPr="00DF3564" w:rsidRDefault="00C37AA8" w:rsidP="007E5F30">
      <w:pPr>
        <w:spacing w:line="240" w:lineRule="auto"/>
        <w:rPr>
          <w:sz w:val="24"/>
        </w:rPr>
      </w:pPr>
      <w:r>
        <w:rPr>
          <w:sz w:val="24"/>
        </w:rPr>
        <w:t xml:space="preserve">При принятии решения о выплате дивидендов менеджменту компаний следует учитывать факторы, влияющие на размер дивидендных выплат, такие как </w:t>
      </w:r>
      <w:r w:rsidR="00DF3564" w:rsidRPr="00DF3564">
        <w:rPr>
          <w:sz w:val="24"/>
        </w:rPr>
        <w:t xml:space="preserve">инвестиционные возможности компании, финансовые ограничения, рентабельность, уровень долга, отношение рыночной стоимости </w:t>
      </w:r>
      <w:proofErr w:type="gramStart"/>
      <w:r w:rsidR="00DF3564" w:rsidRPr="00DF3564">
        <w:rPr>
          <w:sz w:val="24"/>
        </w:rPr>
        <w:t>к</w:t>
      </w:r>
      <w:proofErr w:type="gramEnd"/>
      <w:r w:rsidR="00DF3564" w:rsidRPr="00DF3564">
        <w:rPr>
          <w:sz w:val="24"/>
        </w:rPr>
        <w:t xml:space="preserve"> балансовой и другие показатели.</w:t>
      </w:r>
    </w:p>
    <w:p w:rsidR="00DF3564" w:rsidRDefault="00DF3564" w:rsidP="007E5F30">
      <w:pPr>
        <w:spacing w:line="240" w:lineRule="auto"/>
        <w:ind w:firstLine="0"/>
        <w:jc w:val="center"/>
        <w:rPr>
          <w:noProof/>
          <w:sz w:val="22"/>
        </w:rPr>
      </w:pPr>
    </w:p>
    <w:p w:rsidR="008F484D" w:rsidRDefault="008F484D" w:rsidP="007E5F30">
      <w:pPr>
        <w:spacing w:line="240" w:lineRule="auto"/>
        <w:ind w:firstLine="0"/>
        <w:jc w:val="center"/>
        <w:rPr>
          <w:b/>
          <w:noProof/>
          <w:sz w:val="22"/>
        </w:rPr>
      </w:pPr>
      <w:r w:rsidRPr="008F484D">
        <w:rPr>
          <w:b/>
          <w:noProof/>
          <w:sz w:val="22"/>
        </w:rPr>
        <w:t>Литература</w:t>
      </w:r>
    </w:p>
    <w:p w:rsidR="00B370C4" w:rsidRPr="00B370C4" w:rsidRDefault="00B370C4" w:rsidP="007E5F30">
      <w:pPr>
        <w:pStyle w:val="a3"/>
        <w:ind w:firstLine="708"/>
        <w:rPr>
          <w:sz w:val="24"/>
          <w:szCs w:val="24"/>
        </w:rPr>
      </w:pPr>
      <w:proofErr w:type="spellStart"/>
      <w:r w:rsidRPr="00B370C4">
        <w:rPr>
          <w:sz w:val="24"/>
          <w:szCs w:val="24"/>
        </w:rPr>
        <w:t>Березинец</w:t>
      </w:r>
      <w:proofErr w:type="spellEnd"/>
      <w:r w:rsidRPr="00B370C4">
        <w:rPr>
          <w:sz w:val="24"/>
          <w:szCs w:val="24"/>
        </w:rPr>
        <w:t xml:space="preserve"> И. В., Булатова Л. А., Ильина Ю. Б. Влияние объявлений о выплате дивидендов на доходность акций: исследование публичных компаний развивающегося рынка Индии // Вестник Санкт-Петербургского университета. Серия “Менеджмент”. 2013. №4.</w:t>
      </w:r>
    </w:p>
    <w:p w:rsidR="00B370C4" w:rsidRPr="00B370C4" w:rsidRDefault="00B370C4" w:rsidP="007E5F30">
      <w:pPr>
        <w:pStyle w:val="a3"/>
        <w:rPr>
          <w:sz w:val="24"/>
          <w:szCs w:val="24"/>
        </w:rPr>
      </w:pPr>
      <w:proofErr w:type="spellStart"/>
      <w:r w:rsidRPr="00B370C4">
        <w:rPr>
          <w:color w:val="000000"/>
          <w:sz w:val="24"/>
          <w:szCs w:val="24"/>
        </w:rPr>
        <w:t>Григориади</w:t>
      </w:r>
      <w:proofErr w:type="spellEnd"/>
      <w:r w:rsidRPr="00B370C4">
        <w:rPr>
          <w:color w:val="000000"/>
          <w:sz w:val="24"/>
          <w:szCs w:val="24"/>
        </w:rPr>
        <w:t xml:space="preserve"> Е.Е., </w:t>
      </w:r>
      <w:proofErr w:type="spellStart"/>
      <w:r w:rsidRPr="00B370C4">
        <w:rPr>
          <w:color w:val="000000"/>
          <w:sz w:val="24"/>
          <w:szCs w:val="24"/>
        </w:rPr>
        <w:t>Ивашковская</w:t>
      </w:r>
      <w:proofErr w:type="spellEnd"/>
      <w:r w:rsidRPr="00B370C4">
        <w:rPr>
          <w:color w:val="000000"/>
          <w:sz w:val="24"/>
          <w:szCs w:val="24"/>
        </w:rPr>
        <w:t xml:space="preserve"> И.В., </w:t>
      </w:r>
      <w:proofErr w:type="spellStart"/>
      <w:r w:rsidRPr="00B370C4">
        <w:rPr>
          <w:color w:val="000000"/>
          <w:sz w:val="24"/>
          <w:szCs w:val="24"/>
        </w:rPr>
        <w:t>Шамраева</w:t>
      </w:r>
      <w:proofErr w:type="spellEnd"/>
      <w:r w:rsidRPr="00B370C4">
        <w:rPr>
          <w:color w:val="000000"/>
          <w:sz w:val="24"/>
          <w:szCs w:val="24"/>
        </w:rPr>
        <w:t xml:space="preserve"> С.А. Эмпирический анализ эффективности корпоративной диверсификации на растущих рынках капитала на примере группы БРИК // Экономический журнал ВШЭ. 2009. №3. с. 360-382</w:t>
      </w:r>
    </w:p>
    <w:p w:rsidR="00B370C4" w:rsidRPr="00B370C4" w:rsidRDefault="00B370C4" w:rsidP="007E5F30">
      <w:pPr>
        <w:pStyle w:val="a3"/>
        <w:rPr>
          <w:sz w:val="24"/>
          <w:szCs w:val="24"/>
        </w:rPr>
      </w:pPr>
      <w:r w:rsidRPr="00B370C4">
        <w:rPr>
          <w:color w:val="000000"/>
          <w:sz w:val="24"/>
          <w:szCs w:val="24"/>
        </w:rPr>
        <w:t xml:space="preserve">Григорьева С.А., </w:t>
      </w:r>
      <w:proofErr w:type="spellStart"/>
      <w:r w:rsidRPr="00B370C4">
        <w:rPr>
          <w:color w:val="000000"/>
          <w:sz w:val="24"/>
          <w:szCs w:val="24"/>
        </w:rPr>
        <w:t>Ивашковская</w:t>
      </w:r>
      <w:proofErr w:type="spellEnd"/>
      <w:r w:rsidRPr="00B370C4">
        <w:rPr>
          <w:color w:val="000000"/>
          <w:sz w:val="24"/>
          <w:szCs w:val="24"/>
        </w:rPr>
        <w:t xml:space="preserve"> И.В. и др. Корпоративные финансовые решения. Эмпирический анализ российских компаний (корпоративные финансовые решения на развивающихся рынках капитала). — М.</w:t>
      </w:r>
      <w:proofErr w:type="gramStart"/>
      <w:r w:rsidRPr="00B370C4">
        <w:rPr>
          <w:color w:val="000000"/>
          <w:sz w:val="24"/>
          <w:szCs w:val="24"/>
        </w:rPr>
        <w:t> :</w:t>
      </w:r>
      <w:proofErr w:type="gramEnd"/>
      <w:r w:rsidRPr="00B370C4">
        <w:rPr>
          <w:color w:val="000000"/>
          <w:sz w:val="24"/>
          <w:szCs w:val="24"/>
        </w:rPr>
        <w:t xml:space="preserve"> ИНФРА-М, 2012.</w:t>
      </w:r>
    </w:p>
    <w:p w:rsidR="00B370C4" w:rsidRPr="00710C97" w:rsidRDefault="00B370C4" w:rsidP="007E5F30">
      <w:pPr>
        <w:pStyle w:val="a3"/>
        <w:rPr>
          <w:sz w:val="24"/>
          <w:szCs w:val="24"/>
        </w:rPr>
      </w:pPr>
      <w:proofErr w:type="spellStart"/>
      <w:r w:rsidRPr="00B370C4">
        <w:rPr>
          <w:sz w:val="24"/>
          <w:szCs w:val="24"/>
        </w:rPr>
        <w:t>Лукасевич</w:t>
      </w:r>
      <w:proofErr w:type="spellEnd"/>
      <w:r w:rsidRPr="00B370C4">
        <w:rPr>
          <w:sz w:val="24"/>
          <w:szCs w:val="24"/>
        </w:rPr>
        <w:t xml:space="preserve"> И.Я. Дивидендная политика: теоретические аспекты и особенности в РФ // Управление корпоративными финансами. </w:t>
      </w:r>
      <w:r w:rsidRPr="00710C97">
        <w:rPr>
          <w:sz w:val="24"/>
          <w:szCs w:val="24"/>
        </w:rPr>
        <w:t xml:space="preserve">2007. №4. </w:t>
      </w:r>
      <w:r w:rsidRPr="00B370C4">
        <w:rPr>
          <w:sz w:val="24"/>
          <w:szCs w:val="24"/>
        </w:rPr>
        <w:t>С</w:t>
      </w:r>
      <w:r w:rsidRPr="00710C97">
        <w:rPr>
          <w:sz w:val="24"/>
          <w:szCs w:val="24"/>
        </w:rPr>
        <w:t>. 228-241.</w:t>
      </w:r>
    </w:p>
    <w:p w:rsidR="00B370C4" w:rsidRPr="00710C97" w:rsidRDefault="00B370C4" w:rsidP="007E5F30">
      <w:pPr>
        <w:pStyle w:val="a3"/>
        <w:rPr>
          <w:sz w:val="24"/>
          <w:szCs w:val="24"/>
        </w:rPr>
      </w:pPr>
      <w:r w:rsidRPr="00B370C4">
        <w:rPr>
          <w:sz w:val="24"/>
          <w:szCs w:val="24"/>
        </w:rPr>
        <w:t>Окулов В.Л. Исследование эффективности российского рынка акций: реакция рынка на публикацию прогнозов аналитиков // Вестник Санкт-Петербургского университета. Серия</w:t>
      </w:r>
      <w:r w:rsidRPr="00710C97">
        <w:rPr>
          <w:sz w:val="24"/>
          <w:szCs w:val="24"/>
        </w:rPr>
        <w:t xml:space="preserve"> 8. </w:t>
      </w:r>
      <w:r w:rsidRPr="00B370C4">
        <w:rPr>
          <w:sz w:val="24"/>
          <w:szCs w:val="24"/>
        </w:rPr>
        <w:t>Менеджмент</w:t>
      </w:r>
      <w:r w:rsidRPr="00710C97">
        <w:rPr>
          <w:sz w:val="24"/>
          <w:szCs w:val="24"/>
        </w:rPr>
        <w:t xml:space="preserve">. 2010. </w:t>
      </w:r>
      <w:r w:rsidRPr="00B370C4">
        <w:rPr>
          <w:sz w:val="24"/>
          <w:szCs w:val="24"/>
        </w:rPr>
        <w:t>С</w:t>
      </w:r>
      <w:r w:rsidRPr="00710C97">
        <w:rPr>
          <w:sz w:val="24"/>
          <w:szCs w:val="24"/>
        </w:rPr>
        <w:t>.</w:t>
      </w:r>
      <w:r w:rsidRPr="00B370C4">
        <w:rPr>
          <w:sz w:val="24"/>
          <w:szCs w:val="24"/>
          <w:lang w:val="en-US"/>
        </w:rPr>
        <w:t> </w:t>
      </w:r>
      <w:r w:rsidRPr="00710C97">
        <w:rPr>
          <w:sz w:val="24"/>
          <w:szCs w:val="24"/>
        </w:rPr>
        <w:t>3-22.</w:t>
      </w:r>
    </w:p>
    <w:p w:rsidR="00B370C4" w:rsidRPr="00B370C4" w:rsidRDefault="00B370C4" w:rsidP="007E5F30">
      <w:pPr>
        <w:spacing w:line="240" w:lineRule="auto"/>
        <w:ind w:firstLine="708"/>
        <w:rPr>
          <w:b/>
          <w:noProof/>
          <w:sz w:val="24"/>
          <w:szCs w:val="24"/>
        </w:rPr>
      </w:pPr>
      <w:r w:rsidRPr="00B370C4">
        <w:rPr>
          <w:sz w:val="24"/>
          <w:szCs w:val="24"/>
        </w:rPr>
        <w:t xml:space="preserve">Промышленное производство. Обновлено 03 марта 2014 г. / Федеральная служба государственной статистики. </w:t>
      </w:r>
      <w:r w:rsidRPr="00B370C4">
        <w:rPr>
          <w:sz w:val="24"/>
          <w:szCs w:val="24"/>
          <w:lang w:val="en-US"/>
        </w:rPr>
        <w:t>URL</w:t>
      </w:r>
      <w:r w:rsidRPr="00B370C4">
        <w:rPr>
          <w:sz w:val="24"/>
          <w:szCs w:val="24"/>
        </w:rPr>
        <w:t xml:space="preserve">: </w:t>
      </w:r>
      <w:r w:rsidRPr="00B370C4">
        <w:rPr>
          <w:sz w:val="24"/>
          <w:szCs w:val="24"/>
          <w:lang w:val="en-US"/>
        </w:rPr>
        <w:t>http</w:t>
      </w:r>
      <w:r w:rsidRPr="00B370C4">
        <w:rPr>
          <w:sz w:val="24"/>
          <w:szCs w:val="24"/>
        </w:rPr>
        <w:t>://</w:t>
      </w:r>
      <w:r w:rsidRPr="00B370C4">
        <w:rPr>
          <w:sz w:val="24"/>
          <w:szCs w:val="24"/>
          <w:lang w:val="en-US"/>
        </w:rPr>
        <w:t>www</w:t>
      </w:r>
      <w:r w:rsidRPr="00B370C4">
        <w:rPr>
          <w:sz w:val="24"/>
          <w:szCs w:val="24"/>
        </w:rPr>
        <w:t>.</w:t>
      </w:r>
      <w:proofErr w:type="spellStart"/>
      <w:r w:rsidRPr="00B370C4">
        <w:rPr>
          <w:sz w:val="24"/>
          <w:szCs w:val="24"/>
          <w:lang w:val="en-US"/>
        </w:rPr>
        <w:t>gks</w:t>
      </w:r>
      <w:proofErr w:type="spellEnd"/>
      <w:r w:rsidRPr="00B370C4">
        <w:rPr>
          <w:sz w:val="24"/>
          <w:szCs w:val="24"/>
        </w:rPr>
        <w:t>.</w:t>
      </w:r>
      <w:proofErr w:type="spellStart"/>
      <w:r w:rsidRPr="00B370C4">
        <w:rPr>
          <w:sz w:val="24"/>
          <w:szCs w:val="24"/>
          <w:lang w:val="en-US"/>
        </w:rPr>
        <w:t>ru</w:t>
      </w:r>
      <w:proofErr w:type="spellEnd"/>
      <w:r w:rsidRPr="00B370C4">
        <w:rPr>
          <w:sz w:val="24"/>
          <w:szCs w:val="24"/>
        </w:rPr>
        <w:t>/</w:t>
      </w:r>
      <w:proofErr w:type="spellStart"/>
      <w:r w:rsidRPr="00B370C4">
        <w:rPr>
          <w:sz w:val="24"/>
          <w:szCs w:val="24"/>
          <w:lang w:val="en-US"/>
        </w:rPr>
        <w:t>wps</w:t>
      </w:r>
      <w:proofErr w:type="spellEnd"/>
      <w:r w:rsidRPr="00B370C4">
        <w:rPr>
          <w:sz w:val="24"/>
          <w:szCs w:val="24"/>
        </w:rPr>
        <w:t>/</w:t>
      </w:r>
      <w:proofErr w:type="spellStart"/>
      <w:r w:rsidRPr="00B370C4">
        <w:rPr>
          <w:sz w:val="24"/>
          <w:szCs w:val="24"/>
          <w:lang w:val="en-US"/>
        </w:rPr>
        <w:t>wcm</w:t>
      </w:r>
      <w:proofErr w:type="spellEnd"/>
      <w:r w:rsidRPr="00B370C4">
        <w:rPr>
          <w:sz w:val="24"/>
          <w:szCs w:val="24"/>
        </w:rPr>
        <w:t>/</w:t>
      </w:r>
      <w:r w:rsidRPr="00B370C4">
        <w:rPr>
          <w:sz w:val="24"/>
          <w:szCs w:val="24"/>
          <w:lang w:val="en-US"/>
        </w:rPr>
        <w:t>connect</w:t>
      </w:r>
      <w:r w:rsidRPr="00B370C4">
        <w:rPr>
          <w:sz w:val="24"/>
          <w:szCs w:val="24"/>
        </w:rPr>
        <w:t>/</w:t>
      </w:r>
      <w:proofErr w:type="spellStart"/>
      <w:r w:rsidRPr="00B370C4">
        <w:rPr>
          <w:sz w:val="24"/>
          <w:szCs w:val="24"/>
          <w:lang w:val="en-US"/>
        </w:rPr>
        <w:t>rosstat</w:t>
      </w:r>
      <w:proofErr w:type="spellEnd"/>
      <w:r w:rsidRPr="00B370C4">
        <w:rPr>
          <w:sz w:val="24"/>
          <w:szCs w:val="24"/>
        </w:rPr>
        <w:t>_</w:t>
      </w:r>
      <w:r w:rsidRPr="00B370C4">
        <w:rPr>
          <w:sz w:val="24"/>
          <w:szCs w:val="24"/>
          <w:lang w:val="en-US"/>
        </w:rPr>
        <w:t>main</w:t>
      </w:r>
      <w:r w:rsidRPr="00B370C4">
        <w:rPr>
          <w:sz w:val="24"/>
          <w:szCs w:val="24"/>
        </w:rPr>
        <w:t>/</w:t>
      </w:r>
      <w:proofErr w:type="spellStart"/>
      <w:r w:rsidRPr="00B370C4">
        <w:rPr>
          <w:sz w:val="24"/>
          <w:szCs w:val="24"/>
          <w:lang w:val="en-US"/>
        </w:rPr>
        <w:t>rosstat</w:t>
      </w:r>
      <w:proofErr w:type="spellEnd"/>
      <w:r w:rsidRPr="00B370C4">
        <w:rPr>
          <w:sz w:val="24"/>
          <w:szCs w:val="24"/>
        </w:rPr>
        <w:t>/</w:t>
      </w:r>
      <w:proofErr w:type="spellStart"/>
      <w:r w:rsidRPr="00B370C4">
        <w:rPr>
          <w:sz w:val="24"/>
          <w:szCs w:val="24"/>
          <w:lang w:val="en-US"/>
        </w:rPr>
        <w:t>ru</w:t>
      </w:r>
      <w:proofErr w:type="spellEnd"/>
      <w:r w:rsidRPr="00B370C4">
        <w:rPr>
          <w:sz w:val="24"/>
          <w:szCs w:val="24"/>
        </w:rPr>
        <w:t>/</w:t>
      </w:r>
      <w:r w:rsidRPr="00B370C4">
        <w:rPr>
          <w:sz w:val="24"/>
          <w:szCs w:val="24"/>
          <w:lang w:val="en-US"/>
        </w:rPr>
        <w:t>statistics</w:t>
      </w:r>
      <w:r w:rsidRPr="00B370C4">
        <w:rPr>
          <w:sz w:val="24"/>
          <w:szCs w:val="24"/>
        </w:rPr>
        <w:t>/</w:t>
      </w:r>
      <w:r w:rsidRPr="00B370C4">
        <w:rPr>
          <w:sz w:val="24"/>
          <w:szCs w:val="24"/>
          <w:lang w:val="en-US"/>
        </w:rPr>
        <w:t>enterprise</w:t>
      </w:r>
      <w:r w:rsidRPr="00B370C4">
        <w:rPr>
          <w:sz w:val="24"/>
          <w:szCs w:val="24"/>
        </w:rPr>
        <w:t>/</w:t>
      </w:r>
      <w:r w:rsidRPr="00B370C4">
        <w:rPr>
          <w:sz w:val="24"/>
          <w:szCs w:val="24"/>
          <w:lang w:val="en-US"/>
        </w:rPr>
        <w:t>industrial</w:t>
      </w:r>
      <w:r w:rsidRPr="00B370C4">
        <w:rPr>
          <w:sz w:val="24"/>
          <w:szCs w:val="24"/>
        </w:rPr>
        <w:t>/# (дата обращения 28 июля 2014 г.)</w:t>
      </w:r>
    </w:p>
    <w:p w:rsidR="00B370C4" w:rsidRPr="00B370C4" w:rsidRDefault="00B370C4" w:rsidP="007E5F30">
      <w:pPr>
        <w:pStyle w:val="a3"/>
        <w:rPr>
          <w:sz w:val="24"/>
          <w:szCs w:val="24"/>
        </w:rPr>
      </w:pPr>
      <w:r w:rsidRPr="00B370C4">
        <w:rPr>
          <w:sz w:val="24"/>
          <w:szCs w:val="24"/>
        </w:rPr>
        <w:t xml:space="preserve">Структура акционеров российского рынка // Официальный сайт </w:t>
      </w:r>
      <w:proofErr w:type="gramStart"/>
      <w:r w:rsidRPr="00B370C4">
        <w:rPr>
          <w:sz w:val="24"/>
          <w:szCs w:val="24"/>
        </w:rPr>
        <w:t>Радио ЭХО</w:t>
      </w:r>
      <w:proofErr w:type="gramEnd"/>
      <w:r w:rsidRPr="00B370C4">
        <w:rPr>
          <w:sz w:val="24"/>
          <w:szCs w:val="24"/>
        </w:rPr>
        <w:t xml:space="preserve"> Москвы. </w:t>
      </w:r>
      <w:r w:rsidRPr="00B370C4">
        <w:rPr>
          <w:sz w:val="24"/>
          <w:szCs w:val="24"/>
          <w:lang w:val="en-US"/>
        </w:rPr>
        <w:t>URL</w:t>
      </w:r>
      <w:r w:rsidRPr="00B370C4">
        <w:rPr>
          <w:sz w:val="24"/>
          <w:szCs w:val="24"/>
        </w:rPr>
        <w:t xml:space="preserve">: </w:t>
      </w:r>
      <w:r w:rsidRPr="00B370C4">
        <w:rPr>
          <w:sz w:val="24"/>
          <w:szCs w:val="24"/>
          <w:lang w:val="en-US"/>
        </w:rPr>
        <w:t>http</w:t>
      </w:r>
      <w:r w:rsidRPr="00B370C4">
        <w:rPr>
          <w:sz w:val="24"/>
          <w:szCs w:val="24"/>
        </w:rPr>
        <w:t>://</w:t>
      </w:r>
      <w:r w:rsidRPr="00B370C4">
        <w:rPr>
          <w:sz w:val="24"/>
          <w:szCs w:val="24"/>
          <w:lang w:val="en-US"/>
        </w:rPr>
        <w:t>echo</w:t>
      </w:r>
      <w:r w:rsidRPr="00B370C4">
        <w:rPr>
          <w:sz w:val="24"/>
          <w:szCs w:val="24"/>
        </w:rPr>
        <w:t>.</w:t>
      </w:r>
      <w:proofErr w:type="spellStart"/>
      <w:r w:rsidRPr="00B370C4">
        <w:rPr>
          <w:sz w:val="24"/>
          <w:szCs w:val="24"/>
          <w:lang w:val="en-US"/>
        </w:rPr>
        <w:t>msk</w:t>
      </w:r>
      <w:proofErr w:type="spellEnd"/>
      <w:r w:rsidRPr="00B370C4">
        <w:rPr>
          <w:sz w:val="24"/>
          <w:szCs w:val="24"/>
        </w:rPr>
        <w:t>.</w:t>
      </w:r>
      <w:proofErr w:type="spellStart"/>
      <w:r w:rsidRPr="00B370C4">
        <w:rPr>
          <w:sz w:val="24"/>
          <w:szCs w:val="24"/>
          <w:lang w:val="en-US"/>
        </w:rPr>
        <w:t>ru</w:t>
      </w:r>
      <w:proofErr w:type="spellEnd"/>
      <w:r w:rsidRPr="00B370C4">
        <w:rPr>
          <w:sz w:val="24"/>
          <w:szCs w:val="24"/>
        </w:rPr>
        <w:t>/</w:t>
      </w:r>
      <w:r w:rsidRPr="00B370C4">
        <w:rPr>
          <w:sz w:val="24"/>
          <w:szCs w:val="24"/>
          <w:lang w:val="en-US"/>
        </w:rPr>
        <w:t>blog</w:t>
      </w:r>
      <w:r w:rsidRPr="00B370C4">
        <w:rPr>
          <w:sz w:val="24"/>
          <w:szCs w:val="24"/>
        </w:rPr>
        <w:t>/</w:t>
      </w:r>
      <w:proofErr w:type="spellStart"/>
      <w:r w:rsidRPr="00B370C4">
        <w:rPr>
          <w:sz w:val="24"/>
          <w:szCs w:val="24"/>
          <w:lang w:val="en-US"/>
        </w:rPr>
        <w:t>echomsk</w:t>
      </w:r>
      <w:proofErr w:type="spellEnd"/>
      <w:r w:rsidRPr="00B370C4">
        <w:rPr>
          <w:sz w:val="24"/>
          <w:szCs w:val="24"/>
        </w:rPr>
        <w:t>/1286410-</w:t>
      </w:r>
      <w:r w:rsidRPr="00B370C4">
        <w:rPr>
          <w:sz w:val="24"/>
          <w:szCs w:val="24"/>
          <w:lang w:val="en-US"/>
        </w:rPr>
        <w:t>echo</w:t>
      </w:r>
      <w:r w:rsidRPr="00B370C4">
        <w:rPr>
          <w:sz w:val="24"/>
          <w:szCs w:val="24"/>
        </w:rPr>
        <w:t>/ (дата обращения: 25.04.2014).</w:t>
      </w:r>
    </w:p>
    <w:p w:rsidR="00B370C4" w:rsidRPr="00710C97" w:rsidRDefault="00B370C4" w:rsidP="007E5F30">
      <w:pPr>
        <w:pStyle w:val="a3"/>
        <w:rPr>
          <w:sz w:val="24"/>
          <w:szCs w:val="24"/>
        </w:rPr>
      </w:pPr>
      <w:proofErr w:type="spellStart"/>
      <w:r w:rsidRPr="00B370C4">
        <w:rPr>
          <w:sz w:val="24"/>
          <w:szCs w:val="24"/>
        </w:rPr>
        <w:t>Студников</w:t>
      </w:r>
      <w:proofErr w:type="spellEnd"/>
      <w:r w:rsidRPr="00B370C4">
        <w:rPr>
          <w:sz w:val="24"/>
          <w:szCs w:val="24"/>
        </w:rPr>
        <w:t xml:space="preserve"> С.С. Эмпирические и теоретические аспекты учёта событийного риска при оценке стоимости компании // Вестник Московского университета. </w:t>
      </w:r>
      <w:r w:rsidRPr="00710C97">
        <w:rPr>
          <w:sz w:val="24"/>
          <w:szCs w:val="24"/>
        </w:rPr>
        <w:t xml:space="preserve">2013. </w:t>
      </w:r>
      <w:r w:rsidRPr="00B370C4">
        <w:rPr>
          <w:sz w:val="24"/>
          <w:szCs w:val="24"/>
        </w:rPr>
        <w:t>С</w:t>
      </w:r>
      <w:r w:rsidRPr="00710C97">
        <w:rPr>
          <w:sz w:val="24"/>
          <w:szCs w:val="24"/>
        </w:rPr>
        <w:t>. 1-96</w:t>
      </w:r>
    </w:p>
    <w:p w:rsidR="00B370C4" w:rsidRPr="00710C97" w:rsidRDefault="00B370C4" w:rsidP="007E5F30">
      <w:pPr>
        <w:spacing w:line="240" w:lineRule="auto"/>
        <w:ind w:firstLine="708"/>
        <w:rPr>
          <w:sz w:val="24"/>
          <w:szCs w:val="24"/>
        </w:rPr>
      </w:pPr>
      <w:r w:rsidRPr="00B370C4">
        <w:rPr>
          <w:sz w:val="24"/>
          <w:szCs w:val="24"/>
        </w:rPr>
        <w:t xml:space="preserve">Теплова Т.В. Влияние дивидендных выплат на рыночную оценку российских компаний: эмпирическое исследование методом событийного анализа на российских и зарубежных торговых площадках // Аудит и финансовый анализ. </w:t>
      </w:r>
      <w:r w:rsidRPr="00710C97">
        <w:rPr>
          <w:sz w:val="24"/>
          <w:szCs w:val="24"/>
        </w:rPr>
        <w:t xml:space="preserve">2008. №2. </w:t>
      </w:r>
      <w:r w:rsidRPr="00B370C4">
        <w:rPr>
          <w:sz w:val="24"/>
          <w:szCs w:val="24"/>
        </w:rPr>
        <w:t>С</w:t>
      </w:r>
      <w:r w:rsidRPr="00710C97">
        <w:rPr>
          <w:sz w:val="24"/>
          <w:szCs w:val="24"/>
        </w:rPr>
        <w:t>. 1-15.</w:t>
      </w:r>
    </w:p>
    <w:p w:rsidR="00B370C4" w:rsidRPr="00B370C4" w:rsidRDefault="00B370C4" w:rsidP="007E5F30">
      <w:pPr>
        <w:pStyle w:val="a3"/>
        <w:rPr>
          <w:sz w:val="24"/>
          <w:szCs w:val="24"/>
        </w:rPr>
      </w:pPr>
      <w:r w:rsidRPr="00B370C4">
        <w:rPr>
          <w:sz w:val="24"/>
          <w:szCs w:val="24"/>
        </w:rPr>
        <w:t xml:space="preserve">Теплова Т.В. Корпоративные финансы: учебник для бакалавров. – М.: </w:t>
      </w:r>
      <w:r w:rsidRPr="00B370C4">
        <w:rPr>
          <w:sz w:val="24"/>
          <w:szCs w:val="24"/>
        </w:rPr>
        <w:lastRenderedPageBreak/>
        <w:t xml:space="preserve">Издательство </w:t>
      </w:r>
      <w:proofErr w:type="spellStart"/>
      <w:r w:rsidRPr="00B370C4">
        <w:rPr>
          <w:sz w:val="24"/>
          <w:szCs w:val="24"/>
        </w:rPr>
        <w:t>Юрайт</w:t>
      </w:r>
      <w:proofErr w:type="spellEnd"/>
      <w:r w:rsidRPr="00B370C4">
        <w:rPr>
          <w:sz w:val="24"/>
          <w:szCs w:val="24"/>
        </w:rPr>
        <w:t>, 2013.</w:t>
      </w:r>
    </w:p>
    <w:p w:rsidR="00B370C4" w:rsidRPr="00710C97" w:rsidRDefault="00B370C4" w:rsidP="007E5F30">
      <w:pPr>
        <w:pStyle w:val="a3"/>
        <w:rPr>
          <w:sz w:val="24"/>
          <w:szCs w:val="24"/>
          <w:lang w:val="en-US"/>
        </w:rPr>
      </w:pPr>
      <w:proofErr w:type="spellStart"/>
      <w:r w:rsidRPr="00B370C4">
        <w:rPr>
          <w:sz w:val="24"/>
          <w:szCs w:val="24"/>
        </w:rPr>
        <w:t>Чиркова</w:t>
      </w:r>
      <w:proofErr w:type="spellEnd"/>
      <w:r w:rsidRPr="00B370C4">
        <w:rPr>
          <w:sz w:val="24"/>
          <w:szCs w:val="24"/>
        </w:rPr>
        <w:t xml:space="preserve"> Е.В., </w:t>
      </w:r>
      <w:proofErr w:type="spellStart"/>
      <w:r w:rsidRPr="00B370C4">
        <w:rPr>
          <w:sz w:val="24"/>
          <w:szCs w:val="24"/>
        </w:rPr>
        <w:t>Чувствина</w:t>
      </w:r>
      <w:proofErr w:type="spellEnd"/>
      <w:r w:rsidRPr="00B370C4">
        <w:rPr>
          <w:sz w:val="24"/>
          <w:szCs w:val="24"/>
        </w:rPr>
        <w:t xml:space="preserve"> Е.В. Реакция рынка на объявление о приобретении компаний открытого и закрытого типов // Корпоративные финансы. </w:t>
      </w:r>
      <w:r w:rsidRPr="00710C97">
        <w:rPr>
          <w:sz w:val="24"/>
          <w:szCs w:val="24"/>
          <w:lang w:val="en-US"/>
        </w:rPr>
        <w:t xml:space="preserve">2011. № 3(19). </w:t>
      </w:r>
      <w:r w:rsidRPr="00B370C4">
        <w:rPr>
          <w:sz w:val="24"/>
          <w:szCs w:val="24"/>
        </w:rPr>
        <w:t>С</w:t>
      </w:r>
      <w:r w:rsidRPr="00710C97">
        <w:rPr>
          <w:sz w:val="24"/>
          <w:szCs w:val="24"/>
          <w:lang w:val="en-US"/>
        </w:rPr>
        <w:t>. 30-43.</w:t>
      </w:r>
    </w:p>
    <w:p w:rsidR="00B370C4" w:rsidRPr="00B370C4" w:rsidRDefault="00B370C4" w:rsidP="007E5F30">
      <w:pPr>
        <w:pStyle w:val="a3"/>
        <w:ind w:firstLine="708"/>
        <w:rPr>
          <w:sz w:val="24"/>
          <w:szCs w:val="24"/>
          <w:lang w:val="en-US"/>
        </w:rPr>
      </w:pPr>
      <w:bookmarkStart w:id="0" w:name="_Toc389739585"/>
      <w:proofErr w:type="spellStart"/>
      <w:r w:rsidRPr="00B370C4">
        <w:rPr>
          <w:sz w:val="24"/>
          <w:szCs w:val="24"/>
          <w:lang w:val="en-US"/>
        </w:rPr>
        <w:t>Aharony</w:t>
      </w:r>
      <w:proofErr w:type="spellEnd"/>
      <w:r w:rsidRPr="00B370C4">
        <w:rPr>
          <w:sz w:val="24"/>
          <w:szCs w:val="24"/>
          <w:lang w:val="en-US"/>
        </w:rPr>
        <w:t xml:space="preserve"> J, </w:t>
      </w:r>
      <w:proofErr w:type="spellStart"/>
      <w:r w:rsidRPr="00B370C4">
        <w:rPr>
          <w:sz w:val="24"/>
          <w:szCs w:val="24"/>
          <w:lang w:val="en-US"/>
        </w:rPr>
        <w:t>Swary</w:t>
      </w:r>
      <w:proofErr w:type="spellEnd"/>
      <w:r w:rsidRPr="00B370C4">
        <w:rPr>
          <w:sz w:val="24"/>
          <w:szCs w:val="24"/>
          <w:lang w:val="en-US"/>
        </w:rPr>
        <w:t xml:space="preserve"> I. Quarterly dividend and earnings announcements and stockholders’ returns: an empirical analysis // Journal of Finance. 1980. №35. P. 1-12.</w:t>
      </w:r>
    </w:p>
    <w:p w:rsidR="00B370C4" w:rsidRPr="00B370C4" w:rsidRDefault="00B370C4" w:rsidP="007E5F30">
      <w:pPr>
        <w:pStyle w:val="a3"/>
        <w:ind w:firstLine="708"/>
        <w:rPr>
          <w:sz w:val="24"/>
          <w:szCs w:val="24"/>
          <w:lang w:val="en-US"/>
        </w:rPr>
      </w:pPr>
      <w:proofErr w:type="spellStart"/>
      <w:r w:rsidRPr="00B370C4">
        <w:rPr>
          <w:sz w:val="24"/>
          <w:szCs w:val="24"/>
          <w:lang w:val="en-US"/>
        </w:rPr>
        <w:t>Aivazian</w:t>
      </w:r>
      <w:proofErr w:type="spellEnd"/>
      <w:r w:rsidRPr="00B370C4">
        <w:rPr>
          <w:sz w:val="24"/>
          <w:szCs w:val="24"/>
          <w:lang w:val="en-US"/>
        </w:rPr>
        <w:t xml:space="preserve"> V, Booth L. Do emerging markets follow different dividend policies from US firms // Journal of Financial Research. 2003. V 26. </w:t>
      </w:r>
      <w:proofErr w:type="gramStart"/>
      <w:r w:rsidRPr="00B370C4">
        <w:rPr>
          <w:sz w:val="24"/>
          <w:szCs w:val="24"/>
          <w:lang w:val="en-US"/>
        </w:rPr>
        <w:t>№ 3.</w:t>
      </w:r>
      <w:proofErr w:type="gramEnd"/>
      <w:r w:rsidRPr="00B370C4">
        <w:rPr>
          <w:sz w:val="24"/>
          <w:szCs w:val="24"/>
          <w:lang w:val="en-US"/>
        </w:rPr>
        <w:t xml:space="preserve"> P. 371-387.</w:t>
      </w:r>
    </w:p>
    <w:p w:rsidR="00B370C4" w:rsidRPr="00B370C4" w:rsidRDefault="00B370C4" w:rsidP="007E5F30">
      <w:pPr>
        <w:pStyle w:val="a3"/>
        <w:rPr>
          <w:sz w:val="24"/>
          <w:szCs w:val="24"/>
          <w:lang w:val="en-US"/>
        </w:rPr>
      </w:pPr>
      <w:proofErr w:type="spellStart"/>
      <w:r w:rsidRPr="00B370C4">
        <w:rPr>
          <w:sz w:val="24"/>
          <w:szCs w:val="24"/>
          <w:lang w:val="en-US"/>
        </w:rPr>
        <w:t>Altiok-Yilmaz</w:t>
      </w:r>
      <w:proofErr w:type="spellEnd"/>
      <w:r w:rsidRPr="00B370C4">
        <w:rPr>
          <w:sz w:val="24"/>
          <w:szCs w:val="24"/>
          <w:lang w:val="en-US"/>
        </w:rPr>
        <w:t xml:space="preserve"> A., </w:t>
      </w:r>
      <w:proofErr w:type="spellStart"/>
      <w:r w:rsidRPr="00B370C4">
        <w:rPr>
          <w:sz w:val="24"/>
          <w:szCs w:val="24"/>
          <w:lang w:val="en-US"/>
        </w:rPr>
        <w:t>Akben-Selcuk</w:t>
      </w:r>
      <w:proofErr w:type="spellEnd"/>
      <w:r w:rsidRPr="00B370C4">
        <w:rPr>
          <w:i/>
          <w:sz w:val="24"/>
          <w:szCs w:val="24"/>
          <w:lang w:val="en-US"/>
        </w:rPr>
        <w:t xml:space="preserve"> E.</w:t>
      </w:r>
      <w:r w:rsidRPr="00B370C4">
        <w:rPr>
          <w:sz w:val="24"/>
          <w:szCs w:val="24"/>
          <w:lang w:val="en-US"/>
        </w:rPr>
        <w:t xml:space="preserve"> Information Content of Dividends: Evidence from Istanbul Stock Exchange// International Business Research. 2010. Vol. 3. </w:t>
      </w:r>
      <w:proofErr w:type="gramStart"/>
      <w:r w:rsidRPr="00B370C4">
        <w:rPr>
          <w:sz w:val="24"/>
          <w:szCs w:val="24"/>
          <w:lang w:val="en-US"/>
        </w:rPr>
        <w:t>N 3.</w:t>
      </w:r>
      <w:proofErr w:type="gramEnd"/>
      <w:r w:rsidRPr="00B370C4">
        <w:rPr>
          <w:sz w:val="24"/>
          <w:szCs w:val="24"/>
          <w:lang w:val="en-US"/>
        </w:rPr>
        <w:t xml:space="preserve"> P. 126-132.</w:t>
      </w:r>
    </w:p>
    <w:p w:rsidR="00B370C4" w:rsidRPr="00B370C4" w:rsidRDefault="00B370C4" w:rsidP="007E5F30">
      <w:pPr>
        <w:pStyle w:val="a3"/>
        <w:rPr>
          <w:sz w:val="24"/>
          <w:szCs w:val="24"/>
        </w:rPr>
      </w:pPr>
      <w:proofErr w:type="spellStart"/>
      <w:r w:rsidRPr="00B370C4">
        <w:rPr>
          <w:sz w:val="24"/>
          <w:szCs w:val="24"/>
          <w:lang w:val="en-US"/>
        </w:rPr>
        <w:t>Amihud</w:t>
      </w:r>
      <w:proofErr w:type="spellEnd"/>
      <w:r w:rsidRPr="00B370C4">
        <w:rPr>
          <w:sz w:val="24"/>
          <w:szCs w:val="24"/>
          <w:lang w:val="en-US"/>
        </w:rPr>
        <w:t xml:space="preserve"> Y, </w:t>
      </w:r>
      <w:proofErr w:type="spellStart"/>
      <w:r w:rsidRPr="00B370C4">
        <w:rPr>
          <w:sz w:val="24"/>
          <w:szCs w:val="24"/>
          <w:lang w:val="en-US"/>
        </w:rPr>
        <w:t>Murgia</w:t>
      </w:r>
      <w:proofErr w:type="spellEnd"/>
      <w:r w:rsidRPr="00B370C4">
        <w:rPr>
          <w:sz w:val="24"/>
          <w:szCs w:val="24"/>
          <w:lang w:val="en-US"/>
        </w:rPr>
        <w:t xml:space="preserve"> M. Dividends, Taxes, and Signaling: Evidence from Germany // Journal of Finance. </w:t>
      </w:r>
      <w:r w:rsidRPr="00B370C4">
        <w:rPr>
          <w:sz w:val="24"/>
          <w:szCs w:val="24"/>
        </w:rPr>
        <w:t xml:space="preserve">1997. № 52(1). </w:t>
      </w:r>
      <w:r w:rsidRPr="00B370C4">
        <w:rPr>
          <w:sz w:val="24"/>
          <w:szCs w:val="24"/>
          <w:lang w:val="en-US"/>
        </w:rPr>
        <w:t>P</w:t>
      </w:r>
      <w:r w:rsidRPr="00B370C4">
        <w:rPr>
          <w:sz w:val="24"/>
          <w:szCs w:val="24"/>
        </w:rPr>
        <w:t>. 397-408</w:t>
      </w:r>
    </w:p>
    <w:p w:rsidR="00B370C4" w:rsidRPr="00B370C4" w:rsidRDefault="00B370C4" w:rsidP="007E5F30">
      <w:pPr>
        <w:pStyle w:val="a3"/>
        <w:ind w:firstLine="708"/>
        <w:rPr>
          <w:sz w:val="24"/>
          <w:szCs w:val="24"/>
        </w:rPr>
      </w:pPr>
      <w:proofErr w:type="gramStart"/>
      <w:r w:rsidRPr="00B370C4">
        <w:rPr>
          <w:sz w:val="24"/>
          <w:szCs w:val="24"/>
          <w:lang w:val="en-US"/>
        </w:rPr>
        <w:t>Apple</w:t>
      </w:r>
      <w:r w:rsidRPr="00B370C4">
        <w:rPr>
          <w:sz w:val="24"/>
          <w:szCs w:val="24"/>
        </w:rPr>
        <w:t xml:space="preserve"> имеет право ограничиться минимальной информацией о болезни Джобса – эксперты //Вестник системы раскрытия.</w:t>
      </w:r>
      <w:proofErr w:type="gramEnd"/>
      <w:r w:rsidRPr="00B370C4">
        <w:rPr>
          <w:sz w:val="24"/>
          <w:szCs w:val="24"/>
        </w:rPr>
        <w:t xml:space="preserve"> 2011. № 19. С. 12. </w:t>
      </w:r>
      <w:r w:rsidRPr="00B370C4">
        <w:rPr>
          <w:sz w:val="24"/>
          <w:szCs w:val="24"/>
          <w:lang w:val="en-US"/>
        </w:rPr>
        <w:t>URL</w:t>
      </w:r>
      <w:r w:rsidRPr="00B370C4">
        <w:rPr>
          <w:sz w:val="24"/>
          <w:szCs w:val="24"/>
        </w:rPr>
        <w:t xml:space="preserve">: </w:t>
      </w:r>
      <w:hyperlink r:id="rId20" w:history="1">
        <w:r w:rsidRPr="00B370C4">
          <w:rPr>
            <w:rStyle w:val="a8"/>
            <w:sz w:val="24"/>
            <w:szCs w:val="24"/>
            <w:shd w:val="clear" w:color="auto" w:fill="FFFFFF"/>
          </w:rPr>
          <w:t>www.e-disclosure.ru/PortalContent/InfoMaterial/130</w:t>
        </w:r>
      </w:hyperlink>
      <w:r w:rsidRPr="00B370C4">
        <w:rPr>
          <w:sz w:val="24"/>
          <w:szCs w:val="24"/>
          <w:shd w:val="clear" w:color="auto" w:fill="FFFFFF"/>
        </w:rPr>
        <w:t xml:space="preserve"> (дата обращения 21 июня 2014 г.)</w:t>
      </w:r>
    </w:p>
    <w:p w:rsidR="00B370C4" w:rsidRPr="00B370C4" w:rsidRDefault="00B370C4" w:rsidP="007E5F30">
      <w:pPr>
        <w:pStyle w:val="a3"/>
        <w:rPr>
          <w:sz w:val="24"/>
          <w:szCs w:val="24"/>
          <w:lang w:val="en-US"/>
        </w:rPr>
      </w:pPr>
      <w:r w:rsidRPr="00B370C4">
        <w:rPr>
          <w:rFonts w:eastAsia="AdvGulliv-R"/>
          <w:color w:val="000000"/>
          <w:sz w:val="24"/>
          <w:szCs w:val="24"/>
          <w:lang w:val="en-US"/>
        </w:rPr>
        <w:t xml:space="preserve">Ball R., Brown P. An empirical evaluation of accounting income numbers </w:t>
      </w:r>
      <w:r w:rsidRPr="00B370C4">
        <w:rPr>
          <w:color w:val="000000"/>
          <w:sz w:val="24"/>
          <w:szCs w:val="24"/>
          <w:lang w:val="en-US"/>
        </w:rPr>
        <w:t>//</w:t>
      </w:r>
      <w:r w:rsidRPr="00B370C4">
        <w:rPr>
          <w:rFonts w:eastAsia="AdvGulliv-R"/>
          <w:color w:val="000000"/>
          <w:sz w:val="24"/>
          <w:szCs w:val="24"/>
          <w:lang w:val="en-US"/>
        </w:rPr>
        <w:t>Journal of accounting research.</w:t>
      </w:r>
      <w:r w:rsidRPr="00B370C4">
        <w:rPr>
          <w:color w:val="000000"/>
          <w:sz w:val="24"/>
          <w:szCs w:val="24"/>
          <w:lang w:val="en-US"/>
        </w:rPr>
        <w:t xml:space="preserve"> 1968. №6. P. 159-178.</w:t>
      </w:r>
    </w:p>
    <w:p w:rsidR="00B370C4" w:rsidRPr="00B370C4" w:rsidRDefault="00B370C4" w:rsidP="007E5F30">
      <w:pPr>
        <w:pStyle w:val="a3"/>
        <w:rPr>
          <w:sz w:val="24"/>
          <w:szCs w:val="24"/>
          <w:lang w:val="en-US"/>
        </w:rPr>
      </w:pPr>
      <w:proofErr w:type="spellStart"/>
      <w:r w:rsidRPr="00B370C4">
        <w:rPr>
          <w:sz w:val="24"/>
          <w:szCs w:val="24"/>
          <w:lang w:val="en-US"/>
        </w:rPr>
        <w:t>Boehmer</w:t>
      </w:r>
      <w:proofErr w:type="spellEnd"/>
      <w:r w:rsidRPr="00B370C4">
        <w:rPr>
          <w:sz w:val="24"/>
          <w:szCs w:val="24"/>
          <w:lang w:val="en-US"/>
        </w:rPr>
        <w:t xml:space="preserve"> E. Event-study methodology under conditions of event-induced variance // Journal of Financial Economics. 1991. V. 30. </w:t>
      </w:r>
      <w:proofErr w:type="gramStart"/>
      <w:r w:rsidRPr="00B370C4">
        <w:rPr>
          <w:sz w:val="24"/>
          <w:szCs w:val="24"/>
          <w:lang w:val="en-US"/>
        </w:rPr>
        <w:t>№2.</w:t>
      </w:r>
      <w:proofErr w:type="gramEnd"/>
      <w:r w:rsidRPr="00B370C4">
        <w:rPr>
          <w:sz w:val="24"/>
          <w:szCs w:val="24"/>
          <w:lang w:val="en-US"/>
        </w:rPr>
        <w:t xml:space="preserve"> P. 253-272.</w:t>
      </w:r>
    </w:p>
    <w:p w:rsidR="00B370C4" w:rsidRPr="00B370C4" w:rsidRDefault="00B370C4" w:rsidP="007E5F30">
      <w:pPr>
        <w:pStyle w:val="a3"/>
        <w:rPr>
          <w:sz w:val="24"/>
          <w:szCs w:val="24"/>
          <w:lang w:val="en-US"/>
        </w:rPr>
      </w:pPr>
      <w:r w:rsidRPr="00B370C4">
        <w:rPr>
          <w:sz w:val="24"/>
          <w:szCs w:val="24"/>
          <w:lang w:val="en-US"/>
        </w:rPr>
        <w:t>Booth J.R, Smith R.L. Capital raising, underwriting and the certification hypothesis // Journal of Financial Economics. 1986. №15. P. 262-281</w:t>
      </w:r>
    </w:p>
    <w:p w:rsidR="00B370C4" w:rsidRPr="00B370C4" w:rsidRDefault="00B370C4" w:rsidP="007E5F30">
      <w:pPr>
        <w:pStyle w:val="a3"/>
        <w:rPr>
          <w:sz w:val="24"/>
          <w:szCs w:val="24"/>
          <w:lang w:val="en-US"/>
        </w:rPr>
      </w:pPr>
      <w:r w:rsidRPr="00B370C4">
        <w:rPr>
          <w:sz w:val="24"/>
          <w:szCs w:val="24"/>
          <w:lang w:val="en-US"/>
        </w:rPr>
        <w:t>Brown S., Warner J. Using daily stock returns: the case of event studies // Journal of Financial Economics. 1985. №14. P. 3–31.</w:t>
      </w:r>
    </w:p>
    <w:p w:rsidR="00B370C4" w:rsidRPr="00B370C4" w:rsidRDefault="00B370C4" w:rsidP="007E5F30">
      <w:pPr>
        <w:pStyle w:val="a3"/>
        <w:rPr>
          <w:sz w:val="24"/>
          <w:szCs w:val="24"/>
          <w:lang w:val="en-US"/>
        </w:rPr>
      </w:pPr>
      <w:proofErr w:type="spellStart"/>
      <w:proofErr w:type="gramStart"/>
      <w:r w:rsidRPr="00B370C4">
        <w:rPr>
          <w:color w:val="000000"/>
          <w:sz w:val="24"/>
          <w:szCs w:val="24"/>
          <w:lang w:val="en-US"/>
        </w:rPr>
        <w:t>Dolley</w:t>
      </w:r>
      <w:proofErr w:type="spellEnd"/>
      <w:r w:rsidRPr="00B370C4">
        <w:rPr>
          <w:color w:val="000000"/>
          <w:sz w:val="24"/>
          <w:szCs w:val="24"/>
          <w:lang w:val="en-US"/>
        </w:rPr>
        <w:t xml:space="preserve"> J.C. Characteristics and Procedures of Common Stock Split-Ups //Harvard Business Review.</w:t>
      </w:r>
      <w:proofErr w:type="gramEnd"/>
      <w:r w:rsidRPr="00B370C4">
        <w:rPr>
          <w:color w:val="000000"/>
          <w:sz w:val="24"/>
          <w:szCs w:val="24"/>
          <w:lang w:val="en-US"/>
        </w:rPr>
        <w:t xml:space="preserve"> 1933. P. 316-326.</w:t>
      </w:r>
    </w:p>
    <w:p w:rsidR="00B370C4" w:rsidRPr="00B370C4" w:rsidRDefault="00B370C4" w:rsidP="007E5F30">
      <w:pPr>
        <w:pStyle w:val="a3"/>
        <w:rPr>
          <w:sz w:val="24"/>
          <w:szCs w:val="24"/>
          <w:lang w:val="en-US"/>
        </w:rPr>
      </w:pPr>
      <w:proofErr w:type="spellStart"/>
      <w:r w:rsidRPr="00B370C4">
        <w:rPr>
          <w:sz w:val="24"/>
          <w:szCs w:val="24"/>
          <w:lang w:val="en-US"/>
        </w:rPr>
        <w:t>Fama</w:t>
      </w:r>
      <w:proofErr w:type="spellEnd"/>
      <w:r w:rsidRPr="00B370C4">
        <w:rPr>
          <w:sz w:val="24"/>
          <w:szCs w:val="24"/>
          <w:lang w:val="en-US"/>
        </w:rPr>
        <w:t xml:space="preserve"> E. Market efficiency, long-term returns, and behavioral finance // Journal of Financial Economics. 1998. № 49. P. 283-306.</w:t>
      </w:r>
    </w:p>
    <w:p w:rsidR="00B370C4" w:rsidRPr="00B370C4" w:rsidRDefault="00B370C4" w:rsidP="007E5F30">
      <w:pPr>
        <w:pStyle w:val="a3"/>
        <w:rPr>
          <w:sz w:val="24"/>
          <w:szCs w:val="24"/>
          <w:lang w:val="en-US"/>
        </w:rPr>
      </w:pPr>
      <w:proofErr w:type="spellStart"/>
      <w:r w:rsidRPr="00B370C4">
        <w:rPr>
          <w:rFonts w:eastAsia="AdvGulliv-R"/>
          <w:color w:val="000000" w:themeColor="text1"/>
          <w:sz w:val="24"/>
          <w:szCs w:val="24"/>
          <w:lang w:val="en-US"/>
        </w:rPr>
        <w:t>Fama</w:t>
      </w:r>
      <w:proofErr w:type="spellEnd"/>
      <w:r w:rsidRPr="00B370C4">
        <w:rPr>
          <w:rFonts w:eastAsia="AdvGulliv-R"/>
          <w:color w:val="000000" w:themeColor="text1"/>
          <w:sz w:val="24"/>
          <w:szCs w:val="24"/>
          <w:lang w:val="en-US"/>
        </w:rPr>
        <w:t xml:space="preserve"> E., Fisher L., Jensen M., Roll R. </w:t>
      </w:r>
      <w:proofErr w:type="gramStart"/>
      <w:r w:rsidRPr="00B370C4">
        <w:rPr>
          <w:rFonts w:eastAsia="AdvGulliv-R"/>
          <w:color w:val="000000" w:themeColor="text1"/>
          <w:sz w:val="24"/>
          <w:szCs w:val="24"/>
          <w:lang w:val="en-US"/>
        </w:rPr>
        <w:t xml:space="preserve">The adjustment of stock prices to new information </w:t>
      </w:r>
      <w:r w:rsidRPr="00B370C4">
        <w:rPr>
          <w:color w:val="000000" w:themeColor="text1"/>
          <w:sz w:val="24"/>
          <w:szCs w:val="24"/>
          <w:lang w:val="en-US"/>
        </w:rPr>
        <w:t>//</w:t>
      </w:r>
      <w:r w:rsidRPr="00B370C4">
        <w:rPr>
          <w:rFonts w:eastAsia="AdvGulliv-R"/>
          <w:color w:val="000000" w:themeColor="text1"/>
          <w:sz w:val="24"/>
          <w:szCs w:val="24"/>
          <w:lang w:val="en-US"/>
        </w:rPr>
        <w:t>International economic review</w:t>
      </w:r>
      <w:r w:rsidRPr="00B370C4">
        <w:rPr>
          <w:color w:val="000000" w:themeColor="text1"/>
          <w:sz w:val="24"/>
          <w:szCs w:val="24"/>
          <w:lang w:val="en-US"/>
        </w:rPr>
        <w:t>– 1969.</w:t>
      </w:r>
      <w:proofErr w:type="gramEnd"/>
      <w:r w:rsidRPr="00B370C4">
        <w:rPr>
          <w:color w:val="000000" w:themeColor="text1"/>
          <w:sz w:val="24"/>
          <w:szCs w:val="24"/>
          <w:lang w:val="en-US"/>
        </w:rPr>
        <w:t xml:space="preserve"> </w:t>
      </w:r>
      <w:proofErr w:type="gramStart"/>
      <w:r w:rsidRPr="00B370C4">
        <w:rPr>
          <w:color w:val="000000" w:themeColor="text1"/>
          <w:sz w:val="24"/>
          <w:szCs w:val="24"/>
          <w:lang w:val="en-US"/>
        </w:rPr>
        <w:t>–№10.</w:t>
      </w:r>
      <w:proofErr w:type="gramEnd"/>
      <w:r w:rsidRPr="00B370C4">
        <w:rPr>
          <w:color w:val="000000" w:themeColor="text1"/>
          <w:sz w:val="24"/>
          <w:szCs w:val="24"/>
          <w:lang w:val="en-US"/>
        </w:rPr>
        <w:t xml:space="preserve"> – P. 1-21</w:t>
      </w:r>
    </w:p>
    <w:p w:rsidR="00B370C4" w:rsidRPr="00B370C4" w:rsidRDefault="00B370C4" w:rsidP="007E5F30">
      <w:pPr>
        <w:pStyle w:val="a3"/>
        <w:ind w:firstLine="708"/>
        <w:rPr>
          <w:sz w:val="24"/>
          <w:szCs w:val="24"/>
          <w:lang w:val="en-US"/>
        </w:rPr>
      </w:pPr>
      <w:proofErr w:type="spellStart"/>
      <w:r w:rsidRPr="00B370C4">
        <w:rPr>
          <w:sz w:val="24"/>
          <w:szCs w:val="24"/>
          <w:lang w:val="en-US"/>
        </w:rPr>
        <w:t>Grullon</w:t>
      </w:r>
      <w:proofErr w:type="spellEnd"/>
      <w:r w:rsidRPr="00B370C4">
        <w:rPr>
          <w:sz w:val="24"/>
          <w:szCs w:val="24"/>
          <w:lang w:val="en-US"/>
        </w:rPr>
        <w:t xml:space="preserve"> G, </w:t>
      </w:r>
      <w:proofErr w:type="spellStart"/>
      <w:r w:rsidRPr="00B370C4">
        <w:rPr>
          <w:sz w:val="24"/>
          <w:szCs w:val="24"/>
          <w:lang w:val="en-US"/>
        </w:rPr>
        <w:t>Roni</w:t>
      </w:r>
      <w:proofErr w:type="spellEnd"/>
      <w:r w:rsidRPr="00B370C4">
        <w:rPr>
          <w:sz w:val="24"/>
          <w:szCs w:val="24"/>
          <w:lang w:val="en-US"/>
        </w:rPr>
        <w:t xml:space="preserve"> M, </w:t>
      </w:r>
      <w:proofErr w:type="spellStart"/>
      <w:r w:rsidRPr="00B370C4">
        <w:rPr>
          <w:sz w:val="24"/>
          <w:szCs w:val="24"/>
          <w:lang w:val="en-US"/>
        </w:rPr>
        <w:t>Bhaskaran</w:t>
      </w:r>
      <w:proofErr w:type="spellEnd"/>
      <w:r w:rsidRPr="00B370C4">
        <w:rPr>
          <w:sz w:val="24"/>
          <w:szCs w:val="24"/>
          <w:lang w:val="en-US"/>
        </w:rPr>
        <w:t xml:space="preserve"> S. Are dividend changes a sign of firm maturity? // Journal of Business. 2002. V. 75. №3</w:t>
      </w:r>
    </w:p>
    <w:p w:rsidR="00B370C4" w:rsidRPr="00B370C4" w:rsidRDefault="00B370C4" w:rsidP="007E5F30">
      <w:pPr>
        <w:pStyle w:val="a3"/>
        <w:ind w:firstLine="708"/>
        <w:rPr>
          <w:sz w:val="24"/>
          <w:szCs w:val="24"/>
          <w:lang w:val="en-US"/>
        </w:rPr>
      </w:pPr>
      <w:r w:rsidRPr="00B370C4">
        <w:rPr>
          <w:sz w:val="24"/>
          <w:szCs w:val="24"/>
          <w:lang w:val="en-US"/>
        </w:rPr>
        <w:t xml:space="preserve">Healy P, </w:t>
      </w:r>
      <w:proofErr w:type="spellStart"/>
      <w:r w:rsidRPr="00B370C4">
        <w:rPr>
          <w:sz w:val="24"/>
          <w:szCs w:val="24"/>
          <w:lang w:val="en-US"/>
        </w:rPr>
        <w:t>Palepu</w:t>
      </w:r>
      <w:proofErr w:type="spellEnd"/>
      <w:r w:rsidRPr="00B370C4">
        <w:rPr>
          <w:sz w:val="24"/>
          <w:szCs w:val="24"/>
          <w:lang w:val="en-US"/>
        </w:rPr>
        <w:t xml:space="preserve"> K. Earnings information conveyed by dividend initiations and omission // Journal of Financial Economics. 1988. №21. P. 149-176.</w:t>
      </w:r>
    </w:p>
    <w:p w:rsidR="00B370C4" w:rsidRPr="00B370C4" w:rsidRDefault="00B370C4" w:rsidP="007E5F30">
      <w:pPr>
        <w:pStyle w:val="a3"/>
        <w:rPr>
          <w:sz w:val="24"/>
          <w:szCs w:val="24"/>
          <w:lang w:val="en-US"/>
        </w:rPr>
      </w:pPr>
      <w:proofErr w:type="spellStart"/>
      <w:r w:rsidRPr="00B370C4">
        <w:rPr>
          <w:sz w:val="24"/>
          <w:szCs w:val="24"/>
          <w:lang w:val="en-US"/>
        </w:rPr>
        <w:t>Karim</w:t>
      </w:r>
      <w:proofErr w:type="spellEnd"/>
      <w:r w:rsidRPr="00B370C4">
        <w:rPr>
          <w:sz w:val="24"/>
          <w:szCs w:val="24"/>
          <w:lang w:val="en-US"/>
        </w:rPr>
        <w:t xml:space="preserve"> M. Announcement Effect of Dividend on the Stock Price of Enlisted Companies in Developed Countries: A Comparative Study between London Stock Exchange &amp; New York Stock Exchange. // 2010. URL: http://papers.ssrn.com/sol3/papers.cfm?abstract_id=1624363.</w:t>
      </w:r>
    </w:p>
    <w:p w:rsidR="00B370C4" w:rsidRPr="00B370C4" w:rsidRDefault="00B370C4" w:rsidP="007E5F30">
      <w:pPr>
        <w:pStyle w:val="a3"/>
        <w:rPr>
          <w:sz w:val="24"/>
          <w:szCs w:val="24"/>
          <w:lang w:val="en-US"/>
        </w:rPr>
      </w:pPr>
      <w:proofErr w:type="spellStart"/>
      <w:r w:rsidRPr="00B370C4">
        <w:rPr>
          <w:sz w:val="24"/>
          <w:szCs w:val="24"/>
          <w:lang w:val="en-US"/>
        </w:rPr>
        <w:t>Kolari</w:t>
      </w:r>
      <w:proofErr w:type="spellEnd"/>
      <w:r w:rsidRPr="00B370C4">
        <w:rPr>
          <w:sz w:val="24"/>
          <w:szCs w:val="24"/>
          <w:lang w:val="en-US"/>
        </w:rPr>
        <w:t xml:space="preserve"> J. Event Study Testing with Cross-sectional Correlation of Abnormal Returns // Review of Financial Studies. 2010. V. 23. </w:t>
      </w:r>
      <w:proofErr w:type="gramStart"/>
      <w:r w:rsidRPr="00B370C4">
        <w:rPr>
          <w:sz w:val="24"/>
          <w:szCs w:val="24"/>
          <w:lang w:val="en-US"/>
        </w:rPr>
        <w:t>№11.</w:t>
      </w:r>
      <w:proofErr w:type="gramEnd"/>
      <w:r w:rsidRPr="00B370C4">
        <w:rPr>
          <w:sz w:val="24"/>
          <w:szCs w:val="24"/>
          <w:lang w:val="en-US"/>
        </w:rPr>
        <w:t xml:space="preserve"> P. 3996-4025.</w:t>
      </w:r>
    </w:p>
    <w:p w:rsidR="00B370C4" w:rsidRPr="00B370C4" w:rsidRDefault="00B370C4" w:rsidP="007E5F30">
      <w:pPr>
        <w:pStyle w:val="a3"/>
        <w:rPr>
          <w:sz w:val="24"/>
          <w:szCs w:val="24"/>
          <w:lang w:val="en-US"/>
        </w:rPr>
      </w:pPr>
      <w:r w:rsidRPr="00B370C4">
        <w:rPr>
          <w:sz w:val="24"/>
          <w:szCs w:val="24"/>
          <w:lang w:val="en-US"/>
        </w:rPr>
        <w:t>Kothari S. P. Capital market researches in accounting // Journal of Accounting and Economics. 2001. №31. P. 105-231.</w:t>
      </w:r>
    </w:p>
    <w:p w:rsidR="00B370C4" w:rsidRPr="00710C97" w:rsidRDefault="00B370C4" w:rsidP="007E5F30">
      <w:pPr>
        <w:pStyle w:val="a3"/>
        <w:rPr>
          <w:sz w:val="24"/>
          <w:szCs w:val="24"/>
          <w:lang w:val="en-US"/>
        </w:rPr>
      </w:pPr>
      <w:r w:rsidRPr="00B370C4">
        <w:rPr>
          <w:sz w:val="24"/>
          <w:szCs w:val="24"/>
          <w:lang w:val="en-US"/>
        </w:rPr>
        <w:t xml:space="preserve">Kothari S. P., </w:t>
      </w:r>
      <w:r w:rsidRPr="00B370C4">
        <w:rPr>
          <w:rFonts w:eastAsia="AdvGulliv-R"/>
          <w:color w:val="000000" w:themeColor="text1"/>
          <w:sz w:val="24"/>
          <w:szCs w:val="24"/>
          <w:lang w:val="en-US"/>
        </w:rPr>
        <w:t>Warner J. B</w:t>
      </w:r>
      <w:r w:rsidRPr="00B370C4">
        <w:rPr>
          <w:sz w:val="24"/>
          <w:szCs w:val="24"/>
          <w:lang w:val="en-US"/>
        </w:rPr>
        <w:t xml:space="preserve">. The Econometrics of Event Studies // Handbook of Corporate Finance: Empirical Corporate Finance. 2007. №1. P. </w:t>
      </w:r>
      <w:r w:rsidRPr="00710C97">
        <w:rPr>
          <w:sz w:val="24"/>
          <w:szCs w:val="24"/>
          <w:lang w:val="en-US"/>
        </w:rPr>
        <w:t>3-48.</w:t>
      </w:r>
    </w:p>
    <w:p w:rsidR="00B370C4" w:rsidRPr="00B370C4" w:rsidRDefault="00B370C4" w:rsidP="007E5F30">
      <w:pPr>
        <w:pStyle w:val="a3"/>
        <w:rPr>
          <w:sz w:val="24"/>
          <w:szCs w:val="24"/>
          <w:lang w:val="en-US"/>
        </w:rPr>
      </w:pPr>
      <w:proofErr w:type="spellStart"/>
      <w:r w:rsidRPr="00B370C4">
        <w:rPr>
          <w:color w:val="000000"/>
          <w:sz w:val="24"/>
          <w:szCs w:val="24"/>
          <w:lang w:val="en-US"/>
        </w:rPr>
        <w:t>MacKinlay</w:t>
      </w:r>
      <w:proofErr w:type="spellEnd"/>
      <w:r w:rsidRPr="00B370C4">
        <w:rPr>
          <w:color w:val="000000"/>
          <w:sz w:val="24"/>
          <w:szCs w:val="24"/>
          <w:lang w:val="en-US"/>
        </w:rPr>
        <w:t xml:space="preserve"> A.C. Event Studies in Economics and Finance // Journal of Economic Literature. 1997. Vol. 35. P. 13-39.</w:t>
      </w:r>
    </w:p>
    <w:p w:rsidR="00B370C4" w:rsidRPr="00B370C4" w:rsidRDefault="00B370C4" w:rsidP="007E5F30">
      <w:pPr>
        <w:pStyle w:val="a3"/>
        <w:ind w:firstLine="708"/>
        <w:rPr>
          <w:sz w:val="24"/>
          <w:szCs w:val="24"/>
          <w:lang w:val="en-US"/>
        </w:rPr>
      </w:pPr>
      <w:proofErr w:type="spellStart"/>
      <w:r w:rsidRPr="00B370C4">
        <w:rPr>
          <w:sz w:val="24"/>
          <w:szCs w:val="24"/>
          <w:lang w:val="en-US"/>
        </w:rPr>
        <w:t>Michaely</w:t>
      </w:r>
      <w:proofErr w:type="spellEnd"/>
      <w:r w:rsidRPr="00B370C4">
        <w:rPr>
          <w:sz w:val="24"/>
          <w:szCs w:val="24"/>
          <w:lang w:val="en-US"/>
        </w:rPr>
        <w:t xml:space="preserve"> R, </w:t>
      </w:r>
      <w:proofErr w:type="spellStart"/>
      <w:r w:rsidRPr="00B370C4">
        <w:rPr>
          <w:sz w:val="24"/>
          <w:szCs w:val="24"/>
          <w:lang w:val="en-US"/>
        </w:rPr>
        <w:t>Thaler</w:t>
      </w:r>
      <w:proofErr w:type="spellEnd"/>
      <w:r w:rsidRPr="00B370C4">
        <w:rPr>
          <w:sz w:val="24"/>
          <w:szCs w:val="24"/>
          <w:lang w:val="en-US"/>
        </w:rPr>
        <w:t xml:space="preserve"> R, Womack K. Price reactions to dividend initiations and omissions: overreaction or drift? // Journal of Finance. 1995. №50 (2). P. 573-608</w:t>
      </w:r>
    </w:p>
    <w:p w:rsidR="00B370C4" w:rsidRPr="00B370C4" w:rsidRDefault="00B370C4" w:rsidP="007E5F30">
      <w:pPr>
        <w:spacing w:line="240" w:lineRule="auto"/>
        <w:ind w:firstLine="708"/>
        <w:rPr>
          <w:sz w:val="24"/>
          <w:szCs w:val="24"/>
          <w:lang w:val="en-US"/>
        </w:rPr>
      </w:pPr>
      <w:r w:rsidRPr="00B370C4">
        <w:rPr>
          <w:iCs/>
          <w:sz w:val="24"/>
          <w:szCs w:val="24"/>
          <w:lang w:val="en-US"/>
        </w:rPr>
        <w:t xml:space="preserve">Miller M, Modigliani F. </w:t>
      </w:r>
      <w:r w:rsidRPr="00B370C4">
        <w:rPr>
          <w:sz w:val="24"/>
          <w:szCs w:val="24"/>
          <w:lang w:val="en-US"/>
        </w:rPr>
        <w:t xml:space="preserve">Dividend policy, growth, and the valuation of shares // Journal of Business. 1961. Vol. 34. </w:t>
      </w:r>
      <w:proofErr w:type="gramStart"/>
      <w:r w:rsidRPr="00B370C4">
        <w:rPr>
          <w:sz w:val="24"/>
          <w:szCs w:val="24"/>
          <w:lang w:val="en-US"/>
        </w:rPr>
        <w:t>P. 411—433.</w:t>
      </w:r>
      <w:proofErr w:type="gramEnd"/>
    </w:p>
    <w:p w:rsidR="00B370C4" w:rsidRPr="00B370C4" w:rsidRDefault="00B370C4" w:rsidP="007E5F30">
      <w:pPr>
        <w:pStyle w:val="a3"/>
        <w:ind w:firstLine="708"/>
        <w:rPr>
          <w:sz w:val="24"/>
          <w:szCs w:val="24"/>
          <w:lang w:val="en-US"/>
        </w:rPr>
      </w:pPr>
      <w:proofErr w:type="gramStart"/>
      <w:r w:rsidRPr="00B370C4">
        <w:rPr>
          <w:sz w:val="24"/>
          <w:szCs w:val="24"/>
          <w:lang w:val="en-US"/>
        </w:rPr>
        <w:t xml:space="preserve">Miller M.H., Rock K. Dividend Policy under Asymmetric Information //Journal of </w:t>
      </w:r>
      <w:r w:rsidRPr="00B370C4">
        <w:rPr>
          <w:sz w:val="24"/>
          <w:szCs w:val="24"/>
          <w:lang w:val="en-US"/>
        </w:rPr>
        <w:lastRenderedPageBreak/>
        <w:t>Finance.</w:t>
      </w:r>
      <w:proofErr w:type="gramEnd"/>
      <w:r w:rsidRPr="00B370C4">
        <w:rPr>
          <w:sz w:val="24"/>
          <w:szCs w:val="24"/>
          <w:lang w:val="en-US"/>
        </w:rPr>
        <w:t xml:space="preserve"> 1985. № 40 (4). </w:t>
      </w:r>
      <w:r w:rsidRPr="00B370C4">
        <w:rPr>
          <w:sz w:val="24"/>
          <w:szCs w:val="24"/>
        </w:rPr>
        <w:t>Р</w:t>
      </w:r>
      <w:r w:rsidRPr="00B370C4">
        <w:rPr>
          <w:sz w:val="24"/>
          <w:szCs w:val="24"/>
          <w:lang w:val="en-US"/>
        </w:rPr>
        <w:t>. 1031-1045.</w:t>
      </w:r>
    </w:p>
    <w:p w:rsidR="00B370C4" w:rsidRPr="00B370C4" w:rsidRDefault="00B370C4" w:rsidP="007E5F30">
      <w:pPr>
        <w:pStyle w:val="a3"/>
        <w:rPr>
          <w:sz w:val="24"/>
          <w:szCs w:val="24"/>
          <w:lang w:val="en-US"/>
        </w:rPr>
      </w:pPr>
      <w:proofErr w:type="spellStart"/>
      <w:r w:rsidRPr="00B370C4">
        <w:rPr>
          <w:sz w:val="24"/>
          <w:szCs w:val="24"/>
          <w:lang w:val="en-US"/>
        </w:rPr>
        <w:t>Patell</w:t>
      </w:r>
      <w:proofErr w:type="spellEnd"/>
      <w:r w:rsidRPr="00B370C4">
        <w:rPr>
          <w:sz w:val="24"/>
          <w:szCs w:val="24"/>
          <w:lang w:val="en-US"/>
        </w:rPr>
        <w:t xml:space="preserve"> J. Corporate Forecasts of Earnings </w:t>
      </w:r>
      <w:proofErr w:type="gramStart"/>
      <w:r w:rsidRPr="00B370C4">
        <w:rPr>
          <w:sz w:val="24"/>
          <w:szCs w:val="24"/>
          <w:lang w:val="en-US"/>
        </w:rPr>
        <w:t>Per</w:t>
      </w:r>
      <w:proofErr w:type="gramEnd"/>
      <w:r w:rsidRPr="00B370C4">
        <w:rPr>
          <w:sz w:val="24"/>
          <w:szCs w:val="24"/>
          <w:lang w:val="en-US"/>
        </w:rPr>
        <w:t xml:space="preserve"> Share and Stock Price Behavior: Empirical Test // Journal of Accounting Research. 1976. V. 14. </w:t>
      </w:r>
      <w:proofErr w:type="gramStart"/>
      <w:r w:rsidRPr="00B370C4">
        <w:rPr>
          <w:sz w:val="24"/>
          <w:szCs w:val="24"/>
          <w:lang w:val="en-US"/>
        </w:rPr>
        <w:t>№2.</w:t>
      </w:r>
      <w:proofErr w:type="gramEnd"/>
      <w:r w:rsidRPr="00B370C4">
        <w:rPr>
          <w:sz w:val="24"/>
          <w:szCs w:val="24"/>
          <w:lang w:val="en-US"/>
        </w:rPr>
        <w:t xml:space="preserve"> P. 246-276</w:t>
      </w:r>
    </w:p>
    <w:p w:rsidR="00B370C4" w:rsidRPr="00B370C4" w:rsidRDefault="00B370C4" w:rsidP="007E5F30">
      <w:pPr>
        <w:pStyle w:val="a3"/>
        <w:rPr>
          <w:sz w:val="24"/>
          <w:szCs w:val="24"/>
          <w:lang w:val="en-US"/>
        </w:rPr>
      </w:pPr>
      <w:r w:rsidRPr="00B370C4">
        <w:rPr>
          <w:color w:val="000000"/>
          <w:sz w:val="24"/>
          <w:szCs w:val="24"/>
          <w:lang w:val="en-US"/>
        </w:rPr>
        <w:t>Peterson</w:t>
      </w:r>
      <w:r w:rsidRPr="00B370C4">
        <w:rPr>
          <w:sz w:val="24"/>
          <w:szCs w:val="24"/>
          <w:lang w:val="en-US"/>
        </w:rPr>
        <w:t xml:space="preserve"> P.P</w:t>
      </w:r>
      <w:r w:rsidRPr="00B370C4">
        <w:rPr>
          <w:color w:val="000000"/>
          <w:sz w:val="24"/>
          <w:szCs w:val="24"/>
          <w:lang w:val="en-US"/>
        </w:rPr>
        <w:t xml:space="preserve">. </w:t>
      </w:r>
      <w:r w:rsidRPr="00B370C4">
        <w:rPr>
          <w:bCs/>
          <w:color w:val="000000"/>
          <w:sz w:val="24"/>
          <w:szCs w:val="24"/>
          <w:lang w:val="en-US"/>
        </w:rPr>
        <w:t xml:space="preserve">Event Studies: A review of issues and methodology </w:t>
      </w:r>
      <w:r w:rsidRPr="00B370C4">
        <w:rPr>
          <w:color w:val="000000"/>
          <w:sz w:val="24"/>
          <w:szCs w:val="24"/>
          <w:lang w:val="en-US"/>
        </w:rPr>
        <w:t>//</w:t>
      </w:r>
      <w:r w:rsidRPr="00B370C4">
        <w:rPr>
          <w:iCs/>
          <w:color w:val="000000"/>
          <w:sz w:val="24"/>
          <w:szCs w:val="24"/>
          <w:lang w:val="en-US"/>
        </w:rPr>
        <w:t>Quarterly Journal of Business and Economic.</w:t>
      </w:r>
      <w:r w:rsidRPr="00B370C4">
        <w:rPr>
          <w:color w:val="000000"/>
          <w:sz w:val="24"/>
          <w:szCs w:val="24"/>
          <w:lang w:val="en-US"/>
        </w:rPr>
        <w:t xml:space="preserve"> </w:t>
      </w:r>
      <w:proofErr w:type="gramStart"/>
      <w:r w:rsidRPr="00B370C4">
        <w:rPr>
          <w:color w:val="000000"/>
          <w:sz w:val="24"/>
          <w:szCs w:val="24"/>
          <w:lang w:val="en-US"/>
        </w:rPr>
        <w:t>1989. No. 3.</w:t>
      </w:r>
      <w:proofErr w:type="gramEnd"/>
      <w:r w:rsidRPr="00B370C4">
        <w:rPr>
          <w:color w:val="000000"/>
          <w:sz w:val="24"/>
          <w:szCs w:val="24"/>
          <w:lang w:val="en-US"/>
        </w:rPr>
        <w:t xml:space="preserve"> P. 36-66.</w:t>
      </w:r>
    </w:p>
    <w:p w:rsidR="00B370C4" w:rsidRPr="00B370C4" w:rsidRDefault="00B370C4" w:rsidP="007E5F30">
      <w:pPr>
        <w:spacing w:line="240" w:lineRule="auto"/>
        <w:ind w:firstLine="708"/>
        <w:rPr>
          <w:sz w:val="24"/>
          <w:szCs w:val="24"/>
          <w:lang w:val="en-US"/>
        </w:rPr>
      </w:pPr>
      <w:r w:rsidRPr="00B370C4">
        <w:rPr>
          <w:sz w:val="24"/>
          <w:szCs w:val="24"/>
          <w:lang w:val="en-US"/>
        </w:rPr>
        <w:t xml:space="preserve">Pettit R.R. Dividend announcements, security performance, and capital market efficiency // The Journal of Finance. 1972. № 27 (5). </w:t>
      </w:r>
      <w:proofErr w:type="gramStart"/>
      <w:r w:rsidRPr="00B370C4">
        <w:rPr>
          <w:sz w:val="24"/>
          <w:szCs w:val="24"/>
          <w:lang w:val="en-US"/>
        </w:rPr>
        <w:t>P.993-1007.</w:t>
      </w:r>
      <w:proofErr w:type="gramEnd"/>
    </w:p>
    <w:p w:rsidR="00B370C4" w:rsidRPr="00B370C4" w:rsidRDefault="00B370C4" w:rsidP="007E5F30">
      <w:pPr>
        <w:widowControl/>
        <w:autoSpaceDE w:val="0"/>
        <w:autoSpaceDN w:val="0"/>
        <w:adjustRightInd w:val="0"/>
        <w:spacing w:line="240" w:lineRule="auto"/>
        <w:ind w:firstLine="708"/>
        <w:jc w:val="left"/>
        <w:rPr>
          <w:sz w:val="24"/>
          <w:szCs w:val="24"/>
          <w:lang w:val="en-US"/>
        </w:rPr>
      </w:pPr>
      <w:proofErr w:type="spellStart"/>
      <w:r w:rsidRPr="00B370C4">
        <w:rPr>
          <w:sz w:val="24"/>
          <w:szCs w:val="24"/>
          <w:lang w:val="en-US"/>
        </w:rPr>
        <w:t>Rogova</w:t>
      </w:r>
      <w:proofErr w:type="spellEnd"/>
      <w:r w:rsidRPr="00B370C4">
        <w:rPr>
          <w:sz w:val="24"/>
          <w:szCs w:val="24"/>
          <w:lang w:val="en-US"/>
        </w:rPr>
        <w:t xml:space="preserve"> E. DuPont analysis of the efficiency and investment appeal of </w:t>
      </w:r>
      <w:proofErr w:type="spellStart"/>
      <w:proofErr w:type="gramStart"/>
      <w:r w:rsidRPr="00B370C4">
        <w:rPr>
          <w:sz w:val="24"/>
          <w:szCs w:val="24"/>
          <w:lang w:val="en-US"/>
        </w:rPr>
        <w:t>russian</w:t>
      </w:r>
      <w:proofErr w:type="spellEnd"/>
      <w:proofErr w:type="gramEnd"/>
      <w:r w:rsidRPr="00B370C4">
        <w:rPr>
          <w:sz w:val="24"/>
          <w:szCs w:val="24"/>
          <w:lang w:val="en-US"/>
        </w:rPr>
        <w:t xml:space="preserve"> oil-extracting companies. In: Proceedings of the </w:t>
      </w:r>
      <w:r w:rsidRPr="00B370C4">
        <w:rPr>
          <w:rFonts w:eastAsiaTheme="minorHAnsi"/>
          <w:sz w:val="24"/>
          <w:szCs w:val="24"/>
          <w:lang w:val="en-US" w:eastAsia="en-US"/>
        </w:rPr>
        <w:t xml:space="preserve">8th International Scientific Conference “Business and Management 2014”. </w:t>
      </w:r>
      <w:proofErr w:type="gramStart"/>
      <w:r w:rsidRPr="00B370C4">
        <w:rPr>
          <w:rFonts w:eastAsiaTheme="minorHAnsi"/>
          <w:sz w:val="24"/>
          <w:szCs w:val="24"/>
          <w:lang w:val="en-US" w:eastAsia="en-US"/>
        </w:rPr>
        <w:t>May 15–16, 2014, Vilnius.</w:t>
      </w:r>
      <w:proofErr w:type="gramEnd"/>
      <w:r w:rsidRPr="00B370C4">
        <w:rPr>
          <w:rFonts w:eastAsiaTheme="minorHAnsi"/>
          <w:sz w:val="24"/>
          <w:szCs w:val="24"/>
          <w:lang w:val="en-US" w:eastAsia="en-US"/>
        </w:rPr>
        <w:t xml:space="preserve"> </w:t>
      </w:r>
      <w:r w:rsidRPr="00B370C4">
        <w:rPr>
          <w:sz w:val="24"/>
          <w:szCs w:val="24"/>
          <w:lang w:val="en-US"/>
        </w:rPr>
        <w:t>URL</w:t>
      </w:r>
      <w:r w:rsidRPr="00B370C4">
        <w:rPr>
          <w:color w:val="000000" w:themeColor="text1"/>
          <w:sz w:val="24"/>
          <w:szCs w:val="24"/>
          <w:lang w:val="en-US"/>
        </w:rPr>
        <w:t xml:space="preserve">: </w:t>
      </w:r>
      <w:hyperlink r:id="rId21" w:history="1">
        <w:r w:rsidRPr="00B370C4">
          <w:rPr>
            <w:rStyle w:val="a8"/>
            <w:rFonts w:eastAsiaTheme="minorHAnsi"/>
            <w:sz w:val="24"/>
            <w:szCs w:val="24"/>
            <w:lang w:val="en-US" w:eastAsia="en-US"/>
          </w:rPr>
          <w:t>http://www.bm.vgtu.lt</w:t>
        </w:r>
      </w:hyperlink>
      <w:r w:rsidRPr="00B370C4">
        <w:rPr>
          <w:rFonts w:eastAsiaTheme="minorHAnsi"/>
          <w:sz w:val="24"/>
          <w:szCs w:val="24"/>
          <w:lang w:val="en-US" w:eastAsia="en-US"/>
        </w:rPr>
        <w:t xml:space="preserve">. ISSN </w:t>
      </w:r>
      <w:proofErr w:type="gramStart"/>
      <w:r w:rsidRPr="00B370C4">
        <w:rPr>
          <w:rFonts w:eastAsiaTheme="minorHAnsi"/>
          <w:sz w:val="24"/>
          <w:szCs w:val="24"/>
          <w:lang w:val="en-US" w:eastAsia="en-US"/>
        </w:rPr>
        <w:t>print</w:t>
      </w:r>
      <w:proofErr w:type="gramEnd"/>
      <w:r w:rsidRPr="00B370C4">
        <w:rPr>
          <w:rFonts w:eastAsiaTheme="minorHAnsi"/>
          <w:sz w:val="24"/>
          <w:szCs w:val="24"/>
          <w:lang w:val="en-US" w:eastAsia="en-US"/>
        </w:rPr>
        <w:t xml:space="preserve"> 2029-4441 / ISSN online 2029-929X. ISBN print 978-609-457-650-8 / ISBN online 978-609-457-649-2. Article number: bm.2014.021. </w:t>
      </w:r>
      <w:hyperlink r:id="rId22" w:history="1">
        <w:r w:rsidRPr="00B370C4">
          <w:rPr>
            <w:rStyle w:val="a8"/>
            <w:rFonts w:eastAsiaTheme="minorHAnsi"/>
            <w:sz w:val="24"/>
            <w:szCs w:val="24"/>
            <w:lang w:val="en-US" w:eastAsia="en-US"/>
          </w:rPr>
          <w:t>http://dx.doi.org/10.3846/bm.2014.021</w:t>
        </w:r>
      </w:hyperlink>
      <w:r w:rsidRPr="00B370C4">
        <w:rPr>
          <w:rFonts w:eastAsiaTheme="minorHAnsi"/>
          <w:sz w:val="24"/>
          <w:szCs w:val="24"/>
          <w:lang w:val="en-US" w:eastAsia="en-US"/>
        </w:rPr>
        <w:t xml:space="preserve">. </w:t>
      </w:r>
      <w:proofErr w:type="gramStart"/>
      <w:r w:rsidRPr="00B370C4">
        <w:rPr>
          <w:rFonts w:eastAsiaTheme="minorHAnsi"/>
          <w:sz w:val="24"/>
          <w:szCs w:val="24"/>
          <w:lang w:val="en-US" w:eastAsia="en-US"/>
        </w:rPr>
        <w:t xml:space="preserve">Vilnius </w:t>
      </w:r>
      <w:proofErr w:type="spellStart"/>
      <w:r w:rsidRPr="00B370C4">
        <w:rPr>
          <w:rFonts w:eastAsiaTheme="minorHAnsi"/>
          <w:sz w:val="24"/>
          <w:szCs w:val="24"/>
          <w:lang w:val="en-US" w:eastAsia="en-US"/>
        </w:rPr>
        <w:t>Gediminas</w:t>
      </w:r>
      <w:proofErr w:type="spellEnd"/>
      <w:r w:rsidRPr="00B370C4">
        <w:rPr>
          <w:rFonts w:eastAsiaTheme="minorHAnsi"/>
          <w:sz w:val="24"/>
          <w:szCs w:val="24"/>
          <w:lang w:val="en-US" w:eastAsia="en-US"/>
        </w:rPr>
        <w:t xml:space="preserve"> Technical University, 2014.</w:t>
      </w:r>
      <w:proofErr w:type="gramEnd"/>
    </w:p>
    <w:p w:rsidR="00B370C4" w:rsidRPr="00B370C4" w:rsidRDefault="00B370C4" w:rsidP="007E5F30">
      <w:pPr>
        <w:pStyle w:val="a3"/>
        <w:rPr>
          <w:sz w:val="24"/>
          <w:szCs w:val="24"/>
          <w:lang w:val="en-US"/>
        </w:rPr>
      </w:pPr>
      <w:r w:rsidRPr="00B370C4">
        <w:rPr>
          <w:sz w:val="24"/>
          <w:szCs w:val="24"/>
          <w:lang w:val="en-US"/>
        </w:rPr>
        <w:t xml:space="preserve">Sorensen J., </w:t>
      </w:r>
      <w:proofErr w:type="spellStart"/>
      <w:r w:rsidRPr="00B370C4">
        <w:rPr>
          <w:sz w:val="24"/>
          <w:szCs w:val="24"/>
          <w:lang w:val="en-US"/>
        </w:rPr>
        <w:t>Arveschoug</w:t>
      </w:r>
      <w:proofErr w:type="spellEnd"/>
      <w:r w:rsidRPr="00B370C4">
        <w:rPr>
          <w:sz w:val="24"/>
          <w:szCs w:val="24"/>
          <w:lang w:val="en-US"/>
        </w:rPr>
        <w:t xml:space="preserve"> T. The informational content of dividend changes – empirical evidence from a small stock exchange (Copenhagen Stock Exchange) // Aarhus School of Business. 2004. P.2-94.</w:t>
      </w:r>
    </w:p>
    <w:p w:rsidR="00B370C4" w:rsidRPr="00B370C4" w:rsidRDefault="00B370C4" w:rsidP="007E5F30">
      <w:pPr>
        <w:pStyle w:val="a3"/>
        <w:rPr>
          <w:sz w:val="24"/>
          <w:szCs w:val="24"/>
          <w:lang w:val="en-US"/>
        </w:rPr>
      </w:pPr>
      <w:r w:rsidRPr="00B370C4">
        <w:rPr>
          <w:sz w:val="24"/>
          <w:szCs w:val="24"/>
          <w:lang w:val="en-US"/>
        </w:rPr>
        <w:t xml:space="preserve">Vieira E. Firm-Specific Factors and the Market Reaction to Dividend Change Announcements: Evidence from Europe // Marmara Journal of European Studies. 2011. Vol. 19. </w:t>
      </w:r>
      <w:proofErr w:type="gramStart"/>
      <w:r w:rsidRPr="00B370C4">
        <w:rPr>
          <w:sz w:val="24"/>
          <w:szCs w:val="24"/>
          <w:lang w:val="en-US"/>
        </w:rPr>
        <w:t>N 1.</w:t>
      </w:r>
      <w:proofErr w:type="gramEnd"/>
      <w:r w:rsidRPr="00B370C4">
        <w:rPr>
          <w:sz w:val="24"/>
          <w:szCs w:val="24"/>
          <w:lang w:val="en-US"/>
        </w:rPr>
        <w:t xml:space="preserve"> P. 1-25</w:t>
      </w:r>
    </w:p>
    <w:p w:rsidR="00B370C4" w:rsidRPr="00B370C4" w:rsidRDefault="00B370C4" w:rsidP="007E5F30">
      <w:pPr>
        <w:pStyle w:val="a3"/>
        <w:ind w:firstLine="708"/>
        <w:rPr>
          <w:sz w:val="24"/>
          <w:szCs w:val="24"/>
          <w:lang w:val="en-US"/>
        </w:rPr>
      </w:pPr>
      <w:proofErr w:type="spellStart"/>
      <w:r w:rsidRPr="00B370C4">
        <w:rPr>
          <w:sz w:val="24"/>
          <w:szCs w:val="24"/>
          <w:lang w:val="en-US"/>
        </w:rPr>
        <w:t>Woolridge</w:t>
      </w:r>
      <w:proofErr w:type="spellEnd"/>
      <w:r w:rsidRPr="00B370C4">
        <w:rPr>
          <w:sz w:val="24"/>
          <w:szCs w:val="24"/>
          <w:lang w:val="en-US"/>
        </w:rPr>
        <w:t xml:space="preserve"> J, </w:t>
      </w:r>
      <w:proofErr w:type="spellStart"/>
      <w:r w:rsidRPr="00B370C4">
        <w:rPr>
          <w:sz w:val="24"/>
          <w:szCs w:val="24"/>
          <w:lang w:val="en-US"/>
        </w:rPr>
        <w:t>Ghosh</w:t>
      </w:r>
      <w:proofErr w:type="spellEnd"/>
      <w:r w:rsidRPr="00B370C4">
        <w:rPr>
          <w:sz w:val="24"/>
          <w:szCs w:val="24"/>
          <w:lang w:val="en-US"/>
        </w:rPr>
        <w:t xml:space="preserve"> C. Dividend cuts: do they always signal bad news? // Corporate Finance Journal. 1985. №3. P. 20-32.</w:t>
      </w:r>
    </w:p>
    <w:p w:rsidR="00B370C4" w:rsidRDefault="00B370C4" w:rsidP="007E5F30">
      <w:pPr>
        <w:widowControl/>
        <w:spacing w:line="240" w:lineRule="auto"/>
        <w:rPr>
          <w:sz w:val="24"/>
          <w:szCs w:val="24"/>
        </w:rPr>
      </w:pPr>
    </w:p>
    <w:p w:rsidR="00C37AA8" w:rsidRDefault="00C37AA8" w:rsidP="007E5F30">
      <w:pPr>
        <w:widowControl/>
        <w:spacing w:line="240" w:lineRule="auto"/>
        <w:rPr>
          <w:sz w:val="24"/>
          <w:szCs w:val="24"/>
        </w:rPr>
      </w:pPr>
      <w:r>
        <w:rPr>
          <w:sz w:val="24"/>
          <w:szCs w:val="24"/>
        </w:rPr>
        <w:br w:type="page"/>
      </w:r>
    </w:p>
    <w:p w:rsidR="00C37AA8" w:rsidRPr="00C37AA8" w:rsidRDefault="00C37AA8" w:rsidP="007E5F30">
      <w:pPr>
        <w:spacing w:line="240" w:lineRule="auto"/>
        <w:jc w:val="right"/>
        <w:rPr>
          <w:sz w:val="24"/>
          <w:szCs w:val="24"/>
        </w:rPr>
      </w:pPr>
      <w:r w:rsidRPr="00C37AA8">
        <w:rPr>
          <w:sz w:val="24"/>
          <w:szCs w:val="24"/>
        </w:rPr>
        <w:lastRenderedPageBreak/>
        <w:t>Приложение 1</w:t>
      </w:r>
      <w:bookmarkEnd w:id="0"/>
    </w:p>
    <w:p w:rsidR="00C37AA8" w:rsidRDefault="00C37AA8" w:rsidP="007E5F30">
      <w:pPr>
        <w:spacing w:line="240" w:lineRule="auto"/>
        <w:jc w:val="center"/>
        <w:rPr>
          <w:b/>
          <w:sz w:val="24"/>
          <w:szCs w:val="24"/>
        </w:rPr>
      </w:pPr>
    </w:p>
    <w:p w:rsidR="00C37AA8" w:rsidRPr="00C37AA8" w:rsidRDefault="00C37AA8" w:rsidP="007E5F30">
      <w:pPr>
        <w:spacing w:line="240" w:lineRule="auto"/>
        <w:jc w:val="center"/>
        <w:rPr>
          <w:b/>
          <w:sz w:val="24"/>
          <w:szCs w:val="24"/>
        </w:rPr>
      </w:pPr>
      <w:r w:rsidRPr="00C37AA8">
        <w:rPr>
          <w:b/>
          <w:sz w:val="24"/>
          <w:szCs w:val="24"/>
        </w:rPr>
        <w:t>Значения доходностей для компаний</w:t>
      </w:r>
    </w:p>
    <w:tbl>
      <w:tblPr>
        <w:tblStyle w:val="af"/>
        <w:tblW w:w="5000" w:type="pct"/>
        <w:tblLayout w:type="fixed"/>
        <w:tblLook w:val="04A0"/>
      </w:tblPr>
      <w:tblGrid>
        <w:gridCol w:w="1813"/>
        <w:gridCol w:w="1137"/>
        <w:gridCol w:w="1415"/>
        <w:gridCol w:w="994"/>
        <w:gridCol w:w="992"/>
        <w:gridCol w:w="994"/>
        <w:gridCol w:w="994"/>
        <w:gridCol w:w="947"/>
      </w:tblGrid>
      <w:tr w:rsidR="00C37AA8" w:rsidRPr="00C37AA8" w:rsidTr="00721A4A">
        <w:trPr>
          <w:trHeight w:val="315"/>
        </w:trPr>
        <w:tc>
          <w:tcPr>
            <w:tcW w:w="977" w:type="pct"/>
            <w:noWrap/>
            <w:hideMark/>
          </w:tcPr>
          <w:p w:rsidR="00C37AA8" w:rsidRPr="00721A4A" w:rsidRDefault="00C37AA8" w:rsidP="007E5F30">
            <w:pPr>
              <w:widowControl/>
              <w:spacing w:line="240" w:lineRule="auto"/>
              <w:jc w:val="center"/>
              <w:rPr>
                <w:rFonts w:ascii="Times New Roman" w:hAnsi="Times New Roman"/>
                <w:b/>
                <w:bCs/>
                <w:color w:val="000000"/>
                <w:sz w:val="24"/>
                <w:szCs w:val="24"/>
              </w:rPr>
            </w:pPr>
            <w:r w:rsidRPr="00721A4A">
              <w:rPr>
                <w:rFonts w:ascii="Times New Roman" w:hAnsi="Times New Roman"/>
                <w:b/>
                <w:bCs/>
                <w:color w:val="000000"/>
                <w:sz w:val="24"/>
                <w:szCs w:val="24"/>
              </w:rPr>
              <w:t>Название компании</w:t>
            </w:r>
          </w:p>
        </w:tc>
        <w:tc>
          <w:tcPr>
            <w:tcW w:w="612" w:type="pct"/>
          </w:tcPr>
          <w:p w:rsidR="00C37AA8" w:rsidRPr="00721A4A" w:rsidRDefault="00C37AA8" w:rsidP="007E5F30">
            <w:pPr>
              <w:widowControl/>
              <w:spacing w:line="240" w:lineRule="auto"/>
              <w:jc w:val="center"/>
              <w:rPr>
                <w:rFonts w:ascii="Times New Roman" w:hAnsi="Times New Roman"/>
                <w:b/>
                <w:bCs/>
                <w:color w:val="000000"/>
                <w:sz w:val="24"/>
                <w:szCs w:val="24"/>
              </w:rPr>
            </w:pPr>
            <w:r w:rsidRPr="00721A4A">
              <w:rPr>
                <w:rFonts w:ascii="Times New Roman" w:hAnsi="Times New Roman"/>
                <w:b/>
                <w:bCs/>
                <w:color w:val="000000"/>
                <w:sz w:val="24"/>
                <w:szCs w:val="24"/>
              </w:rPr>
              <w:t>Тип новости</w:t>
            </w:r>
          </w:p>
        </w:tc>
        <w:tc>
          <w:tcPr>
            <w:tcW w:w="762" w:type="pct"/>
            <w:noWrap/>
            <w:hideMark/>
          </w:tcPr>
          <w:p w:rsidR="00C37AA8" w:rsidRPr="00721A4A" w:rsidRDefault="00C37AA8" w:rsidP="007E5F30">
            <w:pPr>
              <w:widowControl/>
              <w:spacing w:line="240" w:lineRule="auto"/>
              <w:jc w:val="center"/>
              <w:rPr>
                <w:rFonts w:ascii="Times New Roman" w:hAnsi="Times New Roman"/>
                <w:b/>
                <w:bCs/>
                <w:color w:val="000000"/>
                <w:sz w:val="24"/>
                <w:szCs w:val="24"/>
              </w:rPr>
            </w:pPr>
            <w:r w:rsidRPr="00721A4A">
              <w:rPr>
                <w:rFonts w:ascii="Times New Roman" w:hAnsi="Times New Roman"/>
                <w:b/>
                <w:bCs/>
                <w:color w:val="000000"/>
                <w:sz w:val="24"/>
                <w:szCs w:val="24"/>
              </w:rPr>
              <w:t>Дата события</w:t>
            </w:r>
          </w:p>
        </w:tc>
        <w:tc>
          <w:tcPr>
            <w:tcW w:w="535" w:type="pct"/>
            <w:noWrap/>
            <w:hideMark/>
          </w:tcPr>
          <w:p w:rsidR="00C37AA8" w:rsidRPr="00721A4A" w:rsidRDefault="00C37AA8" w:rsidP="007E5F30">
            <w:pPr>
              <w:widowControl/>
              <w:spacing w:line="240" w:lineRule="auto"/>
              <w:jc w:val="center"/>
              <w:rPr>
                <w:rFonts w:ascii="Times New Roman" w:hAnsi="Times New Roman"/>
                <w:b/>
                <w:bCs/>
                <w:color w:val="000000"/>
                <w:sz w:val="24"/>
                <w:szCs w:val="24"/>
              </w:rPr>
            </w:pPr>
            <w:proofErr w:type="spellStart"/>
            <w:r w:rsidRPr="00721A4A">
              <w:rPr>
                <w:rFonts w:ascii="Times New Roman" w:hAnsi="Times New Roman"/>
                <w:b/>
                <w:bCs/>
                <w:color w:val="000000"/>
                <w:sz w:val="24"/>
                <w:szCs w:val="24"/>
              </w:rPr>
              <w:t>Ri</w:t>
            </w:r>
            <w:proofErr w:type="spellEnd"/>
          </w:p>
        </w:tc>
        <w:tc>
          <w:tcPr>
            <w:tcW w:w="534" w:type="pct"/>
            <w:noWrap/>
            <w:hideMark/>
          </w:tcPr>
          <w:p w:rsidR="00C37AA8" w:rsidRPr="00721A4A" w:rsidRDefault="00C37AA8" w:rsidP="007E5F30">
            <w:pPr>
              <w:widowControl/>
              <w:spacing w:line="240" w:lineRule="auto"/>
              <w:jc w:val="center"/>
              <w:rPr>
                <w:rFonts w:ascii="Times New Roman" w:hAnsi="Times New Roman"/>
                <w:b/>
                <w:bCs/>
                <w:color w:val="000000"/>
                <w:sz w:val="24"/>
                <w:szCs w:val="24"/>
              </w:rPr>
            </w:pPr>
            <w:proofErr w:type="spellStart"/>
            <w:r w:rsidRPr="00721A4A">
              <w:rPr>
                <w:rFonts w:ascii="Times New Roman" w:hAnsi="Times New Roman"/>
                <w:b/>
                <w:bCs/>
                <w:color w:val="000000"/>
                <w:sz w:val="24"/>
                <w:szCs w:val="24"/>
              </w:rPr>
              <w:t>Rm</w:t>
            </w:r>
            <w:proofErr w:type="spellEnd"/>
          </w:p>
        </w:tc>
        <w:tc>
          <w:tcPr>
            <w:tcW w:w="535" w:type="pct"/>
            <w:noWrap/>
            <w:hideMark/>
          </w:tcPr>
          <w:p w:rsidR="00C37AA8" w:rsidRPr="00721A4A" w:rsidRDefault="00C37AA8" w:rsidP="007E5F30">
            <w:pPr>
              <w:widowControl/>
              <w:spacing w:line="240" w:lineRule="auto"/>
              <w:jc w:val="center"/>
              <w:rPr>
                <w:rFonts w:ascii="Times New Roman" w:hAnsi="Times New Roman"/>
                <w:b/>
                <w:bCs/>
                <w:color w:val="000000"/>
                <w:sz w:val="24"/>
                <w:szCs w:val="24"/>
              </w:rPr>
            </w:pPr>
            <w:r w:rsidRPr="00721A4A">
              <w:rPr>
                <w:rFonts w:ascii="Times New Roman" w:hAnsi="Times New Roman"/>
                <w:b/>
                <w:bCs/>
                <w:color w:val="000000"/>
                <w:sz w:val="24"/>
                <w:szCs w:val="24"/>
              </w:rPr>
              <w:t>α</w:t>
            </w:r>
          </w:p>
        </w:tc>
        <w:tc>
          <w:tcPr>
            <w:tcW w:w="535" w:type="pct"/>
            <w:noWrap/>
            <w:hideMark/>
          </w:tcPr>
          <w:p w:rsidR="00C37AA8" w:rsidRPr="00721A4A" w:rsidRDefault="00B83C0F" w:rsidP="007E5F30">
            <w:pPr>
              <w:widowControl/>
              <w:spacing w:line="240" w:lineRule="auto"/>
              <w:jc w:val="center"/>
              <w:rPr>
                <w:rFonts w:ascii="Times New Roman" w:hAnsi="Times New Roman"/>
                <w:b/>
                <w:bCs/>
                <w:color w:val="000000"/>
                <w:sz w:val="24"/>
                <w:szCs w:val="24"/>
              </w:rPr>
            </w:pPr>
            <w:r w:rsidRPr="00721A4A">
              <w:rPr>
                <w:rFonts w:ascii="Times New Roman" w:hAnsi="Times New Roman"/>
                <w:b/>
                <w:bCs/>
                <w:color w:val="000000"/>
                <w:sz w:val="24"/>
                <w:szCs w:val="24"/>
              </w:rPr>
              <w:t>Β</w:t>
            </w:r>
          </w:p>
        </w:tc>
        <w:tc>
          <w:tcPr>
            <w:tcW w:w="510" w:type="pct"/>
            <w:noWrap/>
            <w:hideMark/>
          </w:tcPr>
          <w:p w:rsidR="00C37AA8" w:rsidRPr="00721A4A" w:rsidRDefault="00C37AA8" w:rsidP="007E5F30">
            <w:pPr>
              <w:widowControl/>
              <w:spacing w:line="240" w:lineRule="auto"/>
              <w:jc w:val="center"/>
              <w:rPr>
                <w:rFonts w:ascii="Times New Roman" w:hAnsi="Times New Roman"/>
                <w:b/>
                <w:bCs/>
                <w:color w:val="000000"/>
                <w:sz w:val="24"/>
                <w:szCs w:val="24"/>
              </w:rPr>
            </w:pPr>
            <w:r w:rsidRPr="00721A4A">
              <w:rPr>
                <w:rFonts w:ascii="Times New Roman" w:hAnsi="Times New Roman"/>
                <w:b/>
                <w:bCs/>
                <w:color w:val="000000"/>
                <w:sz w:val="24"/>
                <w:szCs w:val="24"/>
              </w:rPr>
              <w:t>E(</w:t>
            </w:r>
            <w:proofErr w:type="spellStart"/>
            <w:r w:rsidRPr="00721A4A">
              <w:rPr>
                <w:rFonts w:ascii="Times New Roman" w:hAnsi="Times New Roman"/>
                <w:b/>
                <w:bCs/>
                <w:color w:val="000000"/>
                <w:sz w:val="24"/>
                <w:szCs w:val="24"/>
              </w:rPr>
              <w:t>Ri</w:t>
            </w:r>
            <w:proofErr w:type="spellEnd"/>
            <w:r w:rsidRPr="00721A4A">
              <w:rPr>
                <w:rFonts w:ascii="Times New Roman" w:hAnsi="Times New Roman"/>
                <w:b/>
                <w:bCs/>
                <w:color w:val="000000"/>
                <w:sz w:val="24"/>
                <w:szCs w:val="24"/>
              </w:rPr>
              <w:t>)</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Acron</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17.06.2009</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-0,085</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-0,055</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0,005</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0,816</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-0,040</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Acron</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25.11.2011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0,962</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0,015</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Aeroflot</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07.05.2009</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0,009</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0,026</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-0,006</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0,270</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Ashinskiy</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Metallurgical</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Works</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N</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21.05.2013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1,253</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0,013</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Chelyabinsk</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Tube-Rolling</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Plant</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N</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24.05.2013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0,005</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0,899</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-0,013</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Chelyabinsk</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Zinc</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Plant</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N</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16.05.2012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0,025</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-0,006</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0,488</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Chelyabinsk</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Zinc</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Plant</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N</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28.05.2013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0,012</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0,200</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0,005</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Chernogorneft</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N</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24.05.2013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-0,026</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1,260</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-0,012</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Gazprom</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22.05.2009</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0,024</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0,019</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1,045</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0,019</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Gazprom</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08.10.2010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0,005</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1,085</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Izhstal</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N</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25.04.2013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0,020</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-0,062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-0,697</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0,056</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KamAZ</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N</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25.05.2012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0,013</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0,579</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Korshyn</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mining</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N</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21.05.2013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0,073</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0,024</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0,123</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Kuibyshev</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Azot</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03.04.2013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0,043</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-0,092</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Kuibyshev</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Azot</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N</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01.11.2012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-0,013</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0,008</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-0,067</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Kuibyshev</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Azot</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N</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13.08.2013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0,018</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-0,463</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-0,005</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Kuzbass</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Topliv</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19.03.2012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-0,030</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0,369</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Lenzoloto</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21.08.2012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0,311</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Lenzoloto</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10.09.2013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0,173</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LUKOIL</w:t>
            </w:r>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09.08.2013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0,010</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0,015</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0,816</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0,012</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M VIDEO COMPANY</w:t>
            </w:r>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24.06.2010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0,032</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0,453</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M VIDEO COMPANY</w:t>
            </w:r>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14.03.2011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-0,018</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0,216</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Magnit</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24.06.2011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0,016</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0,519</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0,008</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Magnit</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22.08.2013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0,012</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0,945</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0,016</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Magnit</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25.12.2013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-0,005</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-0,005</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0,921</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Magnit</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29.05.2012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-0,013</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0,024</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0,753</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0,020</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Mechel</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12.01.2011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0,022</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0,027</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1,467</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0,039</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Megafon</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27.08.2013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0,780</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-0,005</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bookmarkStart w:id="1" w:name="_GoBack" w:colFirst="0" w:colLast="8"/>
            <w:proofErr w:type="spellStart"/>
            <w:proofErr w:type="gramStart"/>
            <w:r w:rsidRPr="00721A4A">
              <w:rPr>
                <w:rFonts w:ascii="Times New Roman" w:hAnsi="Times New Roman"/>
                <w:color w:val="000000"/>
                <w:sz w:val="24"/>
                <w:szCs w:val="24"/>
              </w:rPr>
              <w:t>М</w:t>
            </w:r>
            <w:proofErr w:type="gramEnd"/>
            <w:r w:rsidRPr="00721A4A">
              <w:rPr>
                <w:rFonts w:ascii="Times New Roman" w:hAnsi="Times New Roman"/>
                <w:color w:val="000000"/>
                <w:sz w:val="24"/>
                <w:szCs w:val="24"/>
              </w:rPr>
              <w:t>agnitogorsk</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Iron</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25.05.2012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1,060</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MTS</w:t>
            </w:r>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31.12.2010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0,007</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0,006</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0,315</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MTS</w:t>
            </w:r>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29.08.2011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0,015</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0,037</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0,707</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0,026</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lastRenderedPageBreak/>
              <w:t>MTS</w:t>
            </w:r>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13.04.2012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0,029</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0,711</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MTS</w:t>
            </w:r>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N</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24.08.2012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0,010</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0,745</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r>
      <w:tr w:rsidR="00C37AA8" w:rsidRPr="00C37AA8"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MTS</w:t>
            </w:r>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02.12.2013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0,900</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r>
    </w:tbl>
    <w:p w:rsidR="00C37AA8" w:rsidRPr="00C37AA8" w:rsidRDefault="00C37AA8" w:rsidP="007E5F30">
      <w:pPr>
        <w:spacing w:line="240" w:lineRule="auto"/>
        <w:jc w:val="right"/>
        <w:rPr>
          <w:color w:val="000000"/>
          <w:sz w:val="24"/>
          <w:szCs w:val="24"/>
        </w:rPr>
      </w:pPr>
      <w:r>
        <w:rPr>
          <w:color w:val="000000"/>
          <w:sz w:val="24"/>
          <w:szCs w:val="24"/>
        </w:rPr>
        <w:t>Продолжение приложения 1</w:t>
      </w:r>
    </w:p>
    <w:tbl>
      <w:tblPr>
        <w:tblStyle w:val="af"/>
        <w:tblW w:w="5000" w:type="pct"/>
        <w:tblLayout w:type="fixed"/>
        <w:tblLook w:val="04A0"/>
      </w:tblPr>
      <w:tblGrid>
        <w:gridCol w:w="1813"/>
        <w:gridCol w:w="1137"/>
        <w:gridCol w:w="1415"/>
        <w:gridCol w:w="994"/>
        <w:gridCol w:w="992"/>
        <w:gridCol w:w="994"/>
        <w:gridCol w:w="994"/>
        <w:gridCol w:w="947"/>
      </w:tblGrid>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lang w:val="en-US"/>
              </w:rPr>
            </w:pPr>
            <w:proofErr w:type="spellStart"/>
            <w:r w:rsidRPr="00721A4A">
              <w:rPr>
                <w:rFonts w:ascii="Times New Roman" w:hAnsi="Times New Roman"/>
                <w:color w:val="000000"/>
                <w:sz w:val="24"/>
                <w:szCs w:val="24"/>
              </w:rPr>
              <w:t>Nizhnekamsk-nefte</w:t>
            </w:r>
            <w:proofErr w:type="spellEnd"/>
            <w:r w:rsidRPr="00721A4A">
              <w:rPr>
                <w:rFonts w:ascii="Times New Roman" w:hAnsi="Times New Roman"/>
                <w:color w:val="000000"/>
                <w:sz w:val="24"/>
                <w:szCs w:val="24"/>
                <w:lang w:val="en-US"/>
              </w:rPr>
              <w:t>him</w:t>
            </w:r>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26.03.2013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-0,015</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-0,006</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0,274</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Norilsk</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Nickel</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28.05.2010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0,024</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1,196</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0,005</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Norilsk</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Nickel</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24.05.2013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-0,008</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1,193</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-0,015</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Norilsk</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Nickel</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18.05.2011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0,014</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1,088</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0,014</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Novatek</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20.10.2011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1,135</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Novolipetsk</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Steel</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11.04.2011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-0,005</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01,01,3533</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-0,009</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OGK-2</w:t>
            </w:r>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29.04.2011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-0,020</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0,682</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Belon</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N</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05.05.2011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-0,030</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-0,008</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0,628</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-0,008</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PhosAgro</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13.08.2012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-0,015</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0,005</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0,771</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Polyus</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Gold</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19.04.2011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0,024</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0,024</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0,572</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0,014</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Polyus</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Gold</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11.11.2011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-0,007</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Protek</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25.11.2013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-0,051</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0,448</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lang w:val="en-US"/>
              </w:rPr>
            </w:pPr>
            <w:proofErr w:type="spellStart"/>
            <w:r w:rsidRPr="00721A4A">
              <w:rPr>
                <w:rFonts w:ascii="Times New Roman" w:hAnsi="Times New Roman"/>
                <w:color w:val="000000"/>
                <w:sz w:val="24"/>
                <w:szCs w:val="24"/>
              </w:rPr>
              <w:t>Rosneft</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30.04.2012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0,007</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0,981</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Rostelecom</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12.11.2010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0,019</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-0,005</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0,753</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Rostelecom</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17.05.2011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-0,071</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-0,009</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0,750</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-0,006</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Rostelecom</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24.04.2012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-0,006</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-0,007</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0,582</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-0,005</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RusHydro</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18.05.2010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0,026</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0,957</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0,006</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RusHydro</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02.08.2012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0,024</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1,220</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-0,015</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RusHydro</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01.08.2013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0,012</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0,015</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1,471</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0,021</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Sberbank</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16.09.2011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0,007</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-0,009</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1,177</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-0,011</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Seligdar</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30.04.2013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0,171</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0,017</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0,534</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0,006</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Seligdar</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28.06.2012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0,043</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0,016</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0,823</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0,014</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Severstal</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12.11.2010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0,006</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-0,005</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1,435</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-0,007</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Severstal</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25.08.2011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1,310</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-0,017</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Severstal</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07.12.2011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-0,007</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1,407</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-0,009</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Severstal</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17.04.2012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1,054</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Severstal</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29.08.2012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-0,022</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-0,008</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1,255</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-0,009</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Severstal</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14.11.2012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-0,017</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1,490</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-0,005</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Severstal</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01.03.2013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-0,011</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-0,007</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1,483</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-0,011</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Severstal</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18.10.2013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0,016</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1,473</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0,024</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Sollers</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28.08.2008</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0,024</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0,048</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0,222</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0,010</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 xml:space="preserve">JSFC </w:t>
            </w:r>
            <w:proofErr w:type="spellStart"/>
            <w:r w:rsidRPr="00721A4A">
              <w:rPr>
                <w:rFonts w:ascii="Times New Roman" w:hAnsi="Times New Roman"/>
                <w:color w:val="000000"/>
                <w:sz w:val="24"/>
                <w:szCs w:val="24"/>
              </w:rPr>
              <w:t>Sistema</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04.05.2009</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0,165</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0,041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0,841</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0,033</w:t>
            </w:r>
          </w:p>
        </w:tc>
      </w:tr>
      <w:bookmarkEnd w:id="1"/>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 xml:space="preserve">JSFC </w:t>
            </w:r>
            <w:proofErr w:type="spellStart"/>
            <w:r w:rsidRPr="00721A4A">
              <w:rPr>
                <w:rFonts w:ascii="Times New Roman" w:hAnsi="Times New Roman"/>
                <w:color w:val="000000"/>
                <w:sz w:val="24"/>
                <w:szCs w:val="24"/>
              </w:rPr>
              <w:t>Sistema</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25.04.2012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-0,006</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0,913</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 xml:space="preserve">JSFC </w:t>
            </w:r>
            <w:proofErr w:type="spellStart"/>
            <w:r w:rsidRPr="00721A4A">
              <w:rPr>
                <w:rFonts w:ascii="Times New Roman" w:hAnsi="Times New Roman"/>
                <w:color w:val="000000"/>
                <w:sz w:val="24"/>
                <w:szCs w:val="24"/>
              </w:rPr>
              <w:t>Sistema</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23.04.2013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0,543</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Yaroslavneft</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pref</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N</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23.05.2012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-0,111</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-0,026</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0,794</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-0,017</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lang w:val="en-US"/>
              </w:rPr>
            </w:pPr>
            <w:proofErr w:type="spellStart"/>
            <w:r w:rsidRPr="00721A4A">
              <w:rPr>
                <w:rFonts w:ascii="Times New Roman" w:hAnsi="Times New Roman"/>
                <w:color w:val="000000"/>
                <w:sz w:val="24"/>
                <w:szCs w:val="24"/>
              </w:rPr>
              <w:t>Yaroslavneft</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N</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04.06.2013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0,856</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lastRenderedPageBreak/>
              <w:t>Southern</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Kuzbass</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31.05.2013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-0,017</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0,229</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-0,006</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lang w:val="en-US"/>
              </w:rPr>
            </w:pPr>
            <w:proofErr w:type="spellStart"/>
            <w:r w:rsidRPr="00721A4A">
              <w:rPr>
                <w:rFonts w:ascii="Times New Roman" w:hAnsi="Times New Roman"/>
                <w:color w:val="000000"/>
                <w:sz w:val="24"/>
                <w:szCs w:val="24"/>
              </w:rPr>
              <w:t>Surgut</w:t>
            </w:r>
            <w:proofErr w:type="spellEnd"/>
          </w:p>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neftegas</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06.09.2010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0,934</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lang w:val="en-US"/>
              </w:rPr>
            </w:pPr>
            <w:proofErr w:type="spellStart"/>
            <w:r w:rsidRPr="00721A4A">
              <w:rPr>
                <w:rFonts w:ascii="Times New Roman" w:hAnsi="Times New Roman"/>
                <w:color w:val="000000"/>
                <w:sz w:val="24"/>
                <w:szCs w:val="24"/>
              </w:rPr>
              <w:t>Surgut</w:t>
            </w:r>
            <w:proofErr w:type="spellEnd"/>
          </w:p>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neftegas</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04.06.2013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0,007</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1,094</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lang w:val="en-US"/>
              </w:rPr>
            </w:pPr>
            <w:proofErr w:type="spellStart"/>
            <w:r w:rsidRPr="00721A4A">
              <w:rPr>
                <w:rFonts w:ascii="Times New Roman" w:hAnsi="Times New Roman"/>
                <w:color w:val="000000"/>
                <w:sz w:val="24"/>
                <w:szCs w:val="24"/>
              </w:rPr>
              <w:t>Surgut</w:t>
            </w:r>
            <w:proofErr w:type="spellEnd"/>
          </w:p>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neftegas</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24.05.2012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0,037</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01,01,3064</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0,017</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Tatneft</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04.04.2012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-0,021</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1,102</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-0,019</w:t>
            </w:r>
          </w:p>
        </w:tc>
      </w:tr>
    </w:tbl>
    <w:p w:rsidR="00C37AA8" w:rsidRPr="00C37AA8" w:rsidRDefault="00C37AA8" w:rsidP="007E5F30">
      <w:pPr>
        <w:spacing w:line="240" w:lineRule="auto"/>
        <w:jc w:val="right"/>
        <w:rPr>
          <w:color w:val="000000"/>
          <w:sz w:val="24"/>
          <w:szCs w:val="24"/>
        </w:rPr>
      </w:pPr>
      <w:r>
        <w:rPr>
          <w:color w:val="000000"/>
          <w:sz w:val="24"/>
          <w:szCs w:val="24"/>
        </w:rPr>
        <w:t>Продолжение приложения 1</w:t>
      </w:r>
    </w:p>
    <w:tbl>
      <w:tblPr>
        <w:tblStyle w:val="af"/>
        <w:tblW w:w="5000" w:type="pct"/>
        <w:tblLayout w:type="fixed"/>
        <w:tblLook w:val="04A0"/>
      </w:tblPr>
      <w:tblGrid>
        <w:gridCol w:w="1813"/>
        <w:gridCol w:w="1137"/>
        <w:gridCol w:w="1415"/>
        <w:gridCol w:w="994"/>
        <w:gridCol w:w="992"/>
        <w:gridCol w:w="994"/>
        <w:gridCol w:w="994"/>
        <w:gridCol w:w="947"/>
      </w:tblGrid>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TMK</w:t>
            </w:r>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25.09.2013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-0,007</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0,008</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0,711</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0,006</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Transaero</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Air</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25.05.2013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0,011</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Transneft</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Corp</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11.04.2013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-0,017</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-0,018</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0,810</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-0,013</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lang w:val="en-US"/>
              </w:rPr>
            </w:pPr>
            <w:proofErr w:type="spellStart"/>
            <w:r w:rsidRPr="00721A4A">
              <w:rPr>
                <w:rFonts w:ascii="Times New Roman" w:hAnsi="Times New Roman"/>
                <w:color w:val="000000"/>
                <w:sz w:val="24"/>
                <w:szCs w:val="24"/>
              </w:rPr>
              <w:t>Rusal</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05.07.2011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0,013</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0,429</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Uralkaliy</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26.10.2011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0,049</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0,026</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0,979</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0,028</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Uralkaliy</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08.06.2012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0,006</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0,605</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Uralkaliy</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05.06.2013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0,402</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Uralkaliy</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25.10.2013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0,006</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0,762</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Uralkaliy</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23.10.2012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-0,013</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0,619</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-0,006</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UTair</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01.06.2010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-0,026</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-0,005</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0,726</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UTair</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29.05.2009</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0,045</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0,005</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0,520</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0,028</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Vladimir</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Chemical</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25.01.2010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0,013</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0,364</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Vladimir</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Chemical</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07.11.2012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0,053</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0,815</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-0,014</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Vladimir</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Chemical</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15.08.2012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0,078</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-0,007</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0,718</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-0,006</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Vladimir</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Chemical</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B</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29.04.2013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-0,007</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1,079</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-0,006</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Vladimir</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Chemical</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09.09.2013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0,006</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0,402</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0,006</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VSMPO-AVISMA</w:t>
            </w:r>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28.05.2012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0,072</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0,873</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VSMPO-AVISMA</w:t>
            </w:r>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10.06.2013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0,034</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-0,009</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0,006</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0,829</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-0,002</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 xml:space="preserve">VTB </w:t>
            </w:r>
            <w:proofErr w:type="spellStart"/>
            <w:r w:rsidRPr="00721A4A">
              <w:rPr>
                <w:rFonts w:ascii="Times New Roman" w:hAnsi="Times New Roman"/>
                <w:color w:val="000000"/>
                <w:sz w:val="24"/>
                <w:szCs w:val="24"/>
              </w:rPr>
              <w:t>Bank</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G</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20.04.2010</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0,000</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0,027</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0,015</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0,481</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0,028</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Yaroslavl</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Tyre</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N</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21.05.2012</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0,008</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0,023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0,491</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0,015</w:t>
            </w:r>
          </w:p>
        </w:tc>
      </w:tr>
      <w:tr w:rsidR="00C37AA8" w:rsidRPr="00721A4A" w:rsidTr="00721A4A">
        <w:trPr>
          <w:trHeight w:val="315"/>
        </w:trPr>
        <w:tc>
          <w:tcPr>
            <w:tcW w:w="977" w:type="pct"/>
            <w:noWrap/>
          </w:tcPr>
          <w:p w:rsidR="00C37AA8" w:rsidRPr="00721A4A" w:rsidRDefault="00C37AA8" w:rsidP="007E5F30">
            <w:pPr>
              <w:spacing w:line="240" w:lineRule="auto"/>
              <w:jc w:val="center"/>
              <w:rPr>
                <w:rFonts w:ascii="Times New Roman" w:hAnsi="Times New Roman"/>
                <w:color w:val="000000"/>
                <w:sz w:val="24"/>
                <w:szCs w:val="24"/>
              </w:rPr>
            </w:pPr>
            <w:proofErr w:type="spellStart"/>
            <w:r w:rsidRPr="00721A4A">
              <w:rPr>
                <w:rFonts w:ascii="Times New Roman" w:hAnsi="Times New Roman"/>
                <w:color w:val="000000"/>
                <w:sz w:val="24"/>
                <w:szCs w:val="24"/>
              </w:rPr>
              <w:t>Yaroslavl</w:t>
            </w:r>
            <w:proofErr w:type="spellEnd"/>
            <w:r w:rsidRPr="00721A4A">
              <w:rPr>
                <w:rFonts w:ascii="Times New Roman" w:hAnsi="Times New Roman"/>
                <w:color w:val="000000"/>
                <w:sz w:val="24"/>
                <w:szCs w:val="24"/>
              </w:rPr>
              <w:t xml:space="preserve"> </w:t>
            </w:r>
            <w:proofErr w:type="spellStart"/>
            <w:r w:rsidRPr="00721A4A">
              <w:rPr>
                <w:rFonts w:ascii="Times New Roman" w:hAnsi="Times New Roman"/>
                <w:color w:val="000000"/>
                <w:sz w:val="24"/>
                <w:szCs w:val="24"/>
              </w:rPr>
              <w:t>Tyre</w:t>
            </w:r>
            <w:proofErr w:type="spellEnd"/>
          </w:p>
        </w:tc>
        <w:tc>
          <w:tcPr>
            <w:tcW w:w="612" w:type="pct"/>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N</w:t>
            </w:r>
          </w:p>
        </w:tc>
        <w:tc>
          <w:tcPr>
            <w:tcW w:w="762"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28.05.2013</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0,069</w:t>
            </w:r>
          </w:p>
        </w:tc>
        <w:tc>
          <w:tcPr>
            <w:tcW w:w="534"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0,011</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-0,004</w:t>
            </w:r>
          </w:p>
        </w:tc>
        <w:tc>
          <w:tcPr>
            <w:tcW w:w="535"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0,210</w:t>
            </w:r>
          </w:p>
        </w:tc>
        <w:tc>
          <w:tcPr>
            <w:tcW w:w="510" w:type="pct"/>
            <w:noWrap/>
          </w:tcPr>
          <w:p w:rsidR="00C37AA8" w:rsidRPr="00721A4A" w:rsidRDefault="00C37AA8" w:rsidP="007E5F30">
            <w:pPr>
              <w:spacing w:line="240" w:lineRule="auto"/>
              <w:jc w:val="center"/>
              <w:rPr>
                <w:rFonts w:ascii="Times New Roman" w:hAnsi="Times New Roman"/>
                <w:color w:val="000000"/>
                <w:sz w:val="24"/>
                <w:szCs w:val="24"/>
              </w:rPr>
            </w:pPr>
            <w:r w:rsidRPr="00721A4A">
              <w:rPr>
                <w:rFonts w:ascii="Times New Roman" w:hAnsi="Times New Roman"/>
                <w:color w:val="000000"/>
                <w:sz w:val="24"/>
                <w:szCs w:val="24"/>
              </w:rPr>
              <w:t>-0,001</w:t>
            </w:r>
          </w:p>
        </w:tc>
      </w:tr>
    </w:tbl>
    <w:p w:rsidR="00C37AA8" w:rsidRPr="00C37AA8" w:rsidRDefault="00C37AA8" w:rsidP="007E5F30">
      <w:pPr>
        <w:spacing w:line="240" w:lineRule="auto"/>
        <w:jc w:val="right"/>
        <w:rPr>
          <w:sz w:val="24"/>
        </w:rPr>
      </w:pPr>
      <w:bookmarkStart w:id="2" w:name="_Toc388987428"/>
      <w:bookmarkStart w:id="3" w:name="_Toc389739586"/>
      <w:r w:rsidRPr="00C37AA8">
        <w:rPr>
          <w:sz w:val="24"/>
        </w:rPr>
        <w:t>Приложение 2</w:t>
      </w:r>
      <w:bookmarkEnd w:id="2"/>
      <w:bookmarkEnd w:id="3"/>
    </w:p>
    <w:p w:rsidR="00C37AA8" w:rsidRPr="00C37AA8" w:rsidRDefault="00C37AA8" w:rsidP="007E5F30">
      <w:pPr>
        <w:spacing w:line="240" w:lineRule="auto"/>
        <w:jc w:val="center"/>
        <w:rPr>
          <w:sz w:val="24"/>
        </w:rPr>
      </w:pPr>
      <w:r w:rsidRPr="00C37AA8">
        <w:rPr>
          <w:sz w:val="24"/>
        </w:rPr>
        <w:t>Кумулятивные усреднённые избыточные доходности для разных типов новостей</w:t>
      </w:r>
    </w:p>
    <w:tbl>
      <w:tblPr>
        <w:tblStyle w:val="af"/>
        <w:tblpPr w:leftFromText="180" w:rightFromText="180" w:vertAnchor="text" w:horzAnchor="margin" w:tblpXSpec="center" w:tblpY="125"/>
        <w:tblW w:w="8728" w:type="dxa"/>
        <w:tblLook w:val="04A0"/>
      </w:tblPr>
      <w:tblGrid>
        <w:gridCol w:w="2487"/>
        <w:gridCol w:w="1947"/>
        <w:gridCol w:w="2630"/>
        <w:gridCol w:w="1664"/>
      </w:tblGrid>
      <w:tr w:rsidR="00C37AA8" w:rsidRPr="00C37AA8" w:rsidTr="00721A4A">
        <w:trPr>
          <w:trHeight w:val="375"/>
        </w:trPr>
        <w:tc>
          <w:tcPr>
            <w:tcW w:w="2487" w:type="dxa"/>
            <w:vMerge w:val="restart"/>
            <w:hideMark/>
          </w:tcPr>
          <w:p w:rsidR="00C37AA8" w:rsidRPr="00721A4A" w:rsidRDefault="00C37AA8" w:rsidP="007E5F30">
            <w:pPr>
              <w:widowControl/>
              <w:spacing w:line="240" w:lineRule="auto"/>
              <w:jc w:val="center"/>
              <w:rPr>
                <w:rFonts w:ascii="Times New Roman" w:hAnsi="Times New Roman"/>
                <w:bCs/>
                <w:color w:val="000000"/>
                <w:sz w:val="24"/>
                <w:szCs w:val="28"/>
              </w:rPr>
            </w:pPr>
            <w:r w:rsidRPr="00721A4A">
              <w:rPr>
                <w:rFonts w:ascii="Times New Roman" w:hAnsi="Times New Roman"/>
                <w:bCs/>
                <w:color w:val="000000"/>
                <w:sz w:val="24"/>
                <w:szCs w:val="28"/>
              </w:rPr>
              <w:t>День события</w:t>
            </w:r>
          </w:p>
        </w:tc>
        <w:tc>
          <w:tcPr>
            <w:tcW w:w="6241" w:type="dxa"/>
            <w:gridSpan w:val="3"/>
            <w:noWrap/>
            <w:hideMark/>
          </w:tcPr>
          <w:p w:rsidR="00C37AA8" w:rsidRPr="00721A4A" w:rsidRDefault="00C37AA8" w:rsidP="007E5F30">
            <w:pPr>
              <w:widowControl/>
              <w:spacing w:line="240" w:lineRule="auto"/>
              <w:jc w:val="center"/>
              <w:rPr>
                <w:rFonts w:ascii="Times New Roman" w:hAnsi="Times New Roman"/>
                <w:bCs/>
                <w:color w:val="000000"/>
                <w:sz w:val="24"/>
                <w:szCs w:val="28"/>
              </w:rPr>
            </w:pPr>
            <w:r w:rsidRPr="00721A4A">
              <w:rPr>
                <w:rFonts w:ascii="Times New Roman" w:hAnsi="Times New Roman"/>
                <w:bCs/>
                <w:color w:val="000000"/>
                <w:sz w:val="24"/>
                <w:szCs w:val="28"/>
              </w:rPr>
              <w:t>Тип новости</w:t>
            </w:r>
          </w:p>
        </w:tc>
      </w:tr>
      <w:tr w:rsidR="00C37AA8" w:rsidRPr="00C37AA8" w:rsidTr="00721A4A">
        <w:trPr>
          <w:trHeight w:val="375"/>
        </w:trPr>
        <w:tc>
          <w:tcPr>
            <w:tcW w:w="2487" w:type="dxa"/>
            <w:vMerge/>
            <w:hideMark/>
          </w:tcPr>
          <w:p w:rsidR="00C37AA8" w:rsidRPr="00721A4A" w:rsidRDefault="00C37AA8" w:rsidP="007E5F30">
            <w:pPr>
              <w:widowControl/>
              <w:spacing w:line="240" w:lineRule="auto"/>
              <w:rPr>
                <w:rFonts w:ascii="Times New Roman" w:hAnsi="Times New Roman"/>
                <w:bCs/>
                <w:color w:val="000000"/>
                <w:sz w:val="24"/>
                <w:szCs w:val="28"/>
              </w:rPr>
            </w:pPr>
          </w:p>
        </w:tc>
        <w:tc>
          <w:tcPr>
            <w:tcW w:w="6241" w:type="dxa"/>
            <w:gridSpan w:val="3"/>
            <w:noWrap/>
            <w:hideMark/>
          </w:tcPr>
          <w:p w:rsidR="00C37AA8" w:rsidRPr="00721A4A" w:rsidRDefault="00C37AA8" w:rsidP="007E5F30">
            <w:pPr>
              <w:widowControl/>
              <w:spacing w:line="240" w:lineRule="auto"/>
              <w:jc w:val="center"/>
              <w:rPr>
                <w:rFonts w:ascii="Times New Roman" w:hAnsi="Times New Roman"/>
                <w:bCs/>
                <w:color w:val="000000"/>
                <w:sz w:val="24"/>
                <w:szCs w:val="28"/>
              </w:rPr>
            </w:pPr>
            <w:r w:rsidRPr="00721A4A">
              <w:rPr>
                <w:rFonts w:ascii="Times New Roman" w:hAnsi="Times New Roman"/>
                <w:bCs/>
                <w:color w:val="000000"/>
                <w:sz w:val="24"/>
                <w:szCs w:val="28"/>
              </w:rPr>
              <w:t>CAAR</w:t>
            </w:r>
          </w:p>
        </w:tc>
      </w:tr>
      <w:tr w:rsidR="00C37AA8" w:rsidRPr="00C37AA8" w:rsidTr="00721A4A">
        <w:trPr>
          <w:trHeight w:val="375"/>
        </w:trPr>
        <w:tc>
          <w:tcPr>
            <w:tcW w:w="2487" w:type="dxa"/>
            <w:vMerge/>
            <w:hideMark/>
          </w:tcPr>
          <w:p w:rsidR="00C37AA8" w:rsidRPr="00721A4A" w:rsidRDefault="00C37AA8" w:rsidP="007E5F30">
            <w:pPr>
              <w:widowControl/>
              <w:spacing w:line="240" w:lineRule="auto"/>
              <w:rPr>
                <w:rFonts w:ascii="Times New Roman" w:hAnsi="Times New Roman"/>
                <w:bCs/>
                <w:color w:val="000000"/>
                <w:sz w:val="24"/>
                <w:szCs w:val="28"/>
              </w:rPr>
            </w:pPr>
          </w:p>
        </w:tc>
        <w:tc>
          <w:tcPr>
            <w:tcW w:w="1947" w:type="dxa"/>
            <w:noWrap/>
            <w:hideMark/>
          </w:tcPr>
          <w:p w:rsidR="00C37AA8" w:rsidRPr="00721A4A" w:rsidRDefault="00C37AA8" w:rsidP="007E5F30">
            <w:pPr>
              <w:widowControl/>
              <w:spacing w:line="240" w:lineRule="auto"/>
              <w:jc w:val="center"/>
              <w:rPr>
                <w:rFonts w:ascii="Times New Roman" w:hAnsi="Times New Roman"/>
                <w:bCs/>
                <w:color w:val="000000"/>
                <w:sz w:val="24"/>
                <w:szCs w:val="28"/>
              </w:rPr>
            </w:pPr>
            <w:r w:rsidRPr="00721A4A">
              <w:rPr>
                <w:rFonts w:ascii="Times New Roman" w:hAnsi="Times New Roman"/>
                <w:bCs/>
                <w:color w:val="000000"/>
                <w:sz w:val="24"/>
                <w:szCs w:val="28"/>
              </w:rPr>
              <w:t>"Хорошая"</w:t>
            </w:r>
          </w:p>
        </w:tc>
        <w:tc>
          <w:tcPr>
            <w:tcW w:w="2630" w:type="dxa"/>
            <w:noWrap/>
            <w:hideMark/>
          </w:tcPr>
          <w:p w:rsidR="00C37AA8" w:rsidRPr="00721A4A" w:rsidRDefault="00C37AA8" w:rsidP="007E5F30">
            <w:pPr>
              <w:widowControl/>
              <w:spacing w:line="240" w:lineRule="auto"/>
              <w:jc w:val="center"/>
              <w:rPr>
                <w:rFonts w:ascii="Times New Roman" w:hAnsi="Times New Roman"/>
                <w:bCs/>
                <w:color w:val="000000"/>
                <w:sz w:val="24"/>
                <w:szCs w:val="28"/>
              </w:rPr>
            </w:pPr>
            <w:r w:rsidRPr="00721A4A">
              <w:rPr>
                <w:rFonts w:ascii="Times New Roman" w:hAnsi="Times New Roman"/>
                <w:bCs/>
                <w:color w:val="000000"/>
                <w:sz w:val="24"/>
                <w:szCs w:val="28"/>
              </w:rPr>
              <w:t>"Нейтральная"</w:t>
            </w:r>
          </w:p>
        </w:tc>
        <w:tc>
          <w:tcPr>
            <w:tcW w:w="1664" w:type="dxa"/>
            <w:noWrap/>
            <w:hideMark/>
          </w:tcPr>
          <w:p w:rsidR="00C37AA8" w:rsidRPr="00721A4A" w:rsidRDefault="00C37AA8" w:rsidP="007E5F30">
            <w:pPr>
              <w:widowControl/>
              <w:spacing w:line="240" w:lineRule="auto"/>
              <w:jc w:val="center"/>
              <w:rPr>
                <w:rFonts w:ascii="Times New Roman" w:hAnsi="Times New Roman"/>
                <w:bCs/>
                <w:color w:val="000000"/>
                <w:sz w:val="24"/>
                <w:szCs w:val="28"/>
              </w:rPr>
            </w:pPr>
            <w:r w:rsidRPr="00721A4A">
              <w:rPr>
                <w:rFonts w:ascii="Times New Roman" w:hAnsi="Times New Roman"/>
                <w:bCs/>
                <w:color w:val="000000"/>
                <w:sz w:val="24"/>
                <w:szCs w:val="28"/>
              </w:rPr>
              <w:t>"Плохая"</w:t>
            </w:r>
          </w:p>
        </w:tc>
      </w:tr>
      <w:tr w:rsidR="00C37AA8" w:rsidRPr="00C37AA8" w:rsidTr="00721A4A">
        <w:trPr>
          <w:trHeight w:val="375"/>
        </w:trPr>
        <w:tc>
          <w:tcPr>
            <w:tcW w:w="2487" w:type="dxa"/>
            <w:noWrap/>
            <w:hideMark/>
          </w:tcPr>
          <w:p w:rsidR="00C37AA8" w:rsidRPr="00721A4A" w:rsidRDefault="00C37AA8" w:rsidP="007E5F30">
            <w:pPr>
              <w:widowControl/>
              <w:spacing w:line="240" w:lineRule="auto"/>
              <w:jc w:val="center"/>
              <w:rPr>
                <w:rFonts w:ascii="Times New Roman" w:hAnsi="Times New Roman"/>
                <w:bCs/>
                <w:color w:val="000000"/>
                <w:sz w:val="24"/>
                <w:szCs w:val="28"/>
              </w:rPr>
            </w:pPr>
            <w:r w:rsidRPr="00721A4A">
              <w:rPr>
                <w:rFonts w:ascii="Times New Roman" w:hAnsi="Times New Roman"/>
                <w:bCs/>
                <w:color w:val="000000"/>
                <w:sz w:val="24"/>
                <w:szCs w:val="28"/>
              </w:rPr>
              <w:t>-5</w:t>
            </w:r>
          </w:p>
        </w:tc>
        <w:tc>
          <w:tcPr>
            <w:tcW w:w="1947"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-0,0043</w:t>
            </w:r>
          </w:p>
        </w:tc>
        <w:tc>
          <w:tcPr>
            <w:tcW w:w="2630"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-0,0008</w:t>
            </w:r>
          </w:p>
        </w:tc>
        <w:tc>
          <w:tcPr>
            <w:tcW w:w="1664"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-0,0108</w:t>
            </w:r>
          </w:p>
        </w:tc>
      </w:tr>
      <w:tr w:rsidR="00C37AA8" w:rsidRPr="00C37AA8" w:rsidTr="00721A4A">
        <w:trPr>
          <w:trHeight w:val="375"/>
        </w:trPr>
        <w:tc>
          <w:tcPr>
            <w:tcW w:w="2487" w:type="dxa"/>
            <w:noWrap/>
            <w:hideMark/>
          </w:tcPr>
          <w:p w:rsidR="00C37AA8" w:rsidRPr="00721A4A" w:rsidRDefault="00C37AA8" w:rsidP="007E5F30">
            <w:pPr>
              <w:widowControl/>
              <w:spacing w:line="240" w:lineRule="auto"/>
              <w:jc w:val="center"/>
              <w:rPr>
                <w:rFonts w:ascii="Times New Roman" w:hAnsi="Times New Roman"/>
                <w:bCs/>
                <w:color w:val="000000"/>
                <w:sz w:val="24"/>
                <w:szCs w:val="28"/>
              </w:rPr>
            </w:pPr>
            <w:r w:rsidRPr="00721A4A">
              <w:rPr>
                <w:rFonts w:ascii="Times New Roman" w:hAnsi="Times New Roman"/>
                <w:bCs/>
                <w:color w:val="000000"/>
                <w:sz w:val="24"/>
                <w:szCs w:val="28"/>
              </w:rPr>
              <w:t>-4</w:t>
            </w:r>
          </w:p>
        </w:tc>
        <w:tc>
          <w:tcPr>
            <w:tcW w:w="1947"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-0,0110</w:t>
            </w:r>
          </w:p>
        </w:tc>
        <w:tc>
          <w:tcPr>
            <w:tcW w:w="2630"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0,0065</w:t>
            </w:r>
          </w:p>
        </w:tc>
        <w:tc>
          <w:tcPr>
            <w:tcW w:w="1664"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-0,0056</w:t>
            </w:r>
          </w:p>
        </w:tc>
      </w:tr>
      <w:tr w:rsidR="00C37AA8" w:rsidRPr="00C37AA8" w:rsidTr="00721A4A">
        <w:trPr>
          <w:trHeight w:val="375"/>
        </w:trPr>
        <w:tc>
          <w:tcPr>
            <w:tcW w:w="2487" w:type="dxa"/>
            <w:noWrap/>
            <w:hideMark/>
          </w:tcPr>
          <w:p w:rsidR="00C37AA8" w:rsidRPr="00721A4A" w:rsidRDefault="00C37AA8" w:rsidP="007E5F30">
            <w:pPr>
              <w:widowControl/>
              <w:spacing w:line="240" w:lineRule="auto"/>
              <w:jc w:val="center"/>
              <w:rPr>
                <w:rFonts w:ascii="Times New Roman" w:hAnsi="Times New Roman"/>
                <w:bCs/>
                <w:color w:val="000000"/>
                <w:sz w:val="24"/>
                <w:szCs w:val="28"/>
              </w:rPr>
            </w:pPr>
            <w:r w:rsidRPr="00721A4A">
              <w:rPr>
                <w:rFonts w:ascii="Times New Roman" w:hAnsi="Times New Roman"/>
                <w:bCs/>
                <w:color w:val="000000"/>
                <w:sz w:val="24"/>
                <w:szCs w:val="28"/>
              </w:rPr>
              <w:lastRenderedPageBreak/>
              <w:t>-3</w:t>
            </w:r>
          </w:p>
        </w:tc>
        <w:tc>
          <w:tcPr>
            <w:tcW w:w="1947"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-0,0071</w:t>
            </w:r>
          </w:p>
        </w:tc>
        <w:tc>
          <w:tcPr>
            <w:tcW w:w="2630"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0,0119</w:t>
            </w:r>
          </w:p>
        </w:tc>
        <w:tc>
          <w:tcPr>
            <w:tcW w:w="1664"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-0,0134</w:t>
            </w:r>
          </w:p>
        </w:tc>
      </w:tr>
      <w:tr w:rsidR="00C37AA8" w:rsidRPr="00C37AA8" w:rsidTr="00721A4A">
        <w:trPr>
          <w:trHeight w:val="375"/>
        </w:trPr>
        <w:tc>
          <w:tcPr>
            <w:tcW w:w="2487" w:type="dxa"/>
            <w:noWrap/>
            <w:hideMark/>
          </w:tcPr>
          <w:p w:rsidR="00C37AA8" w:rsidRPr="00721A4A" w:rsidRDefault="00C37AA8" w:rsidP="007E5F30">
            <w:pPr>
              <w:widowControl/>
              <w:spacing w:line="240" w:lineRule="auto"/>
              <w:jc w:val="center"/>
              <w:rPr>
                <w:rFonts w:ascii="Times New Roman" w:hAnsi="Times New Roman"/>
                <w:bCs/>
                <w:color w:val="000000"/>
                <w:sz w:val="24"/>
                <w:szCs w:val="28"/>
              </w:rPr>
            </w:pPr>
            <w:r w:rsidRPr="00721A4A">
              <w:rPr>
                <w:rFonts w:ascii="Times New Roman" w:hAnsi="Times New Roman"/>
                <w:bCs/>
                <w:color w:val="000000"/>
                <w:sz w:val="24"/>
                <w:szCs w:val="28"/>
              </w:rPr>
              <w:t>-2</w:t>
            </w:r>
          </w:p>
        </w:tc>
        <w:tc>
          <w:tcPr>
            <w:tcW w:w="1947"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-0,0077</w:t>
            </w:r>
          </w:p>
        </w:tc>
        <w:tc>
          <w:tcPr>
            <w:tcW w:w="2630"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0,0096</w:t>
            </w:r>
          </w:p>
        </w:tc>
        <w:tc>
          <w:tcPr>
            <w:tcW w:w="1664"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-0,0079</w:t>
            </w:r>
          </w:p>
        </w:tc>
      </w:tr>
      <w:tr w:rsidR="00C37AA8" w:rsidRPr="00C37AA8" w:rsidTr="00721A4A">
        <w:trPr>
          <w:trHeight w:val="375"/>
        </w:trPr>
        <w:tc>
          <w:tcPr>
            <w:tcW w:w="2487" w:type="dxa"/>
            <w:noWrap/>
            <w:hideMark/>
          </w:tcPr>
          <w:p w:rsidR="00C37AA8" w:rsidRPr="00721A4A" w:rsidRDefault="00C37AA8" w:rsidP="007E5F30">
            <w:pPr>
              <w:widowControl/>
              <w:spacing w:line="240" w:lineRule="auto"/>
              <w:jc w:val="center"/>
              <w:rPr>
                <w:rFonts w:ascii="Times New Roman" w:hAnsi="Times New Roman"/>
                <w:bCs/>
                <w:color w:val="000000"/>
                <w:sz w:val="24"/>
                <w:szCs w:val="28"/>
              </w:rPr>
            </w:pPr>
            <w:r w:rsidRPr="00721A4A">
              <w:rPr>
                <w:rFonts w:ascii="Times New Roman" w:hAnsi="Times New Roman"/>
                <w:bCs/>
                <w:color w:val="000000"/>
                <w:sz w:val="24"/>
                <w:szCs w:val="28"/>
              </w:rPr>
              <w:t>-1</w:t>
            </w:r>
          </w:p>
        </w:tc>
        <w:tc>
          <w:tcPr>
            <w:tcW w:w="1947"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-0,0066</w:t>
            </w:r>
          </w:p>
        </w:tc>
        <w:tc>
          <w:tcPr>
            <w:tcW w:w="2630"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0,0075</w:t>
            </w:r>
          </w:p>
        </w:tc>
        <w:tc>
          <w:tcPr>
            <w:tcW w:w="1664"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-0,0136</w:t>
            </w:r>
          </w:p>
        </w:tc>
      </w:tr>
      <w:tr w:rsidR="00C37AA8" w:rsidRPr="00C37AA8" w:rsidTr="00721A4A">
        <w:trPr>
          <w:trHeight w:val="375"/>
        </w:trPr>
        <w:tc>
          <w:tcPr>
            <w:tcW w:w="2487" w:type="dxa"/>
            <w:noWrap/>
            <w:hideMark/>
          </w:tcPr>
          <w:p w:rsidR="00C37AA8" w:rsidRPr="00721A4A" w:rsidRDefault="00C37AA8" w:rsidP="007E5F30">
            <w:pPr>
              <w:widowControl/>
              <w:spacing w:line="240" w:lineRule="auto"/>
              <w:jc w:val="center"/>
              <w:rPr>
                <w:rFonts w:ascii="Times New Roman" w:hAnsi="Times New Roman"/>
                <w:bCs/>
                <w:color w:val="000000"/>
                <w:sz w:val="24"/>
                <w:szCs w:val="28"/>
              </w:rPr>
            </w:pPr>
            <w:r w:rsidRPr="00721A4A">
              <w:rPr>
                <w:rFonts w:ascii="Times New Roman" w:hAnsi="Times New Roman"/>
                <w:bCs/>
                <w:color w:val="000000"/>
                <w:sz w:val="24"/>
                <w:szCs w:val="28"/>
              </w:rPr>
              <w:t>0</w:t>
            </w:r>
          </w:p>
        </w:tc>
        <w:tc>
          <w:tcPr>
            <w:tcW w:w="1947"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-0,0010</w:t>
            </w:r>
          </w:p>
        </w:tc>
        <w:tc>
          <w:tcPr>
            <w:tcW w:w="2630"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0,0129</w:t>
            </w:r>
          </w:p>
        </w:tc>
        <w:tc>
          <w:tcPr>
            <w:tcW w:w="1664"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-0,0106</w:t>
            </w:r>
          </w:p>
        </w:tc>
      </w:tr>
      <w:tr w:rsidR="00C37AA8" w:rsidRPr="00C37AA8" w:rsidTr="00721A4A">
        <w:trPr>
          <w:trHeight w:val="375"/>
        </w:trPr>
        <w:tc>
          <w:tcPr>
            <w:tcW w:w="2487" w:type="dxa"/>
            <w:noWrap/>
            <w:hideMark/>
          </w:tcPr>
          <w:p w:rsidR="00C37AA8" w:rsidRPr="00721A4A" w:rsidRDefault="00C37AA8" w:rsidP="007E5F30">
            <w:pPr>
              <w:widowControl/>
              <w:spacing w:line="240" w:lineRule="auto"/>
              <w:jc w:val="center"/>
              <w:rPr>
                <w:rFonts w:ascii="Times New Roman" w:hAnsi="Times New Roman"/>
                <w:bCs/>
                <w:color w:val="000000"/>
                <w:sz w:val="24"/>
                <w:szCs w:val="28"/>
              </w:rPr>
            </w:pPr>
            <w:r w:rsidRPr="00721A4A">
              <w:rPr>
                <w:rFonts w:ascii="Times New Roman" w:hAnsi="Times New Roman"/>
                <w:bCs/>
                <w:color w:val="000000"/>
                <w:sz w:val="24"/>
                <w:szCs w:val="28"/>
              </w:rPr>
              <w:t>1</w:t>
            </w:r>
          </w:p>
        </w:tc>
        <w:tc>
          <w:tcPr>
            <w:tcW w:w="1947"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-0,0156</w:t>
            </w:r>
          </w:p>
        </w:tc>
        <w:tc>
          <w:tcPr>
            <w:tcW w:w="2630"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0,0133</w:t>
            </w:r>
          </w:p>
        </w:tc>
        <w:tc>
          <w:tcPr>
            <w:tcW w:w="1664"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-0,0127</w:t>
            </w:r>
          </w:p>
        </w:tc>
      </w:tr>
      <w:tr w:rsidR="00C37AA8" w:rsidRPr="00C37AA8" w:rsidTr="00721A4A">
        <w:trPr>
          <w:trHeight w:val="375"/>
        </w:trPr>
        <w:tc>
          <w:tcPr>
            <w:tcW w:w="2487" w:type="dxa"/>
            <w:noWrap/>
            <w:hideMark/>
          </w:tcPr>
          <w:p w:rsidR="00C37AA8" w:rsidRPr="00721A4A" w:rsidRDefault="00C37AA8" w:rsidP="007E5F30">
            <w:pPr>
              <w:widowControl/>
              <w:spacing w:line="240" w:lineRule="auto"/>
              <w:jc w:val="center"/>
              <w:rPr>
                <w:rFonts w:ascii="Times New Roman" w:hAnsi="Times New Roman"/>
                <w:bCs/>
                <w:color w:val="000000"/>
                <w:sz w:val="24"/>
                <w:szCs w:val="28"/>
              </w:rPr>
            </w:pPr>
            <w:r w:rsidRPr="00721A4A">
              <w:rPr>
                <w:rFonts w:ascii="Times New Roman" w:hAnsi="Times New Roman"/>
                <w:bCs/>
                <w:color w:val="000000"/>
                <w:sz w:val="24"/>
                <w:szCs w:val="28"/>
              </w:rPr>
              <w:t>2</w:t>
            </w:r>
          </w:p>
        </w:tc>
        <w:tc>
          <w:tcPr>
            <w:tcW w:w="1947"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-0,0164</w:t>
            </w:r>
          </w:p>
        </w:tc>
        <w:tc>
          <w:tcPr>
            <w:tcW w:w="2630"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0,0118</w:t>
            </w:r>
          </w:p>
        </w:tc>
        <w:tc>
          <w:tcPr>
            <w:tcW w:w="1664"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-0,0251</w:t>
            </w:r>
          </w:p>
        </w:tc>
      </w:tr>
      <w:tr w:rsidR="00C37AA8" w:rsidRPr="00C37AA8" w:rsidTr="00721A4A">
        <w:trPr>
          <w:trHeight w:val="375"/>
        </w:trPr>
        <w:tc>
          <w:tcPr>
            <w:tcW w:w="2487" w:type="dxa"/>
            <w:noWrap/>
            <w:hideMark/>
          </w:tcPr>
          <w:p w:rsidR="00C37AA8" w:rsidRPr="00721A4A" w:rsidRDefault="00C37AA8" w:rsidP="007E5F30">
            <w:pPr>
              <w:widowControl/>
              <w:spacing w:line="240" w:lineRule="auto"/>
              <w:jc w:val="center"/>
              <w:rPr>
                <w:rFonts w:ascii="Times New Roman" w:hAnsi="Times New Roman"/>
                <w:bCs/>
                <w:color w:val="000000"/>
                <w:sz w:val="24"/>
                <w:szCs w:val="28"/>
              </w:rPr>
            </w:pPr>
            <w:r w:rsidRPr="00721A4A">
              <w:rPr>
                <w:rFonts w:ascii="Times New Roman" w:hAnsi="Times New Roman"/>
                <w:bCs/>
                <w:color w:val="000000"/>
                <w:sz w:val="24"/>
                <w:szCs w:val="28"/>
              </w:rPr>
              <w:t>3</w:t>
            </w:r>
          </w:p>
        </w:tc>
        <w:tc>
          <w:tcPr>
            <w:tcW w:w="1947"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-0,0238</w:t>
            </w:r>
          </w:p>
        </w:tc>
        <w:tc>
          <w:tcPr>
            <w:tcW w:w="2630"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0,0101</w:t>
            </w:r>
          </w:p>
        </w:tc>
        <w:tc>
          <w:tcPr>
            <w:tcW w:w="1664"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-0,0524</w:t>
            </w:r>
          </w:p>
        </w:tc>
      </w:tr>
      <w:tr w:rsidR="00C37AA8" w:rsidRPr="00C37AA8" w:rsidTr="00721A4A">
        <w:trPr>
          <w:trHeight w:val="375"/>
        </w:trPr>
        <w:tc>
          <w:tcPr>
            <w:tcW w:w="2487" w:type="dxa"/>
            <w:noWrap/>
            <w:hideMark/>
          </w:tcPr>
          <w:p w:rsidR="00C37AA8" w:rsidRPr="00721A4A" w:rsidRDefault="00C37AA8" w:rsidP="007E5F30">
            <w:pPr>
              <w:widowControl/>
              <w:spacing w:line="240" w:lineRule="auto"/>
              <w:jc w:val="center"/>
              <w:rPr>
                <w:rFonts w:ascii="Times New Roman" w:hAnsi="Times New Roman"/>
                <w:bCs/>
                <w:color w:val="000000"/>
                <w:sz w:val="24"/>
                <w:szCs w:val="28"/>
              </w:rPr>
            </w:pPr>
            <w:r w:rsidRPr="00721A4A">
              <w:rPr>
                <w:rFonts w:ascii="Times New Roman" w:hAnsi="Times New Roman"/>
                <w:bCs/>
                <w:color w:val="000000"/>
                <w:sz w:val="24"/>
                <w:szCs w:val="28"/>
              </w:rPr>
              <w:t>4</w:t>
            </w:r>
          </w:p>
        </w:tc>
        <w:tc>
          <w:tcPr>
            <w:tcW w:w="1947"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-0,0287</w:t>
            </w:r>
          </w:p>
        </w:tc>
        <w:tc>
          <w:tcPr>
            <w:tcW w:w="2630"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0,0081</w:t>
            </w:r>
          </w:p>
        </w:tc>
        <w:tc>
          <w:tcPr>
            <w:tcW w:w="1664"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-0,0625</w:t>
            </w:r>
          </w:p>
        </w:tc>
      </w:tr>
      <w:tr w:rsidR="00C37AA8" w:rsidRPr="00C37AA8" w:rsidTr="00721A4A">
        <w:trPr>
          <w:trHeight w:val="375"/>
        </w:trPr>
        <w:tc>
          <w:tcPr>
            <w:tcW w:w="2487" w:type="dxa"/>
            <w:noWrap/>
            <w:hideMark/>
          </w:tcPr>
          <w:p w:rsidR="00C37AA8" w:rsidRPr="00721A4A" w:rsidRDefault="00C37AA8" w:rsidP="007E5F30">
            <w:pPr>
              <w:widowControl/>
              <w:spacing w:line="240" w:lineRule="auto"/>
              <w:jc w:val="center"/>
              <w:rPr>
                <w:rFonts w:ascii="Times New Roman" w:hAnsi="Times New Roman"/>
                <w:bCs/>
                <w:color w:val="000000"/>
                <w:sz w:val="24"/>
                <w:szCs w:val="28"/>
              </w:rPr>
            </w:pPr>
            <w:r w:rsidRPr="00721A4A">
              <w:rPr>
                <w:rFonts w:ascii="Times New Roman" w:hAnsi="Times New Roman"/>
                <w:bCs/>
                <w:color w:val="000000"/>
                <w:sz w:val="24"/>
                <w:szCs w:val="28"/>
              </w:rPr>
              <w:t>5</w:t>
            </w:r>
          </w:p>
        </w:tc>
        <w:tc>
          <w:tcPr>
            <w:tcW w:w="1947"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-0,0334</w:t>
            </w:r>
          </w:p>
        </w:tc>
        <w:tc>
          <w:tcPr>
            <w:tcW w:w="2630"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0,0066</w:t>
            </w:r>
          </w:p>
        </w:tc>
        <w:tc>
          <w:tcPr>
            <w:tcW w:w="1664" w:type="dxa"/>
            <w:noWrap/>
            <w:hideMark/>
          </w:tcPr>
          <w:p w:rsidR="00C37AA8" w:rsidRPr="00721A4A" w:rsidRDefault="00C37AA8" w:rsidP="007E5F30">
            <w:pPr>
              <w:spacing w:line="240" w:lineRule="auto"/>
              <w:jc w:val="center"/>
              <w:rPr>
                <w:rFonts w:ascii="Times New Roman" w:hAnsi="Times New Roman"/>
                <w:sz w:val="24"/>
              </w:rPr>
            </w:pPr>
            <w:r w:rsidRPr="00721A4A">
              <w:rPr>
                <w:rFonts w:ascii="Times New Roman" w:hAnsi="Times New Roman"/>
                <w:sz w:val="24"/>
              </w:rPr>
              <w:t>-0,0272</w:t>
            </w:r>
          </w:p>
        </w:tc>
      </w:tr>
    </w:tbl>
    <w:p w:rsidR="00C37AA8" w:rsidRPr="00C37AA8" w:rsidRDefault="00C37AA8" w:rsidP="007E5F30">
      <w:pPr>
        <w:spacing w:line="240" w:lineRule="auto"/>
        <w:rPr>
          <w:bCs/>
          <w:sz w:val="24"/>
          <w:szCs w:val="28"/>
        </w:rPr>
      </w:pPr>
    </w:p>
    <w:p w:rsidR="00C37AA8" w:rsidRPr="00C37AA8" w:rsidRDefault="00C37AA8" w:rsidP="00C37AA8">
      <w:pPr>
        <w:rPr>
          <w:b/>
          <w:sz w:val="24"/>
        </w:rPr>
      </w:pPr>
    </w:p>
    <w:p w:rsidR="00C37AA8" w:rsidRPr="00EC6FBC" w:rsidRDefault="00C37AA8" w:rsidP="00C37AA8">
      <w:pPr>
        <w:pStyle w:val="a6"/>
        <w:numPr>
          <w:ilvl w:val="0"/>
          <w:numId w:val="9"/>
        </w:numPr>
        <w:rPr>
          <w:rFonts w:ascii="Tahoma" w:hAnsi="Tahoma" w:cs="Tahoma"/>
          <w:color w:val="00008F"/>
          <w:sz w:val="17"/>
          <w:szCs w:val="17"/>
          <w:shd w:val="clear" w:color="auto" w:fill="F5F5F5"/>
          <w:lang w:val="en-US"/>
        </w:rPr>
      </w:pPr>
    </w:p>
    <w:p w:rsidR="00C37AA8" w:rsidRPr="00EC6FBC" w:rsidRDefault="00C37AA8" w:rsidP="00C37AA8">
      <w:pPr>
        <w:pStyle w:val="a6"/>
        <w:numPr>
          <w:ilvl w:val="0"/>
          <w:numId w:val="9"/>
        </w:numPr>
        <w:rPr>
          <w:rFonts w:ascii="Tahoma" w:hAnsi="Tahoma" w:cs="Tahoma"/>
          <w:color w:val="00008F"/>
          <w:sz w:val="17"/>
          <w:szCs w:val="17"/>
          <w:shd w:val="clear" w:color="auto" w:fill="F5F5F5"/>
          <w:lang w:val="en-US"/>
        </w:rPr>
      </w:pPr>
    </w:p>
    <w:p w:rsidR="00C37AA8" w:rsidRPr="00EC6FBC" w:rsidRDefault="00C37AA8" w:rsidP="00C37AA8">
      <w:pPr>
        <w:pStyle w:val="a6"/>
        <w:numPr>
          <w:ilvl w:val="0"/>
          <w:numId w:val="9"/>
        </w:numPr>
        <w:rPr>
          <w:rFonts w:ascii="Tahoma" w:hAnsi="Tahoma" w:cs="Tahoma"/>
          <w:color w:val="00008F"/>
          <w:sz w:val="17"/>
          <w:szCs w:val="17"/>
          <w:shd w:val="clear" w:color="auto" w:fill="F5F5F5"/>
          <w:lang w:val="en-US"/>
        </w:rPr>
      </w:pPr>
    </w:p>
    <w:p w:rsidR="00C37AA8" w:rsidRPr="00EC6FBC" w:rsidRDefault="00C37AA8" w:rsidP="00C37AA8">
      <w:pPr>
        <w:pStyle w:val="a6"/>
        <w:numPr>
          <w:ilvl w:val="0"/>
          <w:numId w:val="9"/>
        </w:numPr>
        <w:rPr>
          <w:rFonts w:ascii="Tahoma" w:hAnsi="Tahoma" w:cs="Tahoma"/>
          <w:color w:val="00008F"/>
          <w:sz w:val="17"/>
          <w:szCs w:val="17"/>
          <w:shd w:val="clear" w:color="auto" w:fill="F5F5F5"/>
          <w:lang w:val="en-US"/>
        </w:rPr>
      </w:pPr>
    </w:p>
    <w:p w:rsidR="00C37AA8" w:rsidRPr="00EC6FBC" w:rsidRDefault="00C37AA8" w:rsidP="00C37AA8">
      <w:pPr>
        <w:pStyle w:val="a6"/>
        <w:numPr>
          <w:ilvl w:val="0"/>
          <w:numId w:val="9"/>
        </w:numPr>
        <w:rPr>
          <w:rFonts w:ascii="Tahoma" w:hAnsi="Tahoma" w:cs="Tahoma"/>
          <w:color w:val="00008F"/>
          <w:sz w:val="17"/>
          <w:szCs w:val="17"/>
          <w:shd w:val="clear" w:color="auto" w:fill="F5F5F5"/>
          <w:lang w:val="en-US"/>
        </w:rPr>
      </w:pPr>
    </w:p>
    <w:p w:rsidR="00C37AA8" w:rsidRPr="00AA5D2E" w:rsidRDefault="00C37AA8" w:rsidP="00C37AA8">
      <w:pPr>
        <w:ind w:firstLine="0"/>
        <w:rPr>
          <w:szCs w:val="28"/>
          <w:lang w:val="en-US"/>
        </w:rPr>
      </w:pPr>
    </w:p>
    <w:p w:rsidR="00C37AA8" w:rsidRPr="00707B58" w:rsidRDefault="00C37AA8" w:rsidP="00DF3564">
      <w:pPr>
        <w:ind w:firstLine="0"/>
        <w:jc w:val="center"/>
        <w:rPr>
          <w:noProof/>
          <w:sz w:val="22"/>
        </w:rPr>
      </w:pPr>
    </w:p>
    <w:sectPr w:rsidR="00C37AA8" w:rsidRPr="00707B58" w:rsidSect="007E5F3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78A" w:rsidRDefault="0028378A" w:rsidP="00BA64EB">
      <w:pPr>
        <w:spacing w:line="240" w:lineRule="auto"/>
      </w:pPr>
      <w:r>
        <w:separator/>
      </w:r>
    </w:p>
  </w:endnote>
  <w:endnote w:type="continuationSeparator" w:id="0">
    <w:p w:rsidR="0028378A" w:rsidRDefault="0028378A" w:rsidP="00BA64E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Georgia">
    <w:panose1 w:val="02040502050405020303"/>
    <w:charset w:val="CC"/>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AdvGulliv-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78A" w:rsidRDefault="0028378A" w:rsidP="00BA64EB">
      <w:pPr>
        <w:spacing w:line="240" w:lineRule="auto"/>
      </w:pPr>
      <w:r>
        <w:separator/>
      </w:r>
    </w:p>
  </w:footnote>
  <w:footnote w:type="continuationSeparator" w:id="0">
    <w:p w:rsidR="0028378A" w:rsidRDefault="0028378A" w:rsidP="00BA64EB">
      <w:pPr>
        <w:spacing w:line="240" w:lineRule="auto"/>
      </w:pPr>
      <w:r>
        <w:continuationSeparator/>
      </w:r>
    </w:p>
  </w:footnote>
  <w:footnote w:id="1">
    <w:p w:rsidR="00725B4F" w:rsidRPr="00B83C0F" w:rsidRDefault="00725B4F">
      <w:pPr>
        <w:pStyle w:val="a3"/>
      </w:pPr>
      <w:r>
        <w:rPr>
          <w:rStyle w:val="a5"/>
        </w:rPr>
        <w:footnoteRef/>
      </w:r>
      <w:r>
        <w:t xml:space="preserve"> Промышленное производство. Обновлено 03 марта 2014 г. / Федеральная служба государственной статистики. </w:t>
      </w:r>
      <w:r>
        <w:rPr>
          <w:lang w:val="en-US"/>
        </w:rPr>
        <w:t>URL</w:t>
      </w:r>
      <w:r w:rsidRPr="00B83C0F">
        <w:t xml:space="preserve">: </w:t>
      </w:r>
      <w:r w:rsidRPr="00B83C0F">
        <w:rPr>
          <w:lang w:val="en-US"/>
        </w:rPr>
        <w:t>http</w:t>
      </w:r>
      <w:r w:rsidRPr="00B83C0F">
        <w:t>://</w:t>
      </w:r>
      <w:r w:rsidRPr="00B83C0F">
        <w:rPr>
          <w:lang w:val="en-US"/>
        </w:rPr>
        <w:t>www</w:t>
      </w:r>
      <w:r w:rsidRPr="00B83C0F">
        <w:t>.</w:t>
      </w:r>
      <w:r w:rsidRPr="00B83C0F">
        <w:rPr>
          <w:lang w:val="en-US"/>
        </w:rPr>
        <w:t>gks</w:t>
      </w:r>
      <w:r w:rsidRPr="00B83C0F">
        <w:t>.</w:t>
      </w:r>
      <w:r w:rsidRPr="00B83C0F">
        <w:rPr>
          <w:lang w:val="en-US"/>
        </w:rPr>
        <w:t>ru</w:t>
      </w:r>
      <w:r w:rsidRPr="00B83C0F">
        <w:t>/</w:t>
      </w:r>
      <w:r w:rsidRPr="00B83C0F">
        <w:rPr>
          <w:lang w:val="en-US"/>
        </w:rPr>
        <w:t>wps</w:t>
      </w:r>
      <w:r w:rsidRPr="00B83C0F">
        <w:t>/</w:t>
      </w:r>
      <w:r w:rsidRPr="00B83C0F">
        <w:rPr>
          <w:lang w:val="en-US"/>
        </w:rPr>
        <w:t>wcm</w:t>
      </w:r>
      <w:r w:rsidRPr="00B83C0F">
        <w:t>/</w:t>
      </w:r>
      <w:r w:rsidRPr="00B83C0F">
        <w:rPr>
          <w:lang w:val="en-US"/>
        </w:rPr>
        <w:t>connect</w:t>
      </w:r>
      <w:r w:rsidRPr="00B83C0F">
        <w:t>/</w:t>
      </w:r>
      <w:r w:rsidRPr="00B83C0F">
        <w:rPr>
          <w:lang w:val="en-US"/>
        </w:rPr>
        <w:t>rosstat</w:t>
      </w:r>
      <w:r w:rsidRPr="00B83C0F">
        <w:t>_</w:t>
      </w:r>
      <w:r w:rsidRPr="00B83C0F">
        <w:rPr>
          <w:lang w:val="en-US"/>
        </w:rPr>
        <w:t>main</w:t>
      </w:r>
      <w:r w:rsidRPr="00B83C0F">
        <w:t>/</w:t>
      </w:r>
      <w:r w:rsidRPr="00B83C0F">
        <w:rPr>
          <w:lang w:val="en-US"/>
        </w:rPr>
        <w:t>rosstat</w:t>
      </w:r>
      <w:r w:rsidRPr="00B83C0F">
        <w:t>/</w:t>
      </w:r>
      <w:r w:rsidRPr="00B83C0F">
        <w:rPr>
          <w:lang w:val="en-US"/>
        </w:rPr>
        <w:t>ru</w:t>
      </w:r>
      <w:r w:rsidRPr="00B83C0F">
        <w:t>/</w:t>
      </w:r>
      <w:r w:rsidRPr="00B83C0F">
        <w:rPr>
          <w:lang w:val="en-US"/>
        </w:rPr>
        <w:t>statistics</w:t>
      </w:r>
      <w:r w:rsidRPr="00B83C0F">
        <w:t>/</w:t>
      </w:r>
      <w:r w:rsidRPr="00B83C0F">
        <w:rPr>
          <w:lang w:val="en-US"/>
        </w:rPr>
        <w:t>enterprise</w:t>
      </w:r>
      <w:r w:rsidRPr="00B83C0F">
        <w:t>/</w:t>
      </w:r>
      <w:r w:rsidRPr="00B83C0F">
        <w:rPr>
          <w:lang w:val="en-US"/>
        </w:rPr>
        <w:t>industrial</w:t>
      </w:r>
      <w:r w:rsidRPr="00B83C0F">
        <w:t>/# (</w:t>
      </w:r>
      <w:r>
        <w:t>дата обращения 28 июля 2014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B782C"/>
    <w:multiLevelType w:val="hybridMultilevel"/>
    <w:tmpl w:val="85AC8298"/>
    <w:lvl w:ilvl="0" w:tplc="56405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A543711"/>
    <w:multiLevelType w:val="hybridMultilevel"/>
    <w:tmpl w:val="15B8BBFE"/>
    <w:lvl w:ilvl="0" w:tplc="6CF2E1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3257EB"/>
    <w:multiLevelType w:val="multilevel"/>
    <w:tmpl w:val="EB302826"/>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F9C574E"/>
    <w:multiLevelType w:val="hybridMultilevel"/>
    <w:tmpl w:val="D92E6DBE"/>
    <w:lvl w:ilvl="0" w:tplc="A79224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883C56"/>
    <w:multiLevelType w:val="hybridMultilevel"/>
    <w:tmpl w:val="2CDA2ED6"/>
    <w:lvl w:ilvl="0" w:tplc="62E207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0A70C9"/>
    <w:multiLevelType w:val="hybridMultilevel"/>
    <w:tmpl w:val="3F3AF6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F2D1C35"/>
    <w:multiLevelType w:val="multilevel"/>
    <w:tmpl w:val="8F4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3B12C1"/>
    <w:multiLevelType w:val="hybridMultilevel"/>
    <w:tmpl w:val="68840D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211B97"/>
    <w:multiLevelType w:val="hybridMultilevel"/>
    <w:tmpl w:val="FC3E5C64"/>
    <w:lvl w:ilvl="0" w:tplc="D7F672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CE67627"/>
    <w:multiLevelType w:val="multilevel"/>
    <w:tmpl w:val="33EC743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40E0FCF"/>
    <w:multiLevelType w:val="hybridMultilevel"/>
    <w:tmpl w:val="FB7685E2"/>
    <w:lvl w:ilvl="0" w:tplc="381E3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DE37EC"/>
    <w:multiLevelType w:val="multilevel"/>
    <w:tmpl w:val="0C0CAC4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83A0BD2"/>
    <w:multiLevelType w:val="hybridMultilevel"/>
    <w:tmpl w:val="59CA2AF8"/>
    <w:lvl w:ilvl="0" w:tplc="BF8043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097A73"/>
    <w:multiLevelType w:val="hybridMultilevel"/>
    <w:tmpl w:val="4446ACB8"/>
    <w:lvl w:ilvl="0" w:tplc="0419000F">
      <w:start w:val="1"/>
      <w:numFmt w:val="decimal"/>
      <w:lvlText w:val="%1."/>
      <w:lvlJc w:val="left"/>
      <w:pPr>
        <w:ind w:left="688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3070146"/>
    <w:multiLevelType w:val="hybridMultilevel"/>
    <w:tmpl w:val="24A2B402"/>
    <w:lvl w:ilvl="0" w:tplc="AF2224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A447E6"/>
    <w:multiLevelType w:val="hybridMultilevel"/>
    <w:tmpl w:val="16668920"/>
    <w:lvl w:ilvl="0" w:tplc="333CD39A">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1679B5"/>
    <w:multiLevelType w:val="hybridMultilevel"/>
    <w:tmpl w:val="CCFA3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F15DF0"/>
    <w:multiLevelType w:val="hybridMultilevel"/>
    <w:tmpl w:val="B7B2D27E"/>
    <w:lvl w:ilvl="0" w:tplc="843681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1"/>
  </w:num>
  <w:num w:numId="3">
    <w:abstractNumId w:val="11"/>
  </w:num>
  <w:num w:numId="4">
    <w:abstractNumId w:val="10"/>
  </w:num>
  <w:num w:numId="5">
    <w:abstractNumId w:val="14"/>
  </w:num>
  <w:num w:numId="6">
    <w:abstractNumId w:val="2"/>
  </w:num>
  <w:num w:numId="7">
    <w:abstractNumId w:val="6"/>
  </w:num>
  <w:num w:numId="8">
    <w:abstractNumId w:val="5"/>
  </w:num>
  <w:num w:numId="9">
    <w:abstractNumId w:val="16"/>
  </w:num>
  <w:num w:numId="10">
    <w:abstractNumId w:val="17"/>
  </w:num>
  <w:num w:numId="11">
    <w:abstractNumId w:val="0"/>
  </w:num>
  <w:num w:numId="12">
    <w:abstractNumId w:val="9"/>
  </w:num>
  <w:num w:numId="13">
    <w:abstractNumId w:val="7"/>
  </w:num>
  <w:num w:numId="14">
    <w:abstractNumId w:val="12"/>
  </w:num>
  <w:num w:numId="15">
    <w:abstractNumId w:val="4"/>
  </w:num>
  <w:num w:numId="16">
    <w:abstractNumId w:val="15"/>
  </w:num>
  <w:num w:numId="17">
    <w:abstractNumId w:val="3"/>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A64EB"/>
    <w:rsid w:val="00043D24"/>
    <w:rsid w:val="00055D8F"/>
    <w:rsid w:val="000819F8"/>
    <w:rsid w:val="00096B66"/>
    <w:rsid w:val="000A6B22"/>
    <w:rsid w:val="000A7046"/>
    <w:rsid w:val="000B4A1D"/>
    <w:rsid w:val="000F0973"/>
    <w:rsid w:val="000F229F"/>
    <w:rsid w:val="000F4A40"/>
    <w:rsid w:val="001132BF"/>
    <w:rsid w:val="00162396"/>
    <w:rsid w:val="001730D4"/>
    <w:rsid w:val="00184892"/>
    <w:rsid w:val="00192470"/>
    <w:rsid w:val="00193AC7"/>
    <w:rsid w:val="001C0C36"/>
    <w:rsid w:val="001C640C"/>
    <w:rsid w:val="001E352C"/>
    <w:rsid w:val="001F7636"/>
    <w:rsid w:val="00204FFC"/>
    <w:rsid w:val="00205B62"/>
    <w:rsid w:val="00211D31"/>
    <w:rsid w:val="00213006"/>
    <w:rsid w:val="00227E41"/>
    <w:rsid w:val="00233AAF"/>
    <w:rsid w:val="00245C3C"/>
    <w:rsid w:val="00272903"/>
    <w:rsid w:val="00272F28"/>
    <w:rsid w:val="0028378A"/>
    <w:rsid w:val="002876B6"/>
    <w:rsid w:val="0028785A"/>
    <w:rsid w:val="00294EE8"/>
    <w:rsid w:val="002A090D"/>
    <w:rsid w:val="002A63F8"/>
    <w:rsid w:val="002B7521"/>
    <w:rsid w:val="002E5177"/>
    <w:rsid w:val="002F0CB8"/>
    <w:rsid w:val="00324D40"/>
    <w:rsid w:val="0032538A"/>
    <w:rsid w:val="003349AC"/>
    <w:rsid w:val="00345D4E"/>
    <w:rsid w:val="00353648"/>
    <w:rsid w:val="00381A04"/>
    <w:rsid w:val="00386452"/>
    <w:rsid w:val="00391098"/>
    <w:rsid w:val="003C1B0E"/>
    <w:rsid w:val="003E5E1D"/>
    <w:rsid w:val="0040179D"/>
    <w:rsid w:val="00410A94"/>
    <w:rsid w:val="004346F1"/>
    <w:rsid w:val="00442FA2"/>
    <w:rsid w:val="00443923"/>
    <w:rsid w:val="0044696C"/>
    <w:rsid w:val="004844E5"/>
    <w:rsid w:val="004A485E"/>
    <w:rsid w:val="004E2861"/>
    <w:rsid w:val="004F6C5C"/>
    <w:rsid w:val="00520695"/>
    <w:rsid w:val="005360F6"/>
    <w:rsid w:val="005430D4"/>
    <w:rsid w:val="00560E09"/>
    <w:rsid w:val="00571A19"/>
    <w:rsid w:val="00577B34"/>
    <w:rsid w:val="00584CB8"/>
    <w:rsid w:val="005B1E19"/>
    <w:rsid w:val="005B7102"/>
    <w:rsid w:val="006047F0"/>
    <w:rsid w:val="00694379"/>
    <w:rsid w:val="006C16C9"/>
    <w:rsid w:val="00707B58"/>
    <w:rsid w:val="00710C97"/>
    <w:rsid w:val="00721A4A"/>
    <w:rsid w:val="007242DE"/>
    <w:rsid w:val="007258BA"/>
    <w:rsid w:val="00725B4F"/>
    <w:rsid w:val="00732326"/>
    <w:rsid w:val="00746DE1"/>
    <w:rsid w:val="00772063"/>
    <w:rsid w:val="00776A92"/>
    <w:rsid w:val="00787B99"/>
    <w:rsid w:val="007965BA"/>
    <w:rsid w:val="00797542"/>
    <w:rsid w:val="007B2289"/>
    <w:rsid w:val="007D006A"/>
    <w:rsid w:val="007E5F30"/>
    <w:rsid w:val="0080223C"/>
    <w:rsid w:val="00822C3F"/>
    <w:rsid w:val="00826D7D"/>
    <w:rsid w:val="00841D0D"/>
    <w:rsid w:val="008520D1"/>
    <w:rsid w:val="008626F8"/>
    <w:rsid w:val="00866DF8"/>
    <w:rsid w:val="008C2F8D"/>
    <w:rsid w:val="008D5E22"/>
    <w:rsid w:val="008E0171"/>
    <w:rsid w:val="008E2401"/>
    <w:rsid w:val="008F484D"/>
    <w:rsid w:val="008F69B1"/>
    <w:rsid w:val="0092545E"/>
    <w:rsid w:val="00930DF2"/>
    <w:rsid w:val="00940706"/>
    <w:rsid w:val="0097374D"/>
    <w:rsid w:val="00977AFE"/>
    <w:rsid w:val="009A2A04"/>
    <w:rsid w:val="009D069C"/>
    <w:rsid w:val="00A10DB4"/>
    <w:rsid w:val="00A27C2B"/>
    <w:rsid w:val="00A317F4"/>
    <w:rsid w:val="00A71BF7"/>
    <w:rsid w:val="00A84202"/>
    <w:rsid w:val="00A96413"/>
    <w:rsid w:val="00AA432D"/>
    <w:rsid w:val="00AA7C3F"/>
    <w:rsid w:val="00AB2B03"/>
    <w:rsid w:val="00AC44E3"/>
    <w:rsid w:val="00AC63E5"/>
    <w:rsid w:val="00AD0271"/>
    <w:rsid w:val="00AF267B"/>
    <w:rsid w:val="00B22B48"/>
    <w:rsid w:val="00B2781B"/>
    <w:rsid w:val="00B370C4"/>
    <w:rsid w:val="00B757BF"/>
    <w:rsid w:val="00B83C0F"/>
    <w:rsid w:val="00B97429"/>
    <w:rsid w:val="00BA64EB"/>
    <w:rsid w:val="00BA671A"/>
    <w:rsid w:val="00BB19FF"/>
    <w:rsid w:val="00BC002C"/>
    <w:rsid w:val="00C06A00"/>
    <w:rsid w:val="00C11E41"/>
    <w:rsid w:val="00C23294"/>
    <w:rsid w:val="00C34378"/>
    <w:rsid w:val="00C368CA"/>
    <w:rsid w:val="00C37AA8"/>
    <w:rsid w:val="00C512E6"/>
    <w:rsid w:val="00C52C0C"/>
    <w:rsid w:val="00C55440"/>
    <w:rsid w:val="00C846FE"/>
    <w:rsid w:val="00CA1F7F"/>
    <w:rsid w:val="00D25758"/>
    <w:rsid w:val="00D34458"/>
    <w:rsid w:val="00D42DB9"/>
    <w:rsid w:val="00D61139"/>
    <w:rsid w:val="00D6315C"/>
    <w:rsid w:val="00DB21BB"/>
    <w:rsid w:val="00DF0688"/>
    <w:rsid w:val="00DF3564"/>
    <w:rsid w:val="00E03BEA"/>
    <w:rsid w:val="00E540D2"/>
    <w:rsid w:val="00EA5106"/>
    <w:rsid w:val="00EB6661"/>
    <w:rsid w:val="00F26A74"/>
    <w:rsid w:val="00F27456"/>
    <w:rsid w:val="00F37E0B"/>
    <w:rsid w:val="00F679FA"/>
    <w:rsid w:val="00F81819"/>
    <w:rsid w:val="00F84D43"/>
    <w:rsid w:val="00F87BAC"/>
    <w:rsid w:val="00FB5D29"/>
    <w:rsid w:val="00FC6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4EB"/>
    <w:pPr>
      <w:widowControl w:val="0"/>
      <w:spacing w:line="360" w:lineRule="auto"/>
    </w:pPr>
    <w:rPr>
      <w:rFonts w:eastAsia="Times New Roman"/>
      <w:szCs w:val="20"/>
      <w:lang w:eastAsia="ru-RU"/>
    </w:rPr>
  </w:style>
  <w:style w:type="paragraph" w:styleId="1">
    <w:name w:val="heading 1"/>
    <w:basedOn w:val="a"/>
    <w:next w:val="a"/>
    <w:link w:val="10"/>
    <w:uiPriority w:val="9"/>
    <w:qFormat/>
    <w:rsid w:val="00C37AA8"/>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0819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D0D"/>
    <w:pPr>
      <w:keepNext/>
      <w:ind w:firstLine="0"/>
      <w:jc w:val="center"/>
      <w:outlineLvl w:val="2"/>
    </w:pPr>
    <w:rPr>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AA8"/>
    <w:rPr>
      <w:rFonts w:asciiTheme="majorHAnsi" w:eastAsiaTheme="majorEastAsia" w:hAnsiTheme="majorHAnsi" w:cstheme="majorBidi"/>
      <w:b/>
      <w:bCs/>
      <w:color w:val="365F91" w:themeColor="accent1" w:themeShade="BF"/>
      <w:lang w:eastAsia="ru-RU"/>
    </w:rPr>
  </w:style>
  <w:style w:type="character" w:customStyle="1" w:styleId="20">
    <w:name w:val="Заголовок 2 Знак"/>
    <w:basedOn w:val="a0"/>
    <w:link w:val="2"/>
    <w:uiPriority w:val="9"/>
    <w:rsid w:val="000819F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41D0D"/>
    <w:rPr>
      <w:rFonts w:eastAsia="Times New Roman"/>
      <w:b/>
      <w:bCs/>
      <w:szCs w:val="26"/>
      <w:lang w:eastAsia="ru-RU"/>
    </w:rPr>
  </w:style>
  <w:style w:type="paragraph" w:styleId="a3">
    <w:name w:val="footnote text"/>
    <w:basedOn w:val="a"/>
    <w:link w:val="a4"/>
    <w:uiPriority w:val="99"/>
    <w:unhideWhenUsed/>
    <w:rsid w:val="00BA64EB"/>
    <w:pPr>
      <w:spacing w:line="240" w:lineRule="auto"/>
    </w:pPr>
    <w:rPr>
      <w:sz w:val="20"/>
    </w:rPr>
  </w:style>
  <w:style w:type="character" w:customStyle="1" w:styleId="a4">
    <w:name w:val="Текст сноски Знак"/>
    <w:basedOn w:val="a0"/>
    <w:link w:val="a3"/>
    <w:uiPriority w:val="99"/>
    <w:rsid w:val="00BA64EB"/>
    <w:rPr>
      <w:rFonts w:eastAsia="Times New Roman"/>
      <w:sz w:val="20"/>
      <w:szCs w:val="20"/>
      <w:lang w:eastAsia="ru-RU"/>
    </w:rPr>
  </w:style>
  <w:style w:type="character" w:styleId="a5">
    <w:name w:val="footnote reference"/>
    <w:basedOn w:val="a0"/>
    <w:uiPriority w:val="99"/>
    <w:semiHidden/>
    <w:unhideWhenUsed/>
    <w:rsid w:val="00BA64EB"/>
    <w:rPr>
      <w:vertAlign w:val="superscript"/>
    </w:rPr>
  </w:style>
  <w:style w:type="paragraph" w:styleId="a6">
    <w:name w:val="List Paragraph"/>
    <w:basedOn w:val="a"/>
    <w:uiPriority w:val="34"/>
    <w:qFormat/>
    <w:rsid w:val="00BA64EB"/>
    <w:pPr>
      <w:ind w:left="720"/>
      <w:contextualSpacing/>
    </w:pPr>
  </w:style>
  <w:style w:type="character" w:styleId="a7">
    <w:name w:val="Strong"/>
    <w:uiPriority w:val="22"/>
    <w:qFormat/>
    <w:rsid w:val="00C11E41"/>
    <w:rPr>
      <w:b/>
      <w:bCs/>
    </w:rPr>
  </w:style>
  <w:style w:type="character" w:styleId="a8">
    <w:name w:val="Hyperlink"/>
    <w:basedOn w:val="a0"/>
    <w:uiPriority w:val="99"/>
    <w:unhideWhenUsed/>
    <w:rsid w:val="002876B6"/>
    <w:rPr>
      <w:color w:val="0000FF" w:themeColor="hyperlink"/>
      <w:u w:val="single"/>
    </w:rPr>
  </w:style>
  <w:style w:type="paragraph" w:styleId="a9">
    <w:name w:val="Balloon Text"/>
    <w:basedOn w:val="a"/>
    <w:link w:val="aa"/>
    <w:uiPriority w:val="99"/>
    <w:semiHidden/>
    <w:unhideWhenUsed/>
    <w:rsid w:val="002876B6"/>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76B6"/>
    <w:rPr>
      <w:rFonts w:ascii="Tahoma" w:eastAsia="Times New Roman" w:hAnsi="Tahoma" w:cs="Tahoma"/>
      <w:sz w:val="16"/>
      <w:szCs w:val="16"/>
      <w:lang w:eastAsia="ru-RU"/>
    </w:rPr>
  </w:style>
  <w:style w:type="character" w:customStyle="1" w:styleId="apple-converted-space">
    <w:name w:val="apple-converted-space"/>
    <w:basedOn w:val="a0"/>
    <w:rsid w:val="000F0973"/>
  </w:style>
  <w:style w:type="paragraph" w:styleId="ab">
    <w:name w:val="header"/>
    <w:basedOn w:val="a"/>
    <w:link w:val="ac"/>
    <w:uiPriority w:val="99"/>
    <w:unhideWhenUsed/>
    <w:rsid w:val="00940706"/>
    <w:pPr>
      <w:tabs>
        <w:tab w:val="center" w:pos="4677"/>
        <w:tab w:val="right" w:pos="9355"/>
      </w:tabs>
      <w:spacing w:line="240" w:lineRule="auto"/>
    </w:pPr>
  </w:style>
  <w:style w:type="character" w:customStyle="1" w:styleId="ac">
    <w:name w:val="Верхний колонтитул Знак"/>
    <w:basedOn w:val="a0"/>
    <w:link w:val="ab"/>
    <w:uiPriority w:val="99"/>
    <w:rsid w:val="00940706"/>
    <w:rPr>
      <w:rFonts w:eastAsia="Times New Roman"/>
      <w:szCs w:val="20"/>
      <w:lang w:eastAsia="ru-RU"/>
    </w:rPr>
  </w:style>
  <w:style w:type="paragraph" w:styleId="ad">
    <w:name w:val="footer"/>
    <w:basedOn w:val="a"/>
    <w:link w:val="ae"/>
    <w:uiPriority w:val="99"/>
    <w:unhideWhenUsed/>
    <w:rsid w:val="00940706"/>
    <w:pPr>
      <w:tabs>
        <w:tab w:val="center" w:pos="4677"/>
        <w:tab w:val="right" w:pos="9355"/>
      </w:tabs>
      <w:spacing w:line="240" w:lineRule="auto"/>
    </w:pPr>
  </w:style>
  <w:style w:type="character" w:customStyle="1" w:styleId="ae">
    <w:name w:val="Нижний колонтитул Знак"/>
    <w:basedOn w:val="a0"/>
    <w:link w:val="ad"/>
    <w:uiPriority w:val="99"/>
    <w:rsid w:val="00940706"/>
    <w:rPr>
      <w:rFonts w:eastAsia="Times New Roman"/>
      <w:szCs w:val="20"/>
      <w:lang w:eastAsia="ru-RU"/>
    </w:rPr>
  </w:style>
  <w:style w:type="table" w:styleId="af">
    <w:name w:val="Table Grid"/>
    <w:basedOn w:val="a1"/>
    <w:uiPriority w:val="59"/>
    <w:rsid w:val="001132BF"/>
    <w:pPr>
      <w:ind w:firstLine="0"/>
      <w:jc w:val="left"/>
    </w:pPr>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Subtitle"/>
    <w:basedOn w:val="a"/>
    <w:next w:val="a"/>
    <w:link w:val="af1"/>
    <w:uiPriority w:val="11"/>
    <w:qFormat/>
    <w:rsid w:val="00C37AA8"/>
    <w:pPr>
      <w:numPr>
        <w:ilvl w:val="1"/>
      </w:numPr>
      <w:spacing w:after="240"/>
      <w:ind w:firstLine="709"/>
    </w:pPr>
    <w:rPr>
      <w:b/>
      <w:iCs/>
      <w:spacing w:val="15"/>
      <w:szCs w:val="24"/>
    </w:rPr>
  </w:style>
  <w:style w:type="character" w:customStyle="1" w:styleId="af1">
    <w:name w:val="Подзаголовок Знак"/>
    <w:basedOn w:val="a0"/>
    <w:link w:val="af0"/>
    <w:uiPriority w:val="11"/>
    <w:rsid w:val="00C37AA8"/>
    <w:rPr>
      <w:rFonts w:eastAsia="Times New Roman"/>
      <w:b/>
      <w:iCs/>
      <w:spacing w:val="15"/>
      <w:szCs w:val="24"/>
      <w:lang w:eastAsia="ru-RU"/>
    </w:rPr>
  </w:style>
  <w:style w:type="paragraph" w:customStyle="1" w:styleId="style11">
    <w:name w:val="style11"/>
    <w:basedOn w:val="a"/>
    <w:rsid w:val="00C37AA8"/>
    <w:pPr>
      <w:widowControl/>
      <w:spacing w:before="100" w:beforeAutospacing="1" w:after="100" w:afterAutospacing="1" w:line="240" w:lineRule="auto"/>
      <w:ind w:firstLine="0"/>
      <w:jc w:val="left"/>
    </w:pPr>
    <w:rPr>
      <w:sz w:val="24"/>
      <w:szCs w:val="24"/>
    </w:rPr>
  </w:style>
  <w:style w:type="character" w:styleId="af2">
    <w:name w:val="Emphasis"/>
    <w:uiPriority w:val="20"/>
    <w:qFormat/>
    <w:rsid w:val="00C37AA8"/>
    <w:rPr>
      <w:i/>
      <w:iCs/>
    </w:rPr>
  </w:style>
  <w:style w:type="character" w:customStyle="1" w:styleId="mi">
    <w:name w:val="mi"/>
    <w:rsid w:val="00C37AA8"/>
  </w:style>
  <w:style w:type="character" w:customStyle="1" w:styleId="mo">
    <w:name w:val="mo"/>
    <w:rsid w:val="00C37AA8"/>
  </w:style>
  <w:style w:type="paragraph" w:styleId="af3">
    <w:name w:val="Normal (Web)"/>
    <w:basedOn w:val="a"/>
    <w:uiPriority w:val="99"/>
    <w:unhideWhenUsed/>
    <w:rsid w:val="00C37AA8"/>
    <w:pPr>
      <w:widowControl/>
      <w:spacing w:before="100" w:beforeAutospacing="1" w:after="100" w:afterAutospacing="1" w:line="240" w:lineRule="auto"/>
      <w:ind w:firstLine="0"/>
      <w:jc w:val="left"/>
    </w:pPr>
    <w:rPr>
      <w:sz w:val="24"/>
      <w:szCs w:val="24"/>
    </w:rPr>
  </w:style>
  <w:style w:type="paragraph" w:styleId="11">
    <w:name w:val="toc 1"/>
    <w:basedOn w:val="a"/>
    <w:next w:val="a"/>
    <w:autoRedefine/>
    <w:uiPriority w:val="39"/>
    <w:unhideWhenUsed/>
    <w:qFormat/>
    <w:rsid w:val="00C37AA8"/>
    <w:pPr>
      <w:tabs>
        <w:tab w:val="right" w:leader="dot" w:pos="9060"/>
      </w:tabs>
      <w:ind w:firstLine="0"/>
    </w:pPr>
  </w:style>
  <w:style w:type="paragraph" w:styleId="21">
    <w:name w:val="toc 2"/>
    <w:basedOn w:val="a"/>
    <w:next w:val="a"/>
    <w:autoRedefine/>
    <w:uiPriority w:val="39"/>
    <w:unhideWhenUsed/>
    <w:qFormat/>
    <w:rsid w:val="00C37AA8"/>
    <w:pPr>
      <w:ind w:left="280"/>
    </w:pPr>
  </w:style>
  <w:style w:type="paragraph" w:styleId="31">
    <w:name w:val="toc 3"/>
    <w:basedOn w:val="a"/>
    <w:next w:val="a"/>
    <w:autoRedefine/>
    <w:uiPriority w:val="39"/>
    <w:unhideWhenUsed/>
    <w:qFormat/>
    <w:rsid w:val="00C37AA8"/>
    <w:pPr>
      <w:ind w:left="560"/>
    </w:pPr>
  </w:style>
  <w:style w:type="paragraph" w:customStyle="1" w:styleId="Default">
    <w:name w:val="Default"/>
    <w:rsid w:val="00C37AA8"/>
    <w:pPr>
      <w:autoSpaceDE w:val="0"/>
      <w:autoSpaceDN w:val="0"/>
      <w:adjustRightInd w:val="0"/>
      <w:ind w:firstLine="0"/>
      <w:jc w:val="left"/>
    </w:pPr>
    <w:rPr>
      <w:rFonts w:eastAsia="Calibri"/>
      <w:color w:val="000000"/>
      <w:sz w:val="24"/>
      <w:szCs w:val="24"/>
    </w:rPr>
  </w:style>
  <w:style w:type="character" w:customStyle="1" w:styleId="af4">
    <w:name w:val="Текст примечания Знак"/>
    <w:basedOn w:val="a0"/>
    <w:link w:val="af5"/>
    <w:uiPriority w:val="99"/>
    <w:semiHidden/>
    <w:rsid w:val="00C37AA8"/>
    <w:rPr>
      <w:rFonts w:eastAsia="Times New Roman"/>
      <w:sz w:val="20"/>
      <w:szCs w:val="20"/>
      <w:lang w:eastAsia="ru-RU"/>
    </w:rPr>
  </w:style>
  <w:style w:type="paragraph" w:styleId="af5">
    <w:name w:val="annotation text"/>
    <w:basedOn w:val="a"/>
    <w:link w:val="af4"/>
    <w:uiPriority w:val="99"/>
    <w:semiHidden/>
    <w:unhideWhenUsed/>
    <w:rsid w:val="00C37AA8"/>
    <w:pPr>
      <w:spacing w:line="240" w:lineRule="auto"/>
    </w:pPr>
    <w:rPr>
      <w:sz w:val="20"/>
    </w:rPr>
  </w:style>
  <w:style w:type="character" w:customStyle="1" w:styleId="af6">
    <w:name w:val="Тема примечания Знак"/>
    <w:basedOn w:val="af4"/>
    <w:link w:val="af7"/>
    <w:uiPriority w:val="99"/>
    <w:semiHidden/>
    <w:rsid w:val="00C37AA8"/>
    <w:rPr>
      <w:b/>
      <w:bCs/>
    </w:rPr>
  </w:style>
  <w:style w:type="paragraph" w:styleId="af7">
    <w:name w:val="annotation subject"/>
    <w:basedOn w:val="af5"/>
    <w:next w:val="af5"/>
    <w:link w:val="af6"/>
    <w:uiPriority w:val="99"/>
    <w:semiHidden/>
    <w:unhideWhenUsed/>
    <w:rsid w:val="00C37AA8"/>
    <w:rPr>
      <w:b/>
      <w:bCs/>
    </w:rPr>
  </w:style>
  <w:style w:type="paragraph" w:customStyle="1" w:styleId="Basictext">
    <w:name w:val="Basic text"/>
    <w:rsid w:val="007242DE"/>
    <w:pPr>
      <w:spacing w:before="120"/>
      <w:ind w:firstLine="0"/>
    </w:pPr>
    <w:rPr>
      <w:rFonts w:eastAsia="Times New Roman" w:cs="Arial"/>
      <w:color w:val="000000"/>
      <w:sz w:val="22"/>
      <w:szCs w:val="15"/>
      <w:lang w:val="en-GB"/>
    </w:rPr>
  </w:style>
</w:styles>
</file>

<file path=word/webSettings.xml><?xml version="1.0" encoding="utf-8"?>
<w:webSettings xmlns:r="http://schemas.openxmlformats.org/officeDocument/2006/relationships" xmlns:w="http://schemas.openxmlformats.org/wordprocessingml/2006/main">
  <w:divs>
    <w:div w:id="249386059">
      <w:bodyDiv w:val="1"/>
      <w:marLeft w:val="0"/>
      <w:marRight w:val="0"/>
      <w:marTop w:val="0"/>
      <w:marBottom w:val="0"/>
      <w:divBdr>
        <w:top w:val="none" w:sz="0" w:space="0" w:color="auto"/>
        <w:left w:val="none" w:sz="0" w:space="0" w:color="auto"/>
        <w:bottom w:val="none" w:sz="0" w:space="0" w:color="auto"/>
        <w:right w:val="none" w:sz="0" w:space="0" w:color="auto"/>
      </w:divBdr>
    </w:div>
    <w:div w:id="209257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www.bm.vgtu.lt"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e-disclosure.ru/PortalContent/InfoMaterial/1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1.xml"/><Relationship Id="rId22" Type="http://schemas.openxmlformats.org/officeDocument/2006/relationships/hyperlink" Target="http://dx.doi.org/10.3846/bm.2014.021"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Gala\Downloads\caar_level_result.csv"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Gala\Downloads\aar_level_result%20(1).csv"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Gala\Downloads\aar_level_result%20(1).csv"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Gala\Downloads\aar_level_result%20(2).csv"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Gala\Downloads\aar_level_result%20(2).csv"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Gala\Downloads\aar_level_result%20(2).csv"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pieChart>
        <c:varyColors val="1"/>
        <c:ser>
          <c:idx val="0"/>
          <c:order val="0"/>
          <c:spPr>
            <a:scene3d>
              <a:camera prst="orthographicFront"/>
              <a:lightRig rig="threePt" dir="t"/>
            </a:scene3d>
            <a:sp3d prstMaterial="dkEdge"/>
          </c:spPr>
          <c:dPt>
            <c:idx val="0"/>
            <c:spPr>
              <a:scene3d>
                <a:camera prst="orthographicFront"/>
                <a:lightRig rig="threePt" dir="t"/>
              </a:scene3d>
              <a:sp3d prstMaterial="dkEdge">
                <a:bevelT/>
              </a:sp3d>
            </c:spPr>
          </c:dPt>
          <c:dPt>
            <c:idx val="1"/>
            <c:spPr>
              <a:scene3d>
                <a:camera prst="orthographicFront"/>
                <a:lightRig rig="threePt" dir="t"/>
              </a:scene3d>
              <a:sp3d prstMaterial="dkEdge">
                <a:bevelT/>
              </a:sp3d>
            </c:spPr>
          </c:dPt>
          <c:dPt>
            <c:idx val="2"/>
            <c:spPr>
              <a:scene3d>
                <a:camera prst="orthographicFront"/>
                <a:lightRig rig="threePt" dir="t"/>
              </a:scene3d>
              <a:sp3d prstMaterial="dkEdge">
                <a:bevelT/>
              </a:sp3d>
            </c:spPr>
          </c:dPt>
          <c:dLbls>
            <c:dLbl>
              <c:idx val="0"/>
              <c:tx>
                <c:rich>
                  <a:bodyPr/>
                  <a:lstStyle/>
                  <a:p>
                    <a:r>
                      <a:rPr lang="en-US"/>
                      <a:t>Good</a:t>
                    </a:r>
                    <a:r>
                      <a:rPr lang="ru-RU"/>
                      <a:t>; 53</a:t>
                    </a:r>
                  </a:p>
                </c:rich>
              </c:tx>
              <c:dLblPos val="outEnd"/>
              <c:showVal val="1"/>
              <c:showCatName val="1"/>
            </c:dLbl>
            <c:dLbl>
              <c:idx val="1"/>
              <c:tx>
                <c:rich>
                  <a:bodyPr/>
                  <a:lstStyle/>
                  <a:p>
                    <a:r>
                      <a:rPr lang="en-US"/>
                      <a:t>Bad</a:t>
                    </a:r>
                    <a:r>
                      <a:rPr lang="ru-RU"/>
                      <a:t>; 34</a:t>
                    </a:r>
                  </a:p>
                </c:rich>
              </c:tx>
              <c:dLblPos val="outEnd"/>
              <c:showVal val="1"/>
              <c:showCatName val="1"/>
            </c:dLbl>
            <c:dLbl>
              <c:idx val="2"/>
              <c:tx>
                <c:rich>
                  <a:bodyPr/>
                  <a:lstStyle/>
                  <a:p>
                    <a:r>
                      <a:rPr lang="en-US"/>
                      <a:t>Neutral</a:t>
                    </a:r>
                    <a:r>
                      <a:rPr lang="ru-RU"/>
                      <a:t>; 16</a:t>
                    </a:r>
                  </a:p>
                </c:rich>
              </c:tx>
              <c:dLblPos val="outEnd"/>
              <c:showVal val="1"/>
              <c:showCatName val="1"/>
            </c:dLbl>
            <c:dLblPos val="outEnd"/>
            <c:showVal val="1"/>
            <c:showCatName val="1"/>
            <c:showLeaderLines val="1"/>
          </c:dLbls>
          <c:cat>
            <c:strRef>
              <c:f>caar_level_result!$B$9:$B$11</c:f>
              <c:strCache>
                <c:ptCount val="3"/>
                <c:pt idx="0">
                  <c:v>Хорошая</c:v>
                </c:pt>
                <c:pt idx="1">
                  <c:v>Плохая</c:v>
                </c:pt>
                <c:pt idx="2">
                  <c:v>Нейтральная</c:v>
                </c:pt>
              </c:strCache>
            </c:strRef>
          </c:cat>
          <c:val>
            <c:numRef>
              <c:f>caar_level_result!$C$9:$C$11</c:f>
              <c:numCache>
                <c:formatCode>General</c:formatCode>
                <c:ptCount val="3"/>
                <c:pt idx="0">
                  <c:v>53</c:v>
                </c:pt>
                <c:pt idx="1">
                  <c:v>34</c:v>
                </c:pt>
                <c:pt idx="2">
                  <c:v>16</c:v>
                </c:pt>
              </c:numCache>
            </c:numRef>
          </c:val>
        </c:ser>
        <c:firstSliceAng val="0"/>
      </c:pieChart>
    </c:plotArea>
    <c:plotVisOnly val="1"/>
    <c:dispBlanksAs val="zero"/>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448862642169732"/>
          <c:y val="7.9178331875182278E-2"/>
          <c:w val="0.79495581802274728"/>
          <c:h val="0.82727981918926807"/>
        </c:manualLayout>
      </c:layout>
      <c:lineChart>
        <c:grouping val="standard"/>
        <c:ser>
          <c:idx val="0"/>
          <c:order val="0"/>
          <c:marker>
            <c:symbol val="none"/>
          </c:marker>
          <c:cat>
            <c:numRef>
              <c:f>'aar_level_result (1)'!$B$8:$L$8</c:f>
              <c:numCache>
                <c:formatCode>General</c:formatCode>
                <c:ptCount val="11"/>
                <c:pt idx="0">
                  <c:v>-5</c:v>
                </c:pt>
                <c:pt idx="1">
                  <c:v>-4</c:v>
                </c:pt>
                <c:pt idx="2">
                  <c:v>-3</c:v>
                </c:pt>
                <c:pt idx="3">
                  <c:v>-2</c:v>
                </c:pt>
                <c:pt idx="4">
                  <c:v>-1</c:v>
                </c:pt>
                <c:pt idx="5">
                  <c:v>0</c:v>
                </c:pt>
                <c:pt idx="6">
                  <c:v>1</c:v>
                </c:pt>
                <c:pt idx="7">
                  <c:v>2</c:v>
                </c:pt>
                <c:pt idx="8">
                  <c:v>3</c:v>
                </c:pt>
                <c:pt idx="9">
                  <c:v>4</c:v>
                </c:pt>
                <c:pt idx="10">
                  <c:v>5</c:v>
                </c:pt>
              </c:numCache>
            </c:numRef>
          </c:cat>
          <c:val>
            <c:numRef>
              <c:f>'aar_level_result (1)'!$B$9:$L$9</c:f>
              <c:numCache>
                <c:formatCode>General</c:formatCode>
                <c:ptCount val="11"/>
                <c:pt idx="0">
                  <c:v>-4.2600000000000034E-3</c:v>
                </c:pt>
                <c:pt idx="1">
                  <c:v>-1.0990000000000003E-2</c:v>
                </c:pt>
                <c:pt idx="2">
                  <c:v>-7.0600000000000124E-3</c:v>
                </c:pt>
                <c:pt idx="3">
                  <c:v>-7.740000000000042E-3</c:v>
                </c:pt>
                <c:pt idx="4">
                  <c:v>-6.5600000000000033E-3</c:v>
                </c:pt>
                <c:pt idx="5">
                  <c:v>-9.6000000000000067E-4</c:v>
                </c:pt>
                <c:pt idx="6">
                  <c:v>-1.5580000000000073E-2</c:v>
                </c:pt>
                <c:pt idx="7">
                  <c:v>-1.6369999999999999E-2</c:v>
                </c:pt>
                <c:pt idx="8">
                  <c:v>-2.3759999999999993E-2</c:v>
                </c:pt>
                <c:pt idx="9">
                  <c:v>-2.8680000000000001E-2</c:v>
                </c:pt>
                <c:pt idx="10">
                  <c:v>-3.3440000000000004E-2</c:v>
                </c:pt>
              </c:numCache>
            </c:numRef>
          </c:val>
        </c:ser>
        <c:hiLowLines/>
        <c:marker val="1"/>
        <c:axId val="159032064"/>
        <c:axId val="159052160"/>
      </c:lineChart>
      <c:catAx>
        <c:axId val="159032064"/>
        <c:scaling>
          <c:orientation val="minMax"/>
        </c:scaling>
        <c:axPos val="b"/>
        <c:title>
          <c:tx>
            <c:rich>
              <a:bodyPr/>
              <a:lstStyle/>
              <a:p>
                <a:pPr>
                  <a:defRPr/>
                </a:pPr>
                <a:r>
                  <a:rPr lang="en-US"/>
                  <a:t>Day of the event window</a:t>
                </a:r>
                <a:endParaRPr lang="ru-RU"/>
              </a:p>
            </c:rich>
          </c:tx>
        </c:title>
        <c:numFmt formatCode="General" sourceLinked="1"/>
        <c:majorTickMark val="none"/>
        <c:tickLblPos val="nextTo"/>
        <c:crossAx val="159052160"/>
        <c:crosses val="autoZero"/>
        <c:auto val="1"/>
        <c:lblAlgn val="ctr"/>
        <c:lblOffset val="100"/>
      </c:catAx>
      <c:valAx>
        <c:axId val="159052160"/>
        <c:scaling>
          <c:orientation val="minMax"/>
        </c:scaling>
        <c:axPos val="l"/>
        <c:majorGridlines/>
        <c:title>
          <c:tx>
            <c:rich>
              <a:bodyPr/>
              <a:lstStyle/>
              <a:p>
                <a:pPr>
                  <a:defRPr/>
                </a:pPr>
                <a:r>
                  <a:rPr lang="en-US" baseline="0"/>
                  <a:t>CAAR</a:t>
                </a:r>
                <a:endParaRPr lang="ru-RU"/>
              </a:p>
            </c:rich>
          </c:tx>
        </c:title>
        <c:numFmt formatCode="General" sourceLinked="1"/>
        <c:tickLblPos val="nextTo"/>
        <c:crossAx val="159032064"/>
        <c:crosses val="autoZero"/>
        <c:crossBetween val="between"/>
      </c:valAx>
    </c:plotArea>
    <c:plotVisOnly val="1"/>
    <c:dispBlanksAs val="gap"/>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marker>
            <c:symbol val="none"/>
          </c:marker>
          <c:cat>
            <c:numRef>
              <c:f>'aar_level_result (1)'!$B$8:$L$8</c:f>
              <c:numCache>
                <c:formatCode>General</c:formatCode>
                <c:ptCount val="11"/>
                <c:pt idx="0">
                  <c:v>-5</c:v>
                </c:pt>
                <c:pt idx="1">
                  <c:v>-4</c:v>
                </c:pt>
                <c:pt idx="2">
                  <c:v>-3</c:v>
                </c:pt>
                <c:pt idx="3">
                  <c:v>-2</c:v>
                </c:pt>
                <c:pt idx="4">
                  <c:v>-1</c:v>
                </c:pt>
                <c:pt idx="5">
                  <c:v>0</c:v>
                </c:pt>
                <c:pt idx="6">
                  <c:v>1</c:v>
                </c:pt>
                <c:pt idx="7">
                  <c:v>2</c:v>
                </c:pt>
                <c:pt idx="8">
                  <c:v>3</c:v>
                </c:pt>
                <c:pt idx="9">
                  <c:v>4</c:v>
                </c:pt>
                <c:pt idx="10">
                  <c:v>5</c:v>
                </c:pt>
              </c:numCache>
            </c:numRef>
          </c:cat>
          <c:val>
            <c:numRef>
              <c:f>'aar_level_result (1)'!$B$11:$L$11</c:f>
              <c:numCache>
                <c:formatCode>General</c:formatCode>
                <c:ptCount val="11"/>
                <c:pt idx="0">
                  <c:v>-7.8000000000000443E-4</c:v>
                </c:pt>
                <c:pt idx="1">
                  <c:v>6.5200000000000024E-3</c:v>
                </c:pt>
                <c:pt idx="2">
                  <c:v>1.1900000000000098E-2</c:v>
                </c:pt>
                <c:pt idx="3">
                  <c:v>9.5500000000000567E-3</c:v>
                </c:pt>
                <c:pt idx="4">
                  <c:v>7.5300000000000471E-3</c:v>
                </c:pt>
                <c:pt idx="5">
                  <c:v>1.2940000000000043E-2</c:v>
                </c:pt>
                <c:pt idx="6">
                  <c:v>1.3320000000000075E-2</c:v>
                </c:pt>
                <c:pt idx="7">
                  <c:v>1.1760000000000088E-2</c:v>
                </c:pt>
                <c:pt idx="8">
                  <c:v>1.013E-2</c:v>
                </c:pt>
                <c:pt idx="9">
                  <c:v>8.1200000000000005E-3</c:v>
                </c:pt>
                <c:pt idx="10">
                  <c:v>6.6100000000000004E-3</c:v>
                </c:pt>
              </c:numCache>
            </c:numRef>
          </c:val>
        </c:ser>
        <c:hiLowLines/>
        <c:marker val="1"/>
        <c:axId val="160175616"/>
        <c:axId val="191688704"/>
      </c:lineChart>
      <c:catAx>
        <c:axId val="160175616"/>
        <c:scaling>
          <c:orientation val="minMax"/>
        </c:scaling>
        <c:axPos val="b"/>
        <c:title>
          <c:tx>
            <c:rich>
              <a:bodyPr/>
              <a:lstStyle/>
              <a:p>
                <a:pPr>
                  <a:defRPr/>
                </a:pPr>
                <a:r>
                  <a:rPr lang="en-US"/>
                  <a:t>Day of the event window</a:t>
                </a:r>
                <a:endParaRPr lang="ru-RU"/>
              </a:p>
            </c:rich>
          </c:tx>
        </c:title>
        <c:numFmt formatCode="General" sourceLinked="1"/>
        <c:majorTickMark val="none"/>
        <c:tickLblPos val="nextTo"/>
        <c:crossAx val="191688704"/>
        <c:crosses val="autoZero"/>
        <c:auto val="1"/>
        <c:lblAlgn val="ctr"/>
        <c:lblOffset val="100"/>
      </c:catAx>
      <c:valAx>
        <c:axId val="191688704"/>
        <c:scaling>
          <c:orientation val="minMax"/>
        </c:scaling>
        <c:axPos val="l"/>
        <c:majorGridlines/>
        <c:title>
          <c:tx>
            <c:rich>
              <a:bodyPr/>
              <a:lstStyle/>
              <a:p>
                <a:pPr>
                  <a:defRPr/>
                </a:pPr>
                <a:r>
                  <a:rPr lang="en-US"/>
                  <a:t>CAAR</a:t>
                </a:r>
              </a:p>
            </c:rich>
          </c:tx>
        </c:title>
        <c:numFmt formatCode="General" sourceLinked="1"/>
        <c:tickLblPos val="nextTo"/>
        <c:crossAx val="160175616"/>
        <c:crosses val="autoZero"/>
        <c:crossBetween val="between"/>
      </c:valAx>
    </c:plotArea>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'aar_level_result (2)'!$A$10</c:f>
              <c:strCache>
                <c:ptCount val="1"/>
                <c:pt idx="0">
                  <c:v>Химическое производство</c:v>
                </c:pt>
              </c:strCache>
            </c:strRef>
          </c:tx>
          <c:marker>
            <c:symbol val="none"/>
          </c:marker>
          <c:cat>
            <c:numRef>
              <c:f>'aar_level_result (2)'!$B$9:$L$9</c:f>
              <c:numCache>
                <c:formatCode>General</c:formatCode>
                <c:ptCount val="11"/>
                <c:pt idx="0">
                  <c:v>-5</c:v>
                </c:pt>
                <c:pt idx="1">
                  <c:v>-4</c:v>
                </c:pt>
                <c:pt idx="2">
                  <c:v>-3</c:v>
                </c:pt>
                <c:pt idx="3">
                  <c:v>-2</c:v>
                </c:pt>
                <c:pt idx="4">
                  <c:v>-1</c:v>
                </c:pt>
                <c:pt idx="5">
                  <c:v>0</c:v>
                </c:pt>
                <c:pt idx="6">
                  <c:v>1</c:v>
                </c:pt>
                <c:pt idx="7">
                  <c:v>2</c:v>
                </c:pt>
                <c:pt idx="8">
                  <c:v>3</c:v>
                </c:pt>
                <c:pt idx="9">
                  <c:v>4</c:v>
                </c:pt>
                <c:pt idx="10">
                  <c:v>5</c:v>
                </c:pt>
              </c:numCache>
            </c:numRef>
          </c:cat>
          <c:val>
            <c:numRef>
              <c:f>'aar_level_result (2)'!$B$10:$L$10</c:f>
              <c:numCache>
                <c:formatCode>General</c:formatCode>
                <c:ptCount val="11"/>
                <c:pt idx="0">
                  <c:v>-3.6100000000000012E-3</c:v>
                </c:pt>
                <c:pt idx="1">
                  <c:v>-1.0940000000000043E-2</c:v>
                </c:pt>
                <c:pt idx="2">
                  <c:v>-9.9600000000000695E-3</c:v>
                </c:pt>
                <c:pt idx="3">
                  <c:v>-8.1600000000000266E-3</c:v>
                </c:pt>
                <c:pt idx="4">
                  <c:v>-6.7400000000000133E-3</c:v>
                </c:pt>
                <c:pt idx="5">
                  <c:v>-2.4E-2</c:v>
                </c:pt>
                <c:pt idx="6">
                  <c:v>-7.6990000000000003E-2</c:v>
                </c:pt>
                <c:pt idx="7">
                  <c:v>-8.1480000000000011E-2</c:v>
                </c:pt>
                <c:pt idx="8">
                  <c:v>-7.6859999999999998E-2</c:v>
                </c:pt>
                <c:pt idx="9">
                  <c:v>-8.6080000000000004E-2</c:v>
                </c:pt>
                <c:pt idx="10">
                  <c:v>-0.11219000000000012</c:v>
                </c:pt>
              </c:numCache>
            </c:numRef>
          </c:val>
        </c:ser>
        <c:ser>
          <c:idx val="1"/>
          <c:order val="1"/>
          <c:tx>
            <c:strRef>
              <c:f>'aar_level_result (2)'!$A$11</c:f>
              <c:strCache>
                <c:ptCount val="1"/>
                <c:pt idx="0">
                  <c:v>Добыча топливно-энергетических полезных ископаемых</c:v>
                </c:pt>
              </c:strCache>
            </c:strRef>
          </c:tx>
          <c:marker>
            <c:symbol val="none"/>
          </c:marker>
          <c:cat>
            <c:numRef>
              <c:f>'aar_level_result (2)'!$B$9:$L$9</c:f>
              <c:numCache>
                <c:formatCode>General</c:formatCode>
                <c:ptCount val="11"/>
                <c:pt idx="0">
                  <c:v>-5</c:v>
                </c:pt>
                <c:pt idx="1">
                  <c:v>-4</c:v>
                </c:pt>
                <c:pt idx="2">
                  <c:v>-3</c:v>
                </c:pt>
                <c:pt idx="3">
                  <c:v>-2</c:v>
                </c:pt>
                <c:pt idx="4">
                  <c:v>-1</c:v>
                </c:pt>
                <c:pt idx="5">
                  <c:v>0</c:v>
                </c:pt>
                <c:pt idx="6">
                  <c:v>1</c:v>
                </c:pt>
                <c:pt idx="7">
                  <c:v>2</c:v>
                </c:pt>
                <c:pt idx="8">
                  <c:v>3</c:v>
                </c:pt>
                <c:pt idx="9">
                  <c:v>4</c:v>
                </c:pt>
                <c:pt idx="10">
                  <c:v>5</c:v>
                </c:pt>
              </c:numCache>
            </c:numRef>
          </c:cat>
          <c:val>
            <c:numRef>
              <c:f>'aar_level_result (2)'!$B$11:$L$11</c:f>
              <c:numCache>
                <c:formatCode>General</c:formatCode>
                <c:ptCount val="11"/>
                <c:pt idx="0">
                  <c:v>9.9700000000000708E-3</c:v>
                </c:pt>
                <c:pt idx="1">
                  <c:v>3.3600000000000092E-3</c:v>
                </c:pt>
                <c:pt idx="2">
                  <c:v>4.2499999999999994E-3</c:v>
                </c:pt>
                <c:pt idx="3">
                  <c:v>-3.4000000000000172E-3</c:v>
                </c:pt>
                <c:pt idx="4">
                  <c:v>-1.8400000000000124E-3</c:v>
                </c:pt>
                <c:pt idx="5">
                  <c:v>-3.3600000000000092E-3</c:v>
                </c:pt>
                <c:pt idx="6">
                  <c:v>-3.9600000000000052E-3</c:v>
                </c:pt>
                <c:pt idx="7">
                  <c:v>-7.2700000000000516E-3</c:v>
                </c:pt>
                <c:pt idx="8">
                  <c:v>-9.5200000000000007E-3</c:v>
                </c:pt>
                <c:pt idx="9">
                  <c:v>-2.3640000000000001E-2</c:v>
                </c:pt>
                <c:pt idx="10">
                  <c:v>-2.8670000000000011E-2</c:v>
                </c:pt>
              </c:numCache>
            </c:numRef>
          </c:val>
        </c:ser>
        <c:ser>
          <c:idx val="2"/>
          <c:order val="2"/>
          <c:tx>
            <c:strRef>
              <c:f>'aar_level_result (2)'!$A$12</c:f>
              <c:strCache>
                <c:ptCount val="1"/>
                <c:pt idx="0">
                  <c:v>Добыча полезных ископаемых, кроме топливно-энергетических</c:v>
                </c:pt>
              </c:strCache>
            </c:strRef>
          </c:tx>
          <c:marker>
            <c:symbol val="none"/>
          </c:marker>
          <c:cat>
            <c:numRef>
              <c:f>'aar_level_result (2)'!$B$9:$L$9</c:f>
              <c:numCache>
                <c:formatCode>General</c:formatCode>
                <c:ptCount val="11"/>
                <c:pt idx="0">
                  <c:v>-5</c:v>
                </c:pt>
                <c:pt idx="1">
                  <c:v>-4</c:v>
                </c:pt>
                <c:pt idx="2">
                  <c:v>-3</c:v>
                </c:pt>
                <c:pt idx="3">
                  <c:v>-2</c:v>
                </c:pt>
                <c:pt idx="4">
                  <c:v>-1</c:v>
                </c:pt>
                <c:pt idx="5">
                  <c:v>0</c:v>
                </c:pt>
                <c:pt idx="6">
                  <c:v>1</c:v>
                </c:pt>
                <c:pt idx="7">
                  <c:v>2</c:v>
                </c:pt>
                <c:pt idx="8">
                  <c:v>3</c:v>
                </c:pt>
                <c:pt idx="9">
                  <c:v>4</c:v>
                </c:pt>
                <c:pt idx="10">
                  <c:v>5</c:v>
                </c:pt>
              </c:numCache>
            </c:numRef>
          </c:cat>
          <c:val>
            <c:numRef>
              <c:f>'aar_level_result (2)'!$B$12:$L$12</c:f>
              <c:numCache>
                <c:formatCode>General</c:formatCode>
                <c:ptCount val="11"/>
                <c:pt idx="0">
                  <c:v>-1.736E-2</c:v>
                </c:pt>
                <c:pt idx="1">
                  <c:v>-2.7520000000000006E-2</c:v>
                </c:pt>
                <c:pt idx="2">
                  <c:v>-1.9900000000000136E-2</c:v>
                </c:pt>
                <c:pt idx="3">
                  <c:v>-5.6400000000000113E-3</c:v>
                </c:pt>
                <c:pt idx="4">
                  <c:v>9.3900000000000268E-3</c:v>
                </c:pt>
                <c:pt idx="5">
                  <c:v>4.1289999999999966E-2</c:v>
                </c:pt>
                <c:pt idx="6">
                  <c:v>1.5879999999999995E-2</c:v>
                </c:pt>
                <c:pt idx="7">
                  <c:v>1.4549999999999992E-2</c:v>
                </c:pt>
                <c:pt idx="8">
                  <c:v>-3.3270000000000015E-2</c:v>
                </c:pt>
                <c:pt idx="9">
                  <c:v>-3.8290000000000005E-2</c:v>
                </c:pt>
                <c:pt idx="10">
                  <c:v>-2.8290000000000006E-2</c:v>
                </c:pt>
              </c:numCache>
            </c:numRef>
          </c:val>
        </c:ser>
        <c:ser>
          <c:idx val="3"/>
          <c:order val="3"/>
          <c:tx>
            <c:strRef>
              <c:f>'aar_level_result (2)'!$A$13</c:f>
              <c:strCache>
                <c:ptCount val="1"/>
                <c:pt idx="0">
                  <c:v>Металлургическое производство</c:v>
                </c:pt>
              </c:strCache>
            </c:strRef>
          </c:tx>
          <c:marker>
            <c:symbol val="none"/>
          </c:marker>
          <c:cat>
            <c:numRef>
              <c:f>'aar_level_result (2)'!$B$9:$L$9</c:f>
              <c:numCache>
                <c:formatCode>General</c:formatCode>
                <c:ptCount val="11"/>
                <c:pt idx="0">
                  <c:v>-5</c:v>
                </c:pt>
                <c:pt idx="1">
                  <c:v>-4</c:v>
                </c:pt>
                <c:pt idx="2">
                  <c:v>-3</c:v>
                </c:pt>
                <c:pt idx="3">
                  <c:v>-2</c:v>
                </c:pt>
                <c:pt idx="4">
                  <c:v>-1</c:v>
                </c:pt>
                <c:pt idx="5">
                  <c:v>0</c:v>
                </c:pt>
                <c:pt idx="6">
                  <c:v>1</c:v>
                </c:pt>
                <c:pt idx="7">
                  <c:v>2</c:v>
                </c:pt>
                <c:pt idx="8">
                  <c:v>3</c:v>
                </c:pt>
                <c:pt idx="9">
                  <c:v>4</c:v>
                </c:pt>
                <c:pt idx="10">
                  <c:v>5</c:v>
                </c:pt>
              </c:numCache>
            </c:numRef>
          </c:cat>
          <c:val>
            <c:numRef>
              <c:f>'aar_level_result (2)'!$B$13:$L$13</c:f>
              <c:numCache>
                <c:formatCode>General</c:formatCode>
                <c:ptCount val="11"/>
                <c:pt idx="0">
                  <c:v>-2.2600000000000194E-3</c:v>
                </c:pt>
                <c:pt idx="1">
                  <c:v>-1.2539999999999996E-2</c:v>
                </c:pt>
                <c:pt idx="2">
                  <c:v>-7.0200000000000123E-3</c:v>
                </c:pt>
                <c:pt idx="3">
                  <c:v>-1.4409999999999996E-2</c:v>
                </c:pt>
                <c:pt idx="4">
                  <c:v>-1.1120000000000001E-2</c:v>
                </c:pt>
                <c:pt idx="5">
                  <c:v>-1.227E-2</c:v>
                </c:pt>
                <c:pt idx="6">
                  <c:v>-1.4630000000000001E-2</c:v>
                </c:pt>
                <c:pt idx="7">
                  <c:v>-1.0870000000000001E-2</c:v>
                </c:pt>
                <c:pt idx="8">
                  <c:v>-1.2020000000000001E-2</c:v>
                </c:pt>
                <c:pt idx="9">
                  <c:v>-1.5710000000000005E-2</c:v>
                </c:pt>
                <c:pt idx="10">
                  <c:v>-2.1159999999999998E-2</c:v>
                </c:pt>
              </c:numCache>
            </c:numRef>
          </c:val>
        </c:ser>
        <c:marker val="1"/>
        <c:axId val="187571584"/>
        <c:axId val="191301120"/>
      </c:lineChart>
      <c:catAx>
        <c:axId val="187571584"/>
        <c:scaling>
          <c:orientation val="minMax"/>
        </c:scaling>
        <c:axPos val="b"/>
        <c:title>
          <c:tx>
            <c:rich>
              <a:bodyPr/>
              <a:lstStyle/>
              <a:p>
                <a:pPr>
                  <a:defRPr/>
                </a:pPr>
                <a:r>
                  <a:rPr lang="ru-RU"/>
                  <a:t>День</a:t>
                </a:r>
                <a:r>
                  <a:rPr lang="ru-RU" baseline="0"/>
                  <a:t> событийного окна</a:t>
                </a:r>
                <a:endParaRPr lang="ru-RU"/>
              </a:p>
            </c:rich>
          </c:tx>
        </c:title>
        <c:numFmt formatCode="General" sourceLinked="1"/>
        <c:majorTickMark val="none"/>
        <c:tickLblPos val="nextTo"/>
        <c:crossAx val="191301120"/>
        <c:crosses val="autoZero"/>
        <c:auto val="1"/>
        <c:lblAlgn val="ctr"/>
        <c:lblOffset val="100"/>
      </c:catAx>
      <c:valAx>
        <c:axId val="191301120"/>
        <c:scaling>
          <c:orientation val="minMax"/>
        </c:scaling>
        <c:axPos val="l"/>
        <c:majorGridlines/>
        <c:title>
          <c:tx>
            <c:rich>
              <a:bodyPr/>
              <a:lstStyle/>
              <a:p>
                <a:pPr>
                  <a:defRPr/>
                </a:pPr>
                <a:r>
                  <a:rPr lang="ru-RU"/>
                  <a:t>Кумулятивные усреднённые избыточные доходности, </a:t>
                </a:r>
                <a:r>
                  <a:rPr lang="en-US"/>
                  <a:t>CARR</a:t>
                </a:r>
                <a:endParaRPr lang="ru-RU"/>
              </a:p>
            </c:rich>
          </c:tx>
        </c:title>
        <c:numFmt formatCode="General" sourceLinked="1"/>
        <c:tickLblPos val="nextTo"/>
        <c:crossAx val="187571584"/>
        <c:crosses val="autoZero"/>
        <c:crossBetween val="between"/>
      </c:valAx>
    </c:plotArea>
    <c:legend>
      <c:legendPos val="r"/>
    </c:legend>
    <c:plotVisOnly val="1"/>
    <c:dispBlanksAs val="gap"/>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cat>
            <c:numRef>
              <c:f>'aar_level_result (2)'!$B$9:$L$9</c:f>
              <c:numCache>
                <c:formatCode>General</c:formatCode>
                <c:ptCount val="11"/>
                <c:pt idx="0">
                  <c:v>-5</c:v>
                </c:pt>
                <c:pt idx="1">
                  <c:v>-4</c:v>
                </c:pt>
                <c:pt idx="2">
                  <c:v>-3</c:v>
                </c:pt>
                <c:pt idx="3">
                  <c:v>-2</c:v>
                </c:pt>
                <c:pt idx="4">
                  <c:v>-1</c:v>
                </c:pt>
                <c:pt idx="5">
                  <c:v>0</c:v>
                </c:pt>
                <c:pt idx="6">
                  <c:v>1</c:v>
                </c:pt>
                <c:pt idx="7">
                  <c:v>2</c:v>
                </c:pt>
                <c:pt idx="8">
                  <c:v>3</c:v>
                </c:pt>
                <c:pt idx="9">
                  <c:v>4</c:v>
                </c:pt>
                <c:pt idx="10">
                  <c:v>5</c:v>
                </c:pt>
              </c:numCache>
            </c:numRef>
          </c:cat>
          <c:val>
            <c:numRef>
              <c:f>'aar_level_result (2)'!$B$2:$L$2</c:f>
              <c:numCache>
                <c:formatCode>General</c:formatCode>
                <c:ptCount val="11"/>
                <c:pt idx="0">
                  <c:v>-3.6100000000000012E-3</c:v>
                </c:pt>
                <c:pt idx="1">
                  <c:v>-7.330000000000037E-3</c:v>
                </c:pt>
                <c:pt idx="2">
                  <c:v>9.8000000000000821E-4</c:v>
                </c:pt>
                <c:pt idx="3">
                  <c:v>1.8000000000000108E-3</c:v>
                </c:pt>
                <c:pt idx="4">
                  <c:v>1.4200000000000061E-3</c:v>
                </c:pt>
                <c:pt idx="5">
                  <c:v>-1.7260000000000001E-2</c:v>
                </c:pt>
                <c:pt idx="6">
                  <c:v>-5.2990000000000113E-2</c:v>
                </c:pt>
                <c:pt idx="7">
                  <c:v>-4.4900000000000113E-3</c:v>
                </c:pt>
                <c:pt idx="8">
                  <c:v>4.62E-3</c:v>
                </c:pt>
                <c:pt idx="9">
                  <c:v>-9.2200000000000008E-3</c:v>
                </c:pt>
                <c:pt idx="10">
                  <c:v>-2.6110000000000001E-2</c:v>
                </c:pt>
              </c:numCache>
            </c:numRef>
          </c:val>
        </c:ser>
        <c:gapWidth val="300"/>
        <c:axId val="187692160"/>
        <c:axId val="187694080"/>
      </c:barChart>
      <c:catAx>
        <c:axId val="187692160"/>
        <c:scaling>
          <c:orientation val="minMax"/>
        </c:scaling>
        <c:axPos val="b"/>
        <c:title>
          <c:tx>
            <c:rich>
              <a:bodyPr/>
              <a:lstStyle/>
              <a:p>
                <a:pPr>
                  <a:defRPr/>
                </a:pPr>
                <a:r>
                  <a:rPr lang="ru-RU"/>
                  <a:t>День событийного окна</a:t>
                </a:r>
              </a:p>
            </c:rich>
          </c:tx>
        </c:title>
        <c:numFmt formatCode="General" sourceLinked="1"/>
        <c:majorTickMark val="none"/>
        <c:tickLblPos val="nextTo"/>
        <c:crossAx val="187694080"/>
        <c:crosses val="autoZero"/>
        <c:auto val="1"/>
        <c:lblAlgn val="ctr"/>
        <c:lblOffset val="100"/>
      </c:catAx>
      <c:valAx>
        <c:axId val="187694080"/>
        <c:scaling>
          <c:orientation val="minMax"/>
        </c:scaling>
        <c:axPos val="l"/>
        <c:majorGridlines/>
        <c:title>
          <c:tx>
            <c:rich>
              <a:bodyPr/>
              <a:lstStyle/>
              <a:p>
                <a:pPr>
                  <a:defRPr/>
                </a:pPr>
                <a:r>
                  <a:rPr lang="ru-RU"/>
                  <a:t>Средняя избыточная доходность</a:t>
                </a:r>
              </a:p>
            </c:rich>
          </c:tx>
        </c:title>
        <c:numFmt formatCode="General" sourceLinked="1"/>
        <c:tickLblPos val="nextTo"/>
        <c:crossAx val="187692160"/>
        <c:crosses val="autoZero"/>
        <c:crossBetween val="between"/>
      </c:valAx>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cat>
            <c:numRef>
              <c:f>'aar_level_result (2)'!$B$9:$L$9</c:f>
              <c:numCache>
                <c:formatCode>General</c:formatCode>
                <c:ptCount val="11"/>
                <c:pt idx="0">
                  <c:v>-5</c:v>
                </c:pt>
                <c:pt idx="1">
                  <c:v>-4</c:v>
                </c:pt>
                <c:pt idx="2">
                  <c:v>-3</c:v>
                </c:pt>
                <c:pt idx="3">
                  <c:v>-2</c:v>
                </c:pt>
                <c:pt idx="4">
                  <c:v>-1</c:v>
                </c:pt>
                <c:pt idx="5">
                  <c:v>0</c:v>
                </c:pt>
                <c:pt idx="6">
                  <c:v>1</c:v>
                </c:pt>
                <c:pt idx="7">
                  <c:v>2</c:v>
                </c:pt>
                <c:pt idx="8">
                  <c:v>3</c:v>
                </c:pt>
                <c:pt idx="9">
                  <c:v>4</c:v>
                </c:pt>
                <c:pt idx="10">
                  <c:v>5</c:v>
                </c:pt>
              </c:numCache>
            </c:numRef>
          </c:cat>
          <c:val>
            <c:numRef>
              <c:f>'aar_level_result (2)'!$B$4:$L$4</c:f>
              <c:numCache>
                <c:formatCode>General</c:formatCode>
                <c:ptCount val="11"/>
                <c:pt idx="0">
                  <c:v>-1.736E-2</c:v>
                </c:pt>
                <c:pt idx="1">
                  <c:v>-1.0160000000000001E-2</c:v>
                </c:pt>
                <c:pt idx="2">
                  <c:v>7.6200000000000104E-3</c:v>
                </c:pt>
                <c:pt idx="3">
                  <c:v>1.426E-2</c:v>
                </c:pt>
                <c:pt idx="4">
                  <c:v>1.503E-2</c:v>
                </c:pt>
                <c:pt idx="5">
                  <c:v>3.1900000000000005E-2</c:v>
                </c:pt>
                <c:pt idx="6">
                  <c:v>-2.5410000000000002E-2</c:v>
                </c:pt>
                <c:pt idx="7">
                  <c:v>-1.3300000000000091E-3</c:v>
                </c:pt>
                <c:pt idx="8">
                  <c:v>-4.7820000000000022E-2</c:v>
                </c:pt>
                <c:pt idx="9">
                  <c:v>-5.0200000000000002E-3</c:v>
                </c:pt>
                <c:pt idx="10">
                  <c:v>1.0000000000000005E-2</c:v>
                </c:pt>
              </c:numCache>
            </c:numRef>
          </c:val>
        </c:ser>
        <c:gapWidth val="300"/>
        <c:axId val="191322368"/>
        <c:axId val="191332736"/>
      </c:barChart>
      <c:catAx>
        <c:axId val="191322368"/>
        <c:scaling>
          <c:orientation val="minMax"/>
        </c:scaling>
        <c:axPos val="b"/>
        <c:title>
          <c:tx>
            <c:rich>
              <a:bodyPr/>
              <a:lstStyle/>
              <a:p>
                <a:pPr>
                  <a:defRPr/>
                </a:pPr>
                <a:r>
                  <a:rPr lang="ru-RU"/>
                  <a:t>День событийного окна</a:t>
                </a:r>
              </a:p>
            </c:rich>
          </c:tx>
        </c:title>
        <c:numFmt formatCode="General" sourceLinked="1"/>
        <c:majorTickMark val="none"/>
        <c:tickLblPos val="nextTo"/>
        <c:crossAx val="191332736"/>
        <c:crosses val="autoZero"/>
        <c:auto val="1"/>
        <c:lblAlgn val="ctr"/>
        <c:lblOffset val="100"/>
      </c:catAx>
      <c:valAx>
        <c:axId val="191332736"/>
        <c:scaling>
          <c:orientation val="minMax"/>
        </c:scaling>
        <c:axPos val="l"/>
        <c:majorGridlines/>
        <c:title>
          <c:tx>
            <c:rich>
              <a:bodyPr/>
              <a:lstStyle/>
              <a:p>
                <a:pPr>
                  <a:defRPr/>
                </a:pPr>
                <a:r>
                  <a:rPr lang="ru-RU"/>
                  <a:t>Средняя избыточная доходность</a:t>
                </a:r>
              </a:p>
            </c:rich>
          </c:tx>
        </c:title>
        <c:numFmt formatCode="General" sourceLinked="1"/>
        <c:tickLblPos val="nextTo"/>
        <c:crossAx val="191322368"/>
        <c:crosses val="autoZero"/>
        <c:crossBetween val="between"/>
      </c:valAx>
    </c:plotArea>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6E0D8-4A1D-439E-81B2-11BD708AF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6877</Words>
  <Characters>39205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dc:creator>
  <cp:lastModifiedBy>Key</cp:lastModifiedBy>
  <cp:revision>2</cp:revision>
  <dcterms:created xsi:type="dcterms:W3CDTF">2014-09-17T07:44:00Z</dcterms:created>
  <dcterms:modified xsi:type="dcterms:W3CDTF">2014-09-17T07:44:00Z</dcterms:modified>
</cp:coreProperties>
</file>