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C1" w:rsidRPr="00BB2D23" w:rsidRDefault="00F077C1" w:rsidP="00F077C1">
      <w:pPr>
        <w:spacing w:line="360" w:lineRule="auto"/>
        <w:jc w:val="center"/>
        <w:rPr>
          <w:rFonts w:ascii="Times New Roman" w:hAnsi="Times New Roman"/>
          <w:b/>
          <w:sz w:val="28"/>
          <w:szCs w:val="28"/>
          <w:lang w:val="en-US"/>
        </w:rPr>
      </w:pPr>
      <w:bookmarkStart w:id="0" w:name="_GoBack"/>
      <w:bookmarkEnd w:id="0"/>
      <w:r w:rsidRPr="00BB2D23">
        <w:rPr>
          <w:rFonts w:ascii="Times New Roman" w:hAnsi="Times New Roman"/>
          <w:b/>
          <w:sz w:val="28"/>
          <w:szCs w:val="28"/>
          <w:lang w:val="en-US"/>
        </w:rPr>
        <w:t>Russia and non-traditional security challenges in the contemporary world</w:t>
      </w:r>
    </w:p>
    <w:p w:rsidR="00F077C1" w:rsidRPr="00BB2D23" w:rsidRDefault="00F077C1" w:rsidP="00F077C1">
      <w:pPr>
        <w:spacing w:line="360" w:lineRule="auto"/>
        <w:jc w:val="both"/>
        <w:rPr>
          <w:rFonts w:ascii="Times New Roman" w:hAnsi="Times New Roman"/>
          <w:b/>
          <w:i/>
          <w:sz w:val="24"/>
          <w:szCs w:val="24"/>
          <w:lang w:val="en-US"/>
        </w:rPr>
      </w:pPr>
      <w:r w:rsidRPr="00BB2D23">
        <w:rPr>
          <w:rFonts w:ascii="Times New Roman" w:hAnsi="Times New Roman"/>
          <w:b/>
          <w:i/>
          <w:sz w:val="24"/>
          <w:szCs w:val="24"/>
          <w:lang w:val="en-US"/>
        </w:rPr>
        <w:t xml:space="preserve">Course syllabus </w:t>
      </w:r>
    </w:p>
    <w:p w:rsidR="00F077C1" w:rsidRPr="00A54F2A" w:rsidRDefault="00F077C1" w:rsidP="00F077C1">
      <w:pPr>
        <w:spacing w:line="360" w:lineRule="auto"/>
        <w:jc w:val="both"/>
        <w:rPr>
          <w:rFonts w:ascii="Times New Roman" w:hAnsi="Times New Roman"/>
          <w:sz w:val="24"/>
          <w:szCs w:val="24"/>
          <w:lang w:val="en-US"/>
        </w:rPr>
      </w:pPr>
      <w:r w:rsidRPr="00A54F2A">
        <w:rPr>
          <w:rFonts w:ascii="Times New Roman" w:hAnsi="Times New Roman"/>
          <w:sz w:val="24"/>
          <w:szCs w:val="24"/>
          <w:lang w:val="en-US"/>
        </w:rPr>
        <w:t>Global security is undergoing profound changes with implications for</w:t>
      </w:r>
      <w:r>
        <w:rPr>
          <w:rFonts w:ascii="Times New Roman" w:hAnsi="Times New Roman"/>
          <w:sz w:val="24"/>
          <w:szCs w:val="24"/>
          <w:lang w:val="en-US"/>
        </w:rPr>
        <w:t xml:space="preserve"> the</w:t>
      </w:r>
      <w:r w:rsidRPr="00A54F2A">
        <w:rPr>
          <w:rFonts w:ascii="Times New Roman" w:hAnsi="Times New Roman"/>
          <w:sz w:val="24"/>
          <w:szCs w:val="24"/>
          <w:lang w:val="en-US"/>
        </w:rPr>
        <w:t xml:space="preserve"> </w:t>
      </w:r>
      <w:r>
        <w:rPr>
          <w:rFonts w:ascii="Times New Roman" w:hAnsi="Times New Roman"/>
          <w:sz w:val="24"/>
          <w:szCs w:val="24"/>
          <w:lang w:val="en-US"/>
        </w:rPr>
        <w:t xml:space="preserve">global and the regional milieu. </w:t>
      </w:r>
      <w:r w:rsidRPr="00A54F2A">
        <w:rPr>
          <w:rFonts w:ascii="Times New Roman" w:hAnsi="Times New Roman"/>
          <w:sz w:val="24"/>
          <w:szCs w:val="24"/>
          <w:lang w:val="en-US"/>
        </w:rPr>
        <w:t>Under these circumstances, combating non-traditional security challenges remain</w:t>
      </w:r>
      <w:r>
        <w:rPr>
          <w:rFonts w:ascii="Times New Roman" w:hAnsi="Times New Roman"/>
          <w:sz w:val="24"/>
          <w:szCs w:val="24"/>
          <w:lang w:val="en-US"/>
        </w:rPr>
        <w:t>s</w:t>
      </w:r>
      <w:r w:rsidRPr="00A54F2A">
        <w:rPr>
          <w:rFonts w:ascii="Times New Roman" w:hAnsi="Times New Roman"/>
          <w:sz w:val="24"/>
          <w:szCs w:val="24"/>
          <w:lang w:val="en-US"/>
        </w:rPr>
        <w:t xml:space="preserve"> the only sphere of cooperation with a consolidating effect. </w:t>
      </w:r>
    </w:p>
    <w:p w:rsidR="00F077C1" w:rsidRDefault="00F077C1" w:rsidP="00F077C1">
      <w:pPr>
        <w:spacing w:line="360" w:lineRule="auto"/>
        <w:jc w:val="both"/>
        <w:rPr>
          <w:rFonts w:ascii="Times New Roman" w:hAnsi="Times New Roman"/>
          <w:sz w:val="24"/>
          <w:szCs w:val="24"/>
          <w:lang w:val="en-US"/>
        </w:rPr>
      </w:pPr>
      <w:r w:rsidRPr="00A54F2A">
        <w:rPr>
          <w:rFonts w:ascii="Times New Roman" w:hAnsi="Times New Roman"/>
          <w:sz w:val="24"/>
          <w:szCs w:val="24"/>
          <w:lang w:val="en-US"/>
        </w:rPr>
        <w:t xml:space="preserve">The course addresses a number of salient non-traditional security issues at the global </w:t>
      </w:r>
      <w:r>
        <w:rPr>
          <w:rFonts w:ascii="Times New Roman" w:hAnsi="Times New Roman"/>
          <w:sz w:val="24"/>
          <w:szCs w:val="24"/>
          <w:lang w:val="en-US"/>
        </w:rPr>
        <w:t xml:space="preserve">and the regional </w:t>
      </w:r>
      <w:r w:rsidRPr="00A54F2A">
        <w:rPr>
          <w:rFonts w:ascii="Times New Roman" w:hAnsi="Times New Roman"/>
          <w:sz w:val="24"/>
          <w:szCs w:val="24"/>
          <w:lang w:val="en-US"/>
        </w:rPr>
        <w:t>level</w:t>
      </w:r>
      <w:r>
        <w:rPr>
          <w:rFonts w:ascii="Times New Roman" w:hAnsi="Times New Roman"/>
          <w:sz w:val="24"/>
          <w:szCs w:val="24"/>
          <w:lang w:val="en-US"/>
        </w:rPr>
        <w:t xml:space="preserve">. </w:t>
      </w:r>
      <w:r w:rsidRPr="00A54F2A">
        <w:rPr>
          <w:rFonts w:ascii="Times New Roman" w:hAnsi="Times New Roman"/>
          <w:sz w:val="24"/>
          <w:szCs w:val="24"/>
          <w:lang w:val="en-US"/>
        </w:rPr>
        <w:t xml:space="preserve">It encourages students’ conceptual thinking on what should be done in order to maintain the cooperative paradigm in relations between key global actors against the current advent of the “Cold War: 2.0.”. </w:t>
      </w:r>
    </w:p>
    <w:p w:rsidR="00F077C1" w:rsidRPr="00DE7C12" w:rsidRDefault="00F077C1" w:rsidP="00F077C1">
      <w:pPr>
        <w:spacing w:line="360" w:lineRule="auto"/>
        <w:jc w:val="both"/>
        <w:rPr>
          <w:rFonts w:ascii="Times New Roman" w:hAnsi="Times New Roman"/>
          <w:sz w:val="24"/>
          <w:szCs w:val="24"/>
          <w:lang w:val="en-US"/>
        </w:rPr>
      </w:pPr>
      <w:r w:rsidRPr="00DE7C12">
        <w:rPr>
          <w:rFonts w:ascii="Times New Roman" w:hAnsi="Times New Roman"/>
          <w:sz w:val="24"/>
          <w:szCs w:val="24"/>
          <w:lang w:val="en-US"/>
        </w:rPr>
        <w:t>The course</w:t>
      </w:r>
      <w:r>
        <w:rPr>
          <w:rFonts w:ascii="Times New Roman" w:hAnsi="Times New Roman"/>
          <w:sz w:val="24"/>
          <w:szCs w:val="24"/>
          <w:lang w:val="en-US"/>
        </w:rPr>
        <w:t xml:space="preserve"> runs 16 hours. It</w:t>
      </w:r>
      <w:r w:rsidRPr="00DE7C12">
        <w:rPr>
          <w:rFonts w:ascii="Times New Roman" w:hAnsi="Times New Roman"/>
          <w:sz w:val="24"/>
          <w:szCs w:val="24"/>
          <w:lang w:val="en-US"/>
        </w:rPr>
        <w:t xml:space="preserve"> is taught by Russian scholars who specialize in global and regional security issues and provide government agencies with recommendations on appropriate responses to security challenges including non-traditional ones the country has to deal with. This reading list is meant to provide students with a comprehensive overview of the issues raised and discussed.  </w:t>
      </w:r>
    </w:p>
    <w:p w:rsidR="00F077C1" w:rsidRPr="00426C22" w:rsidRDefault="00F077C1" w:rsidP="00F077C1">
      <w:pPr>
        <w:spacing w:line="360" w:lineRule="auto"/>
        <w:jc w:val="both"/>
        <w:rPr>
          <w:rFonts w:ascii="Times New Roman" w:hAnsi="Times New Roman"/>
          <w:b/>
          <w:i/>
          <w:sz w:val="24"/>
          <w:szCs w:val="24"/>
          <w:lang w:val="en-US"/>
        </w:rPr>
      </w:pPr>
      <w:r>
        <w:rPr>
          <w:rFonts w:ascii="Arial" w:hAnsi="Arial" w:cs="Arial"/>
          <w:sz w:val="24"/>
          <w:szCs w:val="24"/>
          <w:lang w:val="en-US"/>
        </w:rPr>
        <w:t xml:space="preserve"> </w:t>
      </w:r>
      <w:r w:rsidRPr="00D032DF">
        <w:rPr>
          <w:rFonts w:ascii="Times New Roman" w:hAnsi="Times New Roman"/>
          <w:b/>
          <w:i/>
          <w:sz w:val="24"/>
          <w:szCs w:val="24"/>
          <w:highlight w:val="yellow"/>
          <w:lang w:val="en-US"/>
        </w:rPr>
        <w:t>Kanaev. Non-traditional security challenges in Russia’s Asia-Pacific policy.</w:t>
      </w:r>
      <w:r w:rsidRPr="00426C22">
        <w:rPr>
          <w:rFonts w:ascii="Times New Roman" w:hAnsi="Times New Roman"/>
          <w:b/>
          <w:i/>
          <w:sz w:val="24"/>
          <w:szCs w:val="24"/>
          <w:lang w:val="en-US"/>
        </w:rPr>
        <w:t xml:space="preserve"> </w:t>
      </w:r>
    </w:p>
    <w:p w:rsidR="00F077C1" w:rsidRPr="00426C22" w:rsidRDefault="00F077C1" w:rsidP="00F077C1">
      <w:pPr>
        <w:spacing w:line="360" w:lineRule="auto"/>
        <w:jc w:val="both"/>
        <w:rPr>
          <w:rFonts w:ascii="Times New Roman" w:hAnsi="Times New Roman"/>
          <w:sz w:val="24"/>
          <w:szCs w:val="24"/>
          <w:lang w:val="en-US"/>
        </w:rPr>
      </w:pPr>
      <w:r w:rsidRPr="00426C22">
        <w:rPr>
          <w:rFonts w:ascii="Times New Roman" w:hAnsi="Times New Roman"/>
          <w:sz w:val="24"/>
          <w:szCs w:val="24"/>
          <w:lang w:val="en-US"/>
        </w:rPr>
        <w:t xml:space="preserve">Non-traditional security in </w:t>
      </w:r>
      <w:r>
        <w:rPr>
          <w:rFonts w:ascii="Times New Roman" w:hAnsi="Times New Roman"/>
          <w:sz w:val="24"/>
          <w:szCs w:val="24"/>
          <w:lang w:val="en-US"/>
        </w:rPr>
        <w:t xml:space="preserve">the </w:t>
      </w:r>
      <w:r w:rsidRPr="00426C22">
        <w:rPr>
          <w:rFonts w:ascii="Times New Roman" w:hAnsi="Times New Roman"/>
          <w:sz w:val="24"/>
          <w:szCs w:val="24"/>
          <w:lang w:val="en-US"/>
        </w:rPr>
        <w:t xml:space="preserve">current priorities of Asia-Pacific countries. Energy and food security: issues, solutions, tasks ahead. Asia-Pacific maritime security challenges: the non-traditional dimension. Natural disasters as a challenge to Asia-Pacific security. The bilateral and multilateral vectors of the regional response to non-traditional security challenges: what has and has not been achieved. </w:t>
      </w:r>
    </w:p>
    <w:p w:rsidR="00F077C1" w:rsidRPr="00426C22" w:rsidRDefault="00F077C1" w:rsidP="00F077C1">
      <w:pPr>
        <w:spacing w:line="360" w:lineRule="auto"/>
        <w:jc w:val="both"/>
        <w:rPr>
          <w:rFonts w:ascii="Times New Roman" w:hAnsi="Times New Roman"/>
          <w:sz w:val="24"/>
          <w:szCs w:val="24"/>
          <w:lang w:val="en-US"/>
        </w:rPr>
      </w:pPr>
      <w:r w:rsidRPr="00426C22">
        <w:rPr>
          <w:rFonts w:ascii="Times New Roman" w:hAnsi="Times New Roman"/>
          <w:sz w:val="24"/>
          <w:szCs w:val="24"/>
          <w:lang w:val="en-US"/>
        </w:rPr>
        <w:t xml:space="preserve">Russia and Asia-Pacific non-traditional security issues. The energy vector of Russia’s Asia-Pacific policy: main outcomes and </w:t>
      </w:r>
      <w:r>
        <w:rPr>
          <w:rFonts w:ascii="Times New Roman" w:hAnsi="Times New Roman"/>
          <w:sz w:val="24"/>
          <w:szCs w:val="24"/>
          <w:lang w:val="en-US"/>
        </w:rPr>
        <w:t xml:space="preserve">shortcomings. </w:t>
      </w:r>
      <w:r w:rsidRPr="00426C22">
        <w:rPr>
          <w:rFonts w:ascii="Times New Roman" w:hAnsi="Times New Roman"/>
          <w:sz w:val="24"/>
          <w:szCs w:val="24"/>
          <w:lang w:val="en-US"/>
        </w:rPr>
        <w:t xml:space="preserve">Russia and Asia-Pacific food security: promising areas of cooperation. The maritime vector of Russia’s policy in Asia-Pacific: instruments for lessening contradictions over regional maritime security issues. Russia and humanitarian assistance and disaster relief in Asia-Pacific: present activities and tasks for the future. </w:t>
      </w:r>
    </w:p>
    <w:p w:rsidR="00F077C1" w:rsidRPr="00426C22" w:rsidRDefault="00F077C1" w:rsidP="00F077C1">
      <w:pPr>
        <w:spacing w:line="360" w:lineRule="auto"/>
        <w:jc w:val="both"/>
        <w:rPr>
          <w:rFonts w:ascii="Times New Roman" w:hAnsi="Times New Roman"/>
          <w:b/>
          <w:i/>
          <w:sz w:val="24"/>
          <w:szCs w:val="24"/>
          <w:lang w:val="en-US"/>
        </w:rPr>
      </w:pPr>
      <w:r w:rsidRPr="00426C22">
        <w:rPr>
          <w:rFonts w:ascii="Times New Roman" w:hAnsi="Times New Roman"/>
          <w:b/>
          <w:i/>
          <w:sz w:val="24"/>
          <w:szCs w:val="24"/>
          <w:lang w:val="en-US"/>
        </w:rPr>
        <w:t>The reading list</w:t>
      </w:r>
    </w:p>
    <w:p w:rsidR="00F077C1" w:rsidRDefault="00F077C1" w:rsidP="00F077C1">
      <w:pPr>
        <w:jc w:val="both"/>
        <w:rPr>
          <w:rFonts w:ascii="Times New Roman" w:hAnsi="Times New Roman"/>
          <w:sz w:val="24"/>
          <w:szCs w:val="24"/>
          <w:lang w:val="en-US"/>
        </w:rPr>
      </w:pPr>
      <w:r>
        <w:rPr>
          <w:rFonts w:ascii="Times New Roman" w:hAnsi="Times New Roman"/>
          <w:sz w:val="24"/>
          <w:szCs w:val="24"/>
          <w:lang w:val="en-US"/>
        </w:rPr>
        <w:t xml:space="preserve">2015. </w:t>
      </w:r>
      <w:r w:rsidRPr="003B15E5">
        <w:rPr>
          <w:rFonts w:ascii="Times New Roman" w:hAnsi="Times New Roman"/>
          <w:sz w:val="24"/>
          <w:szCs w:val="24"/>
          <w:lang w:val="en-US"/>
        </w:rPr>
        <w:t>Russia as a Natural Gas Supp</w:t>
      </w:r>
      <w:r>
        <w:rPr>
          <w:rFonts w:ascii="Times New Roman" w:hAnsi="Times New Roman"/>
          <w:sz w:val="24"/>
          <w:szCs w:val="24"/>
          <w:lang w:val="en-US"/>
        </w:rPr>
        <w:t xml:space="preserve">lier to the Asia-Pacific Region. </w:t>
      </w:r>
      <w:r w:rsidRPr="00BB2D23">
        <w:rPr>
          <w:rFonts w:ascii="Times New Roman" w:hAnsi="Times New Roman"/>
          <w:i/>
          <w:sz w:val="24"/>
          <w:szCs w:val="24"/>
          <w:lang w:val="en-US"/>
        </w:rPr>
        <w:t>Asia-Pacific Foundation of Canada</w:t>
      </w:r>
      <w:r>
        <w:rPr>
          <w:rFonts w:ascii="Times New Roman" w:hAnsi="Times New Roman"/>
          <w:sz w:val="24"/>
          <w:szCs w:val="24"/>
          <w:lang w:val="en-US"/>
        </w:rPr>
        <w:t xml:space="preserve">. 12 January. // </w:t>
      </w:r>
      <w:hyperlink r:id="rId5" w:history="1">
        <w:r w:rsidRPr="00295D82">
          <w:rPr>
            <w:rStyle w:val="a3"/>
            <w:rFonts w:ascii="Times New Roman" w:hAnsi="Times New Roman"/>
            <w:sz w:val="24"/>
            <w:szCs w:val="24"/>
            <w:lang w:val="en-US"/>
          </w:rPr>
          <w:t>https://www.asiapacific.ca/blog/russia-natural-gas-supplier-asia-pacific-region-conversation</w:t>
        </w:r>
      </w:hyperlink>
    </w:p>
    <w:p w:rsidR="00F077C1" w:rsidRDefault="00F077C1" w:rsidP="00F077C1">
      <w:pPr>
        <w:jc w:val="both"/>
        <w:rPr>
          <w:rFonts w:ascii="Times New Roman" w:hAnsi="Times New Roman"/>
          <w:sz w:val="24"/>
          <w:szCs w:val="24"/>
          <w:lang w:val="en-US"/>
        </w:rPr>
      </w:pPr>
      <w:r>
        <w:rPr>
          <w:rFonts w:ascii="Times New Roman" w:hAnsi="Times New Roman"/>
          <w:sz w:val="24"/>
          <w:szCs w:val="24"/>
          <w:lang w:val="en-US"/>
        </w:rPr>
        <w:lastRenderedPageBreak/>
        <w:t xml:space="preserve">Bordachev T., Kanaev E. (2014) Russia’s New Strategy in Asia. </w:t>
      </w:r>
      <w:r w:rsidRPr="00BB2D23">
        <w:rPr>
          <w:rFonts w:ascii="Times New Roman" w:hAnsi="Times New Roman"/>
          <w:i/>
          <w:sz w:val="24"/>
          <w:szCs w:val="24"/>
          <w:lang w:val="en-US"/>
        </w:rPr>
        <w:t>Valdai Club</w:t>
      </w:r>
      <w:r>
        <w:rPr>
          <w:rFonts w:ascii="Times New Roman" w:hAnsi="Times New Roman"/>
          <w:sz w:val="24"/>
          <w:szCs w:val="24"/>
          <w:lang w:val="en-US"/>
        </w:rPr>
        <w:t xml:space="preserve">. 07.10.2014. // </w:t>
      </w:r>
      <w:hyperlink r:id="rId6" w:history="1">
        <w:r w:rsidRPr="00295D82">
          <w:rPr>
            <w:rStyle w:val="a3"/>
            <w:rFonts w:ascii="Times New Roman" w:hAnsi="Times New Roman"/>
            <w:sz w:val="24"/>
            <w:szCs w:val="24"/>
            <w:lang w:val="en-US"/>
          </w:rPr>
          <w:t>http://valdaiclub.com/asia/72424.html</w:t>
        </w:r>
      </w:hyperlink>
    </w:p>
    <w:p w:rsidR="00F077C1" w:rsidRPr="003B15E5" w:rsidRDefault="00F077C1" w:rsidP="00F077C1">
      <w:pPr>
        <w:jc w:val="both"/>
        <w:rPr>
          <w:rFonts w:ascii="Times New Roman" w:hAnsi="Times New Roman"/>
          <w:sz w:val="24"/>
          <w:szCs w:val="24"/>
          <w:lang w:val="en-US"/>
        </w:rPr>
      </w:pPr>
      <w:r>
        <w:rPr>
          <w:rFonts w:ascii="Times New Roman" w:hAnsi="Times New Roman"/>
          <w:sz w:val="24"/>
          <w:szCs w:val="24"/>
          <w:lang w:val="en-US"/>
        </w:rPr>
        <w:t xml:space="preserve">(2014) </w:t>
      </w:r>
      <w:r w:rsidRPr="003B15E5">
        <w:rPr>
          <w:rFonts w:ascii="Times New Roman" w:hAnsi="Times New Roman"/>
          <w:sz w:val="24"/>
          <w:szCs w:val="24"/>
          <w:lang w:val="en-US"/>
        </w:rPr>
        <w:t>Looking East Amid a Crisis to the West: Russia’s Energy Export Strategies</w:t>
      </w:r>
    </w:p>
    <w:p w:rsidR="00F077C1" w:rsidRDefault="00F077C1" w:rsidP="00F077C1">
      <w:pPr>
        <w:jc w:val="both"/>
        <w:rPr>
          <w:rFonts w:ascii="Times New Roman" w:hAnsi="Times New Roman"/>
          <w:sz w:val="24"/>
          <w:szCs w:val="24"/>
          <w:lang w:val="en-US"/>
        </w:rPr>
      </w:pPr>
      <w:r w:rsidRPr="003B15E5">
        <w:rPr>
          <w:rFonts w:ascii="Times New Roman" w:hAnsi="Times New Roman"/>
          <w:sz w:val="24"/>
          <w:szCs w:val="24"/>
          <w:lang w:val="en-US"/>
        </w:rPr>
        <w:t>An Interview with Tatiana Mitrova</w:t>
      </w:r>
      <w:r>
        <w:rPr>
          <w:rFonts w:ascii="Times New Roman" w:hAnsi="Times New Roman"/>
          <w:sz w:val="24"/>
          <w:szCs w:val="24"/>
          <w:lang w:val="en-US"/>
        </w:rPr>
        <w:t xml:space="preserve">. </w:t>
      </w:r>
      <w:r w:rsidRPr="00BB2D23">
        <w:rPr>
          <w:rFonts w:ascii="Times New Roman" w:hAnsi="Times New Roman"/>
          <w:i/>
          <w:sz w:val="24"/>
          <w:szCs w:val="24"/>
          <w:lang w:val="en-US"/>
        </w:rPr>
        <w:t>NBR Analysis</w:t>
      </w:r>
      <w:r>
        <w:rPr>
          <w:rFonts w:ascii="Times New Roman" w:hAnsi="Times New Roman"/>
          <w:sz w:val="24"/>
          <w:szCs w:val="24"/>
          <w:lang w:val="en-US"/>
        </w:rPr>
        <w:t xml:space="preserve">. 9 September. // </w:t>
      </w:r>
      <w:hyperlink r:id="rId7" w:history="1">
        <w:r w:rsidRPr="00295D82">
          <w:rPr>
            <w:rStyle w:val="a3"/>
            <w:rFonts w:ascii="Times New Roman" w:hAnsi="Times New Roman"/>
            <w:sz w:val="24"/>
            <w:szCs w:val="24"/>
            <w:lang w:val="en-US"/>
          </w:rPr>
          <w:t>http://www.nbr.org/research/activity.aspx?id=483</w:t>
        </w:r>
      </w:hyperlink>
    </w:p>
    <w:p w:rsidR="00F077C1" w:rsidRDefault="00F077C1" w:rsidP="00F077C1">
      <w:pPr>
        <w:jc w:val="both"/>
        <w:rPr>
          <w:rFonts w:ascii="Times New Roman" w:hAnsi="Times New Roman"/>
          <w:sz w:val="24"/>
          <w:szCs w:val="24"/>
          <w:lang w:val="en-US"/>
        </w:rPr>
      </w:pPr>
      <w:r>
        <w:rPr>
          <w:rFonts w:ascii="Times New Roman" w:hAnsi="Times New Roman"/>
          <w:sz w:val="24"/>
          <w:szCs w:val="24"/>
          <w:lang w:val="en-US"/>
        </w:rPr>
        <w:t>(2014) Toward the Great Ocean-2, or Russia’s Breakthrough to Asia</w:t>
      </w:r>
      <w:r w:rsidRPr="00BB2D23">
        <w:rPr>
          <w:rFonts w:ascii="Times New Roman" w:hAnsi="Times New Roman"/>
          <w:i/>
          <w:sz w:val="24"/>
          <w:szCs w:val="24"/>
          <w:lang w:val="en-US"/>
        </w:rPr>
        <w:t>. Valdai Discussion Club Report.</w:t>
      </w:r>
      <w:r>
        <w:rPr>
          <w:rFonts w:ascii="Times New Roman" w:hAnsi="Times New Roman"/>
          <w:sz w:val="24"/>
          <w:szCs w:val="24"/>
          <w:lang w:val="en-US"/>
        </w:rPr>
        <w:t xml:space="preserve"> / Ed. By S.A.Karaganov. February. // </w:t>
      </w:r>
      <w:hyperlink r:id="rId8" w:history="1">
        <w:r w:rsidRPr="00295D82">
          <w:rPr>
            <w:rStyle w:val="a3"/>
            <w:rFonts w:ascii="Times New Roman" w:hAnsi="Times New Roman"/>
            <w:sz w:val="24"/>
            <w:szCs w:val="24"/>
            <w:lang w:val="en-US"/>
          </w:rPr>
          <w:t>http://vid-1.rian.ru/ig/valdai/Twd_Great_Ocean_2_Eng.pdf</w:t>
        </w:r>
      </w:hyperlink>
    </w:p>
    <w:p w:rsidR="00F077C1" w:rsidRDefault="00F077C1" w:rsidP="00F077C1">
      <w:pPr>
        <w:jc w:val="both"/>
        <w:rPr>
          <w:rFonts w:ascii="Times New Roman" w:hAnsi="Times New Roman"/>
          <w:sz w:val="24"/>
          <w:szCs w:val="24"/>
          <w:lang w:val="en-US"/>
        </w:rPr>
      </w:pPr>
      <w:r w:rsidRPr="00F31EB9">
        <w:rPr>
          <w:rFonts w:ascii="Times New Roman" w:hAnsi="Times New Roman"/>
          <w:sz w:val="24"/>
          <w:szCs w:val="24"/>
          <w:lang w:val="en-US"/>
        </w:rPr>
        <w:t>Likhacheva</w:t>
      </w:r>
      <w:r>
        <w:rPr>
          <w:rFonts w:ascii="Times New Roman" w:hAnsi="Times New Roman"/>
          <w:sz w:val="24"/>
          <w:szCs w:val="24"/>
          <w:lang w:val="en-US"/>
        </w:rPr>
        <w:t xml:space="preserve"> </w:t>
      </w:r>
      <w:r w:rsidRPr="00F31EB9">
        <w:rPr>
          <w:rFonts w:ascii="Times New Roman" w:hAnsi="Times New Roman"/>
          <w:sz w:val="24"/>
          <w:szCs w:val="24"/>
          <w:lang w:val="en-US"/>
        </w:rPr>
        <w:t>A</w:t>
      </w:r>
      <w:r>
        <w:rPr>
          <w:rFonts w:ascii="Times New Roman" w:hAnsi="Times New Roman"/>
          <w:sz w:val="24"/>
          <w:szCs w:val="24"/>
          <w:lang w:val="en-US"/>
        </w:rPr>
        <w:t xml:space="preserve">., </w:t>
      </w:r>
      <w:r w:rsidRPr="00F31EB9">
        <w:rPr>
          <w:rFonts w:ascii="Times New Roman" w:hAnsi="Times New Roman"/>
          <w:sz w:val="24"/>
          <w:szCs w:val="24"/>
          <w:lang w:val="en-US"/>
        </w:rPr>
        <w:t>Makarov</w:t>
      </w:r>
      <w:r>
        <w:rPr>
          <w:rFonts w:ascii="Times New Roman" w:hAnsi="Times New Roman"/>
          <w:sz w:val="24"/>
          <w:szCs w:val="24"/>
          <w:lang w:val="en-US"/>
        </w:rPr>
        <w:t xml:space="preserve"> I. (2014) </w:t>
      </w:r>
      <w:r w:rsidRPr="00F31EB9">
        <w:rPr>
          <w:rFonts w:ascii="Times New Roman" w:hAnsi="Times New Roman"/>
          <w:sz w:val="24"/>
          <w:szCs w:val="24"/>
          <w:lang w:val="en-US"/>
        </w:rPr>
        <w:t>The Virtual Water of Siberia and the Russian Far East for the Asia-Pacific Region: Global Gains vs Regional Sustainability</w:t>
      </w:r>
      <w:r>
        <w:rPr>
          <w:rFonts w:ascii="Times New Roman" w:hAnsi="Times New Roman"/>
          <w:sz w:val="24"/>
          <w:szCs w:val="24"/>
          <w:lang w:val="en-US"/>
        </w:rPr>
        <w:t xml:space="preserve">. </w:t>
      </w:r>
      <w:r w:rsidRPr="00BB2D23">
        <w:rPr>
          <w:rFonts w:ascii="Times New Roman" w:hAnsi="Times New Roman"/>
          <w:i/>
          <w:sz w:val="24"/>
          <w:szCs w:val="24"/>
          <w:lang w:val="en-US"/>
        </w:rPr>
        <w:t>Higher School of Economics Research Paper</w:t>
      </w:r>
      <w:r w:rsidRPr="00F31EB9">
        <w:rPr>
          <w:rFonts w:ascii="Times New Roman" w:hAnsi="Times New Roman"/>
          <w:sz w:val="24"/>
          <w:szCs w:val="24"/>
          <w:lang w:val="en-US"/>
        </w:rPr>
        <w:t xml:space="preserve"> No. WP BRP 10/IR/2014. </w:t>
      </w:r>
      <w:r>
        <w:rPr>
          <w:rFonts w:ascii="Times New Roman" w:hAnsi="Times New Roman"/>
          <w:sz w:val="24"/>
          <w:szCs w:val="24"/>
          <w:lang w:val="en-US"/>
        </w:rPr>
        <w:t xml:space="preserve">// </w:t>
      </w:r>
      <w:hyperlink r:id="rId9" w:history="1">
        <w:r w:rsidRPr="00295D82">
          <w:rPr>
            <w:rStyle w:val="a3"/>
            <w:rFonts w:ascii="Times New Roman" w:hAnsi="Times New Roman"/>
            <w:sz w:val="24"/>
            <w:szCs w:val="24"/>
            <w:lang w:val="en-US"/>
          </w:rPr>
          <w:t>http://ssrn.com/abstract=2536894</w:t>
        </w:r>
      </w:hyperlink>
      <w:r>
        <w:rPr>
          <w:rFonts w:ascii="Times New Roman" w:hAnsi="Times New Roman"/>
          <w:sz w:val="24"/>
          <w:szCs w:val="24"/>
          <w:lang w:val="en-US"/>
        </w:rPr>
        <w:t xml:space="preserve"> </w:t>
      </w:r>
      <w:r w:rsidRPr="00F31EB9">
        <w:rPr>
          <w:rFonts w:ascii="Times New Roman" w:hAnsi="Times New Roman"/>
          <w:sz w:val="24"/>
          <w:szCs w:val="24"/>
          <w:lang w:val="en-US"/>
        </w:rPr>
        <w:t xml:space="preserve">or </w:t>
      </w:r>
      <w:hyperlink r:id="rId10" w:history="1">
        <w:r w:rsidRPr="00295D82">
          <w:rPr>
            <w:rStyle w:val="a3"/>
            <w:rFonts w:ascii="Times New Roman" w:hAnsi="Times New Roman"/>
            <w:sz w:val="24"/>
            <w:szCs w:val="24"/>
            <w:lang w:val="en-US"/>
          </w:rPr>
          <w:t>http://dx.doi.org/10.2139/ssrn.2536894</w:t>
        </w:r>
      </w:hyperlink>
    </w:p>
    <w:p w:rsidR="00F077C1" w:rsidRDefault="00F077C1" w:rsidP="00F077C1">
      <w:pPr>
        <w:jc w:val="both"/>
        <w:rPr>
          <w:rFonts w:ascii="Times New Roman" w:hAnsi="Times New Roman"/>
          <w:sz w:val="24"/>
          <w:szCs w:val="24"/>
          <w:lang w:val="en-US"/>
        </w:rPr>
      </w:pPr>
      <w:r w:rsidRPr="00F31EB9">
        <w:rPr>
          <w:rFonts w:ascii="Times New Roman" w:hAnsi="Times New Roman"/>
          <w:sz w:val="24"/>
          <w:szCs w:val="24"/>
          <w:lang w:val="en-US"/>
        </w:rPr>
        <w:t xml:space="preserve">Kanaev E. A. </w:t>
      </w:r>
      <w:r>
        <w:rPr>
          <w:rFonts w:ascii="Times New Roman" w:hAnsi="Times New Roman"/>
          <w:sz w:val="24"/>
          <w:szCs w:val="24"/>
          <w:lang w:val="en-US"/>
        </w:rPr>
        <w:t xml:space="preserve">(2012) </w:t>
      </w:r>
      <w:r w:rsidRPr="00F31EB9">
        <w:rPr>
          <w:rFonts w:ascii="Times New Roman" w:hAnsi="Times New Roman"/>
          <w:sz w:val="24"/>
          <w:szCs w:val="24"/>
          <w:lang w:val="en-US"/>
        </w:rPr>
        <w:t>The South China Sea Issue: A View from Russia</w:t>
      </w:r>
      <w:r>
        <w:rPr>
          <w:rFonts w:ascii="Times New Roman" w:hAnsi="Times New Roman"/>
          <w:sz w:val="24"/>
          <w:szCs w:val="24"/>
          <w:lang w:val="en-US"/>
        </w:rPr>
        <w:t xml:space="preserve">. // </w:t>
      </w:r>
      <w:r w:rsidRPr="00BB2D23">
        <w:rPr>
          <w:rFonts w:ascii="Times New Roman" w:hAnsi="Times New Roman"/>
          <w:i/>
          <w:sz w:val="24"/>
          <w:szCs w:val="24"/>
          <w:lang w:val="en-US"/>
        </w:rPr>
        <w:t>ASEAN-Russia: Foundations and Future Prospects</w:t>
      </w:r>
      <w:r>
        <w:rPr>
          <w:rFonts w:ascii="Times New Roman" w:hAnsi="Times New Roman"/>
          <w:sz w:val="24"/>
          <w:szCs w:val="24"/>
          <w:lang w:val="en-US"/>
        </w:rPr>
        <w:t>. Singapore: ISEAS</w:t>
      </w:r>
      <w:r w:rsidRPr="00F31EB9">
        <w:rPr>
          <w:rFonts w:ascii="Times New Roman" w:hAnsi="Times New Roman"/>
          <w:sz w:val="24"/>
          <w:szCs w:val="24"/>
          <w:lang w:val="en-US"/>
        </w:rPr>
        <w:t>. P. 97-109.</w:t>
      </w:r>
    </w:p>
    <w:p w:rsidR="00F077C1" w:rsidRDefault="00F077C1" w:rsidP="00F077C1">
      <w:pPr>
        <w:jc w:val="both"/>
        <w:rPr>
          <w:rFonts w:ascii="Times New Roman" w:hAnsi="Times New Roman"/>
          <w:sz w:val="24"/>
          <w:szCs w:val="24"/>
          <w:lang w:val="en-US"/>
        </w:rPr>
      </w:pPr>
      <w:r w:rsidRPr="00F31EB9">
        <w:rPr>
          <w:rFonts w:ascii="Times New Roman" w:hAnsi="Times New Roman"/>
          <w:sz w:val="24"/>
          <w:szCs w:val="24"/>
          <w:lang w:val="en-US"/>
        </w:rPr>
        <w:t xml:space="preserve">E. Kanaev, Sumsky V., Koldunova E. </w:t>
      </w:r>
      <w:r>
        <w:rPr>
          <w:rFonts w:ascii="Times New Roman" w:hAnsi="Times New Roman"/>
          <w:sz w:val="24"/>
          <w:szCs w:val="24"/>
          <w:lang w:val="en-US"/>
        </w:rPr>
        <w:t xml:space="preserve">(2012) </w:t>
      </w:r>
      <w:r w:rsidRPr="00F31EB9">
        <w:rPr>
          <w:rFonts w:ascii="Times New Roman" w:hAnsi="Times New Roman"/>
          <w:sz w:val="24"/>
          <w:szCs w:val="24"/>
          <w:lang w:val="en-US"/>
        </w:rPr>
        <w:t>Russia’s interests in the Context of Asia-Pacific Region Security and Development</w:t>
      </w:r>
      <w:r>
        <w:rPr>
          <w:rFonts w:ascii="Times New Roman" w:hAnsi="Times New Roman"/>
          <w:sz w:val="24"/>
          <w:szCs w:val="24"/>
          <w:lang w:val="en-US"/>
        </w:rPr>
        <w:t xml:space="preserve">. M.: Prospect. // </w:t>
      </w:r>
      <w:hyperlink r:id="rId11" w:history="1">
        <w:r w:rsidRPr="00295D82">
          <w:rPr>
            <w:rStyle w:val="a3"/>
            <w:rFonts w:ascii="Times New Roman" w:hAnsi="Times New Roman"/>
            <w:sz w:val="24"/>
            <w:szCs w:val="24"/>
            <w:lang w:val="en-US"/>
          </w:rPr>
          <w:t>http://russiancouncil.ru/common/upload/riacapren.pdf</w:t>
        </w:r>
      </w:hyperlink>
    </w:p>
    <w:p w:rsidR="00F077C1" w:rsidRDefault="00F077C1" w:rsidP="00F077C1">
      <w:pPr>
        <w:spacing w:line="360" w:lineRule="auto"/>
        <w:jc w:val="both"/>
        <w:rPr>
          <w:rFonts w:ascii="Times New Roman" w:hAnsi="Times New Roman"/>
          <w:sz w:val="24"/>
          <w:szCs w:val="24"/>
          <w:lang w:val="en-US"/>
        </w:rPr>
      </w:pPr>
    </w:p>
    <w:p w:rsidR="00F077C1" w:rsidRPr="00027458" w:rsidRDefault="00BE17D6" w:rsidP="00F077C1">
      <w:pPr>
        <w:spacing w:line="360" w:lineRule="auto"/>
        <w:jc w:val="both"/>
        <w:rPr>
          <w:rFonts w:ascii="Times New Roman" w:hAnsi="Times New Roman"/>
          <w:b/>
          <w:i/>
          <w:sz w:val="24"/>
          <w:szCs w:val="24"/>
          <w:lang w:val="en-US"/>
        </w:rPr>
      </w:pPr>
      <w:r w:rsidRPr="00027458">
        <w:rPr>
          <w:rFonts w:ascii="Times New Roman" w:hAnsi="Times New Roman"/>
          <w:b/>
          <w:i/>
          <w:sz w:val="24"/>
          <w:szCs w:val="24"/>
          <w:lang w:val="en-US"/>
        </w:rPr>
        <w:t>Dmitry Suslov. Traditional and non-traditional challengers in Russian foreign and security policy</w:t>
      </w:r>
      <w:r w:rsidR="00E529F0">
        <w:rPr>
          <w:rFonts w:ascii="Times New Roman" w:hAnsi="Times New Roman"/>
          <w:b/>
          <w:i/>
          <w:sz w:val="24"/>
          <w:szCs w:val="24"/>
          <w:lang w:val="en-US"/>
        </w:rPr>
        <w:t xml:space="preserve"> (</w:t>
      </w:r>
      <w:r w:rsidR="00627E3A">
        <w:rPr>
          <w:rFonts w:ascii="Times New Roman" w:hAnsi="Times New Roman"/>
          <w:b/>
          <w:i/>
          <w:sz w:val="24"/>
          <w:szCs w:val="24"/>
          <w:lang w:val="en-US"/>
        </w:rPr>
        <w:t>2</w:t>
      </w:r>
      <w:r w:rsidR="00E529F0">
        <w:rPr>
          <w:rFonts w:ascii="Times New Roman" w:hAnsi="Times New Roman"/>
          <w:b/>
          <w:i/>
          <w:sz w:val="24"/>
          <w:szCs w:val="24"/>
          <w:lang w:val="en-US"/>
        </w:rPr>
        <w:t xml:space="preserve"> lecture</w:t>
      </w:r>
      <w:r w:rsidR="00627E3A">
        <w:rPr>
          <w:rFonts w:ascii="Times New Roman" w:hAnsi="Times New Roman"/>
          <w:b/>
          <w:i/>
          <w:sz w:val="24"/>
          <w:szCs w:val="24"/>
          <w:lang w:val="en-US"/>
        </w:rPr>
        <w:t>s, 4</w:t>
      </w:r>
      <w:r w:rsidR="00E529F0">
        <w:rPr>
          <w:rFonts w:ascii="Times New Roman" w:hAnsi="Times New Roman"/>
          <w:b/>
          <w:i/>
          <w:sz w:val="24"/>
          <w:szCs w:val="24"/>
          <w:lang w:val="en-US"/>
        </w:rPr>
        <w:t xml:space="preserve"> hours)</w:t>
      </w:r>
    </w:p>
    <w:p w:rsidR="00BE17D6" w:rsidRDefault="00027458"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A </w:t>
      </w:r>
      <w:r w:rsidR="00FB4B28">
        <w:rPr>
          <w:rFonts w:ascii="Times New Roman" w:hAnsi="Times New Roman"/>
          <w:sz w:val="24"/>
          <w:szCs w:val="24"/>
          <w:lang w:val="en-US"/>
        </w:rPr>
        <w:t xml:space="preserve">fleeting glance at Russian foreign policy rhetoric could make an impression, that Russia is preoccupied with traditional “hard security” challengers only (issues like the future of strategic balance with the US and military balance in Europe, NATO expansion and transformation, missile defense, etc.) and pays insufficient attention to non-traditional or “unconventional” security challengers. This is </w:t>
      </w:r>
      <w:r w:rsidR="00C51539">
        <w:rPr>
          <w:rFonts w:ascii="Times New Roman" w:hAnsi="Times New Roman"/>
          <w:sz w:val="24"/>
          <w:szCs w:val="24"/>
          <w:lang w:val="en-US"/>
        </w:rPr>
        <w:t>at best half</w:t>
      </w:r>
      <w:r w:rsidR="00FB4B28">
        <w:rPr>
          <w:rFonts w:ascii="Times New Roman" w:hAnsi="Times New Roman"/>
          <w:sz w:val="24"/>
          <w:szCs w:val="24"/>
          <w:lang w:val="en-US"/>
        </w:rPr>
        <w:t xml:space="preserve"> true. </w:t>
      </w:r>
      <w:r w:rsidR="00C51539">
        <w:rPr>
          <w:rFonts w:ascii="Times New Roman" w:hAnsi="Times New Roman"/>
          <w:sz w:val="24"/>
          <w:szCs w:val="24"/>
          <w:lang w:val="en-US"/>
        </w:rPr>
        <w:t xml:space="preserve">Although recent deterioration of US-Russia and Russia-Western relations </w:t>
      </w:r>
      <w:r w:rsidR="00775628">
        <w:rPr>
          <w:rFonts w:ascii="Times New Roman" w:hAnsi="Times New Roman"/>
          <w:sz w:val="24"/>
          <w:szCs w:val="24"/>
          <w:lang w:val="en-US"/>
        </w:rPr>
        <w:t xml:space="preserve">have indeed increased importance of traditional military threats and challengers among the Russian security priorities, Moscow still takes the non-traditional ones quite seriously. This part of the course will </w:t>
      </w:r>
      <w:r w:rsidR="00E529F0">
        <w:rPr>
          <w:rFonts w:ascii="Times New Roman" w:hAnsi="Times New Roman"/>
          <w:sz w:val="24"/>
          <w:szCs w:val="24"/>
          <w:lang w:val="en-US"/>
        </w:rPr>
        <w:t xml:space="preserve">get </w:t>
      </w:r>
      <w:r w:rsidR="00775628">
        <w:rPr>
          <w:rFonts w:ascii="Times New Roman" w:hAnsi="Times New Roman"/>
          <w:sz w:val="24"/>
          <w:szCs w:val="24"/>
          <w:lang w:val="en-US"/>
        </w:rPr>
        <w:t xml:space="preserve">students </w:t>
      </w:r>
      <w:r w:rsidR="00E529F0">
        <w:rPr>
          <w:rFonts w:ascii="Times New Roman" w:hAnsi="Times New Roman"/>
          <w:sz w:val="24"/>
          <w:szCs w:val="24"/>
          <w:lang w:val="en-US"/>
        </w:rPr>
        <w:t xml:space="preserve">acquainted </w:t>
      </w:r>
      <w:r w:rsidR="00775628">
        <w:rPr>
          <w:rFonts w:ascii="Times New Roman" w:hAnsi="Times New Roman"/>
          <w:sz w:val="24"/>
          <w:szCs w:val="24"/>
          <w:lang w:val="en-US"/>
        </w:rPr>
        <w:t xml:space="preserve">with the </w:t>
      </w:r>
      <w:r w:rsidR="00E529F0">
        <w:rPr>
          <w:rFonts w:ascii="Times New Roman" w:hAnsi="Times New Roman"/>
          <w:sz w:val="24"/>
          <w:szCs w:val="24"/>
          <w:lang w:val="en-US"/>
        </w:rPr>
        <w:t xml:space="preserve">Russian approaches to the non-traditional challengers and their place in the Russian foreign and security policy. Particular attention will be </w:t>
      </w:r>
      <w:r w:rsidR="00627E3A">
        <w:rPr>
          <w:rFonts w:ascii="Times New Roman" w:hAnsi="Times New Roman"/>
          <w:sz w:val="24"/>
          <w:szCs w:val="24"/>
          <w:lang w:val="en-US"/>
        </w:rPr>
        <w:t xml:space="preserve">given to Russian approaches to energy, food and </w:t>
      </w:r>
      <w:r w:rsidR="00C11301">
        <w:rPr>
          <w:rFonts w:ascii="Times New Roman" w:hAnsi="Times New Roman"/>
          <w:sz w:val="24"/>
          <w:szCs w:val="24"/>
          <w:lang w:val="en-US"/>
        </w:rPr>
        <w:t xml:space="preserve">water </w:t>
      </w:r>
      <w:r w:rsidR="00627E3A">
        <w:rPr>
          <w:rFonts w:ascii="Times New Roman" w:hAnsi="Times New Roman"/>
          <w:sz w:val="24"/>
          <w:szCs w:val="24"/>
          <w:lang w:val="en-US"/>
        </w:rPr>
        <w:t xml:space="preserve">security, both globally and in the regions adjacent to Russia (Post-Soviet space, Europe). Russian policies in the fields of counter-terrorism, non-proliferation of weapons of mass destruction and cybersecurity will also be widely discussed and analyzed. </w:t>
      </w:r>
    </w:p>
    <w:p w:rsidR="00BE17D6" w:rsidRPr="003337C0" w:rsidRDefault="00627E3A" w:rsidP="00F077C1">
      <w:pPr>
        <w:spacing w:line="360" w:lineRule="auto"/>
        <w:jc w:val="both"/>
        <w:rPr>
          <w:rFonts w:ascii="Times New Roman" w:hAnsi="Times New Roman"/>
          <w:b/>
          <w:i/>
          <w:sz w:val="24"/>
          <w:szCs w:val="24"/>
          <w:lang w:val="en-US"/>
        </w:rPr>
      </w:pPr>
      <w:r w:rsidRPr="003337C0">
        <w:rPr>
          <w:rFonts w:ascii="Times New Roman" w:hAnsi="Times New Roman"/>
          <w:b/>
          <w:i/>
          <w:sz w:val="24"/>
          <w:szCs w:val="24"/>
          <w:lang w:val="en-US"/>
        </w:rPr>
        <w:t>The reading list:</w:t>
      </w:r>
    </w:p>
    <w:p w:rsidR="00627E3A" w:rsidRDefault="00C11301" w:rsidP="00C11301">
      <w:pPr>
        <w:spacing w:line="360" w:lineRule="auto"/>
        <w:jc w:val="both"/>
        <w:rPr>
          <w:rFonts w:ascii="Times New Roman" w:hAnsi="Times New Roman"/>
          <w:sz w:val="24"/>
          <w:szCs w:val="24"/>
          <w:lang w:val="en-US"/>
        </w:rPr>
      </w:pPr>
      <w:r w:rsidRPr="00C11301">
        <w:rPr>
          <w:rFonts w:ascii="Times New Roman" w:hAnsi="Times New Roman"/>
          <w:sz w:val="24"/>
          <w:szCs w:val="24"/>
          <w:lang w:val="en-US"/>
        </w:rPr>
        <w:lastRenderedPageBreak/>
        <w:t>Russia's National Security Strategy to 2020</w:t>
      </w:r>
      <w:r>
        <w:rPr>
          <w:rFonts w:ascii="Times New Roman" w:hAnsi="Times New Roman"/>
          <w:sz w:val="24"/>
          <w:szCs w:val="24"/>
          <w:lang w:val="en-US"/>
        </w:rPr>
        <w:t xml:space="preserve">. </w:t>
      </w:r>
      <w:r w:rsidRPr="00C11301">
        <w:rPr>
          <w:rFonts w:ascii="Times New Roman" w:hAnsi="Times New Roman"/>
          <w:sz w:val="24"/>
          <w:szCs w:val="24"/>
          <w:lang w:val="en-US"/>
        </w:rPr>
        <w:t>Approved</w:t>
      </w:r>
      <w:r>
        <w:rPr>
          <w:rFonts w:ascii="Times New Roman" w:hAnsi="Times New Roman"/>
          <w:sz w:val="24"/>
          <w:szCs w:val="24"/>
          <w:lang w:val="en-US"/>
        </w:rPr>
        <w:t xml:space="preserve"> </w:t>
      </w:r>
      <w:r w:rsidRPr="00C11301">
        <w:rPr>
          <w:rFonts w:ascii="Times New Roman" w:hAnsi="Times New Roman"/>
          <w:sz w:val="24"/>
          <w:szCs w:val="24"/>
          <w:lang w:val="en-US"/>
        </w:rPr>
        <w:t>By Decree of the President</w:t>
      </w:r>
      <w:r>
        <w:rPr>
          <w:rFonts w:ascii="Times New Roman" w:hAnsi="Times New Roman"/>
          <w:sz w:val="24"/>
          <w:szCs w:val="24"/>
          <w:lang w:val="en-US"/>
        </w:rPr>
        <w:t xml:space="preserve"> </w:t>
      </w:r>
      <w:r w:rsidRPr="00C11301">
        <w:rPr>
          <w:rFonts w:ascii="Times New Roman" w:hAnsi="Times New Roman"/>
          <w:sz w:val="24"/>
          <w:szCs w:val="24"/>
          <w:lang w:val="en-US"/>
        </w:rPr>
        <w:t>Of the Russian Federation</w:t>
      </w:r>
      <w:r>
        <w:rPr>
          <w:rFonts w:ascii="Times New Roman" w:hAnsi="Times New Roman"/>
          <w:sz w:val="24"/>
          <w:szCs w:val="24"/>
          <w:lang w:val="en-US"/>
        </w:rPr>
        <w:t xml:space="preserve"> </w:t>
      </w:r>
      <w:r w:rsidRPr="00C11301">
        <w:rPr>
          <w:rFonts w:ascii="Times New Roman" w:hAnsi="Times New Roman"/>
          <w:sz w:val="24"/>
          <w:szCs w:val="24"/>
          <w:lang w:val="en-US"/>
        </w:rPr>
        <w:t>12 May 2009 No. 537</w:t>
      </w:r>
      <w:r>
        <w:rPr>
          <w:rFonts w:ascii="Times New Roman" w:hAnsi="Times New Roman"/>
          <w:sz w:val="24"/>
          <w:szCs w:val="24"/>
          <w:lang w:val="en-US"/>
        </w:rPr>
        <w:t xml:space="preserve">. </w:t>
      </w:r>
      <w:hyperlink r:id="rId12" w:history="1">
        <w:r w:rsidRPr="009E196F">
          <w:rPr>
            <w:rStyle w:val="a3"/>
            <w:rFonts w:ascii="Times New Roman" w:hAnsi="Times New Roman"/>
            <w:sz w:val="24"/>
            <w:szCs w:val="24"/>
            <w:lang w:val="en-US"/>
          </w:rPr>
          <w:t>http://rustrans.wikidot.com/russia-s-national-security-strategy-to-2020</w:t>
        </w:r>
      </w:hyperlink>
      <w:r>
        <w:rPr>
          <w:rFonts w:ascii="Times New Roman" w:hAnsi="Times New Roman"/>
          <w:sz w:val="24"/>
          <w:szCs w:val="24"/>
          <w:lang w:val="en-US"/>
        </w:rPr>
        <w:t xml:space="preserve"> </w:t>
      </w:r>
    </w:p>
    <w:p w:rsidR="003337C0" w:rsidRDefault="00C11301" w:rsidP="00F077C1">
      <w:pPr>
        <w:spacing w:line="360" w:lineRule="auto"/>
        <w:jc w:val="both"/>
        <w:rPr>
          <w:rFonts w:ascii="Times New Roman" w:hAnsi="Times New Roman"/>
          <w:sz w:val="24"/>
          <w:szCs w:val="24"/>
          <w:lang w:val="en-US"/>
        </w:rPr>
      </w:pPr>
      <w:r w:rsidRPr="00C11301">
        <w:rPr>
          <w:rFonts w:ascii="Times New Roman" w:hAnsi="Times New Roman"/>
          <w:sz w:val="24"/>
          <w:szCs w:val="24"/>
          <w:lang w:val="en-US"/>
        </w:rPr>
        <w:t>Military Doctrine of the Russian Federation</w:t>
      </w:r>
      <w:r>
        <w:rPr>
          <w:rFonts w:ascii="Times New Roman" w:hAnsi="Times New Roman"/>
          <w:sz w:val="24"/>
          <w:szCs w:val="24"/>
          <w:lang w:val="en-US"/>
        </w:rPr>
        <w:t xml:space="preserve">. Approved by the President of Russian federation on December 25, 2014. </w:t>
      </w:r>
      <w:hyperlink r:id="rId13" w:history="1">
        <w:r w:rsidRPr="009E196F">
          <w:rPr>
            <w:rStyle w:val="a3"/>
            <w:rFonts w:ascii="Times New Roman" w:hAnsi="Times New Roman"/>
            <w:sz w:val="24"/>
            <w:szCs w:val="24"/>
            <w:lang w:val="en-US"/>
          </w:rPr>
          <w:t>http://www.scrf.gov.ru/documents/18/129.html</w:t>
        </w:r>
      </w:hyperlink>
      <w:r>
        <w:rPr>
          <w:rFonts w:ascii="Times New Roman" w:hAnsi="Times New Roman"/>
          <w:sz w:val="24"/>
          <w:szCs w:val="24"/>
          <w:lang w:val="en-US"/>
        </w:rPr>
        <w:t xml:space="preserve"> </w:t>
      </w:r>
    </w:p>
    <w:p w:rsidR="00C11301" w:rsidRDefault="00C11301"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Food security Doctrine of the Russian Federation. Approved by the President of Russian federation on January 30, 2010. </w:t>
      </w:r>
      <w:hyperlink r:id="rId14" w:history="1">
        <w:r w:rsidR="008A75C7" w:rsidRPr="009E196F">
          <w:rPr>
            <w:rStyle w:val="a3"/>
            <w:rFonts w:ascii="Times New Roman" w:hAnsi="Times New Roman"/>
            <w:sz w:val="24"/>
            <w:szCs w:val="24"/>
            <w:lang w:val="en-US"/>
          </w:rPr>
          <w:t>http://www.scrf.gov.ru/documents/15/108.html</w:t>
        </w:r>
      </w:hyperlink>
      <w:r w:rsidR="008A75C7">
        <w:rPr>
          <w:rFonts w:ascii="Times New Roman" w:hAnsi="Times New Roman"/>
          <w:sz w:val="24"/>
          <w:szCs w:val="24"/>
          <w:lang w:val="en-US"/>
        </w:rPr>
        <w:t xml:space="preserve"> </w:t>
      </w:r>
    </w:p>
    <w:p w:rsidR="00C11301" w:rsidRDefault="00C11301"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Russia’s Energy Strategy to 2030. Approved by the Government of Russian Federation on November 13, 2009. </w:t>
      </w:r>
      <w:hyperlink r:id="rId15" w:history="1">
        <w:r w:rsidRPr="009E196F">
          <w:rPr>
            <w:rStyle w:val="a3"/>
            <w:rFonts w:ascii="Times New Roman" w:hAnsi="Times New Roman"/>
            <w:sz w:val="24"/>
            <w:szCs w:val="24"/>
            <w:lang w:val="en-US"/>
          </w:rPr>
          <w:t>http://www.scrf.gov.ru/documents/15/122.html</w:t>
        </w:r>
      </w:hyperlink>
      <w:r>
        <w:rPr>
          <w:rFonts w:ascii="Times New Roman" w:hAnsi="Times New Roman"/>
          <w:sz w:val="24"/>
          <w:szCs w:val="24"/>
          <w:lang w:val="en-US"/>
        </w:rPr>
        <w:t xml:space="preserve"> </w:t>
      </w:r>
    </w:p>
    <w:p w:rsidR="00C11301" w:rsidRDefault="00C11301"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Water Strategy of the Russian Federation to 2020. Approved by the Government of Russian Federation on August 27, 2009. </w:t>
      </w:r>
      <w:hyperlink r:id="rId16" w:history="1">
        <w:r w:rsidRPr="009E196F">
          <w:rPr>
            <w:rStyle w:val="a3"/>
            <w:rFonts w:ascii="Times New Roman" w:hAnsi="Times New Roman"/>
            <w:sz w:val="24"/>
            <w:szCs w:val="24"/>
            <w:lang w:val="en-US"/>
          </w:rPr>
          <w:t>http://www.scrf.gov.ru/documents/15/120.html</w:t>
        </w:r>
      </w:hyperlink>
      <w:r>
        <w:rPr>
          <w:rFonts w:ascii="Times New Roman" w:hAnsi="Times New Roman"/>
          <w:sz w:val="24"/>
          <w:szCs w:val="24"/>
          <w:lang w:val="en-US"/>
        </w:rPr>
        <w:t xml:space="preserve"> </w:t>
      </w:r>
    </w:p>
    <w:p w:rsidR="008A75C7" w:rsidRDefault="00047F09" w:rsidP="00F077C1">
      <w:pPr>
        <w:spacing w:line="360" w:lineRule="auto"/>
        <w:jc w:val="both"/>
        <w:rPr>
          <w:rFonts w:ascii="Times New Roman" w:hAnsi="Times New Roman"/>
          <w:sz w:val="24"/>
          <w:szCs w:val="24"/>
          <w:lang w:val="en-US"/>
        </w:rPr>
      </w:pPr>
      <w:r w:rsidRPr="00047F09">
        <w:rPr>
          <w:rFonts w:ascii="Times New Roman" w:hAnsi="Times New Roman"/>
          <w:sz w:val="24"/>
          <w:szCs w:val="24"/>
          <w:lang w:val="en-US"/>
        </w:rPr>
        <w:t>Mariya Y. Omelicheva</w:t>
      </w:r>
      <w:r>
        <w:rPr>
          <w:rFonts w:ascii="Times New Roman" w:hAnsi="Times New Roman"/>
          <w:sz w:val="24"/>
          <w:szCs w:val="24"/>
          <w:lang w:val="en-US"/>
        </w:rPr>
        <w:t xml:space="preserve">. </w:t>
      </w:r>
      <w:r w:rsidRPr="00047F09">
        <w:rPr>
          <w:rFonts w:ascii="Times New Roman" w:hAnsi="Times New Roman"/>
          <w:sz w:val="24"/>
          <w:szCs w:val="24"/>
          <w:lang w:val="en-US"/>
        </w:rPr>
        <w:t>Russia’s Counterterrorism Policy: Variations on an Imperial Theme</w:t>
      </w:r>
      <w:r>
        <w:rPr>
          <w:rFonts w:ascii="Times New Roman" w:hAnsi="Times New Roman"/>
          <w:sz w:val="24"/>
          <w:szCs w:val="24"/>
          <w:lang w:val="en-US"/>
        </w:rPr>
        <w:t xml:space="preserve">. // Perspectives on terrorism, Vol. 3 No 1, 2009. </w:t>
      </w:r>
      <w:hyperlink r:id="rId17" w:history="1">
        <w:r w:rsidRPr="009E196F">
          <w:rPr>
            <w:rStyle w:val="a3"/>
            <w:rFonts w:ascii="Times New Roman" w:hAnsi="Times New Roman"/>
            <w:sz w:val="24"/>
            <w:szCs w:val="24"/>
            <w:lang w:val="en-US"/>
          </w:rPr>
          <w:t>http://www.terrorismanalysts.com/pt/index.php/pot/article/view/61/html</w:t>
        </w:r>
      </w:hyperlink>
      <w:r>
        <w:rPr>
          <w:rFonts w:ascii="Times New Roman" w:hAnsi="Times New Roman"/>
          <w:sz w:val="24"/>
          <w:szCs w:val="24"/>
          <w:lang w:val="en-US"/>
        </w:rPr>
        <w:t xml:space="preserve"> </w:t>
      </w:r>
    </w:p>
    <w:p w:rsidR="008A75C7" w:rsidRDefault="00047F09"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Mikhail Rykhtik. Asymmetric Threats and Counter-Terrorism Strategies in Russia. In: R.W. Orttung and A. Makarychev (Eds.). National Counter-Terrorism Strategies. IOS Press, 2006. </w:t>
      </w:r>
    </w:p>
    <w:p w:rsidR="00047F09" w:rsidRDefault="008E708F"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Doctrine of Information Security of Russian Federation. Approved by the President of Russian Federation on September 9, 2000. </w:t>
      </w:r>
      <w:hyperlink r:id="rId18" w:history="1">
        <w:r w:rsidRPr="009E196F">
          <w:rPr>
            <w:rStyle w:val="a3"/>
            <w:rFonts w:ascii="Times New Roman" w:hAnsi="Times New Roman"/>
            <w:sz w:val="24"/>
            <w:szCs w:val="24"/>
            <w:lang w:val="en-US"/>
          </w:rPr>
          <w:t>http://www.scrf.gov.ru/documents/6/5.html</w:t>
        </w:r>
      </w:hyperlink>
      <w:r>
        <w:rPr>
          <w:rFonts w:ascii="Times New Roman" w:hAnsi="Times New Roman"/>
          <w:sz w:val="24"/>
          <w:szCs w:val="24"/>
          <w:lang w:val="en-US"/>
        </w:rPr>
        <w:t xml:space="preserve"> </w:t>
      </w:r>
    </w:p>
    <w:p w:rsidR="008E708F" w:rsidRDefault="008E708F"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International Information Security Convention (Concept). </w:t>
      </w:r>
      <w:hyperlink r:id="rId19" w:history="1">
        <w:r w:rsidRPr="009E196F">
          <w:rPr>
            <w:rStyle w:val="a3"/>
            <w:rFonts w:ascii="Times New Roman" w:hAnsi="Times New Roman"/>
            <w:sz w:val="24"/>
            <w:szCs w:val="24"/>
            <w:lang w:val="en-US"/>
          </w:rPr>
          <w:t>http://www.scrf.gov.ru/documents/6/112.html</w:t>
        </w:r>
      </w:hyperlink>
      <w:r>
        <w:rPr>
          <w:rFonts w:ascii="Times New Roman" w:hAnsi="Times New Roman"/>
          <w:sz w:val="24"/>
          <w:szCs w:val="24"/>
          <w:lang w:val="en-US"/>
        </w:rPr>
        <w:t xml:space="preserve"> </w:t>
      </w:r>
    </w:p>
    <w:p w:rsidR="008E708F" w:rsidRDefault="008E708F" w:rsidP="00F077C1">
      <w:pPr>
        <w:spacing w:line="360" w:lineRule="auto"/>
        <w:jc w:val="both"/>
        <w:rPr>
          <w:rFonts w:ascii="Times New Roman" w:hAnsi="Times New Roman"/>
          <w:sz w:val="24"/>
          <w:szCs w:val="24"/>
          <w:lang w:val="en-US"/>
        </w:rPr>
      </w:pPr>
    </w:p>
    <w:p w:rsidR="00027458" w:rsidRPr="00027458" w:rsidRDefault="00027458" w:rsidP="00F077C1">
      <w:pPr>
        <w:spacing w:line="360" w:lineRule="auto"/>
        <w:jc w:val="both"/>
        <w:rPr>
          <w:rFonts w:ascii="Times New Roman" w:hAnsi="Times New Roman"/>
          <w:b/>
          <w:i/>
          <w:sz w:val="24"/>
          <w:szCs w:val="24"/>
          <w:lang w:val="en-US"/>
        </w:rPr>
      </w:pPr>
      <w:r w:rsidRPr="00027458">
        <w:rPr>
          <w:rFonts w:ascii="Times New Roman" w:hAnsi="Times New Roman"/>
          <w:b/>
          <w:i/>
          <w:sz w:val="24"/>
          <w:szCs w:val="24"/>
          <w:lang w:val="en-US"/>
        </w:rPr>
        <w:t>Dmitry Suslov. Non-traditional security challengers in Russian policy towards th</w:t>
      </w:r>
      <w:r w:rsidR="008E708F">
        <w:rPr>
          <w:rFonts w:ascii="Times New Roman" w:hAnsi="Times New Roman"/>
          <w:b/>
          <w:i/>
          <w:sz w:val="24"/>
          <w:szCs w:val="24"/>
          <w:lang w:val="en-US"/>
        </w:rPr>
        <w:t>e West and US-Russia relations (2 lectures, 4 hours)</w:t>
      </w:r>
    </w:p>
    <w:p w:rsidR="00027458" w:rsidRDefault="008E708F"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This part of the course is devoted to analyses of practical </w:t>
      </w:r>
      <w:r w:rsidR="00F61E48">
        <w:rPr>
          <w:rFonts w:ascii="Times New Roman" w:hAnsi="Times New Roman"/>
          <w:sz w:val="24"/>
          <w:szCs w:val="24"/>
          <w:lang w:val="en-US"/>
        </w:rPr>
        <w:t>cooperation between Russia and the Western actors (above all the US and NATO) on key non-traditional security challengers. Major achievements and failures of this cooperation, as well as their reasons and prospects, will be discussed. In particular, major attention will be paid to US-Russian cooperation in Afghanistan, which has been remaining for the l</w:t>
      </w:r>
      <w:r w:rsidR="00E67A2A">
        <w:rPr>
          <w:rFonts w:ascii="Times New Roman" w:hAnsi="Times New Roman"/>
          <w:sz w:val="24"/>
          <w:szCs w:val="24"/>
          <w:lang w:val="en-US"/>
        </w:rPr>
        <w:t xml:space="preserve">ast decade one of the major </w:t>
      </w:r>
      <w:r w:rsidR="001A73F7">
        <w:rPr>
          <w:rFonts w:ascii="Times New Roman" w:hAnsi="Times New Roman"/>
          <w:sz w:val="24"/>
          <w:szCs w:val="24"/>
          <w:lang w:val="en-US"/>
        </w:rPr>
        <w:t xml:space="preserve">hubs and </w:t>
      </w:r>
      <w:r w:rsidR="00E67A2A">
        <w:rPr>
          <w:rFonts w:ascii="Times New Roman" w:hAnsi="Times New Roman"/>
          <w:sz w:val="24"/>
          <w:szCs w:val="24"/>
          <w:lang w:val="en-US"/>
        </w:rPr>
        <w:t xml:space="preserve">sources of such unconventional security challengers, as Islamic terrorism and </w:t>
      </w:r>
      <w:r w:rsidR="001A73F7">
        <w:rPr>
          <w:rFonts w:ascii="Times New Roman" w:hAnsi="Times New Roman"/>
          <w:sz w:val="24"/>
          <w:szCs w:val="24"/>
          <w:lang w:val="en-US"/>
        </w:rPr>
        <w:t>extremism</w:t>
      </w:r>
      <w:r w:rsidR="00E67A2A">
        <w:rPr>
          <w:rFonts w:ascii="Times New Roman" w:hAnsi="Times New Roman"/>
          <w:sz w:val="24"/>
          <w:szCs w:val="24"/>
          <w:lang w:val="en-US"/>
        </w:rPr>
        <w:t>, narcotic</w:t>
      </w:r>
      <w:r w:rsidR="001A73F7">
        <w:rPr>
          <w:rFonts w:ascii="Times New Roman" w:hAnsi="Times New Roman"/>
          <w:sz w:val="24"/>
          <w:szCs w:val="24"/>
          <w:lang w:val="en-US"/>
        </w:rPr>
        <w:t xml:space="preserve">s, organized crime and regional instability, and one of the major pillars of US-Russian positive cooperation. </w:t>
      </w:r>
      <w:r w:rsidR="001A73F7">
        <w:rPr>
          <w:rFonts w:ascii="Times New Roman" w:hAnsi="Times New Roman"/>
          <w:sz w:val="24"/>
          <w:szCs w:val="24"/>
          <w:lang w:val="en-US"/>
        </w:rPr>
        <w:lastRenderedPageBreak/>
        <w:t xml:space="preserve">Reasons for gradual degradation and collapse of this cooperation will be discussed, as well as prospects of US-Russian relations in and around Afghanistan and Central Asia. Special focus will be given to the correlation between traditional and non-traditional security factors in the US and Russian policies towards Afghanistan and Central Asia. Finally, this part of the course will also discuss problems and prospects of US-Russian cooperation on counter-terrorism and non-proliferation of WMD in the global context. </w:t>
      </w:r>
      <w:r w:rsidR="007E4467">
        <w:rPr>
          <w:rFonts w:ascii="Times New Roman" w:hAnsi="Times New Roman"/>
          <w:sz w:val="24"/>
          <w:szCs w:val="24"/>
          <w:lang w:val="en-US"/>
        </w:rPr>
        <w:t xml:space="preserve">Among them, particular attention will be given to </w:t>
      </w:r>
      <w:r w:rsidR="00D059F6">
        <w:rPr>
          <w:rFonts w:ascii="Times New Roman" w:hAnsi="Times New Roman"/>
          <w:sz w:val="24"/>
          <w:szCs w:val="24"/>
          <w:lang w:val="en-US"/>
        </w:rPr>
        <w:t xml:space="preserve">differences in how the sides define and identify terrorism and proliferation threats, to their cooperation in managing the Iranian nuclear problem, in strengthening the Non-Proliferation Regime, as well as their approaches to the security challengers triggered by the “Arab spring”. </w:t>
      </w:r>
    </w:p>
    <w:p w:rsidR="00047F09" w:rsidRPr="001A73F7" w:rsidRDefault="001A73F7" w:rsidP="00F077C1">
      <w:pPr>
        <w:spacing w:line="360" w:lineRule="auto"/>
        <w:jc w:val="both"/>
        <w:rPr>
          <w:rFonts w:ascii="Times New Roman" w:hAnsi="Times New Roman"/>
          <w:b/>
          <w:i/>
          <w:sz w:val="24"/>
          <w:szCs w:val="24"/>
          <w:lang w:val="en-US"/>
        </w:rPr>
      </w:pPr>
      <w:r w:rsidRPr="001A73F7">
        <w:rPr>
          <w:rFonts w:ascii="Times New Roman" w:hAnsi="Times New Roman"/>
          <w:b/>
          <w:i/>
          <w:sz w:val="24"/>
          <w:szCs w:val="24"/>
          <w:lang w:val="en-US"/>
        </w:rPr>
        <w:t xml:space="preserve">Reading list: </w:t>
      </w:r>
    </w:p>
    <w:p w:rsidR="00047F09" w:rsidRDefault="00047F09"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Sergey Markedonov. </w:t>
      </w:r>
      <w:r w:rsidRPr="00047F09">
        <w:rPr>
          <w:rFonts w:ascii="Times New Roman" w:hAnsi="Times New Roman"/>
          <w:sz w:val="24"/>
          <w:szCs w:val="24"/>
          <w:lang w:val="en-US"/>
        </w:rPr>
        <w:t>Russia and Counterterror Cooperation</w:t>
      </w:r>
      <w:r>
        <w:rPr>
          <w:rFonts w:ascii="Times New Roman" w:hAnsi="Times New Roman"/>
          <w:sz w:val="24"/>
          <w:szCs w:val="24"/>
          <w:lang w:val="en-US"/>
        </w:rPr>
        <w:t xml:space="preserve">. // The National Interest, April 2013. </w:t>
      </w:r>
      <w:hyperlink r:id="rId20" w:history="1">
        <w:r w:rsidRPr="009E196F">
          <w:rPr>
            <w:rStyle w:val="a3"/>
            <w:rFonts w:ascii="Times New Roman" w:hAnsi="Times New Roman"/>
            <w:sz w:val="24"/>
            <w:szCs w:val="24"/>
            <w:lang w:val="en-US"/>
          </w:rPr>
          <w:t>http://nationalinterest.org/commentary/russia-counterterror-cooperation-8399</w:t>
        </w:r>
      </w:hyperlink>
      <w:r>
        <w:rPr>
          <w:rFonts w:ascii="Times New Roman" w:hAnsi="Times New Roman"/>
          <w:sz w:val="24"/>
          <w:szCs w:val="24"/>
          <w:lang w:val="en-US"/>
        </w:rPr>
        <w:t xml:space="preserve"> </w:t>
      </w:r>
    </w:p>
    <w:p w:rsidR="001A73F7" w:rsidRDefault="00797A62"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Dmitry Suslov. </w:t>
      </w:r>
      <w:r w:rsidRPr="00797A62">
        <w:rPr>
          <w:rFonts w:ascii="Times New Roman" w:hAnsi="Times New Roman"/>
          <w:sz w:val="24"/>
          <w:szCs w:val="24"/>
          <w:lang w:val="en-US"/>
        </w:rPr>
        <w:t>A New Start for Russian-US Counter-Terrorism Cooperation</w:t>
      </w:r>
      <w:r>
        <w:rPr>
          <w:rFonts w:ascii="Times New Roman" w:hAnsi="Times New Roman"/>
          <w:sz w:val="24"/>
          <w:szCs w:val="24"/>
          <w:lang w:val="en-US"/>
        </w:rPr>
        <w:t xml:space="preserve">. </w:t>
      </w:r>
      <w:hyperlink r:id="rId21" w:history="1">
        <w:r w:rsidRPr="009E196F">
          <w:rPr>
            <w:rStyle w:val="a3"/>
            <w:rFonts w:ascii="Times New Roman" w:hAnsi="Times New Roman"/>
            <w:sz w:val="24"/>
            <w:szCs w:val="24"/>
            <w:lang w:val="en-US"/>
          </w:rPr>
          <w:t>http://valdaiclub.com/usa/60020.html</w:t>
        </w:r>
      </w:hyperlink>
      <w:r>
        <w:rPr>
          <w:rFonts w:ascii="Times New Roman" w:hAnsi="Times New Roman"/>
          <w:sz w:val="24"/>
          <w:szCs w:val="24"/>
          <w:lang w:val="en-US"/>
        </w:rPr>
        <w:t xml:space="preserve"> </w:t>
      </w:r>
    </w:p>
    <w:p w:rsidR="00797A62" w:rsidRDefault="00797A62" w:rsidP="00F077C1">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Dmitry Suslov. </w:t>
      </w:r>
      <w:r w:rsidRPr="00797A62">
        <w:rPr>
          <w:rFonts w:ascii="Times New Roman" w:hAnsi="Times New Roman"/>
          <w:sz w:val="24"/>
          <w:szCs w:val="24"/>
          <w:lang w:val="en-US"/>
        </w:rPr>
        <w:t>The Future of Russia-US Anti-Terrorism Cooperation</w:t>
      </w:r>
      <w:r>
        <w:rPr>
          <w:rFonts w:ascii="Times New Roman" w:hAnsi="Times New Roman"/>
          <w:sz w:val="24"/>
          <w:szCs w:val="24"/>
          <w:lang w:val="en-US"/>
        </w:rPr>
        <w:t xml:space="preserve">. </w:t>
      </w:r>
      <w:hyperlink r:id="rId22" w:history="1">
        <w:r w:rsidRPr="009E196F">
          <w:rPr>
            <w:rStyle w:val="a3"/>
            <w:rFonts w:ascii="Times New Roman" w:hAnsi="Times New Roman"/>
            <w:sz w:val="24"/>
            <w:szCs w:val="24"/>
            <w:lang w:val="en-US"/>
          </w:rPr>
          <w:t>http://valdaiclub.com/usa/60060.html</w:t>
        </w:r>
      </w:hyperlink>
      <w:r>
        <w:rPr>
          <w:rFonts w:ascii="Times New Roman" w:hAnsi="Times New Roman"/>
          <w:sz w:val="24"/>
          <w:szCs w:val="24"/>
          <w:lang w:val="en-US"/>
        </w:rPr>
        <w:t xml:space="preserve"> </w:t>
      </w:r>
    </w:p>
    <w:p w:rsidR="00797A62" w:rsidRDefault="00797A62" w:rsidP="00F077C1">
      <w:pPr>
        <w:spacing w:line="360" w:lineRule="auto"/>
        <w:jc w:val="both"/>
        <w:rPr>
          <w:rFonts w:ascii="Times New Roman" w:hAnsi="Times New Roman"/>
          <w:sz w:val="24"/>
          <w:szCs w:val="24"/>
          <w:lang w:val="en-US"/>
        </w:rPr>
      </w:pPr>
      <w:r>
        <w:rPr>
          <w:rFonts w:ascii="Times New Roman" w:hAnsi="Times New Roman"/>
          <w:sz w:val="24"/>
          <w:szCs w:val="24"/>
          <w:lang w:val="en-US"/>
        </w:rPr>
        <w:t>Ekaterina Stepanova. Afghanistan After 2014: The Way Forward for Russia. IFRI, May 2013.</w:t>
      </w:r>
    </w:p>
    <w:p w:rsidR="00797A62" w:rsidRDefault="00797A62" w:rsidP="00797A62">
      <w:pPr>
        <w:spacing w:line="360" w:lineRule="auto"/>
        <w:jc w:val="both"/>
        <w:rPr>
          <w:rFonts w:ascii="Times New Roman" w:hAnsi="Times New Roman"/>
          <w:sz w:val="24"/>
          <w:szCs w:val="24"/>
          <w:lang w:val="en-US"/>
        </w:rPr>
      </w:pPr>
      <w:r w:rsidRPr="00797A62">
        <w:rPr>
          <w:rFonts w:ascii="Times New Roman" w:hAnsi="Times New Roman"/>
          <w:sz w:val="24"/>
          <w:szCs w:val="24"/>
          <w:lang w:val="en-US"/>
        </w:rPr>
        <w:t>Peter Tomsen</w:t>
      </w:r>
      <w:r>
        <w:rPr>
          <w:rFonts w:ascii="Times New Roman" w:hAnsi="Times New Roman"/>
          <w:sz w:val="24"/>
          <w:szCs w:val="24"/>
          <w:lang w:val="en-US"/>
        </w:rPr>
        <w:t xml:space="preserve">. </w:t>
      </w:r>
      <w:r w:rsidRPr="00797A62">
        <w:rPr>
          <w:rFonts w:ascii="Times New Roman" w:hAnsi="Times New Roman"/>
          <w:sz w:val="24"/>
          <w:szCs w:val="24"/>
          <w:lang w:val="en-US"/>
        </w:rPr>
        <w:t>The Good War? What Went Wrong in Afghanistan -- and How to Make It Right</w:t>
      </w:r>
      <w:r>
        <w:rPr>
          <w:rFonts w:ascii="Times New Roman" w:hAnsi="Times New Roman"/>
          <w:sz w:val="24"/>
          <w:szCs w:val="24"/>
          <w:lang w:val="en-US"/>
        </w:rPr>
        <w:t xml:space="preserve"> // Foreign Affairs, </w:t>
      </w:r>
      <w:r w:rsidRPr="00797A62">
        <w:rPr>
          <w:rFonts w:ascii="Times New Roman" w:hAnsi="Times New Roman"/>
          <w:sz w:val="24"/>
          <w:szCs w:val="24"/>
          <w:lang w:val="en-US"/>
        </w:rPr>
        <w:t>November/December 2014</w:t>
      </w:r>
    </w:p>
    <w:sectPr w:rsidR="00797A62" w:rsidSect="00872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C1"/>
    <w:rsid w:val="00027458"/>
    <w:rsid w:val="00047F09"/>
    <w:rsid w:val="001A6D81"/>
    <w:rsid w:val="001A73F7"/>
    <w:rsid w:val="002E08D6"/>
    <w:rsid w:val="003337C0"/>
    <w:rsid w:val="003D77A8"/>
    <w:rsid w:val="004777AE"/>
    <w:rsid w:val="00623FDF"/>
    <w:rsid w:val="00627E3A"/>
    <w:rsid w:val="00775628"/>
    <w:rsid w:val="00797A62"/>
    <w:rsid w:val="007E4467"/>
    <w:rsid w:val="00841972"/>
    <w:rsid w:val="00872A08"/>
    <w:rsid w:val="008A75C7"/>
    <w:rsid w:val="008C578D"/>
    <w:rsid w:val="008E708F"/>
    <w:rsid w:val="009079AA"/>
    <w:rsid w:val="00BD0A69"/>
    <w:rsid w:val="00BE17D6"/>
    <w:rsid w:val="00C11301"/>
    <w:rsid w:val="00C51539"/>
    <w:rsid w:val="00C67EB0"/>
    <w:rsid w:val="00D059F6"/>
    <w:rsid w:val="00D57035"/>
    <w:rsid w:val="00E529F0"/>
    <w:rsid w:val="00E67A2A"/>
    <w:rsid w:val="00F077C1"/>
    <w:rsid w:val="00F61E48"/>
    <w:rsid w:val="00FB4B28"/>
    <w:rsid w:val="00FE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7C1"/>
    <w:rPr>
      <w:color w:val="0000FF"/>
      <w:u w:val="single"/>
    </w:rPr>
  </w:style>
  <w:style w:type="paragraph" w:styleId="a4">
    <w:name w:val="Normal (Web)"/>
    <w:basedOn w:val="a"/>
    <w:uiPriority w:val="99"/>
    <w:semiHidden/>
    <w:unhideWhenUsed/>
    <w:rsid w:val="00F077C1"/>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7C1"/>
    <w:rPr>
      <w:color w:val="0000FF"/>
      <w:u w:val="single"/>
    </w:rPr>
  </w:style>
  <w:style w:type="paragraph" w:styleId="a4">
    <w:name w:val="Normal (Web)"/>
    <w:basedOn w:val="a"/>
    <w:uiPriority w:val="99"/>
    <w:semiHidden/>
    <w:unhideWhenUsed/>
    <w:rsid w:val="00F077C1"/>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1.rian.ru/ig/valdai/Twd_Great_Ocean_2_Eng.pdf" TargetMode="External"/><Relationship Id="rId13" Type="http://schemas.openxmlformats.org/officeDocument/2006/relationships/hyperlink" Target="http://www.scrf.gov.ru/documents/18/129.html" TargetMode="External"/><Relationship Id="rId18" Type="http://schemas.openxmlformats.org/officeDocument/2006/relationships/hyperlink" Target="http://www.scrf.gov.ru/documents/6/5.html" TargetMode="External"/><Relationship Id="rId3" Type="http://schemas.openxmlformats.org/officeDocument/2006/relationships/settings" Target="settings.xml"/><Relationship Id="rId21" Type="http://schemas.openxmlformats.org/officeDocument/2006/relationships/hyperlink" Target="http://valdaiclub.com/usa/60020.html" TargetMode="External"/><Relationship Id="rId7" Type="http://schemas.openxmlformats.org/officeDocument/2006/relationships/hyperlink" Target="http://www.nbr.org/research/activity.aspx?id=483" TargetMode="External"/><Relationship Id="rId12" Type="http://schemas.openxmlformats.org/officeDocument/2006/relationships/hyperlink" Target="http://rustrans.wikidot.com/russia-s-national-security-strategy-to-2020" TargetMode="External"/><Relationship Id="rId17" Type="http://schemas.openxmlformats.org/officeDocument/2006/relationships/hyperlink" Target="http://www.terrorismanalysts.com/pt/index.php/pot/article/view/61/html" TargetMode="External"/><Relationship Id="rId2" Type="http://schemas.microsoft.com/office/2007/relationships/stylesWithEffects" Target="stylesWithEffects.xml"/><Relationship Id="rId16" Type="http://schemas.openxmlformats.org/officeDocument/2006/relationships/hyperlink" Target="http://www.scrf.gov.ru/documents/15/120.html" TargetMode="External"/><Relationship Id="rId20" Type="http://schemas.openxmlformats.org/officeDocument/2006/relationships/hyperlink" Target="http://nationalinterest.org/commentary/russia-counterterror-cooperation-8399" TargetMode="External"/><Relationship Id="rId1" Type="http://schemas.openxmlformats.org/officeDocument/2006/relationships/styles" Target="styles.xml"/><Relationship Id="rId6" Type="http://schemas.openxmlformats.org/officeDocument/2006/relationships/hyperlink" Target="http://valdaiclub.com/asia/72424.html" TargetMode="External"/><Relationship Id="rId11" Type="http://schemas.openxmlformats.org/officeDocument/2006/relationships/hyperlink" Target="http://russiancouncil.ru/common/upload/riacapren.pdf" TargetMode="External"/><Relationship Id="rId24" Type="http://schemas.openxmlformats.org/officeDocument/2006/relationships/theme" Target="theme/theme1.xml"/><Relationship Id="rId5" Type="http://schemas.openxmlformats.org/officeDocument/2006/relationships/hyperlink" Target="https://www.asiapacific.ca/blog/russia-natural-gas-supplier-asia-pacific-region-conversation" TargetMode="External"/><Relationship Id="rId15" Type="http://schemas.openxmlformats.org/officeDocument/2006/relationships/hyperlink" Target="http://www.scrf.gov.ru/documents/15/122.html" TargetMode="External"/><Relationship Id="rId23" Type="http://schemas.openxmlformats.org/officeDocument/2006/relationships/fontTable" Target="fontTable.xml"/><Relationship Id="rId10" Type="http://schemas.openxmlformats.org/officeDocument/2006/relationships/hyperlink" Target="http://dx.doi.org/10.2139/ssrn.2536894" TargetMode="External"/><Relationship Id="rId19" Type="http://schemas.openxmlformats.org/officeDocument/2006/relationships/hyperlink" Target="http://www.scrf.gov.ru/documents/6/112.html" TargetMode="External"/><Relationship Id="rId4" Type="http://schemas.openxmlformats.org/officeDocument/2006/relationships/webSettings" Target="webSettings.xml"/><Relationship Id="rId9" Type="http://schemas.openxmlformats.org/officeDocument/2006/relationships/hyperlink" Target="http://ssrn.com/abstract=2536894" TargetMode="External"/><Relationship Id="rId14" Type="http://schemas.openxmlformats.org/officeDocument/2006/relationships/hyperlink" Target="http://www.scrf.gov.ru/documents/15/108.html" TargetMode="External"/><Relationship Id="rId22" Type="http://schemas.openxmlformats.org/officeDocument/2006/relationships/hyperlink" Target="http://valdaiclub.com/usa/6006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Пользователь Windows</cp:lastModifiedBy>
  <cp:revision>2</cp:revision>
  <dcterms:created xsi:type="dcterms:W3CDTF">2015-04-02T14:34:00Z</dcterms:created>
  <dcterms:modified xsi:type="dcterms:W3CDTF">2015-04-02T14:34:00Z</dcterms:modified>
</cp:coreProperties>
</file>