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1016.0" w:type="dxa"/>
        <w:jc w:val="left"/>
        <w:tblInd w:w="-115.0" w:type="dxa"/>
        <w:tblLayout w:type="fixed"/>
        <w:tblLook w:val="0000"/>
      </w:tblPr>
      <w:tblGrid>
        <w:gridCol w:w="2268"/>
        <w:gridCol w:w="8748"/>
        <w:tblGridChange w:id="0">
          <w:tblGrid>
            <w:gridCol w:w="2268"/>
            <w:gridCol w:w="8748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bookmarkStart w:colFirst="0" w:colLast="0" w:name="h.gjdgxs" w:id="0"/>
            <w:bookmarkEnd w:id="0"/>
            <w:r w:rsidDel="00000000" w:rsidR="00000000" w:rsidRPr="00000000">
              <w:drawing>
                <wp:inline distB="0" distT="0" distL="114300" distR="114300">
                  <wp:extent cx="1203960" cy="1203960"/>
                  <wp:effectExtent b="0" l="0" r="0" t="0"/>
                  <wp:docPr id="1" name="image01.jpg"/>
                  <a:graphic>
                    <a:graphicData uri="http://schemas.openxmlformats.org/drawingml/2006/picture">
                      <pic:pic>
                        <pic:nvPicPr>
                          <pic:cNvPr id="0" name="image01.jp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60" cy="12039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Институт образования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НИУ ВШЭ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3"/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основы Анализа данных (в stata) и интерпретация результатов исследований в образовании. курс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4"/>
              <w:spacing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захаров а.б., ab.zakharov@gmail.com, вт.,ср., 11.00-13.00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5"/>
        <w:numPr>
          <w:ilvl w:val="0"/>
          <w:numId w:val="1"/>
        </w:num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цели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Курс является начальным в ознакомлении слушателей с основами анализа данных и ориентирован на формирование общего представления об идеях, лежащихв основебазовыхвидов анализа. Центральная задача – научить слушателей понимать суть изучаемых методов анализа данных, работать с данными и выполнять анализ в STATAи научить трактовать результаты анализа, представленные в табличной, графической или текстовой форме. Особенностью курса является то, что его материал излагается на примерах, связанных с областью образования: слушатели знакомятся с результатами современных исследований в этой области и тренируются в анализе данных исследований и мониторингов качества образования.</w:t>
      </w:r>
    </w:p>
    <w:tbl>
      <w:tblPr>
        <w:tblStyle w:val="Table2"/>
        <w:bidi w:val="0"/>
        <w:tblW w:w="11016.0" w:type="dxa"/>
        <w:jc w:val="left"/>
        <w:tblInd w:w="-115.0" w:type="dxa"/>
        <w:tbl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  <w:insideH w:color="c0504d" w:space="0" w:sz="8" w:val="single"/>
          <w:insideV w:color="c0504d" w:space="0" w:sz="8" w:val="single"/>
        </w:tblBorders>
        <w:tblLayout w:type="fixed"/>
        <w:tblLook w:val="0000"/>
      </w:tblPr>
      <w:tblGrid>
        <w:gridCol w:w="5508"/>
        <w:gridCol w:w="5508"/>
        <w:tblGridChange w:id="0">
          <w:tblGrid>
            <w:gridCol w:w="5508"/>
            <w:gridCol w:w="5508"/>
          </w:tblGrid>
        </w:tblGridChange>
      </w:tblGrid>
      <w:tr>
        <w:tc>
          <w:tcPr>
            <w:tcBorders>
              <w:bottom w:color="c0504d" w:space="0" w:sz="18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622423"/>
                <w:sz w:val="20"/>
                <w:szCs w:val="20"/>
                <w:rtl w:val="0"/>
              </w:rPr>
              <w:t xml:space="preserve">Цель</w:t>
            </w:r>
          </w:p>
        </w:tc>
        <w:tc>
          <w:tcPr>
            <w:tcBorders>
              <w:bottom w:color="c0504d" w:space="0" w:sz="18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622423"/>
                <w:sz w:val="20"/>
                <w:szCs w:val="20"/>
                <w:rtl w:val="0"/>
              </w:rPr>
              <w:t xml:space="preserve">Чем проверяется</w:t>
            </w:r>
          </w:p>
        </w:tc>
      </w:tr>
      <w:tr>
        <w:tc>
          <w:tcPr>
            <w:shd w:fill="efd3d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Освоить управление данными</w:t>
            </w:r>
          </w:p>
        </w:tc>
        <w:tc>
          <w:tcPr>
            <w:shd w:fill="efd3d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Задания после прохождения темы 1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Освоить базовые понятия статистики 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Задания после прохождения темы 2</w:t>
            </w:r>
          </w:p>
        </w:tc>
      </w:tr>
      <w:tr>
        <w:tc>
          <w:tcPr>
            <w:shd w:fill="efd3d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Приобрести опыт анализа данных</w:t>
            </w:r>
          </w:p>
        </w:tc>
        <w:tc>
          <w:tcPr>
            <w:shd w:fill="efd3d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Задания после прохождения тем 3-7, контрольная работа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Научиться интерпретировать результаты анализа, понимая особенности используемых данных, исследовательского дизайна, возможности и ограничения методов анализа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Задания после прохождения тем 2-7, контрольная работа</w:t>
            </w:r>
          </w:p>
        </w:tc>
      </w:tr>
    </w:tbl>
    <w:p w:rsidR="00000000" w:rsidDel="00000000" w:rsidP="00000000" w:rsidRDefault="00000000" w:rsidRPr="00000000">
      <w:pPr>
        <w:pStyle w:val="Heading5"/>
        <w:numPr>
          <w:ilvl w:val="0"/>
          <w:numId w:val="1"/>
        </w:num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ТЕМЫ ЗАНЯТИЙ</w:t>
      </w:r>
      <w:r w:rsidDel="00000000" w:rsidR="00000000" w:rsidRPr="00000000">
        <w:rPr>
          <w:rtl w:val="0"/>
        </w:rPr>
      </w:r>
    </w:p>
    <w:tbl>
      <w:tblPr>
        <w:tblStyle w:val="Table3"/>
        <w:bidi w:val="0"/>
        <w:tblW w:w="11016.0" w:type="dxa"/>
        <w:jc w:val="left"/>
        <w:tblInd w:w="-115.0" w:type="dxa"/>
        <w:tbl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  <w:insideH w:color="c0504d" w:space="0" w:sz="8" w:val="single"/>
          <w:insideV w:color="c0504d" w:space="0" w:sz="8" w:val="single"/>
        </w:tblBorders>
        <w:tblLayout w:type="fixed"/>
        <w:tblLook w:val="0000"/>
      </w:tblPr>
      <w:tblGrid>
        <w:gridCol w:w="1458"/>
        <w:gridCol w:w="5310"/>
        <w:gridCol w:w="4248"/>
        <w:tblGridChange w:id="0">
          <w:tblGrid>
            <w:gridCol w:w="1458"/>
            <w:gridCol w:w="5310"/>
            <w:gridCol w:w="4248"/>
          </w:tblGrid>
        </w:tblGridChange>
      </w:tblGrid>
      <w:tr>
        <w:tc>
          <w:tcPr>
            <w:tcBorders>
              <w:bottom w:color="c0504d" w:space="0" w:sz="18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622423"/>
                <w:sz w:val="20"/>
                <w:szCs w:val="20"/>
                <w:rtl w:val="0"/>
              </w:rPr>
              <w:t xml:space="preserve">Дата</w:t>
            </w:r>
          </w:p>
        </w:tc>
        <w:tc>
          <w:tcPr>
            <w:tcBorders>
              <w:bottom w:color="c0504d" w:space="0" w:sz="18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622423"/>
                <w:sz w:val="20"/>
                <w:szCs w:val="20"/>
                <w:rtl w:val="0"/>
              </w:rPr>
              <w:t xml:space="preserve">Содержание занятия</w:t>
            </w:r>
          </w:p>
        </w:tc>
        <w:tc>
          <w:tcPr>
            <w:tcBorders>
              <w:bottom w:color="c0504d" w:space="0" w:sz="18" w:val="single"/>
            </w:tcBorders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622423"/>
                <w:sz w:val="20"/>
                <w:szCs w:val="20"/>
                <w:rtl w:val="0"/>
              </w:rPr>
              <w:t xml:space="preserve">Что делать, сдавать  к этой дате</w:t>
            </w:r>
          </w:p>
        </w:tc>
      </w:tr>
      <w:tr>
        <w:tc>
          <w:tcPr>
            <w:shd w:fill="efd3d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Февраль</w:t>
            </w:r>
          </w:p>
        </w:tc>
        <w:tc>
          <w:tcPr>
            <w:shd w:fill="efd3d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Тема 1. Основы работы с STATA. Управление данными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d3d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Февраль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Тема 2. Базовые понятия статистики применительно к исследованиям в образовании. Описательная статистика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Выполнить задание, заданное после предыдущей темы</w:t>
            </w:r>
          </w:p>
        </w:tc>
      </w:tr>
      <w:tr>
        <w:tc>
          <w:tcPr>
            <w:shd w:fill="efd3d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Март</w:t>
            </w:r>
          </w:p>
        </w:tc>
        <w:tc>
          <w:tcPr>
            <w:shd w:fill="efd3d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Тема 3. Графическое представление данных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d3d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Выполнить задание, заданное после предыдущей темы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Март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Тема 4. Выборка: основные понятия. Типы выборки. Внешняя валидность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Выполнить задание, заданное после предыдущей темы</w:t>
            </w:r>
          </w:p>
        </w:tc>
      </w:tr>
      <w:tr>
        <w:tc>
          <w:tcPr>
            <w:shd w:fill="efd3d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Апрель</w:t>
            </w:r>
          </w:p>
        </w:tc>
        <w:tc>
          <w:tcPr>
            <w:shd w:fill="efd3d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Тема 5. Дизайн исследования. Внутренняя валидность. Возможности и ограничения разных типов исследовательского дизайна для оценки каузальных связей в образовании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d3d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Выполнить задание, заданное после предыдущей темы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Апрель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Тема 6. Связь переменных, характеристики связи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Выполнить задание, заданное после предыдущей темы</w:t>
            </w:r>
          </w:p>
        </w:tc>
      </w:tr>
      <w:tr>
        <w:tc>
          <w:tcPr>
            <w:shd w:fill="efd3d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Май</w:t>
            </w:r>
          </w:p>
        </w:tc>
        <w:tc>
          <w:tcPr>
            <w:shd w:fill="efd3d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Тема 7. Проверка гипотез. Сравнение средних. Дисперсионный анализ. Интерпретация результатов</w:t>
            </w:r>
          </w:p>
        </w:tc>
        <w:tc>
          <w:tcPr>
            <w:shd w:fill="efd3d2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Выполнить задание, заданное после предыдущей темы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Май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Контрольная работа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Определение метода анализа по поставленному исследовательскому вопросу, подготовка данных к анализу, представление описательной статистики и анализ данных. Интерпретация полученных результатов в виде текста – до 0.5 стр.</w:t>
            </w:r>
          </w:p>
        </w:tc>
      </w:tr>
    </w:tbl>
    <w:p w:rsidR="00000000" w:rsidDel="00000000" w:rsidP="00000000" w:rsidRDefault="00000000" w:rsidRPr="00000000">
      <w:pPr>
        <w:pStyle w:val="Heading5"/>
        <w:numPr>
          <w:ilvl w:val="0"/>
          <w:numId w:val="1"/>
        </w:num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оценка</w:t>
      </w:r>
      <w:r w:rsidDel="00000000" w:rsidR="00000000" w:rsidRPr="00000000">
        <w:rPr>
          <w:rtl w:val="0"/>
        </w:rPr>
      </w:r>
    </w:p>
    <w:tbl>
      <w:tblPr>
        <w:tblStyle w:val="Table4"/>
        <w:bidi w:val="0"/>
        <w:tblW w:w="7850.0" w:type="dxa"/>
        <w:jc w:val="left"/>
        <w:tblInd w:w="-115.0" w:type="dxa"/>
        <w:tbl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  <w:insideH w:color="c0504d" w:space="0" w:sz="8" w:val="single"/>
          <w:insideV w:color="c0504d" w:space="0" w:sz="8" w:val="single"/>
        </w:tblBorders>
        <w:tblLayout w:type="fixed"/>
        <w:tblLook w:val="0000"/>
      </w:tblPr>
      <w:tblGrid>
        <w:gridCol w:w="5638"/>
        <w:gridCol w:w="2212"/>
        <w:tblGridChange w:id="0">
          <w:tblGrid>
            <w:gridCol w:w="5638"/>
            <w:gridCol w:w="2212"/>
          </w:tblGrid>
        </w:tblGridChange>
      </w:tblGrid>
      <w:tr>
        <w:tc>
          <w:tcPr>
            <w:tcBorders>
              <w:bottom w:color="c0504d" w:space="0" w:sz="18" w:val="single"/>
            </w:tcBorders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622423"/>
                <w:sz w:val="20"/>
                <w:szCs w:val="20"/>
                <w:rtl w:val="0"/>
              </w:rPr>
              <w:t xml:space="preserve">Требование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0504d" w:space="0" w:sz="18" w:val="single"/>
            </w:tcBorders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622423"/>
                <w:sz w:val="20"/>
                <w:szCs w:val="20"/>
                <w:rtl w:val="0"/>
              </w:rPr>
              <w:t xml:space="preserve">К-во баллов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d3d2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Домашнее задание</w:t>
            </w:r>
          </w:p>
        </w:tc>
        <w:tc>
          <w:tcPr>
            <w:shd w:fill="efd3d2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Контрольная работа</w:t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40</w:t>
            </w:r>
          </w:p>
        </w:tc>
      </w:tr>
      <w:tr>
        <w:tc>
          <w:tcPr>
            <w:shd w:fill="efd3d2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Всего максимально</w:t>
            </w:r>
          </w:p>
        </w:tc>
        <w:tc>
          <w:tcPr>
            <w:shd w:fill="efd3d2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160</w:t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Конечная оценка зависит от числа баллов</w:t>
      </w:r>
    </w:p>
    <w:tbl>
      <w:tblPr>
        <w:tblStyle w:val="Table5"/>
        <w:bidi w:val="0"/>
        <w:tblW w:w="5740.999999999999" w:type="dxa"/>
        <w:jc w:val="left"/>
        <w:tblInd w:w="-115.0" w:type="dxa"/>
        <w:tbl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  <w:insideH w:color="c0504d" w:space="0" w:sz="8" w:val="single"/>
          <w:insideV w:color="c0504d" w:space="0" w:sz="8" w:val="single"/>
        </w:tblBorders>
        <w:tblLayout w:type="fixed"/>
        <w:tblLook w:val="0000"/>
      </w:tblPr>
      <w:tblGrid>
        <w:gridCol w:w="907"/>
        <w:gridCol w:w="550"/>
        <w:gridCol w:w="550"/>
        <w:gridCol w:w="550"/>
        <w:gridCol w:w="550"/>
        <w:gridCol w:w="439"/>
        <w:gridCol w:w="439"/>
        <w:gridCol w:w="439"/>
        <w:gridCol w:w="439"/>
        <w:gridCol w:w="439"/>
        <w:gridCol w:w="439"/>
        <w:tblGridChange w:id="0">
          <w:tblGrid>
            <w:gridCol w:w="907"/>
            <w:gridCol w:w="550"/>
            <w:gridCol w:w="550"/>
            <w:gridCol w:w="550"/>
            <w:gridCol w:w="550"/>
            <w:gridCol w:w="439"/>
            <w:gridCol w:w="439"/>
            <w:gridCol w:w="439"/>
            <w:gridCol w:w="439"/>
            <w:gridCol w:w="439"/>
            <w:gridCol w:w="439"/>
          </w:tblGrid>
        </w:tblGridChange>
      </w:tblGrid>
      <w:tr>
        <w:tc>
          <w:tcPr>
            <w:shd w:fill="efd3d2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Баллы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160</w:t>
            </w:r>
          </w:p>
        </w:tc>
        <w:tc>
          <w:tcPr>
            <w:shd w:fill="efd3d2"/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128</w:t>
            </w:r>
          </w:p>
        </w:tc>
        <w:tc>
          <w:tcPr>
            <w:shd w:fill="efd3d2"/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96</w:t>
            </w:r>
          </w:p>
        </w:tc>
        <w:tc>
          <w:tcPr>
            <w:shd w:fill="efd3d2"/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64</w:t>
            </w:r>
          </w:p>
        </w:tc>
        <w:tc>
          <w:tcPr>
            <w:shd w:fill="efd3d2"/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efd3d2"/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</w:t>
            </w:r>
          </w:p>
        </w:tc>
      </w:tr>
      <w:tr>
        <w:tc>
          <w:tcPr>
            <w:shd w:fill="efd3d2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Оценка</w:t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efd3d2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efd3d2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efd3d2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efd3d2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efd3d2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5"/>
        <w:numPr>
          <w:ilvl w:val="0"/>
          <w:numId w:val="1"/>
        </w:num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Описание заданий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6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Самостоятельная работа слушателей включает три типа заданий: </w:t>
      </w:r>
    </w:p>
    <w:p w:rsidR="00000000" w:rsidDel="00000000" w:rsidP="00000000" w:rsidRDefault="00000000" w:rsidRPr="00000000">
      <w:pPr>
        <w:spacing w:after="6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а) освоение теоретической литературы. Источники по статистике и анализу данных представлены в разделе «Список обязательной литературы».</w:t>
      </w:r>
    </w:p>
    <w:p w:rsidR="00000000" w:rsidDel="00000000" w:rsidP="00000000" w:rsidRDefault="00000000" w:rsidRPr="00000000">
      <w:pPr>
        <w:spacing w:after="6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б) ознакомление с примерами анализа выполненного в области образования. Слушатель сдает текст объемом 0,5 - 1 стр.</w:t>
      </w:r>
    </w:p>
    <w:p w:rsidR="00000000" w:rsidDel="00000000" w:rsidP="00000000" w:rsidRDefault="00000000" w:rsidRPr="00000000">
      <w:pPr>
        <w:spacing w:after="6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в) самостоятельная работа с данными, собранными в ходе международных мониторингов качества образования или в результате исследования в области образования и интерпретация полученных результатов. </w:t>
      </w:r>
      <w:r w:rsidDel="00000000" w:rsidR="00000000" w:rsidRPr="00000000">
        <w:rPr>
          <w:rFonts w:ascii="Arial" w:cs="Arial" w:eastAsia="Arial" w:hAnsi="Arial"/>
          <w:b w:val="0"/>
          <w:color w:val="222222"/>
          <w:sz w:val="20"/>
          <w:szCs w:val="20"/>
          <w:rtl w:val="0"/>
        </w:rPr>
        <w:t xml:space="preserve">Для оценивания сдаются база данных, do-file, log-file, и при прохождении тем 2, 3 6, 7 – таблицы и графики с результатами анализа, текст с интерпретацией результатов (до 0,5 страницы).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6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Последние два типа заданий детальнее описаны ниже. </w:t>
      </w:r>
    </w:p>
    <w:p w:rsidR="00000000" w:rsidDel="00000000" w:rsidP="00000000" w:rsidRDefault="00000000" w:rsidRPr="00000000">
      <w:pPr>
        <w:spacing w:after="6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60" w:before="0" w:line="240" w:lineRule="auto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Тема 1. Основы работы с STATA. Управление данными</w:t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Подготовить исследовательский вопрос, выбрать данные (timss, pisa, pirls, мониторинг экономики образования и т.п.). Выбрать переменные в соответствии с исследовательским вопросом. Открыть данные. Переименовать и перекодировать переменные. Изменить метки переменных. Удалить лишние переменные. Сохранить данные</w:t>
      </w:r>
    </w:p>
    <w:p w:rsidR="00000000" w:rsidDel="00000000" w:rsidP="00000000" w:rsidRDefault="00000000" w:rsidRPr="00000000">
      <w:pPr>
        <w:spacing w:after="6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6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Тема 2. Базовые понятия статистики применительно к исследованиям в образовании. Описательная статистика</w:t>
      </w:r>
    </w:p>
    <w:p w:rsidR="00000000" w:rsidDel="00000000" w:rsidP="00000000" w:rsidRDefault="00000000" w:rsidRPr="00000000">
      <w:pPr>
        <w:spacing w:after="6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Проанализировать один из отчетов о результатах TIMSS 2011 или PISA 2012 (на выбор слушателя). Охарактеризовать результаты России с использованием мер центральной тенденции и разброса – в сопоставлении с другими странами. О чем говорят результаты? Объем до0,5 страницы. </w:t>
      </w:r>
    </w:p>
    <w:p w:rsidR="00000000" w:rsidDel="00000000" w:rsidP="00000000" w:rsidRDefault="00000000" w:rsidRPr="00000000">
      <w:pPr>
        <w:spacing w:after="6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Создать таблицу с описательными статистиками для переменных, отобранных при прохождении темы 1. Охарактеризовать шкалы отобранных переменных.</w:t>
      </w:r>
    </w:p>
    <w:p w:rsidR="00000000" w:rsidDel="00000000" w:rsidP="00000000" w:rsidRDefault="00000000" w:rsidRPr="00000000">
      <w:pPr>
        <w:spacing w:after="6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6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Тема 3. Графическое представление данных</w:t>
      </w:r>
    </w:p>
    <w:p w:rsidR="00000000" w:rsidDel="00000000" w:rsidP="00000000" w:rsidRDefault="00000000" w:rsidRPr="00000000">
      <w:pPr>
        <w:spacing w:after="6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color w:val="222222"/>
          <w:sz w:val="20"/>
          <w:szCs w:val="20"/>
          <w:highlight w:val="white"/>
          <w:rtl w:val="0"/>
        </w:rPr>
        <w:t xml:space="preserve">Интерпретировать графики одного из отчетов 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о результатах TIMSS 2011 или PISA 2012 (на выбор слушателя).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6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color w:val="222222"/>
          <w:sz w:val="20"/>
          <w:szCs w:val="20"/>
          <w:highlight w:val="white"/>
          <w:rtl w:val="0"/>
        </w:rPr>
        <w:t xml:space="preserve">Используя полученную в ходе выполнения темы 1 базу данных,построить графики. Должны быть использованы все пройденные виды графиков (графики распределения, точечные, круговые, ящичковые диаграммы и др.). Интерпретировать полученные графики.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6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6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Тема 4. Выборка: основные понятия. Типы выборки. Внешняя валидность</w:t>
      </w:r>
    </w:p>
    <w:p w:rsidR="00000000" w:rsidDel="00000000" w:rsidP="00000000" w:rsidRDefault="00000000" w:rsidRPr="00000000">
      <w:pPr>
        <w:spacing w:after="6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Описать выборку одного из исследований (из списка рекомендованных или других статей с результатами «количественного» исследования – на выбор слушателя): что является генеральной совокупностью, единицей наблюдения, какой тип выборки, ее объем. Какие возможности и ограничения несет данная выборка. Объем 0,5 страница</w:t>
      </w:r>
    </w:p>
    <w:p w:rsidR="00000000" w:rsidDel="00000000" w:rsidP="00000000" w:rsidRDefault="00000000" w:rsidRPr="00000000">
      <w:pPr>
        <w:spacing w:after="6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6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Тема 5. Дизайн исследования. Внутренняя валидность. Возможности и ограничения разных типов исследовательского дизайна для оценки каузальных связей</w:t>
      </w:r>
    </w:p>
    <w:p w:rsidR="00000000" w:rsidDel="00000000" w:rsidP="00000000" w:rsidRDefault="00000000" w:rsidRPr="00000000">
      <w:pPr>
        <w:spacing w:after="6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Описать дизайн одного из исследований (из списка рекомендованных или других статей с результатами «количественного» исследования – на выбор слушателя). Указать возможности и ограничения дизайна для каузального анализа. Объем 0,5 страницы</w:t>
      </w:r>
    </w:p>
    <w:p w:rsidR="00000000" w:rsidDel="00000000" w:rsidP="00000000" w:rsidRDefault="00000000" w:rsidRPr="00000000">
      <w:pPr>
        <w:spacing w:after="6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6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Тема 6. Связь переменных, характеристики связи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По одной из прочитанных книг или статей (из списка рекомендованных или других статей – на выбор слушателя), содержащих описание связи переменных в образовании, дать интерпретацию результатов исследования: какие задачи исследования? Какие переменные и шкалы? Каковы характеристики связи переменных? О чем говорит обнаруженная связь между переменными? Объем 0,5 – 1 страница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Проанализировать связь переменных, выбирая метод в зависимости от типа шкал, показать значимость. Интерпретировать результаты.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Тема 7. Проверка гипотез. Сравнение средних. Дисперсионный анализ. Интерпретация результатов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Проанализировать одну из прочитанных книг или статей с результатами дисперсионного анализа в образовании. Интерпретировать результаты.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Поставить исследовательский вопрос, подобрать переменные, подготовить их к анализу, 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выполнить анализ, используя пройденные методы (T-тестслучайной выборки для сравнения с заданным значением, T-тест для двух независимых выборок, Т-тест для парных выборок, ANOVA, MANOVA).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5"/>
        <w:numPr>
          <w:ilvl w:val="0"/>
          <w:numId w:val="1"/>
        </w:num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Списокобязательнойлитературы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52.00000000000003" w:lineRule="auto"/>
        <w:ind w:left="720" w:hanging="360"/>
        <w:contextualSpacing w:val="1"/>
        <w:jc w:val="both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Baum, C. 2006. An Introduction to Modern Econometrics Using Stata, Stata Press.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52.00000000000003" w:lineRule="auto"/>
        <w:ind w:left="720" w:hanging="360"/>
        <w:contextualSpacing w:val="1"/>
        <w:jc w:val="both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Cameron, C., Trivedi, P. 2009. Microeconometrics Using Stata. A Stata Press Publication.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52.00000000000003" w:lineRule="auto"/>
        <w:ind w:left="720" w:hanging="360"/>
        <w:contextualSpacing w:val="1"/>
        <w:jc w:val="both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Hamilton, L. 2009. Statistics with Stata. Updated for Version 10. Brooks/Cole Cencage Learning.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52.00000000000003" w:lineRule="auto"/>
        <w:ind w:left="720" w:hanging="360"/>
        <w:contextualSpacing w:val="1"/>
        <w:jc w:val="both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Long, J. S. 2009. The Workflow of Data Analysis: Principles and Practice Stata Press.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52.00000000000003" w:lineRule="auto"/>
        <w:ind w:left="720" w:hanging="360"/>
        <w:contextualSpacing w:val="1"/>
        <w:jc w:val="both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Longest, K. C. 2012. Using Stata for quantitative analysis. Los Angeles [etc.] SAGE Publications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52.00000000000003" w:lineRule="auto"/>
        <w:ind w:left="720" w:hanging="360"/>
        <w:contextualSpacing w:val="1"/>
        <w:jc w:val="both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Mitchell, M. N. 2010. Data management using Stata: a practical handbook. Stata press.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52.00000000000003" w:lineRule="auto"/>
        <w:ind w:left="720" w:hanging="360"/>
        <w:contextualSpacing w:val="1"/>
        <w:jc w:val="both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Mitchell, M. N. 2008. A Visual Guide to Stata Graphics. Stata press.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52.00000000000003" w:lineRule="auto"/>
        <w:ind w:left="720" w:hanging="360"/>
        <w:contextualSpacing w:val="1"/>
        <w:jc w:val="both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Rabe-Hesketh, S., Everitt, B. 2007. A handbook of statistical analysis using STATA. 4th edition. Taylor&amp;FrancisGroup. </w:t>
      </w:r>
    </w:p>
    <w:p w:rsidR="00000000" w:rsidDel="00000000" w:rsidP="00000000" w:rsidRDefault="00000000" w:rsidRPr="00000000">
      <w:pPr>
        <w:pStyle w:val="Heading5"/>
        <w:numPr>
          <w:ilvl w:val="0"/>
          <w:numId w:val="1"/>
        </w:num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Напоминания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00" w:before="0" w:line="252.00000000000003" w:lineRule="auto"/>
        <w:ind w:left="720" w:hanging="360"/>
        <w:contextualSpacing w:val="1"/>
        <w:jc w:val="both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Студент считается имеющим академическую задолженность, если он получил оценку ниже 4 баллов (по 10-балльной шкале) по итогам промежуточной/окончательной аттестации по Дисциплине, либо не явился на экзамен (не сдал работу в установленный срок) без уважительной причины.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00" w:before="0" w:line="252.00000000000003" w:lineRule="auto"/>
        <w:ind w:left="720" w:hanging="360"/>
        <w:contextualSpacing w:val="1"/>
        <w:jc w:val="both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Студенты, имеющие единовременно академические задолженности по трем или более разным Дисциплинам, к пересдачам результатов промежуточной аттестации по Дисциплинам не допускаются и подлежат отчислению непосредственно после получения академической задолженности по третьей Дисциплине.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00" w:before="0" w:line="252.00000000000003" w:lineRule="auto"/>
        <w:ind w:left="720" w:hanging="360"/>
        <w:contextualSpacing w:val="1"/>
        <w:jc w:val="both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Запрещается пересдача результатов промежуточной аттестации по Дисциплине с целью повышения удовлетворительной оценки (от 4 баллов по 10-ти балльной шкале).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00" w:before="0" w:line="252.00000000000003" w:lineRule="auto"/>
        <w:ind w:left="720" w:hanging="360"/>
        <w:contextualSpacing w:val="1"/>
        <w:jc w:val="both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Пересдача по одной и той же Дисциплине допускается не более двух раз.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before="0" w:line="240" w:lineRule="auto"/>
      <w:contextualSpacing w:val="0"/>
      <w:jc w:val="both"/>
    </w:pPr>
    <w:r w:rsidDel="00000000" w:rsidR="00000000" w:rsidRPr="00000000">
      <w:rPr>
        <w:rFonts w:ascii="Calibri" w:cs="Calibri" w:eastAsia="Calibri" w:hAnsi="Calibri"/>
        <w:b w:val="0"/>
        <w:i w:val="1"/>
        <w:color w:val="622423"/>
        <w:sz w:val="22"/>
        <w:szCs w:val="22"/>
        <w:rtl w:val="0"/>
      </w:rPr>
      <w:t xml:space="preserve">Институт Образования НИУ ВШЭ </w:t>
    </w:r>
    <w:hyperlink r:id="rId1">
      <w:r w:rsidDel="00000000" w:rsidR="00000000" w:rsidRPr="00000000">
        <w:rPr>
          <w:rFonts w:ascii="Calibri" w:cs="Calibri" w:eastAsia="Calibri" w:hAnsi="Calibri"/>
          <w:b w:val="0"/>
          <w:color w:val="0000ff"/>
          <w:sz w:val="22"/>
          <w:szCs w:val="22"/>
          <w:u w:val="single"/>
          <w:rtl w:val="0"/>
        </w:rPr>
        <w:t xml:space="preserve">http://ioe.hse.ru</w:t>
      </w:r>
    </w:hyperlink>
    <w:hyperlink r:id="rId2">
      <w:r w:rsidDel="00000000" w:rsidR="00000000" w:rsidRPr="00000000">
        <w:rPr>
          <w:rtl w:val="0"/>
        </w:rPr>
      </w:r>
    </w:hyperlink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52.00000000000003" w:lineRule="auto"/>
        <w:ind w:left="0" w:right="0" w:firstLine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00" w:line="252.00000000000003" w:lineRule="auto"/>
      <w:jc w:val="center"/>
    </w:pPr>
    <w:rPr>
      <w:rFonts w:ascii="Cambria" w:cs="Cambria" w:eastAsia="Cambria" w:hAnsi="Cambria"/>
      <w:b w:val="0"/>
      <w:smallCaps w:val="1"/>
      <w:color w:val="632423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400" w:line="252.00000000000003" w:lineRule="auto"/>
      <w:jc w:val="center"/>
    </w:pPr>
    <w:rPr>
      <w:rFonts w:ascii="Cambria" w:cs="Cambria" w:eastAsia="Cambria" w:hAnsi="Cambria"/>
      <w:b w:val="0"/>
      <w:smallCaps w:val="1"/>
      <w:color w:val="632423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300" w:line="252.00000000000003" w:lineRule="auto"/>
      <w:jc w:val="center"/>
    </w:pPr>
    <w:rPr>
      <w:rFonts w:ascii="Cambria" w:cs="Cambria" w:eastAsia="Cambria" w:hAnsi="Cambria"/>
      <w:b w:val="0"/>
      <w:smallCaps w:val="1"/>
      <w:color w:val="62242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120" w:before="0" w:line="252.00000000000003" w:lineRule="auto"/>
      <w:jc w:val="center"/>
    </w:pPr>
    <w:rPr>
      <w:rFonts w:ascii="Cambria" w:cs="Cambria" w:eastAsia="Cambria" w:hAnsi="Cambria"/>
      <w:b w:val="0"/>
      <w:smallCaps w:val="1"/>
      <w:color w:val="622423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120" w:before="320" w:line="252.00000000000003" w:lineRule="auto"/>
      <w:ind w:left="720" w:hanging="360"/>
      <w:jc w:val="both"/>
    </w:pPr>
    <w:rPr>
      <w:rFonts w:ascii="Cambria" w:cs="Cambria" w:eastAsia="Cambria" w:hAnsi="Cambria"/>
      <w:b w:val="0"/>
      <w:smallCaps w:val="1"/>
      <w:color w:val="622423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120" w:before="0" w:line="252.00000000000003" w:lineRule="auto"/>
      <w:jc w:val="center"/>
    </w:pPr>
    <w:rPr>
      <w:rFonts w:ascii="Cambria" w:cs="Cambria" w:eastAsia="Cambria" w:hAnsi="Cambria"/>
      <w:b w:val="0"/>
      <w:smallCaps w:val="1"/>
      <w:color w:val="943634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500" w:line="240" w:lineRule="auto"/>
      <w:jc w:val="center"/>
    </w:pPr>
    <w:rPr>
      <w:rFonts w:ascii="Cambria" w:cs="Cambria" w:eastAsia="Cambria" w:hAnsi="Cambria"/>
      <w:b w:val="0"/>
      <w:smallCaps w:val="1"/>
      <w:color w:val="632423"/>
      <w:sz w:val="44"/>
      <w:szCs w:val="44"/>
    </w:rPr>
  </w:style>
  <w:style w:type="paragraph" w:styleId="Subtitle">
    <w:name w:val="Subtitle"/>
    <w:basedOn w:val="Normal"/>
    <w:next w:val="Normal"/>
    <w:pPr>
      <w:keepNext w:val="1"/>
      <w:keepLines w:val="1"/>
      <w:spacing w:after="560" w:before="0" w:line="240" w:lineRule="auto"/>
      <w:jc w:val="center"/>
    </w:pPr>
    <w:rPr>
      <w:rFonts w:ascii="Cambria" w:cs="Cambria" w:eastAsia="Cambria" w:hAnsi="Cambria"/>
      <w:b w:val="0"/>
      <w:i w:val="1"/>
      <w:smallCaps w:val="1"/>
      <w:color w:val="666666"/>
      <w:sz w:val="18"/>
      <w:szCs w:val="1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01.jpg"/></Relationships>
</file>

<file path=word/_rels/footer1.xml.rels><?xml version="1.0" encoding="UTF-8" standalone="yes"?><Relationships xmlns="http://schemas.openxmlformats.org/package/2006/relationships"><Relationship Id="rId2" Type="http://schemas.openxmlformats.org/officeDocument/2006/relationships/hyperlink" Target="http://ioe.hse.ru" TargetMode="External"/><Relationship Id="rId1" Type="http://schemas.openxmlformats.org/officeDocument/2006/relationships/hyperlink" Target="http://ioe.hse.ru" TargetMode="External"/></Relationships>
</file>