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77246" w14:textId="77777777" w:rsidR="00ED529B" w:rsidRPr="00ED529B" w:rsidRDefault="00ED529B" w:rsidP="00ED529B">
      <w:pPr>
        <w:spacing w:line="360" w:lineRule="auto"/>
        <w:jc w:val="center"/>
        <w:rPr>
          <w:rFonts w:eastAsia="Times New Roman"/>
          <w:bCs/>
          <w:lang w:eastAsia="ru-RU"/>
        </w:rPr>
      </w:pPr>
      <w:r w:rsidRPr="00ED529B">
        <w:rPr>
          <w:rFonts w:eastAsia="Times New Roman"/>
          <w:bCs/>
          <w:lang w:eastAsia="ru-RU"/>
        </w:rPr>
        <w:t>ПРАВИТЕЛЬСТВО РОССИЙСКОЙ ФЕДЕРАЦИИ</w:t>
      </w:r>
    </w:p>
    <w:p w14:paraId="29779F7A" w14:textId="77777777" w:rsidR="00ED529B" w:rsidRPr="00ED529B" w:rsidRDefault="00ED529B" w:rsidP="00ED529B">
      <w:pPr>
        <w:spacing w:line="360" w:lineRule="auto"/>
        <w:jc w:val="center"/>
        <w:rPr>
          <w:rFonts w:eastAsia="Times New Roman"/>
          <w:bCs/>
          <w:lang w:eastAsia="ru-RU"/>
        </w:rPr>
      </w:pPr>
    </w:p>
    <w:p w14:paraId="6D2DE010" w14:textId="77777777" w:rsidR="00ED529B" w:rsidRPr="00ED529B" w:rsidRDefault="00ED529B" w:rsidP="00ED529B">
      <w:pPr>
        <w:spacing w:line="360" w:lineRule="auto"/>
        <w:jc w:val="center"/>
        <w:rPr>
          <w:rFonts w:eastAsia="Times New Roman"/>
          <w:bCs/>
          <w:lang w:eastAsia="ru-RU"/>
        </w:rPr>
      </w:pPr>
      <w:r w:rsidRPr="00ED529B">
        <w:rPr>
          <w:rFonts w:eastAsia="Times New Roman"/>
          <w:bCs/>
          <w:lang w:eastAsia="ru-RU"/>
        </w:rPr>
        <w:t>НАЦИОНАЛЬНЫЙ ИССЛЕДОВАТЕЛЬСКИЙ УНИВЕРСИТЕТ</w:t>
      </w:r>
    </w:p>
    <w:p w14:paraId="13F9B05D" w14:textId="77777777" w:rsidR="00ED529B" w:rsidRPr="00ED529B" w:rsidRDefault="00ED529B" w:rsidP="00ED529B">
      <w:pPr>
        <w:spacing w:line="360" w:lineRule="auto"/>
        <w:jc w:val="center"/>
        <w:rPr>
          <w:rFonts w:eastAsia="Times New Roman"/>
          <w:bCs/>
          <w:lang w:eastAsia="ru-RU"/>
        </w:rPr>
      </w:pPr>
      <w:r w:rsidRPr="00ED529B">
        <w:rPr>
          <w:rFonts w:eastAsia="Times New Roman"/>
          <w:bCs/>
          <w:lang w:eastAsia="ru-RU"/>
        </w:rPr>
        <w:t>ВЫСШАЯ ШКОЛА ЭКОНОМИКИ</w:t>
      </w:r>
    </w:p>
    <w:p w14:paraId="6CEF9EA6" w14:textId="77777777" w:rsidR="00ED529B" w:rsidRPr="00ED529B" w:rsidRDefault="00ED529B" w:rsidP="00ED529B">
      <w:pPr>
        <w:spacing w:line="360" w:lineRule="auto"/>
        <w:jc w:val="center"/>
        <w:rPr>
          <w:rFonts w:eastAsia="Times New Roman"/>
          <w:bCs/>
          <w:lang w:eastAsia="ru-RU"/>
        </w:rPr>
      </w:pPr>
    </w:p>
    <w:p w14:paraId="3FA62F5B" w14:textId="77777777" w:rsidR="00ED529B" w:rsidRPr="00ED529B" w:rsidRDefault="00ED529B" w:rsidP="00ED529B">
      <w:pPr>
        <w:spacing w:line="360" w:lineRule="auto"/>
        <w:ind w:left="5040" w:firstLine="720"/>
        <w:jc w:val="right"/>
        <w:rPr>
          <w:rFonts w:eastAsia="Times New Roman"/>
          <w:bCs/>
          <w:lang w:eastAsia="ru-RU"/>
        </w:rPr>
      </w:pPr>
    </w:p>
    <w:p w14:paraId="65738302" w14:textId="77777777" w:rsidR="00ED529B" w:rsidRPr="00ED529B" w:rsidRDefault="00ED529B" w:rsidP="00ED529B">
      <w:pPr>
        <w:spacing w:line="360" w:lineRule="auto"/>
        <w:ind w:left="5040" w:firstLine="720"/>
        <w:jc w:val="right"/>
        <w:rPr>
          <w:rFonts w:eastAsia="Times New Roman"/>
          <w:bCs/>
          <w:lang w:eastAsia="ru-RU"/>
        </w:rPr>
      </w:pPr>
    </w:p>
    <w:p w14:paraId="1B75D279" w14:textId="77777777" w:rsidR="00ED529B" w:rsidRPr="00ED529B" w:rsidRDefault="00ED529B" w:rsidP="00ED529B">
      <w:pPr>
        <w:spacing w:line="360" w:lineRule="auto"/>
        <w:ind w:left="5040" w:firstLine="720"/>
        <w:jc w:val="right"/>
        <w:rPr>
          <w:rFonts w:eastAsia="Times New Roman"/>
          <w:bCs/>
          <w:lang w:eastAsia="ru-RU"/>
        </w:rPr>
      </w:pPr>
      <w:r w:rsidRPr="00ED529B">
        <w:rPr>
          <w:rFonts w:eastAsia="Times New Roman"/>
          <w:bCs/>
          <w:lang w:eastAsia="ru-RU"/>
        </w:rPr>
        <w:t>УТВЕРЖДАЮ</w:t>
      </w:r>
    </w:p>
    <w:p w14:paraId="12183145" w14:textId="77777777" w:rsidR="00ED529B" w:rsidRPr="00ED529B" w:rsidRDefault="00ED529B" w:rsidP="00ED529B">
      <w:pPr>
        <w:spacing w:line="360" w:lineRule="auto"/>
        <w:jc w:val="right"/>
        <w:rPr>
          <w:rFonts w:eastAsia="Times New Roman"/>
          <w:bCs/>
          <w:lang w:eastAsia="ru-RU"/>
        </w:rPr>
      </w:pPr>
      <w:r w:rsidRPr="00ED529B">
        <w:rPr>
          <w:rFonts w:eastAsia="Times New Roman"/>
          <w:bCs/>
          <w:lang w:eastAsia="ru-RU"/>
        </w:rPr>
        <w:t>Проректор НИУ ВШЭ</w:t>
      </w:r>
    </w:p>
    <w:p w14:paraId="4526D837" w14:textId="77777777" w:rsidR="00ED529B" w:rsidRPr="00ED529B" w:rsidRDefault="00ED529B" w:rsidP="00ED529B">
      <w:pPr>
        <w:spacing w:line="360" w:lineRule="auto"/>
        <w:jc w:val="right"/>
        <w:rPr>
          <w:rFonts w:eastAsia="Times New Roman"/>
          <w:bCs/>
          <w:lang w:eastAsia="ru-RU"/>
        </w:rPr>
      </w:pPr>
      <w:r w:rsidRPr="00ED529B">
        <w:rPr>
          <w:rFonts w:eastAsia="Times New Roman"/>
          <w:bCs/>
          <w:lang w:eastAsia="ru-RU"/>
        </w:rPr>
        <w:t xml:space="preserve">А.Б. Жулин </w:t>
      </w:r>
    </w:p>
    <w:p w14:paraId="7E41A000" w14:textId="77777777" w:rsidR="00ED529B" w:rsidRPr="00ED529B" w:rsidRDefault="00ED529B" w:rsidP="00ED529B">
      <w:pPr>
        <w:spacing w:line="360" w:lineRule="auto"/>
        <w:jc w:val="center"/>
        <w:rPr>
          <w:rFonts w:eastAsia="Times New Roman"/>
          <w:bCs/>
          <w:lang w:eastAsia="ru-RU"/>
        </w:rPr>
      </w:pPr>
    </w:p>
    <w:p w14:paraId="36A42107" w14:textId="77777777" w:rsidR="00ED529B" w:rsidRPr="00ED529B" w:rsidRDefault="00ED529B" w:rsidP="00ED529B">
      <w:pPr>
        <w:spacing w:line="360" w:lineRule="auto"/>
        <w:jc w:val="center"/>
        <w:rPr>
          <w:rFonts w:eastAsia="Times New Roman"/>
          <w:bCs/>
          <w:lang w:eastAsia="ru-RU"/>
        </w:rPr>
      </w:pPr>
    </w:p>
    <w:p w14:paraId="5193DB4A" w14:textId="77777777" w:rsidR="00ED529B" w:rsidRPr="00ED529B" w:rsidRDefault="00ED529B" w:rsidP="00ED529B">
      <w:pPr>
        <w:spacing w:line="360" w:lineRule="auto"/>
        <w:jc w:val="center"/>
        <w:rPr>
          <w:rFonts w:eastAsia="Times New Roman"/>
          <w:bCs/>
          <w:lang w:eastAsia="ru-RU"/>
        </w:rPr>
      </w:pPr>
    </w:p>
    <w:p w14:paraId="3050863E" w14:textId="77777777" w:rsidR="00ED529B" w:rsidRPr="00ED529B" w:rsidRDefault="00ED529B" w:rsidP="00ED529B">
      <w:pPr>
        <w:spacing w:line="360" w:lineRule="auto"/>
        <w:jc w:val="center"/>
        <w:rPr>
          <w:rFonts w:eastAsia="Times New Roman"/>
          <w:bCs/>
          <w:lang w:eastAsia="ru-RU"/>
        </w:rPr>
      </w:pPr>
      <w:r w:rsidRPr="00ED529B">
        <w:rPr>
          <w:rFonts w:eastAsia="Times New Roman"/>
          <w:bCs/>
          <w:lang w:eastAsia="ru-RU"/>
        </w:rPr>
        <w:t xml:space="preserve">ОТЧЕТ </w:t>
      </w:r>
    </w:p>
    <w:p w14:paraId="1C3AC2A1" w14:textId="77777777" w:rsidR="00ED529B" w:rsidRPr="00ED529B" w:rsidRDefault="00ED529B" w:rsidP="00ED529B">
      <w:pPr>
        <w:spacing w:line="360" w:lineRule="auto"/>
        <w:jc w:val="center"/>
        <w:rPr>
          <w:rFonts w:eastAsia="Times New Roman"/>
          <w:bCs/>
          <w:lang w:eastAsia="ru-RU"/>
        </w:rPr>
      </w:pPr>
      <w:r w:rsidRPr="00ED529B">
        <w:rPr>
          <w:rFonts w:eastAsia="Times New Roman"/>
          <w:bCs/>
          <w:lang w:eastAsia="ru-RU"/>
        </w:rPr>
        <w:t>по теме:</w:t>
      </w:r>
    </w:p>
    <w:p w14:paraId="1549669E" w14:textId="77777777" w:rsidR="00ED529B" w:rsidRPr="00ED529B" w:rsidRDefault="00ED529B" w:rsidP="00ED529B">
      <w:pPr>
        <w:spacing w:line="360" w:lineRule="auto"/>
        <w:jc w:val="center"/>
        <w:rPr>
          <w:rFonts w:eastAsia="Times New Roman"/>
          <w:bCs/>
          <w:lang w:eastAsia="ru-RU"/>
        </w:rPr>
      </w:pPr>
      <w:r w:rsidRPr="00ED529B">
        <w:rPr>
          <w:rFonts w:eastAsia="Times New Roman"/>
          <w:bCs/>
          <w:lang w:eastAsia="ru-RU"/>
        </w:rPr>
        <w:t>«Исследование экономического эффекта создания Компенсационного Фонда на рынок долевого строительства»</w:t>
      </w:r>
    </w:p>
    <w:p w14:paraId="3BF283DB" w14:textId="77777777" w:rsidR="00ED529B" w:rsidRPr="00ED529B" w:rsidRDefault="00ED529B" w:rsidP="00ED529B">
      <w:pPr>
        <w:spacing w:line="360" w:lineRule="auto"/>
        <w:jc w:val="center"/>
        <w:rPr>
          <w:rFonts w:eastAsia="Times New Roman"/>
          <w:bCs/>
          <w:lang w:eastAsia="ru-RU"/>
        </w:rPr>
      </w:pPr>
    </w:p>
    <w:p w14:paraId="61B934D5" w14:textId="77777777" w:rsidR="00ED529B" w:rsidRPr="00ED529B" w:rsidRDefault="00ED529B" w:rsidP="00ED529B">
      <w:pPr>
        <w:spacing w:line="360" w:lineRule="auto"/>
        <w:jc w:val="center"/>
        <w:rPr>
          <w:rFonts w:eastAsia="Times New Roman"/>
          <w:bCs/>
          <w:lang w:eastAsia="ru-RU"/>
        </w:rPr>
      </w:pPr>
    </w:p>
    <w:p w14:paraId="192CCC23" w14:textId="77777777" w:rsidR="00ED529B" w:rsidRPr="00ED529B" w:rsidRDefault="00ED529B" w:rsidP="00ED529B">
      <w:pPr>
        <w:spacing w:line="360" w:lineRule="auto"/>
        <w:jc w:val="center"/>
        <w:rPr>
          <w:rFonts w:eastAsia="Times New Roman"/>
          <w:bCs/>
          <w:lang w:eastAsia="ru-RU"/>
        </w:rPr>
      </w:pPr>
    </w:p>
    <w:p w14:paraId="66A01EBF" w14:textId="77777777" w:rsidR="00ED529B" w:rsidRPr="00ED529B" w:rsidRDefault="00ED529B" w:rsidP="00ED529B">
      <w:pPr>
        <w:spacing w:line="360" w:lineRule="auto"/>
        <w:rPr>
          <w:rFonts w:eastAsia="Times New Roman"/>
          <w:bCs/>
          <w:lang w:eastAsia="ru-RU"/>
        </w:rPr>
      </w:pPr>
    </w:p>
    <w:p w14:paraId="27C882E5" w14:textId="77777777" w:rsidR="00ED529B" w:rsidRPr="00ED529B" w:rsidRDefault="00ED529B" w:rsidP="00ED529B">
      <w:pPr>
        <w:spacing w:line="360" w:lineRule="auto"/>
        <w:rPr>
          <w:rFonts w:eastAsia="Times New Roman"/>
          <w:bCs/>
          <w:lang w:eastAsia="ru-RU"/>
        </w:rPr>
      </w:pPr>
      <w:r w:rsidRPr="00ED529B">
        <w:rPr>
          <w:rFonts w:eastAsia="Times New Roman"/>
          <w:bCs/>
          <w:lang w:eastAsia="ru-RU"/>
        </w:rPr>
        <w:t xml:space="preserve">Руководитель темы: </w:t>
      </w:r>
    </w:p>
    <w:p w14:paraId="5252482F" w14:textId="77777777" w:rsidR="00ED529B" w:rsidRPr="00ED529B" w:rsidRDefault="00ED529B" w:rsidP="00ED529B">
      <w:pPr>
        <w:spacing w:line="360" w:lineRule="auto"/>
        <w:rPr>
          <w:rFonts w:eastAsia="Times New Roman"/>
          <w:lang w:eastAsia="ru-RU"/>
        </w:rPr>
      </w:pPr>
    </w:p>
    <w:p w14:paraId="39A8075F" w14:textId="77777777" w:rsidR="00ED529B" w:rsidRPr="00ED529B" w:rsidRDefault="00ED529B" w:rsidP="00ED529B">
      <w:pPr>
        <w:spacing w:line="360" w:lineRule="auto"/>
        <w:rPr>
          <w:rFonts w:eastAsia="Times New Roman"/>
          <w:lang w:eastAsia="ru-RU"/>
        </w:rPr>
      </w:pPr>
    </w:p>
    <w:p w14:paraId="7E2F883F" w14:textId="77777777" w:rsidR="00ED529B" w:rsidRPr="00ED529B" w:rsidRDefault="00ED529B" w:rsidP="00ED529B">
      <w:pPr>
        <w:spacing w:line="360" w:lineRule="auto"/>
        <w:rPr>
          <w:rFonts w:eastAsia="Times New Roman"/>
          <w:lang w:eastAsia="ru-RU"/>
        </w:rPr>
      </w:pPr>
      <w:r w:rsidRPr="00ED529B">
        <w:rPr>
          <w:rFonts w:eastAsia="Times New Roman"/>
          <w:lang w:eastAsia="ru-RU"/>
        </w:rPr>
        <w:t>Заместитель директора Дирекции</w:t>
      </w:r>
    </w:p>
    <w:p w14:paraId="008AD6B2" w14:textId="77777777" w:rsidR="00ED529B" w:rsidRPr="00ED529B" w:rsidRDefault="00ED529B" w:rsidP="00ED529B">
      <w:pPr>
        <w:spacing w:line="360" w:lineRule="auto"/>
        <w:rPr>
          <w:rFonts w:eastAsia="Times New Roman"/>
          <w:lang w:eastAsia="ru-RU"/>
        </w:rPr>
      </w:pPr>
      <w:r w:rsidRPr="00ED529B">
        <w:rPr>
          <w:rFonts w:eastAsia="Times New Roman"/>
          <w:lang w:eastAsia="ru-RU"/>
        </w:rPr>
        <w:t xml:space="preserve">по экспертно-аналитической работе                                                      </w:t>
      </w:r>
      <w:r w:rsidRPr="00ED529B">
        <w:rPr>
          <w:rFonts w:eastAsia="Times New Roman"/>
          <w:lang w:eastAsia="ru-RU"/>
        </w:rPr>
        <w:tab/>
      </w:r>
      <w:r w:rsidRPr="00ED529B">
        <w:rPr>
          <w:rFonts w:eastAsia="Times New Roman"/>
          <w:lang w:eastAsia="ru-RU"/>
        </w:rPr>
        <w:tab/>
        <w:t xml:space="preserve">С.М. Плаксин </w:t>
      </w:r>
    </w:p>
    <w:p w14:paraId="695B1D3D" w14:textId="77777777" w:rsidR="00ED529B" w:rsidRPr="00ED529B" w:rsidRDefault="00ED529B" w:rsidP="00ED529B">
      <w:pPr>
        <w:spacing w:line="360" w:lineRule="auto"/>
        <w:jc w:val="center"/>
        <w:rPr>
          <w:rFonts w:eastAsia="Times New Roman"/>
          <w:bCs/>
          <w:lang w:eastAsia="ru-RU"/>
        </w:rPr>
      </w:pPr>
    </w:p>
    <w:p w14:paraId="677D9E4D" w14:textId="77777777" w:rsidR="00ED529B" w:rsidRPr="00ED529B" w:rsidRDefault="00ED529B" w:rsidP="00ED529B">
      <w:pPr>
        <w:spacing w:line="360" w:lineRule="auto"/>
        <w:jc w:val="center"/>
        <w:rPr>
          <w:rFonts w:eastAsia="Times New Roman"/>
          <w:bCs/>
          <w:lang w:eastAsia="ru-RU"/>
        </w:rPr>
      </w:pPr>
    </w:p>
    <w:p w14:paraId="0811EF5E" w14:textId="77777777" w:rsidR="00ED529B" w:rsidRPr="00ED529B" w:rsidRDefault="00ED529B" w:rsidP="00ED529B">
      <w:pPr>
        <w:spacing w:line="360" w:lineRule="auto"/>
        <w:rPr>
          <w:rFonts w:eastAsia="Times New Roman"/>
          <w:bCs/>
          <w:lang w:eastAsia="ru-RU"/>
        </w:rPr>
      </w:pPr>
      <w:bookmarkStart w:id="0" w:name="_GoBack"/>
      <w:bookmarkEnd w:id="0"/>
    </w:p>
    <w:p w14:paraId="3318A3F8" w14:textId="77777777" w:rsidR="00ED529B" w:rsidRPr="00ED529B" w:rsidRDefault="00ED529B" w:rsidP="00ED529B">
      <w:pPr>
        <w:spacing w:line="360" w:lineRule="auto"/>
        <w:jc w:val="center"/>
        <w:rPr>
          <w:rFonts w:eastAsia="Calibri"/>
        </w:rPr>
      </w:pPr>
      <w:r w:rsidRPr="00ED529B">
        <w:rPr>
          <w:rFonts w:eastAsia="Times New Roman"/>
          <w:bCs/>
          <w:lang w:eastAsia="ru-RU"/>
        </w:rPr>
        <w:t>Москва   2016</w:t>
      </w:r>
    </w:p>
    <w:p w14:paraId="53572B1F" w14:textId="77777777" w:rsidR="00ED529B" w:rsidRPr="00ED529B" w:rsidRDefault="00ED529B" w:rsidP="00ED529B">
      <w:pPr>
        <w:spacing w:after="200" w:line="276" w:lineRule="auto"/>
        <w:rPr>
          <w:rFonts w:eastAsia="Calibri"/>
        </w:rPr>
      </w:pPr>
    </w:p>
    <w:p w14:paraId="557F44CE" w14:textId="77777777" w:rsidR="006057E3" w:rsidRPr="00EC1346" w:rsidRDefault="00E914C7">
      <w:pPr>
        <w:rPr>
          <w:rFonts w:asciiTheme="minorHAnsi" w:hAnsiTheme="minorHAnsi"/>
        </w:rPr>
      </w:pPr>
      <w:r w:rsidRPr="00EC1346">
        <w:rPr>
          <w:rFonts w:asciiTheme="minorHAnsi" w:hAnsiTheme="minorHAnsi"/>
        </w:rPr>
        <w:br w:type="page"/>
      </w:r>
    </w:p>
    <w:sdt>
      <w:sdtPr>
        <w:rPr>
          <w:rFonts w:asciiTheme="minorHAnsi" w:eastAsiaTheme="minorHAnsi" w:hAnsiTheme="minorHAnsi" w:cs="Times New Roman"/>
          <w:b w:val="0"/>
          <w:bCs w:val="0"/>
          <w:color w:val="auto"/>
          <w:sz w:val="24"/>
          <w:szCs w:val="24"/>
          <w:lang w:val="ru-RU"/>
        </w:rPr>
        <w:id w:val="985049058"/>
        <w:docPartObj>
          <w:docPartGallery w:val="Table of Contents"/>
          <w:docPartUnique/>
        </w:docPartObj>
      </w:sdtPr>
      <w:sdtEndPr>
        <w:rPr>
          <w:noProof/>
        </w:rPr>
      </w:sdtEndPr>
      <w:sdtContent>
        <w:p w14:paraId="0E7F6CC1" w14:textId="4A37DD8C" w:rsidR="006057E3" w:rsidRPr="00EC1346" w:rsidRDefault="006057E3" w:rsidP="006057E3">
          <w:pPr>
            <w:pStyle w:val="a4"/>
            <w:jc w:val="center"/>
            <w:rPr>
              <w:rFonts w:asciiTheme="minorHAnsi" w:hAnsiTheme="minorHAnsi"/>
            </w:rPr>
          </w:pPr>
          <w:proofErr w:type="spellStart"/>
          <w:r w:rsidRPr="00EC1346">
            <w:rPr>
              <w:rFonts w:asciiTheme="minorHAnsi" w:hAnsiTheme="minorHAnsi"/>
            </w:rPr>
            <w:t>Содержание</w:t>
          </w:r>
          <w:proofErr w:type="spellEnd"/>
        </w:p>
        <w:p w14:paraId="3B351983" w14:textId="77777777" w:rsidR="00EB11D5" w:rsidRPr="00EC1346" w:rsidRDefault="006057E3">
          <w:pPr>
            <w:pStyle w:val="11"/>
            <w:tabs>
              <w:tab w:val="left" w:pos="440"/>
              <w:tab w:val="right" w:leader="dot" w:pos="9629"/>
            </w:tabs>
            <w:rPr>
              <w:rFonts w:eastAsiaTheme="minorEastAsia"/>
              <w:b w:val="0"/>
              <w:noProof/>
              <w:lang w:val="en-US"/>
            </w:rPr>
          </w:pPr>
          <w:r w:rsidRPr="00EC1346">
            <w:rPr>
              <w:b w:val="0"/>
            </w:rPr>
            <w:fldChar w:fldCharType="begin"/>
          </w:r>
          <w:r w:rsidRPr="00EC1346">
            <w:instrText xml:space="preserve"> TOC \o "1-3" \h \z \u </w:instrText>
          </w:r>
          <w:r w:rsidRPr="00EC1346">
            <w:rPr>
              <w:b w:val="0"/>
            </w:rPr>
            <w:fldChar w:fldCharType="separate"/>
          </w:r>
          <w:hyperlink w:anchor="_Toc461036745" w:history="1">
            <w:r w:rsidR="00EB11D5" w:rsidRPr="00EC1346">
              <w:rPr>
                <w:rStyle w:val="a8"/>
                <w:noProof/>
              </w:rPr>
              <w:t>1.</w:t>
            </w:r>
            <w:r w:rsidR="00EB11D5" w:rsidRPr="00EC1346">
              <w:rPr>
                <w:rFonts w:eastAsiaTheme="minorEastAsia"/>
                <w:b w:val="0"/>
                <w:noProof/>
                <w:lang w:val="en-US"/>
              </w:rPr>
              <w:tab/>
            </w:r>
            <w:r w:rsidR="00EB11D5" w:rsidRPr="00EC1346">
              <w:rPr>
                <w:rStyle w:val="a8"/>
                <w:noProof/>
              </w:rPr>
              <w:t>Резюме исследования</w:t>
            </w:r>
            <w:r w:rsidR="00EB11D5" w:rsidRPr="00EC1346">
              <w:rPr>
                <w:noProof/>
                <w:webHidden/>
              </w:rPr>
              <w:tab/>
            </w:r>
            <w:r w:rsidR="00EB11D5" w:rsidRPr="00EC1346">
              <w:rPr>
                <w:noProof/>
                <w:webHidden/>
              </w:rPr>
              <w:fldChar w:fldCharType="begin"/>
            </w:r>
            <w:r w:rsidR="00EB11D5" w:rsidRPr="00EC1346">
              <w:rPr>
                <w:noProof/>
                <w:webHidden/>
              </w:rPr>
              <w:instrText xml:space="preserve"> PAGEREF _Toc461036745 \h </w:instrText>
            </w:r>
            <w:r w:rsidR="00EB11D5" w:rsidRPr="00EC1346">
              <w:rPr>
                <w:noProof/>
                <w:webHidden/>
              </w:rPr>
            </w:r>
            <w:r w:rsidR="00EB11D5" w:rsidRPr="00EC1346">
              <w:rPr>
                <w:noProof/>
                <w:webHidden/>
              </w:rPr>
              <w:fldChar w:fldCharType="separate"/>
            </w:r>
            <w:r w:rsidR="0026166B" w:rsidRPr="00EC1346">
              <w:rPr>
                <w:noProof/>
                <w:webHidden/>
              </w:rPr>
              <w:t>3</w:t>
            </w:r>
            <w:r w:rsidR="00EB11D5" w:rsidRPr="00EC1346">
              <w:rPr>
                <w:noProof/>
                <w:webHidden/>
              </w:rPr>
              <w:fldChar w:fldCharType="end"/>
            </w:r>
          </w:hyperlink>
        </w:p>
        <w:p w14:paraId="7F208EC7" w14:textId="77777777" w:rsidR="00EB11D5" w:rsidRPr="00EC1346" w:rsidRDefault="00903D90">
          <w:pPr>
            <w:pStyle w:val="11"/>
            <w:tabs>
              <w:tab w:val="left" w:pos="440"/>
              <w:tab w:val="right" w:leader="dot" w:pos="9629"/>
            </w:tabs>
            <w:rPr>
              <w:rFonts w:eastAsiaTheme="minorEastAsia"/>
              <w:b w:val="0"/>
              <w:noProof/>
              <w:lang w:val="en-US"/>
            </w:rPr>
          </w:pPr>
          <w:hyperlink w:anchor="_Toc461036746" w:history="1">
            <w:r w:rsidR="00EB11D5" w:rsidRPr="00EC1346">
              <w:rPr>
                <w:rStyle w:val="a8"/>
                <w:noProof/>
              </w:rPr>
              <w:t>2.</w:t>
            </w:r>
            <w:r w:rsidR="00EB11D5" w:rsidRPr="00EC1346">
              <w:rPr>
                <w:rFonts w:eastAsiaTheme="minorEastAsia"/>
                <w:b w:val="0"/>
                <w:noProof/>
                <w:lang w:val="en-US"/>
              </w:rPr>
              <w:tab/>
            </w:r>
            <w:r w:rsidR="00EB11D5" w:rsidRPr="00EC1346">
              <w:rPr>
                <w:rStyle w:val="a8"/>
                <w:noProof/>
              </w:rPr>
              <w:t>Компенсационный фонд</w:t>
            </w:r>
            <w:r w:rsidR="00EB11D5" w:rsidRPr="00EC1346">
              <w:rPr>
                <w:noProof/>
                <w:webHidden/>
              </w:rPr>
              <w:tab/>
            </w:r>
            <w:r w:rsidR="00EB11D5" w:rsidRPr="00EC1346">
              <w:rPr>
                <w:noProof/>
                <w:webHidden/>
              </w:rPr>
              <w:fldChar w:fldCharType="begin"/>
            </w:r>
            <w:r w:rsidR="00EB11D5" w:rsidRPr="00EC1346">
              <w:rPr>
                <w:noProof/>
                <w:webHidden/>
              </w:rPr>
              <w:instrText xml:space="preserve"> PAGEREF _Toc461036746 \h </w:instrText>
            </w:r>
            <w:r w:rsidR="00EB11D5" w:rsidRPr="00EC1346">
              <w:rPr>
                <w:noProof/>
                <w:webHidden/>
              </w:rPr>
            </w:r>
            <w:r w:rsidR="00EB11D5" w:rsidRPr="00EC1346">
              <w:rPr>
                <w:noProof/>
                <w:webHidden/>
              </w:rPr>
              <w:fldChar w:fldCharType="separate"/>
            </w:r>
            <w:r w:rsidR="0026166B" w:rsidRPr="00EC1346">
              <w:rPr>
                <w:noProof/>
                <w:webHidden/>
              </w:rPr>
              <w:t>5</w:t>
            </w:r>
            <w:r w:rsidR="00EB11D5" w:rsidRPr="00EC1346">
              <w:rPr>
                <w:noProof/>
                <w:webHidden/>
              </w:rPr>
              <w:fldChar w:fldCharType="end"/>
            </w:r>
          </w:hyperlink>
        </w:p>
        <w:p w14:paraId="1F12607B" w14:textId="77777777" w:rsidR="00EB11D5" w:rsidRPr="00EC1346" w:rsidRDefault="00903D90">
          <w:pPr>
            <w:pStyle w:val="11"/>
            <w:tabs>
              <w:tab w:val="left" w:pos="440"/>
              <w:tab w:val="right" w:leader="dot" w:pos="9629"/>
            </w:tabs>
            <w:rPr>
              <w:rFonts w:eastAsiaTheme="minorEastAsia"/>
              <w:b w:val="0"/>
              <w:noProof/>
              <w:lang w:val="en-US"/>
            </w:rPr>
          </w:pPr>
          <w:hyperlink w:anchor="_Toc461036747" w:history="1">
            <w:r w:rsidR="00EB11D5" w:rsidRPr="00EC1346">
              <w:rPr>
                <w:rStyle w:val="a8"/>
                <w:noProof/>
              </w:rPr>
              <w:t>3.</w:t>
            </w:r>
            <w:r w:rsidR="00EB11D5" w:rsidRPr="00EC1346">
              <w:rPr>
                <w:rFonts w:eastAsiaTheme="minorEastAsia"/>
                <w:b w:val="0"/>
                <w:noProof/>
                <w:lang w:val="en-US"/>
              </w:rPr>
              <w:tab/>
            </w:r>
            <w:r w:rsidR="00EB11D5" w:rsidRPr="00EC1346">
              <w:rPr>
                <w:rStyle w:val="a8"/>
                <w:noProof/>
              </w:rPr>
              <w:t>Участники рынка жилищного строительства по договорам долевого участия.</w:t>
            </w:r>
            <w:r w:rsidR="00EB11D5" w:rsidRPr="00EC1346">
              <w:rPr>
                <w:noProof/>
                <w:webHidden/>
              </w:rPr>
              <w:tab/>
            </w:r>
            <w:r w:rsidR="00EB11D5" w:rsidRPr="00EC1346">
              <w:rPr>
                <w:noProof/>
                <w:webHidden/>
              </w:rPr>
              <w:fldChar w:fldCharType="begin"/>
            </w:r>
            <w:r w:rsidR="00EB11D5" w:rsidRPr="00EC1346">
              <w:rPr>
                <w:noProof/>
                <w:webHidden/>
              </w:rPr>
              <w:instrText xml:space="preserve"> PAGEREF _Toc461036747 \h </w:instrText>
            </w:r>
            <w:r w:rsidR="00EB11D5" w:rsidRPr="00EC1346">
              <w:rPr>
                <w:noProof/>
                <w:webHidden/>
              </w:rPr>
            </w:r>
            <w:r w:rsidR="00EB11D5" w:rsidRPr="00EC1346">
              <w:rPr>
                <w:noProof/>
                <w:webHidden/>
              </w:rPr>
              <w:fldChar w:fldCharType="separate"/>
            </w:r>
            <w:r w:rsidR="0026166B" w:rsidRPr="00EC1346">
              <w:rPr>
                <w:noProof/>
                <w:webHidden/>
              </w:rPr>
              <w:t>9</w:t>
            </w:r>
            <w:r w:rsidR="00EB11D5" w:rsidRPr="00EC1346">
              <w:rPr>
                <w:noProof/>
                <w:webHidden/>
              </w:rPr>
              <w:fldChar w:fldCharType="end"/>
            </w:r>
          </w:hyperlink>
        </w:p>
        <w:p w14:paraId="1F0C0FA6" w14:textId="77777777" w:rsidR="00EB11D5" w:rsidRPr="00EC1346" w:rsidRDefault="00903D90">
          <w:pPr>
            <w:pStyle w:val="2"/>
            <w:tabs>
              <w:tab w:val="left" w:pos="880"/>
              <w:tab w:val="right" w:leader="dot" w:pos="9629"/>
            </w:tabs>
            <w:rPr>
              <w:rFonts w:eastAsiaTheme="minorEastAsia"/>
              <w:b w:val="0"/>
              <w:noProof/>
              <w:sz w:val="24"/>
              <w:szCs w:val="24"/>
              <w:lang w:val="en-US"/>
            </w:rPr>
          </w:pPr>
          <w:hyperlink w:anchor="_Toc461036748" w:history="1">
            <w:r w:rsidR="00EB11D5" w:rsidRPr="00EC1346">
              <w:rPr>
                <w:rStyle w:val="a8"/>
                <w:noProof/>
              </w:rPr>
              <w:t>3.1.</w:t>
            </w:r>
            <w:r w:rsidR="00EB11D5" w:rsidRPr="00EC1346">
              <w:rPr>
                <w:rFonts w:eastAsiaTheme="minorEastAsia"/>
                <w:b w:val="0"/>
                <w:noProof/>
                <w:sz w:val="24"/>
                <w:szCs w:val="24"/>
                <w:lang w:val="en-US"/>
              </w:rPr>
              <w:tab/>
            </w:r>
            <w:r w:rsidR="00EB11D5" w:rsidRPr="00EC1346">
              <w:rPr>
                <w:rStyle w:val="a8"/>
                <w:noProof/>
              </w:rPr>
              <w:t>Покупатели жилья по договорам долевого участия.</w:t>
            </w:r>
            <w:r w:rsidR="00EB11D5" w:rsidRPr="00EC1346">
              <w:rPr>
                <w:noProof/>
                <w:webHidden/>
              </w:rPr>
              <w:tab/>
            </w:r>
            <w:r w:rsidR="00EB11D5" w:rsidRPr="00EC1346">
              <w:rPr>
                <w:noProof/>
                <w:webHidden/>
              </w:rPr>
              <w:fldChar w:fldCharType="begin"/>
            </w:r>
            <w:r w:rsidR="00EB11D5" w:rsidRPr="00EC1346">
              <w:rPr>
                <w:noProof/>
                <w:webHidden/>
              </w:rPr>
              <w:instrText xml:space="preserve"> PAGEREF _Toc461036748 \h </w:instrText>
            </w:r>
            <w:r w:rsidR="00EB11D5" w:rsidRPr="00EC1346">
              <w:rPr>
                <w:noProof/>
                <w:webHidden/>
              </w:rPr>
            </w:r>
            <w:r w:rsidR="00EB11D5" w:rsidRPr="00EC1346">
              <w:rPr>
                <w:noProof/>
                <w:webHidden/>
              </w:rPr>
              <w:fldChar w:fldCharType="separate"/>
            </w:r>
            <w:r w:rsidR="0026166B" w:rsidRPr="00EC1346">
              <w:rPr>
                <w:noProof/>
                <w:webHidden/>
              </w:rPr>
              <w:t>9</w:t>
            </w:r>
            <w:r w:rsidR="00EB11D5" w:rsidRPr="00EC1346">
              <w:rPr>
                <w:noProof/>
                <w:webHidden/>
              </w:rPr>
              <w:fldChar w:fldCharType="end"/>
            </w:r>
          </w:hyperlink>
        </w:p>
        <w:p w14:paraId="2CC1194A" w14:textId="77777777" w:rsidR="00EB11D5" w:rsidRPr="00EC1346" w:rsidRDefault="00903D90">
          <w:pPr>
            <w:pStyle w:val="2"/>
            <w:tabs>
              <w:tab w:val="left" w:pos="880"/>
              <w:tab w:val="right" w:leader="dot" w:pos="9629"/>
            </w:tabs>
            <w:rPr>
              <w:rFonts w:eastAsiaTheme="minorEastAsia"/>
              <w:b w:val="0"/>
              <w:noProof/>
              <w:sz w:val="24"/>
              <w:szCs w:val="24"/>
              <w:lang w:val="en-US"/>
            </w:rPr>
          </w:pPr>
          <w:hyperlink w:anchor="_Toc461036749" w:history="1">
            <w:r w:rsidR="00EB11D5" w:rsidRPr="00EC1346">
              <w:rPr>
                <w:rStyle w:val="a8"/>
                <w:noProof/>
              </w:rPr>
              <w:t>3.2.</w:t>
            </w:r>
            <w:r w:rsidR="00EB11D5" w:rsidRPr="00EC1346">
              <w:rPr>
                <w:rFonts w:eastAsiaTheme="minorEastAsia"/>
                <w:b w:val="0"/>
                <w:noProof/>
                <w:sz w:val="24"/>
                <w:szCs w:val="24"/>
                <w:lang w:val="en-US"/>
              </w:rPr>
              <w:tab/>
            </w:r>
            <w:r w:rsidR="00EB11D5" w:rsidRPr="00EC1346">
              <w:rPr>
                <w:rStyle w:val="a8"/>
                <w:noProof/>
              </w:rPr>
              <w:t>Застройщики</w:t>
            </w:r>
            <w:r w:rsidR="00EB11D5" w:rsidRPr="00EC1346">
              <w:rPr>
                <w:noProof/>
                <w:webHidden/>
              </w:rPr>
              <w:tab/>
            </w:r>
            <w:r w:rsidR="00EB11D5" w:rsidRPr="00EC1346">
              <w:rPr>
                <w:noProof/>
                <w:webHidden/>
              </w:rPr>
              <w:fldChar w:fldCharType="begin"/>
            </w:r>
            <w:r w:rsidR="00EB11D5" w:rsidRPr="00EC1346">
              <w:rPr>
                <w:noProof/>
                <w:webHidden/>
              </w:rPr>
              <w:instrText xml:space="preserve"> PAGEREF _Toc461036749 \h </w:instrText>
            </w:r>
            <w:r w:rsidR="00EB11D5" w:rsidRPr="00EC1346">
              <w:rPr>
                <w:noProof/>
                <w:webHidden/>
              </w:rPr>
            </w:r>
            <w:r w:rsidR="00EB11D5" w:rsidRPr="00EC1346">
              <w:rPr>
                <w:noProof/>
                <w:webHidden/>
              </w:rPr>
              <w:fldChar w:fldCharType="separate"/>
            </w:r>
            <w:r w:rsidR="0026166B" w:rsidRPr="00EC1346">
              <w:rPr>
                <w:noProof/>
                <w:webHidden/>
              </w:rPr>
              <w:t>13</w:t>
            </w:r>
            <w:r w:rsidR="00EB11D5" w:rsidRPr="00EC1346">
              <w:rPr>
                <w:noProof/>
                <w:webHidden/>
              </w:rPr>
              <w:fldChar w:fldCharType="end"/>
            </w:r>
          </w:hyperlink>
        </w:p>
        <w:p w14:paraId="06F3F863" w14:textId="77777777" w:rsidR="00EB11D5" w:rsidRPr="00EC1346" w:rsidRDefault="00903D90">
          <w:pPr>
            <w:pStyle w:val="2"/>
            <w:tabs>
              <w:tab w:val="left" w:pos="880"/>
              <w:tab w:val="right" w:leader="dot" w:pos="9629"/>
            </w:tabs>
            <w:rPr>
              <w:rFonts w:eastAsiaTheme="minorEastAsia"/>
              <w:b w:val="0"/>
              <w:noProof/>
              <w:sz w:val="24"/>
              <w:szCs w:val="24"/>
              <w:lang w:val="en-US"/>
            </w:rPr>
          </w:pPr>
          <w:hyperlink w:anchor="_Toc461036750" w:history="1">
            <w:r w:rsidR="00EB11D5" w:rsidRPr="00EC1346">
              <w:rPr>
                <w:rStyle w:val="a8"/>
                <w:noProof/>
              </w:rPr>
              <w:t>3.3.</w:t>
            </w:r>
            <w:r w:rsidR="00EB11D5" w:rsidRPr="00EC1346">
              <w:rPr>
                <w:rFonts w:eastAsiaTheme="minorEastAsia"/>
                <w:b w:val="0"/>
                <w:noProof/>
                <w:sz w:val="24"/>
                <w:szCs w:val="24"/>
                <w:lang w:val="en-US"/>
              </w:rPr>
              <w:tab/>
            </w:r>
            <w:r w:rsidR="00EB11D5" w:rsidRPr="00EC1346">
              <w:rPr>
                <w:rStyle w:val="a8"/>
                <w:noProof/>
              </w:rPr>
              <w:t>Страховые компании</w:t>
            </w:r>
            <w:r w:rsidR="00EB11D5" w:rsidRPr="00EC1346">
              <w:rPr>
                <w:noProof/>
                <w:webHidden/>
              </w:rPr>
              <w:tab/>
            </w:r>
            <w:r w:rsidR="00EB11D5" w:rsidRPr="00EC1346">
              <w:rPr>
                <w:noProof/>
                <w:webHidden/>
              </w:rPr>
              <w:fldChar w:fldCharType="begin"/>
            </w:r>
            <w:r w:rsidR="00EB11D5" w:rsidRPr="00EC1346">
              <w:rPr>
                <w:noProof/>
                <w:webHidden/>
              </w:rPr>
              <w:instrText xml:space="preserve"> PAGEREF _Toc461036750 \h </w:instrText>
            </w:r>
            <w:r w:rsidR="00EB11D5" w:rsidRPr="00EC1346">
              <w:rPr>
                <w:noProof/>
                <w:webHidden/>
              </w:rPr>
            </w:r>
            <w:r w:rsidR="00EB11D5" w:rsidRPr="00EC1346">
              <w:rPr>
                <w:noProof/>
                <w:webHidden/>
              </w:rPr>
              <w:fldChar w:fldCharType="separate"/>
            </w:r>
            <w:r w:rsidR="0026166B" w:rsidRPr="00EC1346">
              <w:rPr>
                <w:noProof/>
                <w:webHidden/>
              </w:rPr>
              <w:t>15</w:t>
            </w:r>
            <w:r w:rsidR="00EB11D5" w:rsidRPr="00EC1346">
              <w:rPr>
                <w:noProof/>
                <w:webHidden/>
              </w:rPr>
              <w:fldChar w:fldCharType="end"/>
            </w:r>
          </w:hyperlink>
        </w:p>
        <w:p w14:paraId="588CB2E6" w14:textId="77777777" w:rsidR="00EB11D5" w:rsidRPr="00EC1346" w:rsidRDefault="00903D90">
          <w:pPr>
            <w:pStyle w:val="2"/>
            <w:tabs>
              <w:tab w:val="left" w:pos="880"/>
              <w:tab w:val="right" w:leader="dot" w:pos="9629"/>
            </w:tabs>
            <w:rPr>
              <w:rFonts w:eastAsiaTheme="minorEastAsia"/>
              <w:b w:val="0"/>
              <w:noProof/>
              <w:sz w:val="24"/>
              <w:szCs w:val="24"/>
              <w:lang w:val="en-US"/>
            </w:rPr>
          </w:pPr>
          <w:hyperlink w:anchor="_Toc461036751" w:history="1">
            <w:r w:rsidR="00EB11D5" w:rsidRPr="00EC1346">
              <w:rPr>
                <w:rStyle w:val="a8"/>
                <w:noProof/>
              </w:rPr>
              <w:t>3.4.</w:t>
            </w:r>
            <w:r w:rsidR="00EB11D5" w:rsidRPr="00EC1346">
              <w:rPr>
                <w:rFonts w:eastAsiaTheme="minorEastAsia"/>
                <w:b w:val="0"/>
                <w:noProof/>
                <w:sz w:val="24"/>
                <w:szCs w:val="24"/>
                <w:lang w:val="en-US"/>
              </w:rPr>
              <w:tab/>
            </w:r>
            <w:r w:rsidR="00EB11D5" w:rsidRPr="00EC1346">
              <w:rPr>
                <w:rStyle w:val="a8"/>
                <w:noProof/>
              </w:rPr>
              <w:t>Кредитные организации</w:t>
            </w:r>
            <w:r w:rsidR="00EB11D5" w:rsidRPr="00EC1346">
              <w:rPr>
                <w:noProof/>
                <w:webHidden/>
              </w:rPr>
              <w:tab/>
            </w:r>
            <w:r w:rsidR="00EB11D5" w:rsidRPr="00EC1346">
              <w:rPr>
                <w:noProof/>
                <w:webHidden/>
              </w:rPr>
              <w:fldChar w:fldCharType="begin"/>
            </w:r>
            <w:r w:rsidR="00EB11D5" w:rsidRPr="00EC1346">
              <w:rPr>
                <w:noProof/>
                <w:webHidden/>
              </w:rPr>
              <w:instrText xml:space="preserve"> PAGEREF _Toc461036751 \h </w:instrText>
            </w:r>
            <w:r w:rsidR="00EB11D5" w:rsidRPr="00EC1346">
              <w:rPr>
                <w:noProof/>
                <w:webHidden/>
              </w:rPr>
            </w:r>
            <w:r w:rsidR="00EB11D5" w:rsidRPr="00EC1346">
              <w:rPr>
                <w:noProof/>
                <w:webHidden/>
              </w:rPr>
              <w:fldChar w:fldCharType="separate"/>
            </w:r>
            <w:r w:rsidR="0026166B" w:rsidRPr="00EC1346">
              <w:rPr>
                <w:noProof/>
                <w:webHidden/>
              </w:rPr>
              <w:t>19</w:t>
            </w:r>
            <w:r w:rsidR="00EB11D5" w:rsidRPr="00EC1346">
              <w:rPr>
                <w:noProof/>
                <w:webHidden/>
              </w:rPr>
              <w:fldChar w:fldCharType="end"/>
            </w:r>
          </w:hyperlink>
        </w:p>
        <w:p w14:paraId="28B7FF97" w14:textId="77777777" w:rsidR="00EB11D5" w:rsidRPr="00EC1346" w:rsidRDefault="00903D90">
          <w:pPr>
            <w:pStyle w:val="11"/>
            <w:tabs>
              <w:tab w:val="left" w:pos="440"/>
              <w:tab w:val="right" w:leader="dot" w:pos="9629"/>
            </w:tabs>
            <w:rPr>
              <w:rFonts w:eastAsiaTheme="minorEastAsia"/>
              <w:b w:val="0"/>
              <w:noProof/>
              <w:lang w:val="en-US"/>
            </w:rPr>
          </w:pPr>
          <w:hyperlink w:anchor="_Toc461036752" w:history="1">
            <w:r w:rsidR="00EB11D5" w:rsidRPr="00EC1346">
              <w:rPr>
                <w:rStyle w:val="a8"/>
                <w:noProof/>
              </w:rPr>
              <w:t>4.</w:t>
            </w:r>
            <w:r w:rsidR="00EB11D5" w:rsidRPr="00EC1346">
              <w:rPr>
                <w:rFonts w:eastAsiaTheme="minorEastAsia"/>
                <w:b w:val="0"/>
                <w:noProof/>
                <w:lang w:val="en-US"/>
              </w:rPr>
              <w:tab/>
            </w:r>
            <w:r w:rsidR="00EB11D5" w:rsidRPr="00EC1346">
              <w:rPr>
                <w:rStyle w:val="a8"/>
                <w:noProof/>
              </w:rPr>
              <w:t>Компенсационный Фонд, как гарант исполнения обязательств по договорам долевого участия.</w:t>
            </w:r>
            <w:r w:rsidR="00EB11D5" w:rsidRPr="00EC1346">
              <w:rPr>
                <w:noProof/>
                <w:webHidden/>
              </w:rPr>
              <w:tab/>
            </w:r>
            <w:r w:rsidR="00EB11D5" w:rsidRPr="00EC1346">
              <w:rPr>
                <w:noProof/>
                <w:webHidden/>
              </w:rPr>
              <w:fldChar w:fldCharType="begin"/>
            </w:r>
            <w:r w:rsidR="00EB11D5" w:rsidRPr="00EC1346">
              <w:rPr>
                <w:noProof/>
                <w:webHidden/>
              </w:rPr>
              <w:instrText xml:space="preserve"> PAGEREF _Toc461036752 \h </w:instrText>
            </w:r>
            <w:r w:rsidR="00EB11D5" w:rsidRPr="00EC1346">
              <w:rPr>
                <w:noProof/>
                <w:webHidden/>
              </w:rPr>
            </w:r>
            <w:r w:rsidR="00EB11D5" w:rsidRPr="00EC1346">
              <w:rPr>
                <w:noProof/>
                <w:webHidden/>
              </w:rPr>
              <w:fldChar w:fldCharType="separate"/>
            </w:r>
            <w:r w:rsidR="0026166B" w:rsidRPr="00EC1346">
              <w:rPr>
                <w:noProof/>
                <w:webHidden/>
              </w:rPr>
              <w:t>22</w:t>
            </w:r>
            <w:r w:rsidR="00EB11D5" w:rsidRPr="00EC1346">
              <w:rPr>
                <w:noProof/>
                <w:webHidden/>
              </w:rPr>
              <w:fldChar w:fldCharType="end"/>
            </w:r>
          </w:hyperlink>
        </w:p>
        <w:p w14:paraId="497BDA64" w14:textId="12AD094A" w:rsidR="006057E3" w:rsidRPr="00EC1346" w:rsidRDefault="006057E3">
          <w:pPr>
            <w:rPr>
              <w:rFonts w:asciiTheme="minorHAnsi" w:hAnsiTheme="minorHAnsi"/>
            </w:rPr>
          </w:pPr>
          <w:r w:rsidRPr="00EC1346">
            <w:rPr>
              <w:rFonts w:asciiTheme="minorHAnsi" w:hAnsiTheme="minorHAnsi"/>
              <w:b/>
              <w:bCs/>
              <w:noProof/>
            </w:rPr>
            <w:fldChar w:fldCharType="end"/>
          </w:r>
        </w:p>
      </w:sdtContent>
    </w:sdt>
    <w:p w14:paraId="1A559849" w14:textId="58E6A3E9" w:rsidR="00E914C7" w:rsidRPr="00EC1346" w:rsidRDefault="006057E3" w:rsidP="00F8418B">
      <w:pPr>
        <w:rPr>
          <w:rFonts w:asciiTheme="minorHAnsi" w:hAnsiTheme="minorHAnsi"/>
        </w:rPr>
      </w:pPr>
      <w:r w:rsidRPr="00EC1346">
        <w:rPr>
          <w:rFonts w:asciiTheme="minorHAnsi" w:hAnsiTheme="minorHAnsi"/>
        </w:rPr>
        <w:br w:type="page"/>
      </w:r>
    </w:p>
    <w:p w14:paraId="232B181C" w14:textId="60E8CA48" w:rsidR="00F8418B" w:rsidRPr="00EC1346" w:rsidRDefault="00F26CB0" w:rsidP="00162D0F">
      <w:pPr>
        <w:pStyle w:val="a3"/>
        <w:numPr>
          <w:ilvl w:val="0"/>
          <w:numId w:val="1"/>
        </w:numPr>
        <w:spacing w:after="120" w:line="360" w:lineRule="auto"/>
        <w:jc w:val="center"/>
        <w:outlineLvl w:val="0"/>
        <w:rPr>
          <w:b/>
          <w:sz w:val="28"/>
          <w:szCs w:val="28"/>
        </w:rPr>
      </w:pPr>
      <w:bookmarkStart w:id="1" w:name="_Toc461036745"/>
      <w:r w:rsidRPr="00EC1346">
        <w:rPr>
          <w:b/>
          <w:sz w:val="28"/>
          <w:szCs w:val="28"/>
        </w:rPr>
        <w:lastRenderedPageBreak/>
        <w:t xml:space="preserve">Резюме </w:t>
      </w:r>
      <w:r w:rsidR="00FF121B" w:rsidRPr="00EC1346">
        <w:rPr>
          <w:b/>
          <w:sz w:val="28"/>
          <w:szCs w:val="28"/>
        </w:rPr>
        <w:t>исследования</w:t>
      </w:r>
      <w:bookmarkEnd w:id="1"/>
    </w:p>
    <w:p w14:paraId="62C7CFDB" w14:textId="77777777" w:rsidR="00BC4193" w:rsidRPr="00EC1346" w:rsidRDefault="00BC4193" w:rsidP="00BC4193">
      <w:pPr>
        <w:pStyle w:val="a3"/>
        <w:spacing w:after="120" w:line="360" w:lineRule="auto"/>
        <w:ind w:left="360"/>
        <w:outlineLvl w:val="0"/>
        <w:rPr>
          <w:b/>
          <w:sz w:val="28"/>
          <w:szCs w:val="28"/>
        </w:rPr>
      </w:pPr>
    </w:p>
    <w:p w14:paraId="78D50CBF" w14:textId="0CE37856" w:rsidR="00CF7619" w:rsidRPr="00EC1346" w:rsidRDefault="00CF7619" w:rsidP="00CF7619">
      <w:pPr>
        <w:pStyle w:val="a3"/>
        <w:numPr>
          <w:ilvl w:val="0"/>
          <w:numId w:val="13"/>
        </w:numPr>
        <w:spacing w:after="120" w:line="360" w:lineRule="auto"/>
        <w:jc w:val="both"/>
        <w:rPr>
          <w:sz w:val="24"/>
          <w:szCs w:val="24"/>
        </w:rPr>
      </w:pPr>
      <w:r w:rsidRPr="00EC1346">
        <w:rPr>
          <w:sz w:val="24"/>
          <w:szCs w:val="24"/>
        </w:rPr>
        <w:t>Существующие меры по регулированию деятельности застройщиков и развитие рынка жилищного строительства снизили остроту проблемы обманутых дольщиков, однако в случае начала масштабного кризиса в отрасли существующие механизмы обеспечения ответственности могут не сработать.</w:t>
      </w:r>
    </w:p>
    <w:p w14:paraId="1B8376E3" w14:textId="408B65B0" w:rsidR="00F8418B" w:rsidRPr="00EC1346" w:rsidRDefault="00F8418B" w:rsidP="00F8418B">
      <w:pPr>
        <w:pStyle w:val="a3"/>
        <w:numPr>
          <w:ilvl w:val="0"/>
          <w:numId w:val="13"/>
        </w:numPr>
        <w:spacing w:after="120" w:line="360" w:lineRule="auto"/>
        <w:jc w:val="both"/>
        <w:rPr>
          <w:sz w:val="24"/>
          <w:szCs w:val="24"/>
        </w:rPr>
      </w:pPr>
      <w:r w:rsidRPr="00EC1346">
        <w:rPr>
          <w:sz w:val="24"/>
          <w:szCs w:val="24"/>
        </w:rPr>
        <w:t xml:space="preserve">Дальнейшее ухудшение финансового положения застройщиков представляется реальным сценарием </w:t>
      </w:r>
      <w:r w:rsidR="00162D0F" w:rsidRPr="00EC1346">
        <w:rPr>
          <w:sz w:val="24"/>
          <w:szCs w:val="24"/>
        </w:rPr>
        <w:t>из-за</w:t>
      </w:r>
      <w:r w:rsidRPr="00EC1346">
        <w:rPr>
          <w:sz w:val="24"/>
          <w:szCs w:val="24"/>
        </w:rPr>
        <w:t xml:space="preserve"> продолжающегося снижения реальных располагаемых доходов населения, </w:t>
      </w:r>
      <w:r w:rsidR="003B0932" w:rsidRPr="00EC1346">
        <w:rPr>
          <w:sz w:val="24"/>
          <w:szCs w:val="24"/>
        </w:rPr>
        <w:t xml:space="preserve">сокращения </w:t>
      </w:r>
      <w:r w:rsidRPr="00EC1346">
        <w:rPr>
          <w:sz w:val="24"/>
          <w:szCs w:val="24"/>
        </w:rPr>
        <w:t>количества продаж жилья по договора</w:t>
      </w:r>
      <w:r w:rsidR="00162D0F" w:rsidRPr="00EC1346">
        <w:rPr>
          <w:sz w:val="24"/>
          <w:szCs w:val="24"/>
        </w:rPr>
        <w:t>м долевого участия и уменьшения</w:t>
      </w:r>
      <w:r w:rsidRPr="00EC1346">
        <w:rPr>
          <w:sz w:val="24"/>
          <w:szCs w:val="24"/>
        </w:rPr>
        <w:t xml:space="preserve"> объемов как проектного, так и ипотечного кредитования. </w:t>
      </w:r>
    </w:p>
    <w:p w14:paraId="00244CC8" w14:textId="4C58E21C" w:rsidR="00BC4193" w:rsidRPr="00EC1346" w:rsidRDefault="00CF7619" w:rsidP="00BC4193">
      <w:pPr>
        <w:pStyle w:val="a3"/>
        <w:numPr>
          <w:ilvl w:val="0"/>
          <w:numId w:val="13"/>
        </w:numPr>
        <w:spacing w:after="120" w:line="360" w:lineRule="auto"/>
        <w:jc w:val="both"/>
        <w:rPr>
          <w:sz w:val="24"/>
          <w:szCs w:val="24"/>
        </w:rPr>
      </w:pPr>
      <w:r w:rsidRPr="00EC1346">
        <w:rPr>
          <w:sz w:val="24"/>
          <w:szCs w:val="24"/>
        </w:rPr>
        <w:t>Средства Компенсационного Фонда с учетом пополнения в рамках заявленных параметров будут недостаточны для выполнения обязатель</w:t>
      </w:r>
      <w:proofErr w:type="gramStart"/>
      <w:r w:rsidRPr="00EC1346">
        <w:rPr>
          <w:sz w:val="24"/>
          <w:szCs w:val="24"/>
        </w:rPr>
        <w:t>ств в сл</w:t>
      </w:r>
      <w:proofErr w:type="gramEnd"/>
      <w:r w:rsidRPr="00EC1346">
        <w:rPr>
          <w:sz w:val="24"/>
          <w:szCs w:val="24"/>
        </w:rPr>
        <w:t xml:space="preserve">учае резкого снижения </w:t>
      </w:r>
      <w:r w:rsidR="003B0932" w:rsidRPr="00EC1346">
        <w:rPr>
          <w:sz w:val="24"/>
          <w:szCs w:val="24"/>
        </w:rPr>
        <w:t xml:space="preserve">объемов </w:t>
      </w:r>
      <w:r w:rsidRPr="00EC1346">
        <w:rPr>
          <w:sz w:val="24"/>
          <w:szCs w:val="24"/>
        </w:rPr>
        <w:t>продаж и цен в отрасли</w:t>
      </w:r>
      <w:r w:rsidR="00F8418B" w:rsidRPr="00EC1346">
        <w:rPr>
          <w:sz w:val="24"/>
          <w:szCs w:val="24"/>
        </w:rPr>
        <w:t>, что</w:t>
      </w:r>
      <w:r w:rsidRPr="00EC1346">
        <w:rPr>
          <w:sz w:val="24"/>
          <w:szCs w:val="24"/>
        </w:rPr>
        <w:t xml:space="preserve"> приведет к необходимости его </w:t>
      </w:r>
      <w:proofErr w:type="spellStart"/>
      <w:r w:rsidRPr="00EC1346">
        <w:rPr>
          <w:sz w:val="24"/>
          <w:szCs w:val="24"/>
        </w:rPr>
        <w:t>дофинансирования</w:t>
      </w:r>
      <w:proofErr w:type="spellEnd"/>
      <w:r w:rsidRPr="00EC1346">
        <w:rPr>
          <w:sz w:val="24"/>
          <w:szCs w:val="24"/>
        </w:rPr>
        <w:t xml:space="preserve"> из бюджета.</w:t>
      </w:r>
      <w:r w:rsidR="00BC4193" w:rsidRPr="00EC1346">
        <w:rPr>
          <w:sz w:val="24"/>
          <w:szCs w:val="24"/>
        </w:rPr>
        <w:t xml:space="preserve"> Экономическое моделирование работы Компенсационного Фонда показало, что его средства заканчиваются уже в 2018 г.</w:t>
      </w:r>
      <w:r w:rsidR="00EB11D5" w:rsidRPr="00EC1346">
        <w:rPr>
          <w:sz w:val="24"/>
          <w:szCs w:val="24"/>
        </w:rPr>
        <w:t xml:space="preserve"> (и даже в 2017 г. - при </w:t>
      </w:r>
      <w:r w:rsidR="00B60780" w:rsidRPr="00EC1346">
        <w:rPr>
          <w:sz w:val="24"/>
          <w:szCs w:val="24"/>
        </w:rPr>
        <w:t>отсутствии финансирования первоначального капитала со стороны государства</w:t>
      </w:r>
      <w:r w:rsidR="00EB11D5" w:rsidRPr="00EC1346">
        <w:rPr>
          <w:sz w:val="24"/>
          <w:szCs w:val="24"/>
        </w:rPr>
        <w:t>).</w:t>
      </w:r>
    </w:p>
    <w:p w14:paraId="1A199CAE" w14:textId="546AADAD" w:rsidR="00F8418B" w:rsidRPr="00EC1346" w:rsidRDefault="00F8418B" w:rsidP="00F8418B">
      <w:pPr>
        <w:pStyle w:val="a3"/>
        <w:numPr>
          <w:ilvl w:val="0"/>
          <w:numId w:val="13"/>
        </w:numPr>
        <w:spacing w:after="120" w:line="360" w:lineRule="auto"/>
        <w:jc w:val="both"/>
        <w:rPr>
          <w:sz w:val="24"/>
          <w:szCs w:val="24"/>
        </w:rPr>
      </w:pPr>
      <w:r w:rsidRPr="00EC1346">
        <w:rPr>
          <w:sz w:val="24"/>
          <w:szCs w:val="24"/>
        </w:rPr>
        <w:t>С точки зрения минимизации расходов Фонда и по</w:t>
      </w:r>
      <w:r w:rsidR="00162D0F" w:rsidRPr="00EC1346">
        <w:rPr>
          <w:sz w:val="24"/>
          <w:szCs w:val="24"/>
        </w:rPr>
        <w:t>тенциальных вливаний из бюджета</w:t>
      </w:r>
      <w:r w:rsidRPr="00EC1346">
        <w:rPr>
          <w:sz w:val="24"/>
          <w:szCs w:val="24"/>
        </w:rPr>
        <w:t xml:space="preserve"> наиболее предпочтительным является вариант работы Фонда</w:t>
      </w:r>
      <w:r w:rsidR="00162D0F" w:rsidRPr="00EC1346">
        <w:rPr>
          <w:sz w:val="24"/>
          <w:szCs w:val="24"/>
        </w:rPr>
        <w:t>,</w:t>
      </w:r>
      <w:r w:rsidRPr="00EC1346">
        <w:rPr>
          <w:sz w:val="24"/>
          <w:szCs w:val="24"/>
        </w:rPr>
        <w:t xml:space="preserve"> при котором будет востребована как компетенция </w:t>
      </w:r>
      <w:r w:rsidR="00162D0F" w:rsidRPr="00EC1346">
        <w:rPr>
          <w:sz w:val="24"/>
          <w:szCs w:val="24"/>
        </w:rPr>
        <w:t>страховщиков</w:t>
      </w:r>
      <w:r w:rsidRPr="00EC1346">
        <w:rPr>
          <w:sz w:val="24"/>
          <w:szCs w:val="24"/>
        </w:rPr>
        <w:t xml:space="preserve"> по отбору объект</w:t>
      </w:r>
      <w:r w:rsidR="00162D0F" w:rsidRPr="00EC1346">
        <w:rPr>
          <w:sz w:val="24"/>
          <w:szCs w:val="24"/>
        </w:rPr>
        <w:t>ов страхования, так и финансовые резервы страхового рынка</w:t>
      </w:r>
      <w:r w:rsidRPr="00EC1346">
        <w:rPr>
          <w:sz w:val="24"/>
          <w:szCs w:val="24"/>
        </w:rPr>
        <w:t>.</w:t>
      </w:r>
    </w:p>
    <w:p w14:paraId="524433C3" w14:textId="3EB90424" w:rsidR="00CF7619" w:rsidRPr="00EC1346" w:rsidRDefault="00CF7619" w:rsidP="00CF7619">
      <w:pPr>
        <w:pStyle w:val="a3"/>
        <w:numPr>
          <w:ilvl w:val="0"/>
          <w:numId w:val="13"/>
        </w:numPr>
        <w:spacing w:after="120" w:line="360" w:lineRule="auto"/>
        <w:jc w:val="both"/>
        <w:rPr>
          <w:sz w:val="24"/>
          <w:szCs w:val="24"/>
        </w:rPr>
      </w:pPr>
      <w:r w:rsidRPr="00EC1346">
        <w:rPr>
          <w:sz w:val="24"/>
          <w:szCs w:val="24"/>
        </w:rPr>
        <w:t xml:space="preserve">Полное решение проблемы дольщиков </w:t>
      </w:r>
      <w:r w:rsidR="00F8418B" w:rsidRPr="00EC1346">
        <w:rPr>
          <w:sz w:val="24"/>
          <w:szCs w:val="24"/>
        </w:rPr>
        <w:t>возможно только в случае, если Ф</w:t>
      </w:r>
      <w:r w:rsidRPr="00EC1346">
        <w:rPr>
          <w:sz w:val="24"/>
          <w:szCs w:val="24"/>
        </w:rPr>
        <w:t xml:space="preserve">онд будет обеспечивать обязательства всех застройщиков. </w:t>
      </w:r>
      <w:r w:rsidR="00162D0F" w:rsidRPr="00EC1346">
        <w:rPr>
          <w:sz w:val="24"/>
          <w:szCs w:val="24"/>
        </w:rPr>
        <w:t>Однако</w:t>
      </w:r>
      <w:r w:rsidR="00F8418B" w:rsidRPr="00EC1346">
        <w:rPr>
          <w:sz w:val="24"/>
          <w:szCs w:val="24"/>
        </w:rPr>
        <w:t xml:space="preserve"> в</w:t>
      </w:r>
      <w:r w:rsidRPr="00EC1346">
        <w:rPr>
          <w:sz w:val="24"/>
          <w:szCs w:val="24"/>
        </w:rPr>
        <w:t xml:space="preserve"> этом случае Фонд не только берет на себя повышенные обязательства, но и фактически «уравнивает» всех участников рынка, </w:t>
      </w:r>
      <w:proofErr w:type="gramStart"/>
      <w:r w:rsidRPr="00EC1346">
        <w:rPr>
          <w:sz w:val="24"/>
          <w:szCs w:val="24"/>
        </w:rPr>
        <w:t>перераспределяя экономические выгода от надежных</w:t>
      </w:r>
      <w:proofErr w:type="gramEnd"/>
      <w:r w:rsidRPr="00EC1346">
        <w:rPr>
          <w:sz w:val="24"/>
          <w:szCs w:val="24"/>
        </w:rPr>
        <w:t xml:space="preserve"> и добросовестных застройщиков в пользу неэффективных и </w:t>
      </w:r>
      <w:r w:rsidR="00162D0F" w:rsidRPr="00EC1346">
        <w:rPr>
          <w:sz w:val="24"/>
          <w:szCs w:val="24"/>
        </w:rPr>
        <w:t>недобросовестных</w:t>
      </w:r>
      <w:r w:rsidRPr="00EC1346">
        <w:rPr>
          <w:sz w:val="24"/>
          <w:szCs w:val="24"/>
        </w:rPr>
        <w:t xml:space="preserve">. </w:t>
      </w:r>
    </w:p>
    <w:p w14:paraId="5E7E208C" w14:textId="1B19F42A" w:rsidR="00AA0F92" w:rsidRPr="00EC1346" w:rsidRDefault="00CF7619" w:rsidP="00F8418B">
      <w:pPr>
        <w:pStyle w:val="a3"/>
        <w:numPr>
          <w:ilvl w:val="0"/>
          <w:numId w:val="13"/>
        </w:numPr>
        <w:spacing w:after="120" w:line="360" w:lineRule="auto"/>
        <w:jc w:val="both"/>
        <w:rPr>
          <w:sz w:val="24"/>
          <w:szCs w:val="24"/>
        </w:rPr>
      </w:pPr>
      <w:r w:rsidRPr="00EC1346">
        <w:rPr>
          <w:sz w:val="24"/>
          <w:szCs w:val="24"/>
        </w:rPr>
        <w:t xml:space="preserve">Отказ от обязательного страхования ответственности и </w:t>
      </w:r>
      <w:r w:rsidR="00F8418B" w:rsidRPr="00EC1346">
        <w:rPr>
          <w:sz w:val="24"/>
          <w:szCs w:val="24"/>
        </w:rPr>
        <w:t>замена существующего механизма Компенсационным Ф</w:t>
      </w:r>
      <w:r w:rsidRPr="00EC1346">
        <w:rPr>
          <w:sz w:val="24"/>
          <w:szCs w:val="24"/>
        </w:rPr>
        <w:t xml:space="preserve">ондом фактически будет означать, что принятые в 2014 г. изменения в </w:t>
      </w:r>
      <w:r w:rsidR="00162D0F" w:rsidRPr="00EC1346">
        <w:rPr>
          <w:sz w:val="24"/>
          <w:szCs w:val="24"/>
        </w:rPr>
        <w:t xml:space="preserve">закон </w:t>
      </w:r>
      <w:r w:rsidRPr="00EC1346">
        <w:rPr>
          <w:sz w:val="24"/>
          <w:szCs w:val="24"/>
        </w:rPr>
        <w:t xml:space="preserve">214-ФЗ оказались нежизнеспособными. Замена одного механизма обеспечения ответственности на другой без должной дискуссии и попыток </w:t>
      </w:r>
      <w:r w:rsidRPr="00EC1346">
        <w:rPr>
          <w:sz w:val="24"/>
          <w:szCs w:val="24"/>
        </w:rPr>
        <w:lastRenderedPageBreak/>
        <w:t>усовершенствовать существующую систему страхования с использованием возможн</w:t>
      </w:r>
      <w:r w:rsidR="00162D0F" w:rsidRPr="00EC1346">
        <w:rPr>
          <w:sz w:val="24"/>
          <w:szCs w:val="24"/>
        </w:rPr>
        <w:t xml:space="preserve">остей  создаваемого Фонда </w:t>
      </w:r>
      <w:r w:rsidRPr="00EC1346">
        <w:rPr>
          <w:sz w:val="24"/>
          <w:szCs w:val="24"/>
        </w:rPr>
        <w:t xml:space="preserve">может привести к </w:t>
      </w:r>
      <w:r w:rsidR="00162D0F" w:rsidRPr="00EC1346">
        <w:rPr>
          <w:sz w:val="24"/>
          <w:szCs w:val="24"/>
        </w:rPr>
        <w:t>тому, что цели реформы не будут достигнуты</w:t>
      </w:r>
      <w:r w:rsidRPr="00EC1346">
        <w:rPr>
          <w:sz w:val="24"/>
          <w:szCs w:val="24"/>
        </w:rPr>
        <w:t>.</w:t>
      </w:r>
    </w:p>
    <w:p w14:paraId="6D1BBF64" w14:textId="33F917DB" w:rsidR="00BC4193" w:rsidRPr="00EC1346" w:rsidRDefault="00BC4193" w:rsidP="00F8418B">
      <w:pPr>
        <w:pStyle w:val="a3"/>
        <w:numPr>
          <w:ilvl w:val="0"/>
          <w:numId w:val="13"/>
        </w:numPr>
        <w:spacing w:after="120" w:line="360" w:lineRule="auto"/>
        <w:jc w:val="both"/>
        <w:rPr>
          <w:sz w:val="24"/>
          <w:szCs w:val="24"/>
        </w:rPr>
      </w:pPr>
      <w:r w:rsidRPr="00EC1346">
        <w:rPr>
          <w:sz w:val="24"/>
          <w:szCs w:val="24"/>
        </w:rPr>
        <w:t>Фактически, одним из последствий создания Компенсационного Фонда в рассматриваемой конструкции может стать снижение эффективности работы строительной отрасли, оплаченное из средств налогоплательщиков.</w:t>
      </w:r>
    </w:p>
    <w:p w14:paraId="71E7D9E3" w14:textId="06D3D1DE" w:rsidR="00EB11D5" w:rsidRPr="00EC1346" w:rsidRDefault="00EB11D5" w:rsidP="00EB11D5">
      <w:pPr>
        <w:pStyle w:val="a3"/>
        <w:numPr>
          <w:ilvl w:val="0"/>
          <w:numId w:val="13"/>
        </w:numPr>
        <w:spacing w:after="120" w:line="360" w:lineRule="auto"/>
        <w:jc w:val="both"/>
        <w:rPr>
          <w:sz w:val="24"/>
          <w:szCs w:val="24"/>
        </w:rPr>
      </w:pPr>
      <w:proofErr w:type="gramStart"/>
      <w:r w:rsidRPr="00EC1346">
        <w:rPr>
          <w:sz w:val="24"/>
          <w:szCs w:val="24"/>
        </w:rPr>
        <w:t>Сценарий, предполагающий внесение активов и обязательств существующих участников страхового рынка в Компенсационный Фонд, существенно увеличивает объем потенциальных выплат и вероятность исчерпания средств Фонда уже в 2017 г. Представляется, что реализация подобного сценария может быть выгодна страховым организациям с «проблемным» портфелем застройщиков и объектов, так как позволит обеспечить завершение строительства за счет распределения рисков через Компенсационный Фонд на других застройщиков и</w:t>
      </w:r>
      <w:proofErr w:type="gramEnd"/>
      <w:r w:rsidRPr="00EC1346">
        <w:rPr>
          <w:sz w:val="24"/>
          <w:szCs w:val="24"/>
        </w:rPr>
        <w:t xml:space="preserve"> (при </w:t>
      </w:r>
      <w:proofErr w:type="spellStart"/>
      <w:proofErr w:type="gramStart"/>
      <w:r w:rsidRPr="00EC1346">
        <w:rPr>
          <w:sz w:val="24"/>
          <w:szCs w:val="24"/>
        </w:rPr>
        <w:t>при</w:t>
      </w:r>
      <w:proofErr w:type="spellEnd"/>
      <w:proofErr w:type="gramEnd"/>
      <w:r w:rsidRPr="00EC1346">
        <w:rPr>
          <w:sz w:val="24"/>
          <w:szCs w:val="24"/>
        </w:rPr>
        <w:t xml:space="preserve"> исчерпании средств Фонда) на бюджет РФ.</w:t>
      </w:r>
    </w:p>
    <w:p w14:paraId="3116561C" w14:textId="0DEB5F4C" w:rsidR="003441D8" w:rsidRPr="00EC1346" w:rsidRDefault="003441D8" w:rsidP="00F8418B">
      <w:pPr>
        <w:pStyle w:val="a3"/>
        <w:numPr>
          <w:ilvl w:val="0"/>
          <w:numId w:val="13"/>
        </w:numPr>
        <w:spacing w:after="120" w:line="360" w:lineRule="auto"/>
        <w:jc w:val="both"/>
        <w:rPr>
          <w:sz w:val="24"/>
          <w:szCs w:val="24"/>
        </w:rPr>
      </w:pPr>
      <w:r w:rsidRPr="00EC1346">
        <w:rPr>
          <w:sz w:val="24"/>
          <w:szCs w:val="24"/>
        </w:rPr>
        <w:t>Негативным эффектом создания Компенсационного Фонда может стать искусственное увеличение доли сделок по долевому строительству в противовес сделкам по приобретению готового жилья. Предлагаемый механизм работы может стать самовоспроизводящимся, когда Компенсационный Фонд будет стимулировать дольщиков приобретать жилье на этапе строительства, а объем заключенных дольщиками договоров будет подкреплять необходимость работы Фонда как гаранта обязательств.</w:t>
      </w:r>
    </w:p>
    <w:p w14:paraId="5E5A6782" w14:textId="4D41C78F" w:rsidR="00E914C7" w:rsidRPr="00EC1346" w:rsidRDefault="00E914C7">
      <w:pPr>
        <w:rPr>
          <w:rFonts w:asciiTheme="minorHAnsi" w:hAnsiTheme="minorHAnsi"/>
        </w:rPr>
      </w:pPr>
      <w:r w:rsidRPr="00EC1346">
        <w:rPr>
          <w:rFonts w:asciiTheme="minorHAnsi" w:hAnsiTheme="minorHAnsi"/>
        </w:rPr>
        <w:br w:type="page"/>
      </w:r>
    </w:p>
    <w:p w14:paraId="6F9190EA" w14:textId="77777777" w:rsidR="00E914C7" w:rsidRPr="00EC1346" w:rsidRDefault="00E914C7" w:rsidP="00F26CB0">
      <w:pPr>
        <w:pStyle w:val="a3"/>
        <w:spacing w:after="120" w:line="360" w:lineRule="auto"/>
        <w:rPr>
          <w:sz w:val="24"/>
          <w:szCs w:val="24"/>
        </w:rPr>
      </w:pPr>
    </w:p>
    <w:p w14:paraId="614B883F" w14:textId="60BFF458" w:rsidR="00F26CB0" w:rsidRPr="00EC1346" w:rsidRDefault="00F26CB0" w:rsidP="006057E3">
      <w:pPr>
        <w:pStyle w:val="a3"/>
        <w:numPr>
          <w:ilvl w:val="0"/>
          <w:numId w:val="1"/>
        </w:numPr>
        <w:spacing w:after="120" w:line="360" w:lineRule="auto"/>
        <w:jc w:val="center"/>
        <w:outlineLvl w:val="0"/>
        <w:rPr>
          <w:b/>
          <w:sz w:val="28"/>
          <w:szCs w:val="28"/>
        </w:rPr>
      </w:pPr>
      <w:bookmarkStart w:id="2" w:name="_Toc461036746"/>
      <w:r w:rsidRPr="00EC1346">
        <w:rPr>
          <w:b/>
          <w:sz w:val="28"/>
          <w:szCs w:val="28"/>
        </w:rPr>
        <w:t>Компенсационный фонд</w:t>
      </w:r>
      <w:bookmarkEnd w:id="2"/>
    </w:p>
    <w:p w14:paraId="7EAA994C" w14:textId="77777777" w:rsidR="00F26CB0" w:rsidRPr="00EC1346" w:rsidRDefault="00F26CB0" w:rsidP="00F26CB0">
      <w:pPr>
        <w:spacing w:after="120" w:line="360" w:lineRule="auto"/>
        <w:rPr>
          <w:rFonts w:asciiTheme="minorHAnsi" w:hAnsiTheme="minorHAnsi"/>
        </w:rPr>
      </w:pPr>
    </w:p>
    <w:p w14:paraId="01BAD211" w14:textId="5B667075" w:rsidR="00F26CB0" w:rsidRPr="00EC1346" w:rsidRDefault="00F26CB0" w:rsidP="00F26CB0">
      <w:pPr>
        <w:spacing w:after="120" w:line="360" w:lineRule="auto"/>
        <w:rPr>
          <w:rFonts w:asciiTheme="minorHAnsi" w:hAnsiTheme="minorHAnsi"/>
          <w:b/>
          <w:i/>
        </w:rPr>
      </w:pPr>
      <w:r w:rsidRPr="00EC1346">
        <w:rPr>
          <w:rFonts w:asciiTheme="minorHAnsi" w:hAnsiTheme="minorHAnsi"/>
          <w:b/>
          <w:i/>
        </w:rPr>
        <w:t>История создания</w:t>
      </w:r>
    </w:p>
    <w:p w14:paraId="6205C3C5" w14:textId="1763EAFE" w:rsidR="006057E3" w:rsidRPr="00EC1346" w:rsidRDefault="006057E3" w:rsidP="006057E3">
      <w:pPr>
        <w:spacing w:after="120" w:line="360" w:lineRule="auto"/>
        <w:jc w:val="both"/>
        <w:rPr>
          <w:rFonts w:asciiTheme="minorHAnsi" w:hAnsiTheme="minorHAnsi"/>
        </w:rPr>
      </w:pPr>
      <w:proofErr w:type="gramStart"/>
      <w:r w:rsidRPr="00EC1346">
        <w:rPr>
          <w:rFonts w:asciiTheme="minorHAnsi" w:hAnsiTheme="minorHAnsi"/>
        </w:rPr>
        <w:t xml:space="preserve">В начале 2014 г. вступили в силу поправки в закон о долевом строительстве 214-ФЗ от 30.12.2004 </w:t>
      </w:r>
      <w:r w:rsidR="00162D0F" w:rsidRPr="00EC1346">
        <w:rPr>
          <w:rFonts w:asciiTheme="minorHAnsi" w:hAnsiTheme="minorHAnsi"/>
        </w:rPr>
        <w:t xml:space="preserve">(далее – закон 214-ФЗ), </w:t>
      </w:r>
      <w:r w:rsidRPr="00EC1346">
        <w:rPr>
          <w:rFonts w:asciiTheme="minorHAnsi" w:hAnsiTheme="minorHAnsi"/>
        </w:rPr>
        <w:t>в со</w:t>
      </w:r>
      <w:r w:rsidR="00AA0F92" w:rsidRPr="00EC1346">
        <w:rPr>
          <w:rFonts w:asciiTheme="minorHAnsi" w:hAnsiTheme="minorHAnsi"/>
        </w:rPr>
        <w:t>ответствии с которыми з</w:t>
      </w:r>
      <w:r w:rsidRPr="00EC1346">
        <w:rPr>
          <w:rFonts w:asciiTheme="minorHAnsi" w:hAnsiTheme="minorHAnsi"/>
        </w:rPr>
        <w:t>астройщ</w:t>
      </w:r>
      <w:r w:rsidR="00AA0F92" w:rsidRPr="00EC1346">
        <w:rPr>
          <w:rFonts w:asciiTheme="minorHAnsi" w:hAnsiTheme="minorHAnsi"/>
        </w:rPr>
        <w:t>ик в обязательном порядке должен</w:t>
      </w:r>
      <w:r w:rsidRPr="00EC1346">
        <w:rPr>
          <w:rFonts w:asciiTheme="minorHAnsi" w:hAnsiTheme="minorHAnsi"/>
        </w:rPr>
        <w:t xml:space="preserve"> застраховать свою ответственность перед дольщиком одним из следующих способов:  заключением договора страхования гражданской ответственности</w:t>
      </w:r>
      <w:r w:rsidR="00AA0F92" w:rsidRPr="00EC1346">
        <w:rPr>
          <w:rFonts w:asciiTheme="minorHAnsi" w:hAnsiTheme="minorHAnsi"/>
        </w:rPr>
        <w:t>, получением поручительства</w:t>
      </w:r>
      <w:r w:rsidRPr="00EC1346">
        <w:rPr>
          <w:rFonts w:asciiTheme="minorHAnsi" w:hAnsiTheme="minorHAnsi"/>
        </w:rPr>
        <w:t xml:space="preserve"> банка или путем вступления в общество взаимного страхования (ОВС).</w:t>
      </w:r>
      <w:proofErr w:type="gramEnd"/>
      <w:r w:rsidRPr="00EC1346">
        <w:rPr>
          <w:rFonts w:asciiTheme="minorHAnsi" w:hAnsiTheme="minorHAnsi"/>
        </w:rPr>
        <w:t xml:space="preserve"> По истечен</w:t>
      </w:r>
      <w:r w:rsidR="00AA0F92" w:rsidRPr="00EC1346">
        <w:rPr>
          <w:rFonts w:asciiTheme="minorHAnsi" w:hAnsiTheme="minorHAnsi"/>
        </w:rPr>
        <w:t xml:space="preserve">ии двух лет после того, как </w:t>
      </w:r>
      <w:r w:rsidR="00832DCC" w:rsidRPr="00EC1346">
        <w:rPr>
          <w:rFonts w:asciiTheme="minorHAnsi" w:hAnsiTheme="minorHAnsi"/>
        </w:rPr>
        <w:t>обеспечение</w:t>
      </w:r>
      <w:r w:rsidRPr="00EC1346">
        <w:rPr>
          <w:rFonts w:asciiTheme="minorHAnsi" w:hAnsiTheme="minorHAnsi"/>
        </w:rPr>
        <w:t xml:space="preserve"> ответственности застройщика</w:t>
      </w:r>
      <w:r w:rsidR="00AA0F92" w:rsidRPr="00EC1346">
        <w:rPr>
          <w:rFonts w:asciiTheme="minorHAnsi" w:hAnsiTheme="minorHAnsi"/>
        </w:rPr>
        <w:t xml:space="preserve"> стало обязательным</w:t>
      </w:r>
      <w:r w:rsidRPr="00EC1346">
        <w:rPr>
          <w:rFonts w:asciiTheme="minorHAnsi" w:hAnsiTheme="minorHAnsi"/>
        </w:rPr>
        <w:t>, обсуждается вопрос о фактической отмене этой нор</w:t>
      </w:r>
      <w:r w:rsidR="00162D0F" w:rsidRPr="00EC1346">
        <w:rPr>
          <w:rFonts w:asciiTheme="minorHAnsi" w:hAnsiTheme="minorHAnsi"/>
        </w:rPr>
        <w:t>мы и создании государственного Компенсационного Ф</w:t>
      </w:r>
      <w:r w:rsidRPr="00EC1346">
        <w:rPr>
          <w:rFonts w:asciiTheme="minorHAnsi" w:hAnsiTheme="minorHAnsi"/>
        </w:rPr>
        <w:t>онда.</w:t>
      </w:r>
    </w:p>
    <w:p w14:paraId="7A67D03E" w14:textId="079D4C35" w:rsidR="006057E3" w:rsidRPr="00EC1346" w:rsidRDefault="006057E3" w:rsidP="006057E3">
      <w:pPr>
        <w:spacing w:after="120" w:line="360" w:lineRule="auto"/>
        <w:jc w:val="both"/>
        <w:rPr>
          <w:rFonts w:asciiTheme="minorHAnsi" w:hAnsiTheme="minorHAnsi"/>
        </w:rPr>
      </w:pPr>
      <w:proofErr w:type="gramStart"/>
      <w:r w:rsidRPr="00EC1346">
        <w:rPr>
          <w:rFonts w:asciiTheme="minorHAnsi" w:hAnsiTheme="minorHAnsi"/>
        </w:rPr>
        <w:t xml:space="preserve">В рамках реализации идеи о создании </w:t>
      </w:r>
      <w:r w:rsidR="00AA0F92" w:rsidRPr="00EC1346">
        <w:rPr>
          <w:rFonts w:asciiTheme="minorHAnsi" w:hAnsiTheme="minorHAnsi"/>
        </w:rPr>
        <w:t xml:space="preserve">Компенсационного фонда </w:t>
      </w:r>
      <w:r w:rsidRPr="00EC1346">
        <w:rPr>
          <w:rFonts w:asciiTheme="minorHAnsi" w:hAnsiTheme="minorHAnsi"/>
        </w:rPr>
        <w:t>в закон 214-ФЗ была внесена статья 23.2, устанавливающая, что «В целях дополнительной защиты прав, законных интересов и имущества участников долевого строительства, обязательства перед которыми не исполняются застройщиками, в отношении которых арбитражным судом введены процедуры, применяемые в деле о банкротстве, по решению Правительства Российской Федерации может быть создан фонд, средства которого формируются за</w:t>
      </w:r>
      <w:proofErr w:type="gramEnd"/>
      <w:r w:rsidRPr="00EC1346">
        <w:rPr>
          <w:rFonts w:asciiTheme="minorHAnsi" w:hAnsiTheme="minorHAnsi"/>
        </w:rPr>
        <w:t xml:space="preserve"> счет обязательных отчислений (взносов) застройщиков, привлекающих денежные средства участников долевого строительства для строительства (создания) многоквартирных домов и (или) иных объектов недвижимости».</w:t>
      </w:r>
    </w:p>
    <w:p w14:paraId="5910FB89" w14:textId="4B7513FC" w:rsidR="00F26CB0" w:rsidRPr="00EC1346" w:rsidRDefault="00F26CB0" w:rsidP="006057E3">
      <w:pPr>
        <w:spacing w:after="120" w:line="360" w:lineRule="auto"/>
        <w:jc w:val="both"/>
        <w:rPr>
          <w:rFonts w:asciiTheme="minorHAnsi" w:hAnsiTheme="minorHAnsi"/>
          <w:b/>
          <w:i/>
        </w:rPr>
      </w:pPr>
      <w:r w:rsidRPr="00EC1346">
        <w:rPr>
          <w:rFonts w:asciiTheme="minorHAnsi" w:hAnsiTheme="minorHAnsi"/>
          <w:b/>
          <w:i/>
        </w:rPr>
        <w:t>Причины создания</w:t>
      </w:r>
    </w:p>
    <w:p w14:paraId="32C37942" w14:textId="71834AC2" w:rsidR="006057E3" w:rsidRPr="00EC1346" w:rsidRDefault="00162D0F" w:rsidP="006057E3">
      <w:pPr>
        <w:spacing w:after="120" w:line="360" w:lineRule="auto"/>
        <w:jc w:val="both"/>
        <w:rPr>
          <w:rFonts w:asciiTheme="minorHAnsi" w:hAnsiTheme="minorHAnsi"/>
        </w:rPr>
      </w:pPr>
      <w:r w:rsidRPr="00EC1346">
        <w:rPr>
          <w:rFonts w:asciiTheme="minorHAnsi" w:hAnsiTheme="minorHAnsi"/>
        </w:rPr>
        <w:t>Создание Компенсационного Ф</w:t>
      </w:r>
      <w:r w:rsidR="006057E3" w:rsidRPr="00EC1346">
        <w:rPr>
          <w:rFonts w:asciiTheme="minorHAnsi" w:hAnsiTheme="minorHAnsi"/>
        </w:rPr>
        <w:t>онда обосновывается беспокойством</w:t>
      </w:r>
      <w:r w:rsidR="003A7B1E" w:rsidRPr="00EC1346">
        <w:rPr>
          <w:rFonts w:asciiTheme="minorHAnsi" w:hAnsiTheme="minorHAnsi"/>
        </w:rPr>
        <w:t xml:space="preserve"> властей, что </w:t>
      </w:r>
      <w:r w:rsidR="00D86FDE" w:rsidRPr="00EC1346">
        <w:rPr>
          <w:rFonts w:asciiTheme="minorHAnsi" w:hAnsiTheme="minorHAnsi"/>
        </w:rPr>
        <w:t>существующий механизм обеспечения ответственности</w:t>
      </w:r>
      <w:r w:rsidR="006057E3" w:rsidRPr="00EC1346">
        <w:rPr>
          <w:rFonts w:asciiTheme="minorHAnsi" w:hAnsiTheme="minorHAnsi"/>
        </w:rPr>
        <w:t xml:space="preserve"> не способ</w:t>
      </w:r>
      <w:r w:rsidR="00D86FDE" w:rsidRPr="00EC1346">
        <w:rPr>
          <w:rFonts w:asciiTheme="minorHAnsi" w:hAnsiTheme="minorHAnsi"/>
        </w:rPr>
        <w:t>ен</w:t>
      </w:r>
      <w:r w:rsidR="006057E3" w:rsidRPr="00EC1346">
        <w:rPr>
          <w:rFonts w:asciiTheme="minorHAnsi" w:hAnsiTheme="minorHAnsi"/>
        </w:rPr>
        <w:t xml:space="preserve"> полностью </w:t>
      </w:r>
      <w:r w:rsidR="00D86FDE" w:rsidRPr="00EC1346">
        <w:rPr>
          <w:rFonts w:asciiTheme="minorHAnsi" w:hAnsiTheme="minorHAnsi"/>
        </w:rPr>
        <w:t>гарантировать</w:t>
      </w:r>
      <w:r w:rsidR="003A7B1E" w:rsidRPr="00EC1346">
        <w:rPr>
          <w:rFonts w:asciiTheme="minorHAnsi" w:hAnsiTheme="minorHAnsi"/>
        </w:rPr>
        <w:t xml:space="preserve"> </w:t>
      </w:r>
      <w:r w:rsidR="006057E3" w:rsidRPr="00EC1346">
        <w:rPr>
          <w:rFonts w:asciiTheme="minorHAnsi" w:hAnsiTheme="minorHAnsi"/>
        </w:rPr>
        <w:t>выплаты в случае</w:t>
      </w:r>
      <w:r w:rsidRPr="00EC1346">
        <w:rPr>
          <w:rFonts w:asciiTheme="minorHAnsi" w:hAnsiTheme="minorHAnsi"/>
        </w:rPr>
        <w:t xml:space="preserve"> банкротства застройщиков</w:t>
      </w:r>
      <w:r w:rsidR="003A7B1E" w:rsidRPr="00EC1346">
        <w:rPr>
          <w:rFonts w:asciiTheme="minorHAnsi" w:hAnsiTheme="minorHAnsi"/>
        </w:rPr>
        <w:t xml:space="preserve">. </w:t>
      </w:r>
      <w:r w:rsidR="006057E3" w:rsidRPr="00EC1346">
        <w:rPr>
          <w:rFonts w:asciiTheme="minorHAnsi" w:hAnsiTheme="minorHAnsi"/>
        </w:rPr>
        <w:t xml:space="preserve">В то же время, на рынке не было крупных банкротств застрахованных девелоперов, поэтому проверить на практике эффективность системы страхования не представляется возможным. </w:t>
      </w:r>
    </w:p>
    <w:p w14:paraId="753C2EC5" w14:textId="05601239" w:rsidR="006057E3" w:rsidRPr="00EC1346" w:rsidRDefault="006057E3" w:rsidP="006057E3">
      <w:pPr>
        <w:spacing w:after="120" w:line="360" w:lineRule="auto"/>
        <w:jc w:val="both"/>
        <w:rPr>
          <w:rFonts w:asciiTheme="minorHAnsi" w:hAnsiTheme="minorHAnsi"/>
        </w:rPr>
      </w:pPr>
      <w:proofErr w:type="gramStart"/>
      <w:r w:rsidRPr="00EC1346">
        <w:rPr>
          <w:rFonts w:asciiTheme="minorHAnsi" w:hAnsiTheme="minorHAnsi"/>
        </w:rPr>
        <w:t>Критики существующего меха</w:t>
      </w:r>
      <w:r w:rsidR="00FF121B" w:rsidRPr="00EC1346">
        <w:rPr>
          <w:rFonts w:asciiTheme="minorHAnsi" w:hAnsiTheme="minorHAnsi"/>
        </w:rPr>
        <w:t>низма указывают, что</w:t>
      </w:r>
      <w:r w:rsidRPr="00EC1346">
        <w:rPr>
          <w:rFonts w:asciiTheme="minorHAnsi" w:hAnsiTheme="minorHAnsi"/>
        </w:rPr>
        <w:t xml:space="preserve"> при страховании ответс</w:t>
      </w:r>
      <w:r w:rsidR="00FF121B" w:rsidRPr="00EC1346">
        <w:rPr>
          <w:rFonts w:asciiTheme="minorHAnsi" w:hAnsiTheme="minorHAnsi"/>
        </w:rPr>
        <w:t>твенности исполнения</w:t>
      </w:r>
      <w:r w:rsidRPr="00EC1346">
        <w:rPr>
          <w:rFonts w:asciiTheme="minorHAnsi" w:hAnsiTheme="minorHAnsi"/>
        </w:rPr>
        <w:t xml:space="preserve"> обязательств по договору долевого участия страхуется риск финансовых </w:t>
      </w:r>
      <w:r w:rsidRPr="00EC1346">
        <w:rPr>
          <w:rFonts w:asciiTheme="minorHAnsi" w:hAnsiTheme="minorHAnsi"/>
        </w:rPr>
        <w:lastRenderedPageBreak/>
        <w:t>обязательств, а не сам объект строительства и риски, связанны</w:t>
      </w:r>
      <w:r w:rsidR="003B0932" w:rsidRPr="00EC1346">
        <w:rPr>
          <w:rFonts w:asciiTheme="minorHAnsi" w:hAnsiTheme="minorHAnsi"/>
        </w:rPr>
        <w:t>е с процессом его строительства, п</w:t>
      </w:r>
      <w:r w:rsidRPr="00EC1346">
        <w:rPr>
          <w:rFonts w:asciiTheme="minorHAnsi" w:hAnsiTheme="minorHAnsi"/>
        </w:rPr>
        <w:t>ри эт</w:t>
      </w:r>
      <w:r w:rsidR="003B0932" w:rsidRPr="00EC1346">
        <w:rPr>
          <w:rFonts w:asciiTheme="minorHAnsi" w:hAnsiTheme="minorHAnsi"/>
        </w:rPr>
        <w:t>ом</w:t>
      </w:r>
      <w:r w:rsidR="00FF121B" w:rsidRPr="00EC1346">
        <w:rPr>
          <w:rFonts w:asciiTheme="minorHAnsi" w:hAnsiTheme="minorHAnsi"/>
        </w:rPr>
        <w:t xml:space="preserve"> возможностей для полной</w:t>
      </w:r>
      <w:r w:rsidRPr="00EC1346">
        <w:rPr>
          <w:rFonts w:asciiTheme="minorHAnsi" w:hAnsiTheme="minorHAnsi"/>
        </w:rPr>
        <w:t xml:space="preserve"> оценки этих рисков у страховщиков нет</w:t>
      </w:r>
      <w:r w:rsidRPr="00EC1346">
        <w:rPr>
          <w:rStyle w:val="a7"/>
          <w:rFonts w:asciiTheme="minorHAnsi" w:hAnsiTheme="minorHAnsi"/>
        </w:rPr>
        <w:footnoteReference w:id="1"/>
      </w:r>
      <w:r w:rsidRPr="00EC1346">
        <w:rPr>
          <w:rFonts w:asciiTheme="minorHAnsi" w:hAnsiTheme="minorHAnsi"/>
        </w:rPr>
        <w:t xml:space="preserve">. Комментарии в отношении возможности лучшей оценки </w:t>
      </w:r>
      <w:r w:rsidR="00FF121B" w:rsidRPr="00EC1346">
        <w:rPr>
          <w:rFonts w:asciiTheme="minorHAnsi" w:hAnsiTheme="minorHAnsi"/>
        </w:rPr>
        <w:t>рисков финансовых обязательств Компенсационным Ф</w:t>
      </w:r>
      <w:r w:rsidR="00162D0F" w:rsidRPr="00EC1346">
        <w:rPr>
          <w:rFonts w:asciiTheme="minorHAnsi" w:hAnsiTheme="minorHAnsi"/>
        </w:rPr>
        <w:t>ондом и самой необходимости</w:t>
      </w:r>
      <w:r w:rsidRPr="00EC1346">
        <w:rPr>
          <w:rFonts w:asciiTheme="minorHAnsi" w:hAnsiTheme="minorHAnsi"/>
        </w:rPr>
        <w:t xml:space="preserve"> страхования риска финансовых обязательств застройщиков</w:t>
      </w:r>
      <w:proofErr w:type="gramEnd"/>
      <w:r w:rsidRPr="00EC1346">
        <w:rPr>
          <w:rFonts w:asciiTheme="minorHAnsi" w:hAnsiTheme="minorHAnsi"/>
        </w:rPr>
        <w:t xml:space="preserve"> государством отсутс</w:t>
      </w:r>
      <w:r w:rsidR="00FF121B" w:rsidRPr="00EC1346">
        <w:rPr>
          <w:rFonts w:asciiTheme="minorHAnsi" w:hAnsiTheme="minorHAnsi"/>
        </w:rPr>
        <w:t>т</w:t>
      </w:r>
      <w:r w:rsidRPr="00EC1346">
        <w:rPr>
          <w:rFonts w:asciiTheme="minorHAnsi" w:hAnsiTheme="minorHAnsi"/>
        </w:rPr>
        <w:t>вуют.</w:t>
      </w:r>
    </w:p>
    <w:p w14:paraId="40F4178F" w14:textId="44ED9A72" w:rsidR="003A7B1E" w:rsidRPr="00EC1346" w:rsidRDefault="006057E3" w:rsidP="006057E3">
      <w:pPr>
        <w:spacing w:after="120" w:line="360" w:lineRule="auto"/>
        <w:jc w:val="both"/>
        <w:rPr>
          <w:rFonts w:asciiTheme="minorHAnsi" w:hAnsiTheme="minorHAnsi"/>
        </w:rPr>
      </w:pPr>
      <w:r w:rsidRPr="00EC1346">
        <w:rPr>
          <w:rFonts w:asciiTheme="minorHAnsi" w:hAnsiTheme="minorHAnsi"/>
        </w:rPr>
        <w:t>Отдельные эксперты в отрасли указывают, что страховые компании берут на себя чрезмерные риски, и повторение банкротств аналогичных банкротству компании «СУ-155» может оставить дольщиков без</w:t>
      </w:r>
      <w:r w:rsidR="00FF121B" w:rsidRPr="00EC1346">
        <w:rPr>
          <w:rFonts w:asciiTheme="minorHAnsi" w:hAnsiTheme="minorHAnsi"/>
        </w:rPr>
        <w:t xml:space="preserve"> возмещения ущерба</w:t>
      </w:r>
      <w:r w:rsidRPr="00EC1346">
        <w:rPr>
          <w:rStyle w:val="a7"/>
          <w:rFonts w:asciiTheme="minorHAnsi" w:hAnsiTheme="minorHAnsi"/>
        </w:rPr>
        <w:footnoteReference w:id="2"/>
      </w:r>
      <w:r w:rsidRPr="00EC1346">
        <w:rPr>
          <w:rFonts w:asciiTheme="minorHAnsi" w:hAnsiTheme="minorHAnsi"/>
        </w:rPr>
        <w:t>. Другие участники рынка оппонируют, что «СУ-155» не была принята в  «Общество взаимного страхования гражданской ответственности застройщиков» (ОВС), как раз по причине неустойчивого финансового состояния.</w:t>
      </w:r>
    </w:p>
    <w:p w14:paraId="05E91B01" w14:textId="50898319" w:rsidR="00F26CB0" w:rsidRPr="00EC1346" w:rsidRDefault="00162D0F" w:rsidP="006057E3">
      <w:pPr>
        <w:spacing w:after="120" w:line="360" w:lineRule="auto"/>
        <w:jc w:val="both"/>
        <w:rPr>
          <w:rFonts w:asciiTheme="minorHAnsi" w:hAnsiTheme="minorHAnsi"/>
          <w:b/>
        </w:rPr>
      </w:pPr>
      <w:r w:rsidRPr="00EC1346">
        <w:rPr>
          <w:rFonts w:asciiTheme="minorHAnsi" w:hAnsiTheme="minorHAnsi"/>
          <w:b/>
          <w:i/>
        </w:rPr>
        <w:t>Механизмы работы Ф</w:t>
      </w:r>
      <w:r w:rsidR="00F26CB0" w:rsidRPr="00EC1346">
        <w:rPr>
          <w:rFonts w:asciiTheme="minorHAnsi" w:hAnsiTheme="minorHAnsi"/>
          <w:b/>
          <w:i/>
        </w:rPr>
        <w:t>онда</w:t>
      </w:r>
    </w:p>
    <w:p w14:paraId="0309830A" w14:textId="51A7BC6C" w:rsidR="003A7B1E" w:rsidRPr="00EC1346" w:rsidRDefault="006057E3" w:rsidP="006057E3">
      <w:pPr>
        <w:spacing w:after="120" w:line="360" w:lineRule="auto"/>
        <w:jc w:val="both"/>
        <w:rPr>
          <w:rFonts w:asciiTheme="minorHAnsi" w:hAnsiTheme="minorHAnsi"/>
        </w:rPr>
      </w:pPr>
      <w:r w:rsidRPr="00EC1346">
        <w:rPr>
          <w:rFonts w:asciiTheme="minorHAnsi" w:hAnsiTheme="minorHAnsi"/>
        </w:rPr>
        <w:t xml:space="preserve">В настоящее время статьей 23.2 </w:t>
      </w:r>
      <w:r w:rsidR="00162D0F" w:rsidRPr="00EC1346">
        <w:rPr>
          <w:rFonts w:asciiTheme="minorHAnsi" w:hAnsiTheme="minorHAnsi"/>
        </w:rPr>
        <w:t xml:space="preserve">закона </w:t>
      </w:r>
      <w:r w:rsidRPr="00EC1346">
        <w:rPr>
          <w:rFonts w:asciiTheme="minorHAnsi" w:hAnsiTheme="minorHAnsi"/>
        </w:rPr>
        <w:t>214</w:t>
      </w:r>
      <w:r w:rsidR="00162D0F" w:rsidRPr="00EC1346">
        <w:rPr>
          <w:rFonts w:asciiTheme="minorHAnsi" w:hAnsiTheme="minorHAnsi"/>
        </w:rPr>
        <w:t>-ФЗ предусматриваются следующие параметры работы Ф</w:t>
      </w:r>
      <w:r w:rsidRPr="00EC1346">
        <w:rPr>
          <w:rFonts w:asciiTheme="minorHAnsi" w:hAnsiTheme="minorHAnsi"/>
        </w:rPr>
        <w:t>онда:</w:t>
      </w:r>
    </w:p>
    <w:p w14:paraId="6351CD0D" w14:textId="68287657" w:rsidR="003A7B1E" w:rsidRPr="00EC1346" w:rsidRDefault="006057E3" w:rsidP="006057E3">
      <w:pPr>
        <w:pStyle w:val="a3"/>
        <w:numPr>
          <w:ilvl w:val="0"/>
          <w:numId w:val="4"/>
        </w:numPr>
        <w:spacing w:after="120" w:line="360" w:lineRule="auto"/>
        <w:jc w:val="both"/>
        <w:rPr>
          <w:sz w:val="24"/>
          <w:szCs w:val="24"/>
        </w:rPr>
      </w:pPr>
      <w:r w:rsidRPr="00EC1346">
        <w:rPr>
          <w:sz w:val="24"/>
          <w:szCs w:val="24"/>
        </w:rPr>
        <w:t>средства</w:t>
      </w:r>
      <w:r w:rsidR="00162D0F" w:rsidRPr="00EC1346">
        <w:rPr>
          <w:sz w:val="24"/>
          <w:szCs w:val="24"/>
        </w:rPr>
        <w:t xml:space="preserve"> Ф</w:t>
      </w:r>
      <w:r w:rsidRPr="00EC1346">
        <w:rPr>
          <w:sz w:val="24"/>
          <w:szCs w:val="24"/>
        </w:rPr>
        <w:t>онда</w:t>
      </w:r>
      <w:r w:rsidR="003A7B1E" w:rsidRPr="00EC1346">
        <w:rPr>
          <w:sz w:val="24"/>
          <w:szCs w:val="24"/>
        </w:rPr>
        <w:t xml:space="preserve"> формируются за счет обязательных отчислений (взносов) застройщиков, привлекающих денежные средства участников долевого строительства</w:t>
      </w:r>
      <w:r w:rsidRPr="00EC1346">
        <w:rPr>
          <w:sz w:val="24"/>
          <w:szCs w:val="24"/>
        </w:rPr>
        <w:t>;</w:t>
      </w:r>
    </w:p>
    <w:p w14:paraId="7E7CB83E" w14:textId="6A5208CC" w:rsidR="003A7B1E" w:rsidRPr="00EC1346" w:rsidRDefault="003A7B1E" w:rsidP="006057E3">
      <w:pPr>
        <w:pStyle w:val="a3"/>
        <w:numPr>
          <w:ilvl w:val="0"/>
          <w:numId w:val="4"/>
        </w:numPr>
        <w:spacing w:after="120" w:line="360" w:lineRule="auto"/>
        <w:jc w:val="both"/>
        <w:rPr>
          <w:sz w:val="24"/>
          <w:szCs w:val="24"/>
        </w:rPr>
      </w:pPr>
      <w:r w:rsidRPr="00EC1346">
        <w:rPr>
          <w:sz w:val="24"/>
          <w:szCs w:val="24"/>
        </w:rPr>
        <w:t xml:space="preserve">Размер обязательных отчислений (взносов) застройщика </w:t>
      </w:r>
      <w:r w:rsidR="006057E3" w:rsidRPr="00EC1346">
        <w:rPr>
          <w:sz w:val="24"/>
          <w:szCs w:val="24"/>
        </w:rPr>
        <w:t xml:space="preserve">в </w:t>
      </w:r>
      <w:r w:rsidR="00162D0F" w:rsidRPr="00EC1346">
        <w:rPr>
          <w:sz w:val="24"/>
          <w:szCs w:val="24"/>
        </w:rPr>
        <w:t>Ф</w:t>
      </w:r>
      <w:r w:rsidRPr="00EC1346">
        <w:rPr>
          <w:sz w:val="24"/>
          <w:szCs w:val="24"/>
        </w:rPr>
        <w:t>онд не может быть установлен свыше одного процента от планируемой стоимости строительства многоквартирного дома</w:t>
      </w:r>
      <w:r w:rsidR="006057E3" w:rsidRPr="00EC1346">
        <w:rPr>
          <w:sz w:val="24"/>
          <w:szCs w:val="24"/>
        </w:rPr>
        <w:t>.</w:t>
      </w:r>
    </w:p>
    <w:p w14:paraId="3D95F93C" w14:textId="580DB4ED" w:rsidR="003A7B1E" w:rsidRPr="00EC1346" w:rsidRDefault="003A7B1E" w:rsidP="006057E3">
      <w:pPr>
        <w:spacing w:after="120" w:line="360" w:lineRule="auto"/>
        <w:jc w:val="both"/>
        <w:rPr>
          <w:rFonts w:asciiTheme="minorHAnsi" w:hAnsiTheme="minorHAnsi"/>
        </w:rPr>
      </w:pPr>
      <w:r w:rsidRPr="00EC1346">
        <w:rPr>
          <w:rFonts w:asciiTheme="minorHAnsi" w:hAnsiTheme="minorHAnsi"/>
        </w:rPr>
        <w:t>Предполаг</w:t>
      </w:r>
      <w:r w:rsidR="00162D0F" w:rsidRPr="00EC1346">
        <w:rPr>
          <w:rFonts w:asciiTheme="minorHAnsi" w:hAnsiTheme="minorHAnsi"/>
        </w:rPr>
        <w:t>ается, что механизм управления Ф</w:t>
      </w:r>
      <w:r w:rsidRPr="00EC1346">
        <w:rPr>
          <w:rFonts w:asciiTheme="minorHAnsi" w:hAnsiTheme="minorHAnsi"/>
        </w:rPr>
        <w:t>ондом, размер и пор</w:t>
      </w:r>
      <w:r w:rsidR="00162D0F" w:rsidRPr="00EC1346">
        <w:rPr>
          <w:rFonts w:asciiTheme="minorHAnsi" w:hAnsiTheme="minorHAnsi"/>
        </w:rPr>
        <w:t>ядок взносов застройщиков</w:t>
      </w:r>
      <w:r w:rsidRPr="00EC1346">
        <w:rPr>
          <w:rFonts w:asciiTheme="minorHAnsi" w:hAnsiTheme="minorHAnsi"/>
        </w:rPr>
        <w:t>, а также условия и пор</w:t>
      </w:r>
      <w:r w:rsidR="00162D0F" w:rsidRPr="00EC1346">
        <w:rPr>
          <w:rFonts w:asciiTheme="minorHAnsi" w:hAnsiTheme="minorHAnsi"/>
        </w:rPr>
        <w:t>ядок использования средств</w:t>
      </w:r>
      <w:r w:rsidRPr="00EC1346">
        <w:rPr>
          <w:rFonts w:asciiTheme="minorHAnsi" w:hAnsiTheme="minorHAnsi"/>
        </w:rPr>
        <w:t xml:space="preserve"> будут определены на основании соответствующего п</w:t>
      </w:r>
      <w:r w:rsidR="00162D0F" w:rsidRPr="00EC1346">
        <w:rPr>
          <w:rFonts w:asciiTheme="minorHAnsi" w:hAnsiTheme="minorHAnsi"/>
        </w:rPr>
        <w:t>равового акта до конца 2016 года</w:t>
      </w:r>
      <w:r w:rsidRPr="00EC1346">
        <w:rPr>
          <w:rFonts w:asciiTheme="minorHAnsi" w:hAnsiTheme="minorHAnsi"/>
        </w:rPr>
        <w:t>. Официальная позиция Минстроя РФ заключается в то</w:t>
      </w:r>
      <w:r w:rsidR="00FF121B" w:rsidRPr="00EC1346">
        <w:rPr>
          <w:rFonts w:asciiTheme="minorHAnsi" w:hAnsiTheme="minorHAnsi"/>
        </w:rPr>
        <w:t>м</w:t>
      </w:r>
      <w:r w:rsidR="00162D0F" w:rsidRPr="00EC1346">
        <w:rPr>
          <w:rFonts w:asciiTheme="minorHAnsi" w:hAnsiTheme="minorHAnsi"/>
        </w:rPr>
        <w:t>, что Ф</w:t>
      </w:r>
      <w:r w:rsidRPr="00EC1346">
        <w:rPr>
          <w:rFonts w:asciiTheme="minorHAnsi" w:hAnsiTheme="minorHAnsi"/>
        </w:rPr>
        <w:t>онд не будет дублировать механизм страхования ответственности застройщика. Нормы о</w:t>
      </w:r>
      <w:r w:rsidR="00162D0F" w:rsidRPr="00EC1346">
        <w:rPr>
          <w:rFonts w:asciiTheme="minorHAnsi" w:hAnsiTheme="minorHAnsi"/>
        </w:rPr>
        <w:t>б</w:t>
      </w:r>
      <w:r w:rsidRPr="00EC1346">
        <w:rPr>
          <w:rFonts w:asciiTheme="minorHAnsi" w:hAnsiTheme="minorHAnsi"/>
        </w:rPr>
        <w:t xml:space="preserve"> </w:t>
      </w:r>
      <w:r w:rsidR="00FF121B" w:rsidRPr="00EC1346">
        <w:rPr>
          <w:rFonts w:asciiTheme="minorHAnsi" w:hAnsiTheme="minorHAnsi"/>
        </w:rPr>
        <w:t xml:space="preserve">обязательном </w:t>
      </w:r>
      <w:r w:rsidRPr="00EC1346">
        <w:rPr>
          <w:rFonts w:asciiTheme="minorHAnsi" w:hAnsiTheme="minorHAnsi"/>
        </w:rPr>
        <w:t xml:space="preserve">страховании ответственности и банковском поручительстве планируется отменить после </w:t>
      </w:r>
      <w:r w:rsidR="00162D0F" w:rsidRPr="00EC1346">
        <w:rPr>
          <w:rFonts w:asciiTheme="minorHAnsi" w:hAnsiTheme="minorHAnsi"/>
        </w:rPr>
        <w:t>того, как Ф</w:t>
      </w:r>
      <w:r w:rsidR="00FF121B" w:rsidRPr="00EC1346">
        <w:rPr>
          <w:rFonts w:asciiTheme="minorHAnsi" w:hAnsiTheme="minorHAnsi"/>
        </w:rPr>
        <w:t>онд начнет работу.</w:t>
      </w:r>
      <w:r w:rsidRPr="00EC1346">
        <w:rPr>
          <w:rStyle w:val="a7"/>
          <w:rFonts w:asciiTheme="minorHAnsi" w:hAnsiTheme="minorHAnsi"/>
        </w:rPr>
        <w:footnoteReference w:id="3"/>
      </w:r>
      <w:r w:rsidRPr="00EC1346">
        <w:rPr>
          <w:rFonts w:asciiTheme="minorHAnsi" w:hAnsiTheme="minorHAnsi"/>
        </w:rPr>
        <w:t xml:space="preserve"> В </w:t>
      </w:r>
      <w:r w:rsidRPr="00EC1346">
        <w:rPr>
          <w:rFonts w:asciiTheme="minorHAnsi" w:hAnsiTheme="minorHAnsi"/>
        </w:rPr>
        <w:lastRenderedPageBreak/>
        <w:t xml:space="preserve">соответствии с последними </w:t>
      </w:r>
      <w:proofErr w:type="gramStart"/>
      <w:r w:rsidRPr="00EC1346">
        <w:rPr>
          <w:rFonts w:asciiTheme="minorHAnsi" w:hAnsiTheme="minorHAnsi"/>
        </w:rPr>
        <w:t>комм</w:t>
      </w:r>
      <w:r w:rsidR="00162D0F" w:rsidRPr="00EC1346">
        <w:rPr>
          <w:rFonts w:asciiTheme="minorHAnsi" w:hAnsiTheme="minorHAnsi"/>
        </w:rPr>
        <w:t>ентариями Минстроя</w:t>
      </w:r>
      <w:proofErr w:type="gramEnd"/>
      <w:r w:rsidR="00162D0F" w:rsidRPr="00EC1346">
        <w:rPr>
          <w:rFonts w:asciiTheme="minorHAnsi" w:hAnsiTheme="minorHAnsi"/>
        </w:rPr>
        <w:t xml:space="preserve"> РФ средства Ф</w:t>
      </w:r>
      <w:r w:rsidRPr="00EC1346">
        <w:rPr>
          <w:rFonts w:asciiTheme="minorHAnsi" w:hAnsiTheme="minorHAnsi"/>
        </w:rPr>
        <w:t>онда пойдут не на возвращение д</w:t>
      </w:r>
      <w:r w:rsidR="00FF121B" w:rsidRPr="00EC1346">
        <w:rPr>
          <w:rFonts w:asciiTheme="minorHAnsi" w:hAnsiTheme="minorHAnsi"/>
        </w:rPr>
        <w:t>енег дольщикам, а на достройку</w:t>
      </w:r>
      <w:r w:rsidRPr="00EC1346">
        <w:rPr>
          <w:rFonts w:asciiTheme="minorHAnsi" w:hAnsiTheme="minorHAnsi"/>
        </w:rPr>
        <w:t xml:space="preserve"> объект</w:t>
      </w:r>
      <w:r w:rsidR="00FF121B" w:rsidRPr="00EC1346">
        <w:rPr>
          <w:rFonts w:asciiTheme="minorHAnsi" w:hAnsiTheme="minorHAnsi"/>
        </w:rPr>
        <w:t>ов</w:t>
      </w:r>
      <w:r w:rsidRPr="00EC1346">
        <w:rPr>
          <w:rStyle w:val="a7"/>
          <w:rFonts w:asciiTheme="minorHAnsi" w:hAnsiTheme="minorHAnsi"/>
        </w:rPr>
        <w:footnoteReference w:id="4"/>
      </w:r>
      <w:r w:rsidRPr="00EC1346">
        <w:rPr>
          <w:rFonts w:asciiTheme="minorHAnsi" w:hAnsiTheme="minorHAnsi"/>
        </w:rPr>
        <w:t xml:space="preserve">. </w:t>
      </w:r>
    </w:p>
    <w:p w14:paraId="31D00B2D" w14:textId="569176B9" w:rsidR="003A7B1E" w:rsidRPr="00EC1346" w:rsidRDefault="003A7B1E" w:rsidP="006057E3">
      <w:pPr>
        <w:spacing w:after="120" w:line="360" w:lineRule="auto"/>
        <w:jc w:val="both"/>
        <w:rPr>
          <w:rFonts w:asciiTheme="minorHAnsi" w:hAnsiTheme="minorHAnsi"/>
        </w:rPr>
      </w:pPr>
      <w:r w:rsidRPr="00EC1346">
        <w:rPr>
          <w:rFonts w:asciiTheme="minorHAnsi" w:hAnsiTheme="minorHAnsi"/>
        </w:rPr>
        <w:t>Для того</w:t>
      </w:r>
      <w:proofErr w:type="gramStart"/>
      <w:r w:rsidRPr="00EC1346">
        <w:rPr>
          <w:rFonts w:asciiTheme="minorHAnsi" w:hAnsiTheme="minorHAnsi"/>
        </w:rPr>
        <w:t>,</w:t>
      </w:r>
      <w:proofErr w:type="gramEnd"/>
      <w:r w:rsidRPr="00EC1346">
        <w:rPr>
          <w:rFonts w:asciiTheme="minorHAnsi" w:hAnsiTheme="minorHAnsi"/>
        </w:rPr>
        <w:t xml:space="preserve"> чтобы корректно оценить влияние планов Минстроя по </w:t>
      </w:r>
      <w:r w:rsidR="00162D0F" w:rsidRPr="00EC1346">
        <w:rPr>
          <w:rFonts w:asciiTheme="minorHAnsi" w:hAnsiTheme="minorHAnsi"/>
        </w:rPr>
        <w:t>созданию Ф</w:t>
      </w:r>
      <w:r w:rsidRPr="00EC1346">
        <w:rPr>
          <w:rFonts w:asciiTheme="minorHAnsi" w:hAnsiTheme="minorHAnsi"/>
        </w:rPr>
        <w:t xml:space="preserve">онда на участников рынка жилищного страхования необходимо полное понимание механизма </w:t>
      </w:r>
      <w:r w:rsidR="00162D0F" w:rsidRPr="00EC1346">
        <w:rPr>
          <w:rFonts w:asciiTheme="minorHAnsi" w:hAnsiTheme="minorHAnsi"/>
        </w:rPr>
        <w:t xml:space="preserve">его </w:t>
      </w:r>
      <w:r w:rsidRPr="00EC1346">
        <w:rPr>
          <w:rFonts w:asciiTheme="minorHAnsi" w:hAnsiTheme="minorHAnsi"/>
        </w:rPr>
        <w:t>работы, в том числе следующих вопросов:</w:t>
      </w:r>
    </w:p>
    <w:p w14:paraId="5E5C01A2" w14:textId="16CE2F04" w:rsidR="003A7B1E" w:rsidRPr="00EC1346" w:rsidRDefault="003A7B1E" w:rsidP="006057E3">
      <w:pPr>
        <w:pStyle w:val="a3"/>
        <w:numPr>
          <w:ilvl w:val="0"/>
          <w:numId w:val="5"/>
        </w:numPr>
        <w:spacing w:after="120" w:line="360" w:lineRule="auto"/>
        <w:jc w:val="both"/>
        <w:rPr>
          <w:sz w:val="24"/>
          <w:szCs w:val="24"/>
        </w:rPr>
      </w:pPr>
      <w:r w:rsidRPr="00EC1346">
        <w:rPr>
          <w:sz w:val="24"/>
          <w:szCs w:val="24"/>
        </w:rPr>
        <w:t xml:space="preserve">Порядок оценки стоимости завершения строительства проблемного объекта, контроль </w:t>
      </w:r>
      <w:r w:rsidR="00FF121B" w:rsidRPr="00EC1346">
        <w:rPr>
          <w:sz w:val="24"/>
          <w:szCs w:val="24"/>
        </w:rPr>
        <w:t xml:space="preserve">над </w:t>
      </w:r>
      <w:r w:rsidRPr="00EC1346">
        <w:rPr>
          <w:sz w:val="24"/>
          <w:szCs w:val="24"/>
        </w:rPr>
        <w:t xml:space="preserve">финансированием строительства и передачи </w:t>
      </w:r>
      <w:r w:rsidR="00F8418B" w:rsidRPr="00EC1346">
        <w:rPr>
          <w:sz w:val="24"/>
          <w:szCs w:val="24"/>
        </w:rPr>
        <w:t>объ</w:t>
      </w:r>
      <w:r w:rsidR="00FF121B" w:rsidRPr="00EC1346">
        <w:rPr>
          <w:sz w:val="24"/>
          <w:szCs w:val="24"/>
        </w:rPr>
        <w:t>е</w:t>
      </w:r>
      <w:r w:rsidR="00F8418B" w:rsidRPr="00EC1346">
        <w:rPr>
          <w:sz w:val="24"/>
          <w:szCs w:val="24"/>
        </w:rPr>
        <w:t>к</w:t>
      </w:r>
      <w:r w:rsidR="00FF121B" w:rsidRPr="00EC1346">
        <w:rPr>
          <w:sz w:val="24"/>
          <w:szCs w:val="24"/>
        </w:rPr>
        <w:t>тов;</w:t>
      </w:r>
    </w:p>
    <w:p w14:paraId="6BBE0842" w14:textId="46884BE3" w:rsidR="003A7B1E" w:rsidRPr="00EC1346" w:rsidRDefault="00FF121B" w:rsidP="006057E3">
      <w:pPr>
        <w:pStyle w:val="a3"/>
        <w:numPr>
          <w:ilvl w:val="0"/>
          <w:numId w:val="5"/>
        </w:numPr>
        <w:spacing w:after="120" w:line="360" w:lineRule="auto"/>
        <w:jc w:val="both"/>
        <w:rPr>
          <w:sz w:val="24"/>
          <w:szCs w:val="24"/>
        </w:rPr>
      </w:pPr>
      <w:r w:rsidRPr="00EC1346">
        <w:rPr>
          <w:sz w:val="24"/>
          <w:szCs w:val="24"/>
        </w:rPr>
        <w:t>Распространение компенсаций</w:t>
      </w:r>
      <w:r w:rsidR="003A7B1E" w:rsidRPr="00EC1346">
        <w:rPr>
          <w:sz w:val="24"/>
          <w:szCs w:val="24"/>
        </w:rPr>
        <w:t>: гарантия выполнения обязатель</w:t>
      </w:r>
      <w:proofErr w:type="gramStart"/>
      <w:r w:rsidR="003A7B1E" w:rsidRPr="00EC1346">
        <w:rPr>
          <w:sz w:val="24"/>
          <w:szCs w:val="24"/>
        </w:rPr>
        <w:t>ств вс</w:t>
      </w:r>
      <w:proofErr w:type="gramEnd"/>
      <w:r w:rsidR="003A7B1E" w:rsidRPr="00EC1346">
        <w:rPr>
          <w:sz w:val="24"/>
          <w:szCs w:val="24"/>
        </w:rPr>
        <w:t>ех застройщиков или части застройщиков, соответствующих определенным критериям (при этом в соответствии с законом взносы за</w:t>
      </w:r>
      <w:r w:rsidRPr="00EC1346">
        <w:rPr>
          <w:sz w:val="24"/>
          <w:szCs w:val="24"/>
        </w:rPr>
        <w:t>стройщиков будут обязательными);</w:t>
      </w:r>
    </w:p>
    <w:p w14:paraId="5B207E4D" w14:textId="7307E9C0" w:rsidR="003A7B1E" w:rsidRPr="00EC1346" w:rsidRDefault="003A7B1E" w:rsidP="006057E3">
      <w:pPr>
        <w:pStyle w:val="a3"/>
        <w:numPr>
          <w:ilvl w:val="0"/>
          <w:numId w:val="5"/>
        </w:numPr>
        <w:spacing w:after="120" w:line="360" w:lineRule="auto"/>
        <w:jc w:val="both"/>
        <w:rPr>
          <w:sz w:val="24"/>
          <w:szCs w:val="24"/>
        </w:rPr>
      </w:pPr>
      <w:r w:rsidRPr="00EC1346">
        <w:rPr>
          <w:sz w:val="24"/>
          <w:szCs w:val="24"/>
        </w:rPr>
        <w:t>Механизм финансирования и дифференциация сборов для разных категорий застройщиков и их объектов.</w:t>
      </w:r>
    </w:p>
    <w:p w14:paraId="7DBF85DD" w14:textId="0709DA50" w:rsidR="003A7B1E" w:rsidRPr="00EC1346" w:rsidRDefault="003A7B1E" w:rsidP="006057E3">
      <w:pPr>
        <w:spacing w:after="120" w:line="360" w:lineRule="auto"/>
        <w:jc w:val="both"/>
        <w:rPr>
          <w:rFonts w:asciiTheme="minorHAnsi" w:hAnsiTheme="minorHAnsi"/>
        </w:rPr>
      </w:pPr>
      <w:r w:rsidRPr="00EC1346">
        <w:rPr>
          <w:rFonts w:asciiTheme="minorHAnsi" w:hAnsiTheme="minorHAnsi"/>
        </w:rPr>
        <w:t xml:space="preserve">Так как потенциальные правила работы фонда могут иметь непропорциональное влияние на участников отрасли и </w:t>
      </w:r>
      <w:r w:rsidR="00557D58" w:rsidRPr="00EC1346">
        <w:rPr>
          <w:rFonts w:asciiTheme="minorHAnsi" w:hAnsiTheme="minorHAnsi"/>
        </w:rPr>
        <w:t xml:space="preserve">соответствующий </w:t>
      </w:r>
      <w:r w:rsidRPr="00EC1346">
        <w:rPr>
          <w:rFonts w:asciiTheme="minorHAnsi" w:hAnsiTheme="minorHAnsi"/>
        </w:rPr>
        <w:t>набор негативных последствий, формирование его работы требует активного обсуждения со всеми игроками.</w:t>
      </w:r>
    </w:p>
    <w:p w14:paraId="7CB3E614" w14:textId="229414D4" w:rsidR="00F26CB0" w:rsidRPr="00EC1346" w:rsidRDefault="00F26CB0" w:rsidP="006057E3">
      <w:pPr>
        <w:spacing w:after="120" w:line="360" w:lineRule="auto"/>
        <w:jc w:val="both"/>
        <w:rPr>
          <w:rFonts w:asciiTheme="minorHAnsi" w:hAnsiTheme="minorHAnsi"/>
          <w:b/>
          <w:i/>
        </w:rPr>
      </w:pPr>
      <w:r w:rsidRPr="00EC1346">
        <w:rPr>
          <w:rFonts w:asciiTheme="minorHAnsi" w:hAnsiTheme="minorHAnsi"/>
          <w:b/>
          <w:i/>
        </w:rPr>
        <w:t>Мнения участников отрасли</w:t>
      </w:r>
    </w:p>
    <w:p w14:paraId="16677F27" w14:textId="118B46ED" w:rsidR="006057E3" w:rsidRPr="00EC1346" w:rsidRDefault="003A7B1E" w:rsidP="006057E3">
      <w:pPr>
        <w:spacing w:after="120" w:line="360" w:lineRule="auto"/>
        <w:jc w:val="both"/>
        <w:rPr>
          <w:rFonts w:asciiTheme="minorHAnsi" w:hAnsiTheme="minorHAnsi"/>
        </w:rPr>
      </w:pPr>
      <w:r w:rsidRPr="00EC1346">
        <w:rPr>
          <w:rFonts w:asciiTheme="minorHAnsi" w:hAnsiTheme="minorHAnsi"/>
        </w:rPr>
        <w:t xml:space="preserve">По мнению участников отрасли и экспертов, </w:t>
      </w:r>
      <w:r w:rsidR="00557D58" w:rsidRPr="00EC1346">
        <w:rPr>
          <w:rFonts w:asciiTheme="minorHAnsi" w:hAnsiTheme="minorHAnsi"/>
        </w:rPr>
        <w:t>идея создания Компенсационного Ф</w:t>
      </w:r>
      <w:r w:rsidRPr="00EC1346">
        <w:rPr>
          <w:rFonts w:asciiTheme="minorHAnsi" w:hAnsiTheme="minorHAnsi"/>
        </w:rPr>
        <w:t>онда имеет как преимущества, так и недостатки.</w:t>
      </w:r>
    </w:p>
    <w:p w14:paraId="34B3D59B" w14:textId="4F0599AB" w:rsidR="003A7B1E" w:rsidRPr="00EC1346" w:rsidRDefault="003A7B1E" w:rsidP="006057E3">
      <w:pPr>
        <w:spacing w:after="120" w:line="360" w:lineRule="auto"/>
        <w:jc w:val="both"/>
        <w:rPr>
          <w:rFonts w:asciiTheme="minorHAnsi" w:hAnsiTheme="minorHAnsi"/>
        </w:rPr>
      </w:pPr>
      <w:r w:rsidRPr="00EC1346">
        <w:rPr>
          <w:rFonts w:asciiTheme="minorHAnsi" w:hAnsiTheme="minorHAnsi"/>
        </w:rPr>
        <w:t>Представители застройщиков, как правило</w:t>
      </w:r>
      <w:r w:rsidR="00557D58" w:rsidRPr="00EC1346">
        <w:rPr>
          <w:rFonts w:asciiTheme="minorHAnsi" w:hAnsiTheme="minorHAnsi"/>
        </w:rPr>
        <w:t>,</w:t>
      </w:r>
      <w:r w:rsidRPr="00EC1346">
        <w:rPr>
          <w:rFonts w:asciiTheme="minorHAnsi" w:hAnsiTheme="minorHAnsi"/>
        </w:rPr>
        <w:t xml:space="preserve"> положительно от</w:t>
      </w:r>
      <w:r w:rsidR="00557D58" w:rsidRPr="00EC1346">
        <w:rPr>
          <w:rFonts w:asciiTheme="minorHAnsi" w:hAnsiTheme="minorHAnsi"/>
        </w:rPr>
        <w:t>зываются об идее создания Ф</w:t>
      </w:r>
      <w:r w:rsidR="006057E3" w:rsidRPr="00EC1346">
        <w:rPr>
          <w:rFonts w:asciiTheme="minorHAnsi" w:hAnsiTheme="minorHAnsi"/>
        </w:rPr>
        <w:t>онда и сч</w:t>
      </w:r>
      <w:r w:rsidR="00557D58" w:rsidRPr="00EC1346">
        <w:rPr>
          <w:rFonts w:asciiTheme="minorHAnsi" w:hAnsiTheme="minorHAnsi"/>
        </w:rPr>
        <w:t xml:space="preserve">итают его </w:t>
      </w:r>
      <w:r w:rsidR="006057E3" w:rsidRPr="00EC1346">
        <w:rPr>
          <w:rFonts w:asciiTheme="minorHAnsi" w:hAnsiTheme="minorHAnsi"/>
        </w:rPr>
        <w:t>более предпочтительным инструментом обеспечения выполнения обязательств, чем страхование ответственности и банковские поручительства.</w:t>
      </w:r>
      <w:r w:rsidRPr="00EC1346">
        <w:rPr>
          <w:rFonts w:asciiTheme="minorHAnsi" w:hAnsiTheme="minorHAnsi"/>
        </w:rPr>
        <w:t xml:space="preserve"> Главными преимуществами компенсационного фонда перед существующими и</w:t>
      </w:r>
      <w:r w:rsidR="00557D58" w:rsidRPr="00EC1346">
        <w:rPr>
          <w:rFonts w:asciiTheme="minorHAnsi" w:hAnsiTheme="minorHAnsi"/>
        </w:rPr>
        <w:t>нструментами обеспечения называют</w:t>
      </w:r>
      <w:r w:rsidRPr="00EC1346">
        <w:rPr>
          <w:rFonts w:asciiTheme="minorHAnsi" w:hAnsiTheme="minorHAnsi"/>
        </w:rPr>
        <w:t xml:space="preserve"> высокий уровень доверия населения государству в лице фонда и наличие у государства достаточных финансовых ресурсов для выполнения обязатель</w:t>
      </w:r>
      <w:proofErr w:type="gramStart"/>
      <w:r w:rsidRPr="00EC1346">
        <w:rPr>
          <w:rFonts w:asciiTheme="minorHAnsi" w:hAnsiTheme="minorHAnsi"/>
        </w:rPr>
        <w:t>ств в сл</w:t>
      </w:r>
      <w:proofErr w:type="gramEnd"/>
      <w:r w:rsidRPr="00EC1346">
        <w:rPr>
          <w:rFonts w:asciiTheme="minorHAnsi" w:hAnsiTheme="minorHAnsi"/>
        </w:rPr>
        <w:t xml:space="preserve">учае масштабного кризиса на рынке. </w:t>
      </w:r>
    </w:p>
    <w:p w14:paraId="2AB21797" w14:textId="2CD3AFB8" w:rsidR="006057E3" w:rsidRPr="00EC1346" w:rsidRDefault="006057E3" w:rsidP="006057E3">
      <w:pPr>
        <w:spacing w:after="120" w:line="360" w:lineRule="auto"/>
        <w:jc w:val="both"/>
        <w:rPr>
          <w:rFonts w:asciiTheme="minorHAnsi" w:hAnsiTheme="minorHAnsi"/>
        </w:rPr>
      </w:pPr>
      <w:r w:rsidRPr="00EC1346">
        <w:rPr>
          <w:rFonts w:asciiTheme="minorHAnsi" w:hAnsiTheme="minorHAnsi"/>
        </w:rPr>
        <w:lastRenderedPageBreak/>
        <w:t>Несмотр</w:t>
      </w:r>
      <w:r w:rsidR="00557D58" w:rsidRPr="00EC1346">
        <w:rPr>
          <w:rFonts w:asciiTheme="minorHAnsi" w:hAnsiTheme="minorHAnsi"/>
        </w:rPr>
        <w:t>я на общую поддержку идеи Компенсационного Ф</w:t>
      </w:r>
      <w:r w:rsidRPr="00EC1346">
        <w:rPr>
          <w:rFonts w:asciiTheme="minorHAnsi" w:hAnsiTheme="minorHAnsi"/>
        </w:rPr>
        <w:t xml:space="preserve">онда, некоторые </w:t>
      </w:r>
      <w:r w:rsidR="00FF121B" w:rsidRPr="00EC1346">
        <w:rPr>
          <w:rFonts w:asciiTheme="minorHAnsi" w:hAnsiTheme="minorHAnsi"/>
        </w:rPr>
        <w:t>застройщики не считают, что он</w:t>
      </w:r>
      <w:r w:rsidRPr="00EC1346">
        <w:rPr>
          <w:rFonts w:asciiTheme="minorHAnsi" w:hAnsiTheme="minorHAnsi"/>
        </w:rPr>
        <w:t xml:space="preserve"> позволит полностью решить проблему обманутых дольщиков, так </w:t>
      </w:r>
      <w:r w:rsidR="00FF121B" w:rsidRPr="00EC1346">
        <w:rPr>
          <w:rFonts w:asciiTheme="minorHAnsi" w:hAnsiTheme="minorHAnsi"/>
        </w:rPr>
        <w:t>как</w:t>
      </w:r>
      <w:r w:rsidRPr="00EC1346">
        <w:rPr>
          <w:rFonts w:asciiTheme="minorHAnsi" w:hAnsiTheme="minorHAnsi"/>
        </w:rPr>
        <w:t xml:space="preserve"> будет компенсировать риски «будущих», а не «текущих» дольщиков.  </w:t>
      </w:r>
    </w:p>
    <w:p w14:paraId="5153C542" w14:textId="64C3A805" w:rsidR="003A7B1E" w:rsidRPr="00EC1346" w:rsidRDefault="006057E3" w:rsidP="006057E3">
      <w:pPr>
        <w:spacing w:after="120" w:line="360" w:lineRule="auto"/>
        <w:jc w:val="both"/>
        <w:rPr>
          <w:rFonts w:asciiTheme="minorHAnsi" w:hAnsiTheme="minorHAnsi"/>
        </w:rPr>
      </w:pPr>
      <w:r w:rsidRPr="00EC1346">
        <w:rPr>
          <w:rFonts w:asciiTheme="minorHAnsi" w:hAnsiTheme="minorHAnsi"/>
        </w:rPr>
        <w:t>Позиция официальных лиц Минстроя РФ, как отмечалось ранее, заключается в том, что существующий механизм страхования ответственности застройщика не эффективен и не гарантирует полной защиты прав дольщиков</w:t>
      </w:r>
      <w:r w:rsidRPr="00EC1346">
        <w:rPr>
          <w:rStyle w:val="a7"/>
          <w:rFonts w:asciiTheme="minorHAnsi" w:hAnsiTheme="minorHAnsi"/>
        </w:rPr>
        <w:footnoteReference w:id="5"/>
      </w:r>
      <w:r w:rsidRPr="00EC1346">
        <w:rPr>
          <w:rFonts w:asciiTheme="minorHAnsi" w:hAnsiTheme="minorHAnsi"/>
        </w:rPr>
        <w:t xml:space="preserve">. </w:t>
      </w:r>
    </w:p>
    <w:p w14:paraId="5781839E" w14:textId="74F4CC42" w:rsidR="006057E3" w:rsidRPr="00EC1346" w:rsidRDefault="006057E3" w:rsidP="006057E3">
      <w:pPr>
        <w:spacing w:after="120" w:line="360" w:lineRule="auto"/>
        <w:jc w:val="both"/>
        <w:rPr>
          <w:rFonts w:asciiTheme="minorHAnsi" w:hAnsiTheme="minorHAnsi"/>
        </w:rPr>
      </w:pPr>
      <w:r w:rsidRPr="00EC1346">
        <w:rPr>
          <w:rFonts w:asciiTheme="minorHAnsi" w:hAnsiTheme="minorHAnsi"/>
        </w:rPr>
        <w:t>Представители страховых организ</w:t>
      </w:r>
      <w:r w:rsidR="00557D58" w:rsidRPr="00EC1346">
        <w:rPr>
          <w:rFonts w:asciiTheme="minorHAnsi" w:hAnsiTheme="minorHAnsi"/>
        </w:rPr>
        <w:t>аций считают, что потенциально Ф</w:t>
      </w:r>
      <w:r w:rsidRPr="00EC1346">
        <w:rPr>
          <w:rFonts w:asciiTheme="minorHAnsi" w:hAnsiTheme="minorHAnsi"/>
        </w:rPr>
        <w:t>онд может быть регулир</w:t>
      </w:r>
      <w:r w:rsidR="00FF121B" w:rsidRPr="00EC1346">
        <w:rPr>
          <w:rFonts w:asciiTheme="minorHAnsi" w:hAnsiTheme="minorHAnsi"/>
        </w:rPr>
        <w:t>ующим центром страхования рисков</w:t>
      </w:r>
      <w:r w:rsidRPr="00EC1346">
        <w:rPr>
          <w:rFonts w:asciiTheme="minorHAnsi" w:hAnsiTheme="minorHAnsi"/>
        </w:rPr>
        <w:t xml:space="preserve">, являясь элементом системы защиты дольщиков  с применением перестрахования. </w:t>
      </w:r>
      <w:proofErr w:type="gramStart"/>
      <w:r w:rsidRPr="00EC1346">
        <w:rPr>
          <w:rFonts w:asciiTheme="minorHAnsi" w:hAnsiTheme="minorHAnsi"/>
        </w:rPr>
        <w:t xml:space="preserve">В то же время отмечается, </w:t>
      </w:r>
      <w:r w:rsidR="00FF121B" w:rsidRPr="00EC1346">
        <w:rPr>
          <w:rFonts w:asciiTheme="minorHAnsi" w:hAnsiTheme="minorHAnsi"/>
        </w:rPr>
        <w:t xml:space="preserve">что </w:t>
      </w:r>
      <w:r w:rsidR="00557D58" w:rsidRPr="00EC1346">
        <w:rPr>
          <w:rFonts w:asciiTheme="minorHAnsi" w:hAnsiTheme="minorHAnsi"/>
        </w:rPr>
        <w:t>некорректный механизм работы Ф</w:t>
      </w:r>
      <w:r w:rsidRPr="00EC1346">
        <w:rPr>
          <w:rFonts w:asciiTheme="minorHAnsi" w:hAnsiTheme="minorHAnsi"/>
        </w:rPr>
        <w:t>онда может привести к тому, что государство и добросовестные девелоперы будут спонсировать недобросовестных и некомпетентных застройщиков</w:t>
      </w:r>
      <w:r w:rsidRPr="00EC1346">
        <w:rPr>
          <w:rStyle w:val="a7"/>
          <w:rFonts w:asciiTheme="minorHAnsi" w:hAnsiTheme="minorHAnsi"/>
        </w:rPr>
        <w:footnoteReference w:id="6"/>
      </w:r>
      <w:r w:rsidRPr="00EC1346">
        <w:rPr>
          <w:rFonts w:asciiTheme="minorHAnsi" w:hAnsiTheme="minorHAnsi"/>
        </w:rPr>
        <w:t xml:space="preserve">. </w:t>
      </w:r>
      <w:r w:rsidR="005F3F2F" w:rsidRPr="00EC1346">
        <w:rPr>
          <w:rFonts w:asciiTheme="minorHAnsi" w:hAnsiTheme="minorHAnsi"/>
        </w:rPr>
        <w:t>Одно из предложений участников страхования ответственности застройщиков состоит в том</w:t>
      </w:r>
      <w:r w:rsidR="00DE39EC" w:rsidRPr="00EC1346">
        <w:rPr>
          <w:rFonts w:asciiTheme="minorHAnsi" w:hAnsiTheme="minorHAnsi"/>
        </w:rPr>
        <w:t xml:space="preserve">, </w:t>
      </w:r>
      <w:r w:rsidR="00BD55B6" w:rsidRPr="00EC1346">
        <w:rPr>
          <w:rFonts w:asciiTheme="minorHAnsi" w:hAnsiTheme="minorHAnsi"/>
        </w:rPr>
        <w:t xml:space="preserve">что Фонд может быть </w:t>
      </w:r>
      <w:r w:rsidR="00642BF8" w:rsidRPr="00EC1346">
        <w:rPr>
          <w:rFonts w:asciiTheme="minorHAnsi" w:hAnsiTheme="minorHAnsi"/>
        </w:rPr>
        <w:t>запущен</w:t>
      </w:r>
      <w:r w:rsidR="00BD55B6" w:rsidRPr="00EC1346">
        <w:rPr>
          <w:rFonts w:asciiTheme="minorHAnsi" w:hAnsiTheme="minorHAnsi"/>
        </w:rPr>
        <w:t xml:space="preserve"> на основе уже существующей инфраструктур</w:t>
      </w:r>
      <w:r w:rsidR="005F3F2F" w:rsidRPr="00EC1346">
        <w:rPr>
          <w:rFonts w:asciiTheme="minorHAnsi" w:hAnsiTheme="minorHAnsi"/>
        </w:rPr>
        <w:t>ы</w:t>
      </w:r>
      <w:r w:rsidR="00BD55B6" w:rsidRPr="00EC1346">
        <w:rPr>
          <w:rFonts w:asciiTheme="minorHAnsi" w:hAnsiTheme="minorHAnsi"/>
        </w:rPr>
        <w:t xml:space="preserve"> Национальной перестраховочной компании (НПК), которая была создана Ц</w:t>
      </w:r>
      <w:r w:rsidR="00642BF8" w:rsidRPr="00EC1346">
        <w:rPr>
          <w:rFonts w:asciiTheme="minorHAnsi" w:hAnsiTheme="minorHAnsi"/>
        </w:rPr>
        <w:t>ентральным банком в 2016 году с уставным капиталом</w:t>
      </w:r>
      <w:proofErr w:type="gramEnd"/>
      <w:r w:rsidR="00642BF8" w:rsidRPr="00EC1346">
        <w:rPr>
          <w:rFonts w:asciiTheme="minorHAnsi" w:hAnsiTheme="minorHAnsi"/>
        </w:rPr>
        <w:t xml:space="preserve">, </w:t>
      </w:r>
      <w:proofErr w:type="gramStart"/>
      <w:r w:rsidR="00642BF8" w:rsidRPr="00EC1346">
        <w:rPr>
          <w:rFonts w:asciiTheme="minorHAnsi" w:hAnsiTheme="minorHAnsi"/>
        </w:rPr>
        <w:t>превышающим</w:t>
      </w:r>
      <w:proofErr w:type="gramEnd"/>
      <w:r w:rsidR="00BD55B6" w:rsidRPr="00EC1346">
        <w:rPr>
          <w:rFonts w:asciiTheme="minorHAnsi" w:hAnsiTheme="minorHAnsi"/>
        </w:rPr>
        <w:t xml:space="preserve"> 70 млрд. рублей.</w:t>
      </w:r>
    </w:p>
    <w:p w14:paraId="1A2AD4D6" w14:textId="010AFDA5" w:rsidR="00F26CB0" w:rsidRPr="00EC1346" w:rsidRDefault="00F26CB0" w:rsidP="00F26CB0">
      <w:pPr>
        <w:spacing w:after="120" w:line="360" w:lineRule="auto"/>
        <w:rPr>
          <w:rFonts w:asciiTheme="minorHAnsi" w:hAnsiTheme="minorHAnsi"/>
          <w:b/>
          <w:i/>
        </w:rPr>
      </w:pPr>
      <w:r w:rsidRPr="00EC1346">
        <w:rPr>
          <w:rFonts w:asciiTheme="minorHAnsi" w:hAnsiTheme="minorHAnsi"/>
          <w:b/>
          <w:i/>
        </w:rPr>
        <w:t>Ме</w:t>
      </w:r>
      <w:r w:rsidR="00557D58" w:rsidRPr="00EC1346">
        <w:rPr>
          <w:rFonts w:asciiTheme="minorHAnsi" w:hAnsiTheme="minorHAnsi"/>
          <w:b/>
          <w:i/>
        </w:rPr>
        <w:t>ханизм работы Компенсационного Ф</w:t>
      </w:r>
      <w:r w:rsidRPr="00EC1346">
        <w:rPr>
          <w:rFonts w:asciiTheme="minorHAnsi" w:hAnsiTheme="minorHAnsi"/>
          <w:b/>
          <w:i/>
        </w:rPr>
        <w:t>онда принятый в данном исследовании</w:t>
      </w:r>
    </w:p>
    <w:p w14:paraId="5ABDBA12" w14:textId="4A8ABCF7" w:rsidR="00F26CB0" w:rsidRPr="00EC1346" w:rsidRDefault="006057E3" w:rsidP="00557D58">
      <w:pPr>
        <w:spacing w:after="120" w:line="360" w:lineRule="auto"/>
        <w:jc w:val="both"/>
        <w:rPr>
          <w:rFonts w:asciiTheme="minorHAnsi" w:hAnsiTheme="minorHAnsi"/>
        </w:rPr>
      </w:pPr>
      <w:r w:rsidRPr="00EC1346">
        <w:rPr>
          <w:rFonts w:asciiTheme="minorHAnsi" w:hAnsiTheme="minorHAnsi"/>
        </w:rPr>
        <w:t>Для проведения экономического моделирования процесса выплат из компенсационного фонда были приняты следующие допущения:</w:t>
      </w:r>
    </w:p>
    <w:p w14:paraId="45DE232C" w14:textId="402822BC" w:rsidR="006057E3" w:rsidRPr="00EC1346" w:rsidRDefault="00BD55B6" w:rsidP="00557D58">
      <w:pPr>
        <w:pStyle w:val="a3"/>
        <w:numPr>
          <w:ilvl w:val="0"/>
          <w:numId w:val="6"/>
        </w:numPr>
        <w:spacing w:after="120" w:line="360" w:lineRule="auto"/>
        <w:jc w:val="both"/>
        <w:rPr>
          <w:sz w:val="24"/>
          <w:szCs w:val="24"/>
        </w:rPr>
      </w:pPr>
      <w:r w:rsidRPr="00EC1346">
        <w:rPr>
          <w:sz w:val="24"/>
          <w:szCs w:val="24"/>
        </w:rPr>
        <w:t>Все застройщики вносят в фонд</w:t>
      </w:r>
      <w:r w:rsidR="006057E3" w:rsidRPr="00EC1346">
        <w:rPr>
          <w:sz w:val="24"/>
          <w:szCs w:val="24"/>
        </w:rPr>
        <w:t xml:space="preserve"> денежные средства в размере 1% от стоимости каждого договора долевого участия. Первоначальный капитал фонда в размере 35 млрд. руб. финансируется государством;</w:t>
      </w:r>
    </w:p>
    <w:p w14:paraId="007CB079" w14:textId="3C64E1B4" w:rsidR="006057E3" w:rsidRPr="00EC1346" w:rsidRDefault="006057E3" w:rsidP="00557D58">
      <w:pPr>
        <w:pStyle w:val="a3"/>
        <w:numPr>
          <w:ilvl w:val="0"/>
          <w:numId w:val="6"/>
        </w:numPr>
        <w:spacing w:after="120" w:line="360" w:lineRule="auto"/>
        <w:jc w:val="both"/>
        <w:rPr>
          <w:sz w:val="24"/>
          <w:szCs w:val="24"/>
        </w:rPr>
      </w:pPr>
      <w:r w:rsidRPr="00EC1346">
        <w:rPr>
          <w:sz w:val="24"/>
          <w:szCs w:val="24"/>
        </w:rPr>
        <w:t>Фонд производит выплаты на достройку объемов незавершенного строительства, которое не может быть обеспечено застройщиком в течение года после планового срока завершения;</w:t>
      </w:r>
    </w:p>
    <w:p w14:paraId="05338A17" w14:textId="11CBB33E" w:rsidR="006057E3" w:rsidRPr="00EC1346" w:rsidRDefault="006057E3" w:rsidP="00557D58">
      <w:pPr>
        <w:pStyle w:val="a3"/>
        <w:numPr>
          <w:ilvl w:val="0"/>
          <w:numId w:val="6"/>
        </w:numPr>
        <w:spacing w:after="120" w:line="360" w:lineRule="auto"/>
        <w:jc w:val="both"/>
        <w:rPr>
          <w:sz w:val="24"/>
          <w:szCs w:val="24"/>
        </w:rPr>
      </w:pPr>
      <w:r w:rsidRPr="00EC1346">
        <w:rPr>
          <w:sz w:val="24"/>
          <w:szCs w:val="24"/>
        </w:rPr>
        <w:t>Участие в фонде обязательно для всех застройщиков и выплаты из средств фонда производятся в целях завершения строительства объектов все</w:t>
      </w:r>
      <w:r w:rsidR="00FF121B" w:rsidRPr="00EC1346">
        <w:rPr>
          <w:sz w:val="24"/>
          <w:szCs w:val="24"/>
        </w:rPr>
        <w:t>х застройщиков, независимо от их</w:t>
      </w:r>
      <w:r w:rsidRPr="00EC1346">
        <w:rPr>
          <w:sz w:val="24"/>
          <w:szCs w:val="24"/>
        </w:rPr>
        <w:t xml:space="preserve"> финансовой устойчивости.</w:t>
      </w:r>
    </w:p>
    <w:p w14:paraId="0F88F98F" w14:textId="1527C8F3" w:rsidR="00F26CB0" w:rsidRPr="00EC1346" w:rsidRDefault="006057E3" w:rsidP="00557D58">
      <w:pPr>
        <w:spacing w:after="120" w:line="360" w:lineRule="auto"/>
        <w:jc w:val="both"/>
        <w:rPr>
          <w:rFonts w:asciiTheme="minorHAnsi" w:hAnsiTheme="minorHAnsi"/>
        </w:rPr>
      </w:pPr>
      <w:r w:rsidRPr="00EC1346">
        <w:rPr>
          <w:rFonts w:asciiTheme="minorHAnsi" w:hAnsiTheme="minorHAnsi"/>
        </w:rPr>
        <w:lastRenderedPageBreak/>
        <w:t>Таким образом, результатом экономического моделирования должен стать прогноз поступлений и использования средств фонда в различных сценариях.</w:t>
      </w:r>
    </w:p>
    <w:p w14:paraId="7652823D" w14:textId="67F36189" w:rsidR="00F26CB0" w:rsidRPr="00EC1346" w:rsidRDefault="00F26CB0" w:rsidP="006057E3">
      <w:pPr>
        <w:pStyle w:val="a3"/>
        <w:numPr>
          <w:ilvl w:val="0"/>
          <w:numId w:val="1"/>
        </w:numPr>
        <w:spacing w:after="120" w:line="360" w:lineRule="auto"/>
        <w:jc w:val="center"/>
        <w:outlineLvl w:val="0"/>
        <w:rPr>
          <w:b/>
          <w:sz w:val="28"/>
          <w:szCs w:val="28"/>
        </w:rPr>
      </w:pPr>
      <w:bookmarkStart w:id="3" w:name="_Toc461036747"/>
      <w:r w:rsidRPr="00EC1346">
        <w:rPr>
          <w:b/>
          <w:sz w:val="28"/>
          <w:szCs w:val="28"/>
        </w:rPr>
        <w:t>Участники рынка жил</w:t>
      </w:r>
      <w:r w:rsidR="006057E3" w:rsidRPr="00EC1346">
        <w:rPr>
          <w:b/>
          <w:sz w:val="28"/>
          <w:szCs w:val="28"/>
        </w:rPr>
        <w:t>ищного строительства по договорам долевого участия.</w:t>
      </w:r>
      <w:bookmarkEnd w:id="3"/>
    </w:p>
    <w:p w14:paraId="08853B74" w14:textId="77777777" w:rsidR="00F26CB0" w:rsidRPr="00EC1346" w:rsidRDefault="00F26CB0" w:rsidP="00F26CB0">
      <w:pPr>
        <w:pStyle w:val="a3"/>
        <w:spacing w:after="120" w:line="360" w:lineRule="auto"/>
        <w:ind w:left="0"/>
        <w:rPr>
          <w:sz w:val="24"/>
          <w:szCs w:val="24"/>
        </w:rPr>
      </w:pPr>
    </w:p>
    <w:p w14:paraId="0A639706" w14:textId="384FCCE8" w:rsidR="006057E3" w:rsidRPr="00EC1346" w:rsidRDefault="00F26CB0" w:rsidP="00FF121B">
      <w:pPr>
        <w:pStyle w:val="a3"/>
        <w:numPr>
          <w:ilvl w:val="1"/>
          <w:numId w:val="1"/>
        </w:numPr>
        <w:spacing w:after="120" w:line="360" w:lineRule="auto"/>
        <w:outlineLvl w:val="1"/>
        <w:rPr>
          <w:sz w:val="24"/>
          <w:szCs w:val="24"/>
        </w:rPr>
      </w:pPr>
      <w:bookmarkStart w:id="4" w:name="_Toc461036748"/>
      <w:r w:rsidRPr="00EC1346">
        <w:rPr>
          <w:sz w:val="24"/>
          <w:szCs w:val="24"/>
        </w:rPr>
        <w:t xml:space="preserve">Покупатели </w:t>
      </w:r>
      <w:r w:rsidR="00557D58" w:rsidRPr="00EC1346">
        <w:rPr>
          <w:sz w:val="24"/>
          <w:szCs w:val="24"/>
        </w:rPr>
        <w:t>жилья по договорам</w:t>
      </w:r>
      <w:r w:rsidRPr="00EC1346">
        <w:rPr>
          <w:sz w:val="24"/>
          <w:szCs w:val="24"/>
        </w:rPr>
        <w:t xml:space="preserve"> долевого участия.</w:t>
      </w:r>
      <w:bookmarkEnd w:id="4"/>
    </w:p>
    <w:p w14:paraId="6DA1BADF" w14:textId="6A75EA93" w:rsidR="006057E3" w:rsidRPr="00EC1346" w:rsidRDefault="006057E3" w:rsidP="006057E3">
      <w:pPr>
        <w:pStyle w:val="a3"/>
        <w:spacing w:after="120" w:line="360" w:lineRule="auto"/>
        <w:ind w:left="0"/>
        <w:jc w:val="both"/>
        <w:rPr>
          <w:sz w:val="24"/>
          <w:szCs w:val="24"/>
        </w:rPr>
      </w:pPr>
      <w:r w:rsidRPr="00EC1346">
        <w:rPr>
          <w:sz w:val="24"/>
          <w:szCs w:val="24"/>
        </w:rPr>
        <w:t xml:space="preserve">Основным преимуществом долевого строительства для покупателя является цена, меньшая по сравнению с ценой готовой квартиры. Разница в цене обусловлена такими факторами как: инфляция (стоимость денег во времени), фактическое беспроцентное кредитование застройщика (исключение посредника в виде банка)  и повышенные риски покупателя. </w:t>
      </w:r>
    </w:p>
    <w:p w14:paraId="7B9191EC" w14:textId="3D4B63A7" w:rsidR="00F26CB0" w:rsidRPr="00EC1346" w:rsidRDefault="00FF121B" w:rsidP="00F26CB0">
      <w:pPr>
        <w:pStyle w:val="a3"/>
        <w:spacing w:after="120" w:line="360" w:lineRule="auto"/>
        <w:ind w:left="0"/>
        <w:rPr>
          <w:b/>
          <w:i/>
          <w:sz w:val="24"/>
          <w:szCs w:val="24"/>
        </w:rPr>
      </w:pPr>
      <w:r w:rsidRPr="00EC1346">
        <w:rPr>
          <w:b/>
          <w:i/>
          <w:sz w:val="24"/>
          <w:szCs w:val="24"/>
        </w:rPr>
        <w:t>Рынок жилищного строительства</w:t>
      </w:r>
    </w:p>
    <w:p w14:paraId="1088834C" w14:textId="3604B50B" w:rsidR="00080DCD" w:rsidRPr="00EC1346" w:rsidRDefault="00080DCD" w:rsidP="00080DCD">
      <w:pPr>
        <w:pStyle w:val="a3"/>
        <w:spacing w:after="120" w:line="360" w:lineRule="auto"/>
        <w:ind w:left="0"/>
        <w:jc w:val="both"/>
        <w:rPr>
          <w:sz w:val="24"/>
          <w:szCs w:val="24"/>
        </w:rPr>
      </w:pPr>
      <w:r w:rsidRPr="00EC1346">
        <w:rPr>
          <w:sz w:val="24"/>
          <w:szCs w:val="24"/>
        </w:rPr>
        <w:t>Общий объ</w:t>
      </w:r>
      <w:r w:rsidR="00FF121B" w:rsidRPr="00EC1346">
        <w:rPr>
          <w:sz w:val="24"/>
          <w:szCs w:val="24"/>
        </w:rPr>
        <w:t xml:space="preserve">ем </w:t>
      </w:r>
      <w:r w:rsidR="00557D58" w:rsidRPr="00EC1346">
        <w:rPr>
          <w:sz w:val="24"/>
          <w:szCs w:val="24"/>
        </w:rPr>
        <w:t xml:space="preserve">(ввод жилой недвижимости за исключением индивидуального строительства) </w:t>
      </w:r>
      <w:r w:rsidR="00FF121B" w:rsidRPr="00EC1346">
        <w:rPr>
          <w:sz w:val="24"/>
          <w:szCs w:val="24"/>
        </w:rPr>
        <w:t>жилищного строительства в РФ</w:t>
      </w:r>
      <w:r w:rsidRPr="00EC1346">
        <w:rPr>
          <w:sz w:val="24"/>
          <w:szCs w:val="24"/>
        </w:rPr>
        <w:t xml:space="preserve"> за 2015 г. м</w:t>
      </w:r>
      <w:r w:rsidR="00FF121B" w:rsidRPr="00EC1346">
        <w:rPr>
          <w:sz w:val="24"/>
          <w:szCs w:val="24"/>
        </w:rPr>
        <w:t>ожно оценить в размере около 3,2</w:t>
      </w:r>
      <w:r w:rsidRPr="00EC1346">
        <w:rPr>
          <w:sz w:val="24"/>
          <w:szCs w:val="24"/>
        </w:rPr>
        <w:t> трлн. руб. и</w:t>
      </w:r>
      <w:r w:rsidR="00FF121B" w:rsidRPr="00EC1346">
        <w:rPr>
          <w:sz w:val="24"/>
          <w:szCs w:val="24"/>
        </w:rPr>
        <w:t>ли</w:t>
      </w:r>
      <w:r w:rsidR="00557D58" w:rsidRPr="00EC1346">
        <w:rPr>
          <w:sz w:val="24"/>
          <w:szCs w:val="24"/>
        </w:rPr>
        <w:t xml:space="preserve"> 50,2</w:t>
      </w:r>
      <w:r w:rsidRPr="00EC1346">
        <w:rPr>
          <w:sz w:val="24"/>
          <w:szCs w:val="24"/>
        </w:rPr>
        <w:t xml:space="preserve"> млн. кв. м. Статистические данные за первое полугодие 2016 г. гораздо скромнее – 17,7 млн. кв. м. (1,07 трлн. руб.). Большая часть продаж осуществляется по договорам долевого участия. </w:t>
      </w:r>
    </w:p>
    <w:p w14:paraId="3E17474F" w14:textId="662D8694" w:rsidR="00080DCD" w:rsidRPr="00EC1346" w:rsidRDefault="00080DCD" w:rsidP="00080DCD">
      <w:pPr>
        <w:pStyle w:val="a3"/>
        <w:spacing w:after="120" w:line="360" w:lineRule="auto"/>
        <w:ind w:left="0"/>
        <w:jc w:val="center"/>
        <w:rPr>
          <w:sz w:val="24"/>
          <w:szCs w:val="24"/>
        </w:rPr>
      </w:pPr>
      <w:r w:rsidRPr="00EC1346">
        <w:rPr>
          <w:noProof/>
          <w:lang w:eastAsia="ru-RU"/>
        </w:rPr>
        <w:drawing>
          <wp:inline distT="0" distB="0" distL="0" distR="0" wp14:anchorId="7B90C87C" wp14:editId="6DA224E2">
            <wp:extent cx="4754865" cy="3000378"/>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5F68A0" w14:textId="4A125E9D" w:rsidR="00080DCD" w:rsidRPr="00EC1346" w:rsidRDefault="00080DCD" w:rsidP="00080DCD">
      <w:pPr>
        <w:pStyle w:val="a3"/>
        <w:spacing w:after="120" w:line="360" w:lineRule="auto"/>
        <w:ind w:left="0"/>
        <w:jc w:val="right"/>
        <w:rPr>
          <w:i/>
          <w:sz w:val="20"/>
          <w:szCs w:val="20"/>
        </w:rPr>
      </w:pPr>
      <w:r w:rsidRPr="00EC1346">
        <w:rPr>
          <w:i/>
          <w:sz w:val="20"/>
          <w:szCs w:val="20"/>
        </w:rPr>
        <w:t xml:space="preserve">Источник: Росстат, </w:t>
      </w:r>
      <w:proofErr w:type="spellStart"/>
      <w:r w:rsidRPr="00EC1346">
        <w:rPr>
          <w:i/>
          <w:sz w:val="20"/>
          <w:szCs w:val="20"/>
        </w:rPr>
        <w:t>Росреестр</w:t>
      </w:r>
      <w:proofErr w:type="spellEnd"/>
      <w:r w:rsidRPr="00EC1346">
        <w:rPr>
          <w:i/>
          <w:sz w:val="20"/>
          <w:szCs w:val="20"/>
        </w:rPr>
        <w:t>, оценка ВШЭ</w:t>
      </w:r>
      <w:r w:rsidRPr="00EC1346">
        <w:rPr>
          <w:rStyle w:val="a7"/>
          <w:i/>
          <w:sz w:val="20"/>
          <w:szCs w:val="20"/>
        </w:rPr>
        <w:footnoteReference w:id="7"/>
      </w:r>
    </w:p>
    <w:p w14:paraId="3BDD599E" w14:textId="73A93368" w:rsidR="00080DCD" w:rsidRPr="00EC1346" w:rsidRDefault="00080DCD" w:rsidP="00080DCD">
      <w:pPr>
        <w:pStyle w:val="a3"/>
        <w:spacing w:after="120" w:line="360" w:lineRule="auto"/>
        <w:ind w:left="0"/>
        <w:jc w:val="both"/>
        <w:rPr>
          <w:sz w:val="24"/>
          <w:szCs w:val="24"/>
        </w:rPr>
      </w:pPr>
      <w:proofErr w:type="gramStart"/>
      <w:r w:rsidRPr="00EC1346">
        <w:rPr>
          <w:sz w:val="24"/>
          <w:szCs w:val="24"/>
        </w:rPr>
        <w:lastRenderedPageBreak/>
        <w:t>Если экстрапол</w:t>
      </w:r>
      <w:r w:rsidR="00557D58" w:rsidRPr="00EC1346">
        <w:rPr>
          <w:sz w:val="24"/>
          <w:szCs w:val="24"/>
        </w:rPr>
        <w:t xml:space="preserve">ировать данные </w:t>
      </w:r>
      <w:proofErr w:type="spellStart"/>
      <w:r w:rsidR="00557D58" w:rsidRPr="00EC1346">
        <w:rPr>
          <w:sz w:val="24"/>
          <w:szCs w:val="24"/>
        </w:rPr>
        <w:t>Росреестра</w:t>
      </w:r>
      <w:proofErr w:type="spellEnd"/>
      <w:r w:rsidR="00557D58" w:rsidRPr="00EC1346">
        <w:rPr>
          <w:sz w:val="24"/>
          <w:szCs w:val="24"/>
        </w:rPr>
        <w:t xml:space="preserve"> за </w:t>
      </w:r>
      <w:r w:rsidRPr="00EC1346">
        <w:rPr>
          <w:sz w:val="24"/>
          <w:szCs w:val="24"/>
        </w:rPr>
        <w:t xml:space="preserve">6 мес. 2015 г. и 6 мес. 2016 г. на весь год и принять цену квадратного метра в среднем по РФ, то рынок продаж по договорам долевого </w:t>
      </w:r>
      <w:r w:rsidR="00557D58" w:rsidRPr="00EC1346">
        <w:rPr>
          <w:sz w:val="24"/>
          <w:szCs w:val="24"/>
        </w:rPr>
        <w:t>участия</w:t>
      </w:r>
      <w:r w:rsidRPr="00EC1346">
        <w:rPr>
          <w:sz w:val="24"/>
          <w:szCs w:val="24"/>
        </w:rPr>
        <w:t xml:space="preserve"> можно оценить в 2,13 трлн. руб. в 2015 г.  и 2,26 трлн. руб. в 2016 г., что на 20% меньше</w:t>
      </w:r>
      <w:r w:rsidR="00FF121B" w:rsidRPr="00EC1346">
        <w:rPr>
          <w:sz w:val="24"/>
          <w:szCs w:val="24"/>
        </w:rPr>
        <w:t>,</w:t>
      </w:r>
      <w:r w:rsidRPr="00EC1346">
        <w:rPr>
          <w:sz w:val="24"/>
          <w:szCs w:val="24"/>
        </w:rPr>
        <w:t xml:space="preserve"> чем объем рынка в 2014 г. Уменьшение</w:t>
      </w:r>
      <w:proofErr w:type="gramEnd"/>
      <w:r w:rsidRPr="00EC1346">
        <w:rPr>
          <w:sz w:val="24"/>
          <w:szCs w:val="24"/>
        </w:rPr>
        <w:t xml:space="preserve"> объема рынка продажи жилья по договорам долевого </w:t>
      </w:r>
      <w:proofErr w:type="gramStart"/>
      <w:r w:rsidRPr="00EC1346">
        <w:rPr>
          <w:sz w:val="24"/>
          <w:szCs w:val="24"/>
        </w:rPr>
        <w:t>участия</w:t>
      </w:r>
      <w:proofErr w:type="gramEnd"/>
      <w:r w:rsidRPr="00EC1346">
        <w:rPr>
          <w:sz w:val="24"/>
          <w:szCs w:val="24"/>
        </w:rPr>
        <w:t xml:space="preserve"> прежде </w:t>
      </w:r>
      <w:r w:rsidR="00FF121B" w:rsidRPr="00EC1346">
        <w:rPr>
          <w:sz w:val="24"/>
          <w:szCs w:val="24"/>
        </w:rPr>
        <w:t>всего связано со снижением количества</w:t>
      </w:r>
      <w:r w:rsidRPr="00EC1346">
        <w:rPr>
          <w:sz w:val="24"/>
          <w:szCs w:val="24"/>
        </w:rPr>
        <w:t xml:space="preserve"> заключенных договоров на 22-24% по сравнению с 2014 г.</w:t>
      </w:r>
    </w:p>
    <w:p w14:paraId="5442DE43" w14:textId="79AF9839" w:rsidR="00080DCD" w:rsidRPr="00EC1346" w:rsidRDefault="003B0932" w:rsidP="00080DCD">
      <w:pPr>
        <w:pStyle w:val="a3"/>
        <w:spacing w:after="120" w:line="360" w:lineRule="auto"/>
        <w:ind w:left="0"/>
        <w:jc w:val="both"/>
        <w:rPr>
          <w:sz w:val="24"/>
          <w:szCs w:val="24"/>
        </w:rPr>
      </w:pPr>
      <w:proofErr w:type="gramStart"/>
      <w:r w:rsidRPr="00EC1346">
        <w:rPr>
          <w:sz w:val="24"/>
          <w:szCs w:val="24"/>
        </w:rPr>
        <w:t xml:space="preserve">Общий объем </w:t>
      </w:r>
      <w:r w:rsidR="00080DCD" w:rsidRPr="00EC1346">
        <w:rPr>
          <w:sz w:val="24"/>
          <w:szCs w:val="24"/>
        </w:rPr>
        <w:t>ввода жилья в 2015 г. фактически д</w:t>
      </w:r>
      <w:r w:rsidR="00FF121B" w:rsidRPr="00EC1346">
        <w:rPr>
          <w:sz w:val="24"/>
          <w:szCs w:val="24"/>
        </w:rPr>
        <w:t>остиг максимума за последние полтора десятилетия</w:t>
      </w:r>
      <w:r w:rsidR="00080DCD" w:rsidRPr="00EC1346">
        <w:rPr>
          <w:sz w:val="24"/>
          <w:szCs w:val="24"/>
        </w:rPr>
        <w:t xml:space="preserve">, при этом темп роста ввода жилья снизился с 20% </w:t>
      </w:r>
      <w:r w:rsidR="00FF121B" w:rsidRPr="00EC1346">
        <w:rPr>
          <w:sz w:val="24"/>
          <w:szCs w:val="24"/>
        </w:rPr>
        <w:t>в 2014 г. до 4,4%</w:t>
      </w:r>
      <w:r w:rsidR="00080DCD" w:rsidRPr="00EC1346">
        <w:rPr>
          <w:sz w:val="24"/>
          <w:szCs w:val="24"/>
        </w:rPr>
        <w:t xml:space="preserve"> в 2015 г. В последний раз подобное снижение темпов роста ввода жилья наблюдалось в 2008 г., за которым последовало падение объемов ввода в 2009 на 14,6%. Восстановление на рынке жилищного строительства в</w:t>
      </w:r>
      <w:proofErr w:type="gramEnd"/>
      <w:r w:rsidR="00080DCD" w:rsidRPr="00EC1346">
        <w:rPr>
          <w:sz w:val="24"/>
          <w:szCs w:val="24"/>
        </w:rPr>
        <w:t xml:space="preserve"> 2010 г. связано, прежде всего, с высокими ценами на нефть и </w:t>
      </w:r>
      <w:r w:rsidR="00FF121B" w:rsidRPr="00EC1346">
        <w:rPr>
          <w:sz w:val="24"/>
          <w:szCs w:val="24"/>
        </w:rPr>
        <w:t>ростом располагаемых доходов</w:t>
      </w:r>
      <w:r w:rsidR="00080DCD" w:rsidRPr="00EC1346">
        <w:rPr>
          <w:sz w:val="24"/>
          <w:szCs w:val="24"/>
        </w:rPr>
        <w:t xml:space="preserve"> населения. Рост цен на нефть до «докризисных» уровней в настоящее время представляется маловероятным, поэтому наиболее допустимым сценарием выглядит дальнейшее снижение темпов роста жилищного строительства.</w:t>
      </w:r>
    </w:p>
    <w:p w14:paraId="04154237" w14:textId="18B181AE" w:rsidR="006057E3" w:rsidRPr="00EC1346" w:rsidRDefault="003B0932" w:rsidP="003B0932">
      <w:pPr>
        <w:pStyle w:val="a3"/>
        <w:spacing w:after="120" w:line="360" w:lineRule="auto"/>
        <w:ind w:left="0"/>
        <w:jc w:val="center"/>
        <w:rPr>
          <w:sz w:val="24"/>
          <w:szCs w:val="24"/>
        </w:rPr>
      </w:pPr>
      <w:r w:rsidRPr="00EC1346">
        <w:rPr>
          <w:noProof/>
          <w:lang w:eastAsia="ru-RU"/>
        </w:rPr>
        <w:drawing>
          <wp:inline distT="0" distB="0" distL="0" distR="0" wp14:anchorId="6CC8AC3A" wp14:editId="000FA0BE">
            <wp:extent cx="6008254" cy="3635724"/>
            <wp:effectExtent l="0" t="0" r="1206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D1AA2E" w14:textId="0876961D" w:rsidR="006057E3" w:rsidRPr="00EC1346" w:rsidRDefault="00080DCD" w:rsidP="00080DCD">
      <w:pPr>
        <w:pStyle w:val="a3"/>
        <w:spacing w:after="120" w:line="360" w:lineRule="auto"/>
        <w:ind w:left="0"/>
        <w:jc w:val="right"/>
        <w:rPr>
          <w:i/>
          <w:sz w:val="20"/>
          <w:szCs w:val="20"/>
        </w:rPr>
      </w:pPr>
      <w:r w:rsidRPr="00EC1346">
        <w:rPr>
          <w:i/>
          <w:sz w:val="20"/>
          <w:szCs w:val="20"/>
        </w:rPr>
        <w:t>Источник: Росстат</w:t>
      </w:r>
    </w:p>
    <w:p w14:paraId="5C5187ED" w14:textId="0FB54C5D" w:rsidR="00080DCD" w:rsidRPr="00EC1346" w:rsidRDefault="00080DCD" w:rsidP="00080DCD">
      <w:pPr>
        <w:pStyle w:val="a3"/>
        <w:spacing w:after="120" w:line="360" w:lineRule="auto"/>
        <w:ind w:left="0"/>
        <w:rPr>
          <w:b/>
          <w:i/>
          <w:sz w:val="24"/>
          <w:szCs w:val="24"/>
        </w:rPr>
      </w:pPr>
      <w:r w:rsidRPr="00EC1346">
        <w:rPr>
          <w:b/>
          <w:i/>
          <w:sz w:val="24"/>
          <w:szCs w:val="24"/>
        </w:rPr>
        <w:t xml:space="preserve">Обманутые дольщики </w:t>
      </w:r>
    </w:p>
    <w:p w14:paraId="43A99597" w14:textId="20A3BE36" w:rsidR="00FF121B" w:rsidRPr="00EC1346" w:rsidRDefault="00080DCD" w:rsidP="00080DCD">
      <w:pPr>
        <w:pStyle w:val="a3"/>
        <w:spacing w:after="120" w:line="360" w:lineRule="auto"/>
        <w:ind w:left="0"/>
        <w:jc w:val="both"/>
        <w:rPr>
          <w:sz w:val="24"/>
          <w:szCs w:val="24"/>
        </w:rPr>
      </w:pPr>
      <w:r w:rsidRPr="00EC1346">
        <w:rPr>
          <w:sz w:val="24"/>
          <w:szCs w:val="24"/>
        </w:rPr>
        <w:t xml:space="preserve">Несмотря на множество публикаций в СМИ о неисполнении застройщиками обязательств по договорам долевого участия и появлению обманутых дольщиков, </w:t>
      </w:r>
      <w:r w:rsidR="00FF121B" w:rsidRPr="00EC1346">
        <w:rPr>
          <w:sz w:val="24"/>
          <w:szCs w:val="24"/>
        </w:rPr>
        <w:t xml:space="preserve">официальные </w:t>
      </w:r>
      <w:r w:rsidRPr="00EC1346">
        <w:rPr>
          <w:sz w:val="24"/>
          <w:szCs w:val="24"/>
        </w:rPr>
        <w:t xml:space="preserve">данные о </w:t>
      </w:r>
      <w:r w:rsidRPr="00EC1346">
        <w:rPr>
          <w:sz w:val="24"/>
          <w:szCs w:val="24"/>
        </w:rPr>
        <w:lastRenderedPageBreak/>
        <w:t>динамике и точном количестве обманутых дольщиков отсутствуют.  С момента принятия закона 214-ФЗ и поправок к нему число обманутых доль</w:t>
      </w:r>
      <w:r w:rsidR="00965EAA" w:rsidRPr="00EC1346">
        <w:rPr>
          <w:sz w:val="24"/>
          <w:szCs w:val="24"/>
        </w:rPr>
        <w:t xml:space="preserve">щиков  должно было </w:t>
      </w:r>
      <w:proofErr w:type="gramStart"/>
      <w:r w:rsidR="00965EAA" w:rsidRPr="00EC1346">
        <w:rPr>
          <w:sz w:val="24"/>
          <w:szCs w:val="24"/>
        </w:rPr>
        <w:t>сократится</w:t>
      </w:r>
      <w:proofErr w:type="gramEnd"/>
      <w:r w:rsidR="00965EAA" w:rsidRPr="00EC1346">
        <w:rPr>
          <w:sz w:val="24"/>
          <w:szCs w:val="24"/>
        </w:rPr>
        <w:t>, ч</w:t>
      </w:r>
      <w:r w:rsidRPr="00EC1346">
        <w:rPr>
          <w:sz w:val="24"/>
          <w:szCs w:val="24"/>
        </w:rPr>
        <w:t xml:space="preserve">то подтверждается заявлениями политиков и участников рынка. </w:t>
      </w:r>
      <w:r w:rsidR="00FF121B" w:rsidRPr="00EC1346">
        <w:rPr>
          <w:sz w:val="24"/>
          <w:szCs w:val="24"/>
        </w:rPr>
        <w:t xml:space="preserve">Так в декабре 2014 г. депутат Государственной Думы Александр </w:t>
      </w:r>
      <w:proofErr w:type="spellStart"/>
      <w:r w:rsidR="00FF121B" w:rsidRPr="00EC1346">
        <w:rPr>
          <w:sz w:val="24"/>
          <w:szCs w:val="24"/>
        </w:rPr>
        <w:t>Хинштейн</w:t>
      </w:r>
      <w:proofErr w:type="spellEnd"/>
      <w:r w:rsidR="00FF121B" w:rsidRPr="00EC1346">
        <w:rPr>
          <w:sz w:val="24"/>
          <w:szCs w:val="24"/>
        </w:rPr>
        <w:t xml:space="preserve"> заявил, что в течение в течение 2014 г. количество о</w:t>
      </w:r>
      <w:r w:rsidR="00557D58" w:rsidRPr="00EC1346">
        <w:rPr>
          <w:sz w:val="24"/>
          <w:szCs w:val="24"/>
        </w:rPr>
        <w:t xml:space="preserve">бманутых дольщиков сократилось с 80 тыс. человек (итого </w:t>
      </w:r>
      <w:r w:rsidR="00FF121B" w:rsidRPr="00EC1346">
        <w:rPr>
          <w:sz w:val="24"/>
          <w:szCs w:val="24"/>
        </w:rPr>
        <w:t>847 проблемных объектов</w:t>
      </w:r>
      <w:r w:rsidR="00557D58" w:rsidRPr="00EC1346">
        <w:rPr>
          <w:sz w:val="24"/>
          <w:szCs w:val="24"/>
        </w:rPr>
        <w:t xml:space="preserve">) до  60 тыс. человек (итого </w:t>
      </w:r>
      <w:r w:rsidR="00FF121B" w:rsidRPr="00EC1346">
        <w:rPr>
          <w:sz w:val="24"/>
          <w:szCs w:val="24"/>
        </w:rPr>
        <w:t>700 проблемных объектов</w:t>
      </w:r>
      <w:r w:rsidR="00557D58" w:rsidRPr="00EC1346">
        <w:rPr>
          <w:sz w:val="24"/>
          <w:szCs w:val="24"/>
        </w:rPr>
        <w:t>)</w:t>
      </w:r>
      <w:r w:rsidR="00FF121B" w:rsidRPr="00EC1346">
        <w:rPr>
          <w:rStyle w:val="a7"/>
          <w:sz w:val="24"/>
          <w:szCs w:val="24"/>
        </w:rPr>
        <w:footnoteReference w:id="8"/>
      </w:r>
      <w:r w:rsidR="00FF121B" w:rsidRPr="00EC1346">
        <w:rPr>
          <w:sz w:val="24"/>
          <w:szCs w:val="24"/>
        </w:rPr>
        <w:t>.</w:t>
      </w:r>
    </w:p>
    <w:p w14:paraId="7C7A8A36" w14:textId="7F9BC6CE" w:rsidR="006057E3" w:rsidRPr="00EC1346" w:rsidRDefault="00FF121B" w:rsidP="00080DCD">
      <w:pPr>
        <w:pStyle w:val="a3"/>
        <w:spacing w:after="120" w:line="360" w:lineRule="auto"/>
        <w:ind w:left="0"/>
        <w:jc w:val="both"/>
        <w:rPr>
          <w:sz w:val="24"/>
          <w:szCs w:val="24"/>
        </w:rPr>
      </w:pPr>
      <w:r w:rsidRPr="00EC1346">
        <w:rPr>
          <w:sz w:val="24"/>
          <w:szCs w:val="24"/>
        </w:rPr>
        <w:t>Заявления участников рынка косвенно подтверждаются данными</w:t>
      </w:r>
      <w:r w:rsidR="00080DCD" w:rsidRPr="00EC1346">
        <w:rPr>
          <w:sz w:val="24"/>
          <w:szCs w:val="24"/>
        </w:rPr>
        <w:t xml:space="preserve"> Росстата по площади квартир в жилых зданиях, где строительство приостановлено или законсервировано.</w:t>
      </w:r>
    </w:p>
    <w:p w14:paraId="69C3DD74" w14:textId="6F0BC7B3" w:rsidR="003B0932" w:rsidRPr="00EC1346" w:rsidRDefault="003B0932" w:rsidP="003B0932">
      <w:pPr>
        <w:pStyle w:val="a3"/>
        <w:spacing w:after="120" w:line="360" w:lineRule="auto"/>
        <w:ind w:left="0"/>
        <w:jc w:val="center"/>
        <w:rPr>
          <w:i/>
          <w:sz w:val="20"/>
          <w:szCs w:val="20"/>
        </w:rPr>
      </w:pPr>
      <w:r w:rsidRPr="00EC1346">
        <w:rPr>
          <w:noProof/>
          <w:lang w:eastAsia="ru-RU"/>
        </w:rPr>
        <w:drawing>
          <wp:inline distT="0" distB="0" distL="0" distR="0" wp14:anchorId="31F910BE" wp14:editId="39472133">
            <wp:extent cx="6008254" cy="3666248"/>
            <wp:effectExtent l="0" t="0" r="1206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77D94F" w14:textId="65723764" w:rsidR="00DA01F9" w:rsidRPr="00EC1346" w:rsidRDefault="00080DCD" w:rsidP="00DA01F9">
      <w:pPr>
        <w:pStyle w:val="a3"/>
        <w:spacing w:after="120" w:line="360" w:lineRule="auto"/>
        <w:ind w:left="0"/>
        <w:jc w:val="right"/>
        <w:rPr>
          <w:i/>
          <w:sz w:val="20"/>
          <w:szCs w:val="20"/>
        </w:rPr>
      </w:pPr>
      <w:r w:rsidRPr="00EC1346">
        <w:rPr>
          <w:i/>
          <w:sz w:val="20"/>
          <w:szCs w:val="20"/>
        </w:rPr>
        <w:t xml:space="preserve"> Источник: Росстат</w:t>
      </w:r>
    </w:p>
    <w:p w14:paraId="43B2068C" w14:textId="6E2F33BF" w:rsidR="00FF121B" w:rsidRPr="00EC1346" w:rsidRDefault="00FF121B" w:rsidP="00FF121B">
      <w:pPr>
        <w:pStyle w:val="a3"/>
        <w:spacing w:after="120" w:line="360" w:lineRule="auto"/>
        <w:ind w:left="0"/>
        <w:jc w:val="both"/>
        <w:rPr>
          <w:sz w:val="24"/>
          <w:szCs w:val="24"/>
        </w:rPr>
      </w:pPr>
      <w:proofErr w:type="gramStart"/>
      <w:r w:rsidRPr="00EC1346">
        <w:rPr>
          <w:sz w:val="24"/>
          <w:szCs w:val="24"/>
        </w:rPr>
        <w:t xml:space="preserve">В 2015 г. </w:t>
      </w:r>
      <w:r w:rsidR="00557D58" w:rsidRPr="00EC1346">
        <w:rPr>
          <w:sz w:val="24"/>
          <w:szCs w:val="24"/>
        </w:rPr>
        <w:t>площадь квартир в жилых домах</w:t>
      </w:r>
      <w:r w:rsidRPr="00EC1346">
        <w:rPr>
          <w:sz w:val="24"/>
          <w:szCs w:val="24"/>
        </w:rPr>
        <w:t>, строительство которых при</w:t>
      </w:r>
      <w:r w:rsidR="003B0932" w:rsidRPr="00EC1346">
        <w:rPr>
          <w:sz w:val="24"/>
          <w:szCs w:val="24"/>
        </w:rPr>
        <w:t>остановлено или законсервировано</w:t>
      </w:r>
      <w:r w:rsidRPr="00EC1346">
        <w:rPr>
          <w:sz w:val="24"/>
          <w:szCs w:val="24"/>
        </w:rPr>
        <w:t xml:space="preserve"> составила 2,07 млн. кв. м. При средней по РФ площади квартиры в новостройке в размере 5</w:t>
      </w:r>
      <w:r w:rsidR="00557D58" w:rsidRPr="00EC1346">
        <w:rPr>
          <w:sz w:val="24"/>
          <w:szCs w:val="24"/>
        </w:rPr>
        <w:t>6 кв.</w:t>
      </w:r>
      <w:r w:rsidRPr="00EC1346">
        <w:rPr>
          <w:sz w:val="24"/>
          <w:szCs w:val="24"/>
        </w:rPr>
        <w:t xml:space="preserve"> м</w:t>
      </w:r>
      <w:r w:rsidR="00557D58" w:rsidRPr="00EC1346">
        <w:rPr>
          <w:sz w:val="24"/>
          <w:szCs w:val="24"/>
        </w:rPr>
        <w:t>.</w:t>
      </w:r>
      <w:r w:rsidRPr="00EC1346">
        <w:rPr>
          <w:sz w:val="24"/>
          <w:szCs w:val="24"/>
        </w:rPr>
        <w:t>, общее количество «недостроенных» квартир может составить порядка 36,8 тыс.</w:t>
      </w:r>
      <w:r w:rsidR="003B0932" w:rsidRPr="00EC1346">
        <w:rPr>
          <w:sz w:val="24"/>
          <w:szCs w:val="24"/>
        </w:rPr>
        <w:t xml:space="preserve"> </w:t>
      </w:r>
      <w:r w:rsidR="00557D58" w:rsidRPr="00EC1346">
        <w:rPr>
          <w:sz w:val="24"/>
          <w:szCs w:val="24"/>
        </w:rPr>
        <w:t>ед.</w:t>
      </w:r>
      <w:r w:rsidRPr="00EC1346">
        <w:rPr>
          <w:sz w:val="24"/>
          <w:szCs w:val="24"/>
        </w:rPr>
        <w:t xml:space="preserve"> Этот расчет является приблизительным, так как не учитывает характеристик</w:t>
      </w:r>
      <w:r w:rsidR="00557D58" w:rsidRPr="00EC1346">
        <w:rPr>
          <w:sz w:val="24"/>
          <w:szCs w:val="24"/>
        </w:rPr>
        <w:t xml:space="preserve"> и срока недостроенных объектов</w:t>
      </w:r>
      <w:r w:rsidRPr="00EC1346">
        <w:rPr>
          <w:sz w:val="24"/>
          <w:szCs w:val="24"/>
        </w:rPr>
        <w:t>.</w:t>
      </w:r>
      <w:proofErr w:type="gramEnd"/>
      <w:r w:rsidR="00557D58" w:rsidRPr="00EC1346">
        <w:rPr>
          <w:sz w:val="24"/>
          <w:szCs w:val="24"/>
        </w:rPr>
        <w:t xml:space="preserve"> </w:t>
      </w:r>
      <w:proofErr w:type="gramStart"/>
      <w:r w:rsidRPr="00EC1346">
        <w:rPr>
          <w:sz w:val="24"/>
          <w:szCs w:val="24"/>
        </w:rPr>
        <w:t>Очевидным является общий тренд на снижение количества приостановлен</w:t>
      </w:r>
      <w:r w:rsidR="003B0932" w:rsidRPr="00EC1346">
        <w:rPr>
          <w:sz w:val="24"/>
          <w:szCs w:val="24"/>
        </w:rPr>
        <w:t>ных и законсервированных объектов</w:t>
      </w:r>
      <w:r w:rsidRPr="00EC1346">
        <w:rPr>
          <w:sz w:val="24"/>
          <w:szCs w:val="24"/>
        </w:rPr>
        <w:t xml:space="preserve"> (в среднем на 590 тыс. кв. м ежегодно с 2004 г.), несмотря на у</w:t>
      </w:r>
      <w:r w:rsidR="003B0932" w:rsidRPr="00EC1346">
        <w:rPr>
          <w:sz w:val="24"/>
          <w:szCs w:val="24"/>
        </w:rPr>
        <w:t>величение этого показателя на 56</w:t>
      </w:r>
      <w:r w:rsidRPr="00EC1346">
        <w:rPr>
          <w:sz w:val="24"/>
          <w:szCs w:val="24"/>
        </w:rPr>
        <w:t xml:space="preserve">% во время </w:t>
      </w:r>
      <w:r w:rsidRPr="00EC1346">
        <w:rPr>
          <w:sz w:val="24"/>
          <w:szCs w:val="24"/>
        </w:rPr>
        <w:lastRenderedPageBreak/>
        <w:t xml:space="preserve">кризиса 2009 г. Интересным является тот факт, что объем приостановленного строительства </w:t>
      </w:r>
      <w:r w:rsidR="00BD55B6" w:rsidRPr="00EC1346">
        <w:rPr>
          <w:sz w:val="24"/>
          <w:szCs w:val="24"/>
        </w:rPr>
        <w:t>практически стабилизировался</w:t>
      </w:r>
      <w:r w:rsidRPr="00EC1346">
        <w:rPr>
          <w:sz w:val="24"/>
          <w:szCs w:val="24"/>
        </w:rPr>
        <w:t xml:space="preserve"> в 2013-2015 гг., что косвенно не подтверждает тезис о снижен</w:t>
      </w:r>
      <w:r w:rsidR="00557D58" w:rsidRPr="00EC1346">
        <w:rPr>
          <w:sz w:val="24"/>
          <w:szCs w:val="24"/>
        </w:rPr>
        <w:t>ии количества обманутых дольщиков в 2014 г</w:t>
      </w:r>
      <w:proofErr w:type="gramEnd"/>
      <w:r w:rsidR="00557D58" w:rsidRPr="00EC1346">
        <w:rPr>
          <w:sz w:val="24"/>
          <w:szCs w:val="24"/>
        </w:rPr>
        <w:t>.</w:t>
      </w:r>
      <w:r w:rsidRPr="00EC1346">
        <w:rPr>
          <w:sz w:val="24"/>
          <w:szCs w:val="24"/>
        </w:rPr>
        <w:t xml:space="preserve"> на 25%.</w:t>
      </w:r>
    </w:p>
    <w:p w14:paraId="347EBFAF" w14:textId="400CC30A" w:rsidR="00FF121B" w:rsidRPr="00EC1346" w:rsidRDefault="00FF121B" w:rsidP="00FF121B">
      <w:pPr>
        <w:pStyle w:val="a3"/>
        <w:spacing w:after="120" w:line="360" w:lineRule="auto"/>
        <w:ind w:left="0"/>
        <w:jc w:val="both"/>
        <w:rPr>
          <w:sz w:val="24"/>
          <w:szCs w:val="24"/>
        </w:rPr>
      </w:pPr>
      <w:r w:rsidRPr="00EC1346">
        <w:rPr>
          <w:sz w:val="24"/>
          <w:szCs w:val="24"/>
        </w:rPr>
        <w:t xml:space="preserve">Представить прогноз относительно числа обманутых дольщиков в ближайшие годы, представляется затруднительным, однако </w:t>
      </w:r>
      <w:r w:rsidR="00557D58" w:rsidRPr="00EC1346">
        <w:rPr>
          <w:sz w:val="24"/>
          <w:szCs w:val="24"/>
        </w:rPr>
        <w:t xml:space="preserve">ориентиром могут служить результаты </w:t>
      </w:r>
      <w:r w:rsidRPr="00EC1346">
        <w:rPr>
          <w:sz w:val="24"/>
          <w:szCs w:val="24"/>
        </w:rPr>
        <w:t xml:space="preserve">кризиса 2008-2009 </w:t>
      </w:r>
      <w:r w:rsidR="00557D58" w:rsidRPr="00EC1346">
        <w:rPr>
          <w:sz w:val="24"/>
          <w:szCs w:val="24"/>
        </w:rPr>
        <w:t>г</w:t>
      </w:r>
      <w:r w:rsidRPr="00EC1346">
        <w:rPr>
          <w:sz w:val="24"/>
          <w:szCs w:val="24"/>
        </w:rPr>
        <w:t>г.</w:t>
      </w:r>
      <w:r w:rsidR="00557D58" w:rsidRPr="00EC1346">
        <w:rPr>
          <w:sz w:val="24"/>
          <w:szCs w:val="24"/>
        </w:rPr>
        <w:t>, когда</w:t>
      </w:r>
      <w:r w:rsidRPr="00EC1346">
        <w:rPr>
          <w:sz w:val="24"/>
          <w:szCs w:val="24"/>
        </w:rPr>
        <w:t xml:space="preserve"> объем приостановленн</w:t>
      </w:r>
      <w:r w:rsidR="003B0932" w:rsidRPr="00EC1346">
        <w:rPr>
          <w:sz w:val="24"/>
          <w:szCs w:val="24"/>
        </w:rPr>
        <w:t>ого строительства увеличился на 56%</w:t>
      </w:r>
      <w:r w:rsidR="00557D58" w:rsidRPr="00EC1346">
        <w:rPr>
          <w:sz w:val="24"/>
          <w:szCs w:val="24"/>
        </w:rPr>
        <w:t>.</w:t>
      </w:r>
    </w:p>
    <w:p w14:paraId="4CCCA19B" w14:textId="77777777" w:rsidR="00FF121B" w:rsidRPr="00EC1346" w:rsidRDefault="00FF121B" w:rsidP="00FF121B">
      <w:pPr>
        <w:pStyle w:val="a3"/>
        <w:spacing w:after="120" w:line="360" w:lineRule="auto"/>
        <w:ind w:left="0"/>
        <w:jc w:val="both"/>
        <w:rPr>
          <w:b/>
          <w:i/>
          <w:sz w:val="24"/>
          <w:szCs w:val="24"/>
        </w:rPr>
      </w:pPr>
      <w:r w:rsidRPr="00EC1346">
        <w:rPr>
          <w:b/>
          <w:i/>
          <w:sz w:val="24"/>
          <w:szCs w:val="24"/>
        </w:rPr>
        <w:t>Цены на первичном рынке</w:t>
      </w:r>
    </w:p>
    <w:p w14:paraId="6160A560" w14:textId="7EC9A660" w:rsidR="00FF121B" w:rsidRPr="00EC1346" w:rsidRDefault="00557D58" w:rsidP="00FF121B">
      <w:pPr>
        <w:pStyle w:val="a3"/>
        <w:spacing w:after="120" w:line="360" w:lineRule="auto"/>
        <w:ind w:left="0"/>
        <w:jc w:val="both"/>
        <w:rPr>
          <w:sz w:val="24"/>
          <w:szCs w:val="24"/>
        </w:rPr>
      </w:pPr>
      <w:r w:rsidRPr="00EC1346">
        <w:rPr>
          <w:sz w:val="24"/>
          <w:szCs w:val="24"/>
        </w:rPr>
        <w:t>Анализ данных</w:t>
      </w:r>
      <w:r w:rsidR="00FF121B" w:rsidRPr="00EC1346">
        <w:rPr>
          <w:sz w:val="24"/>
          <w:szCs w:val="24"/>
        </w:rPr>
        <w:t xml:space="preserve"> о динамике цен на первичном рынке и приросту реальных располагаемых доходов населения позволяют выделить следующие тенденции:</w:t>
      </w:r>
    </w:p>
    <w:p w14:paraId="53B54D8F" w14:textId="4B18E4FB" w:rsidR="00FF121B" w:rsidRPr="00EC1346" w:rsidRDefault="00FF121B" w:rsidP="00FF121B">
      <w:pPr>
        <w:pStyle w:val="a3"/>
        <w:numPr>
          <w:ilvl w:val="0"/>
          <w:numId w:val="9"/>
        </w:numPr>
        <w:spacing w:after="120" w:line="360" w:lineRule="auto"/>
        <w:jc w:val="both"/>
        <w:rPr>
          <w:sz w:val="24"/>
          <w:szCs w:val="24"/>
        </w:rPr>
      </w:pPr>
      <w:r w:rsidRPr="00EC1346">
        <w:rPr>
          <w:sz w:val="24"/>
          <w:szCs w:val="24"/>
        </w:rPr>
        <w:t>При росте располагаемых доходов нас</w:t>
      </w:r>
      <w:r w:rsidR="00557D58" w:rsidRPr="00EC1346">
        <w:rPr>
          <w:sz w:val="24"/>
          <w:szCs w:val="24"/>
        </w:rPr>
        <w:t>еления в 2004-2008 гг. на 10-</w:t>
      </w:r>
      <w:r w:rsidRPr="00EC1346">
        <w:rPr>
          <w:sz w:val="24"/>
          <w:szCs w:val="24"/>
        </w:rPr>
        <w:t>13% цены на первичном рынке росли на 30-40%.</w:t>
      </w:r>
    </w:p>
    <w:p w14:paraId="6D6D4030" w14:textId="66142F50" w:rsidR="00FF121B" w:rsidRPr="00EC1346" w:rsidRDefault="00FF121B" w:rsidP="00FF121B">
      <w:pPr>
        <w:pStyle w:val="a3"/>
        <w:numPr>
          <w:ilvl w:val="0"/>
          <w:numId w:val="9"/>
        </w:numPr>
        <w:spacing w:after="120" w:line="360" w:lineRule="auto"/>
        <w:jc w:val="both"/>
        <w:rPr>
          <w:sz w:val="20"/>
          <w:szCs w:val="20"/>
        </w:rPr>
      </w:pPr>
      <w:r w:rsidRPr="00EC1346">
        <w:rPr>
          <w:sz w:val="24"/>
          <w:szCs w:val="24"/>
        </w:rPr>
        <w:t>Снижение реальных располагаемых доходов в 2014-2015 гг. не привело к сниже</w:t>
      </w:r>
      <w:r w:rsidR="00557D58" w:rsidRPr="00EC1346">
        <w:rPr>
          <w:sz w:val="24"/>
          <w:szCs w:val="24"/>
        </w:rPr>
        <w:t>нию цен на первичном рынке</w:t>
      </w:r>
      <w:r w:rsidRPr="00EC1346">
        <w:rPr>
          <w:sz w:val="24"/>
          <w:szCs w:val="24"/>
        </w:rPr>
        <w:t>, но послужило причиной снижения количества заключенных договоров долевого участия в 2015 г</w:t>
      </w:r>
      <w:r w:rsidR="00557D58" w:rsidRPr="00EC1346">
        <w:rPr>
          <w:sz w:val="24"/>
          <w:szCs w:val="24"/>
        </w:rPr>
        <w:t>.</w:t>
      </w:r>
      <w:r w:rsidRPr="00EC1346">
        <w:rPr>
          <w:sz w:val="24"/>
          <w:szCs w:val="24"/>
        </w:rPr>
        <w:t xml:space="preserve"> на 24%. </w:t>
      </w:r>
    </w:p>
    <w:p w14:paraId="5A5A1461" w14:textId="77777777" w:rsidR="00FF121B" w:rsidRPr="00EC1346" w:rsidRDefault="00FF121B" w:rsidP="00FF121B">
      <w:pPr>
        <w:pStyle w:val="a3"/>
        <w:spacing w:after="120" w:line="360" w:lineRule="auto"/>
        <w:ind w:left="0"/>
        <w:jc w:val="both"/>
        <w:rPr>
          <w:sz w:val="24"/>
          <w:szCs w:val="24"/>
        </w:rPr>
      </w:pPr>
    </w:p>
    <w:p w14:paraId="0BE2BE15" w14:textId="5667525B" w:rsidR="00DA01F9" w:rsidRPr="00EC1346" w:rsidRDefault="003B0932" w:rsidP="00DA01F9">
      <w:pPr>
        <w:pStyle w:val="a3"/>
        <w:spacing w:after="120" w:line="360" w:lineRule="auto"/>
        <w:ind w:left="0"/>
        <w:jc w:val="center"/>
        <w:rPr>
          <w:sz w:val="24"/>
          <w:szCs w:val="24"/>
        </w:rPr>
      </w:pPr>
      <w:r w:rsidRPr="00EC1346">
        <w:rPr>
          <w:noProof/>
          <w:lang w:eastAsia="ru-RU"/>
        </w:rPr>
        <w:drawing>
          <wp:inline distT="0" distB="0" distL="0" distR="0" wp14:anchorId="54CF5788" wp14:editId="7894D92F">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BEF3ED" w14:textId="7C415387" w:rsidR="00DA01F9" w:rsidRPr="00EC1346" w:rsidRDefault="00DA01F9" w:rsidP="00DA01F9">
      <w:pPr>
        <w:pStyle w:val="a3"/>
        <w:spacing w:after="120" w:line="360" w:lineRule="auto"/>
        <w:ind w:left="0"/>
        <w:jc w:val="right"/>
        <w:rPr>
          <w:color w:val="C00000"/>
          <w:sz w:val="24"/>
          <w:szCs w:val="24"/>
        </w:rPr>
      </w:pPr>
      <w:r w:rsidRPr="00EC1346">
        <w:rPr>
          <w:i/>
          <w:sz w:val="20"/>
          <w:szCs w:val="20"/>
        </w:rPr>
        <w:t>Источник: Росстат</w:t>
      </w:r>
    </w:p>
    <w:p w14:paraId="506DF4ED" w14:textId="0FD3CE4D" w:rsidR="00965EAA" w:rsidRPr="00EC1346" w:rsidRDefault="00965EAA" w:rsidP="00965EAA">
      <w:pPr>
        <w:pStyle w:val="a3"/>
        <w:spacing w:after="120" w:line="360" w:lineRule="auto"/>
        <w:ind w:left="0"/>
        <w:jc w:val="both"/>
        <w:rPr>
          <w:color w:val="000000" w:themeColor="text1"/>
          <w:sz w:val="24"/>
          <w:szCs w:val="24"/>
        </w:rPr>
      </w:pPr>
      <w:r w:rsidRPr="00EC1346">
        <w:rPr>
          <w:color w:val="000000" w:themeColor="text1"/>
          <w:sz w:val="24"/>
          <w:szCs w:val="24"/>
        </w:rPr>
        <w:t xml:space="preserve">Несмотря на снижение располагаемых </w:t>
      </w:r>
      <w:r w:rsidR="00557D58" w:rsidRPr="00EC1346">
        <w:rPr>
          <w:color w:val="000000" w:themeColor="text1"/>
          <w:sz w:val="24"/>
          <w:szCs w:val="24"/>
        </w:rPr>
        <w:t>доходов населения, объемы ввода</w:t>
      </w:r>
      <w:r w:rsidRPr="00EC1346">
        <w:rPr>
          <w:color w:val="000000" w:themeColor="text1"/>
          <w:sz w:val="24"/>
          <w:szCs w:val="24"/>
        </w:rPr>
        <w:t xml:space="preserve"> жилья в 2014-2015 гг. не снижались, что вероятно связано с тем, что застройщики завершали проекты, начатые до 2014 г</w:t>
      </w:r>
      <w:r w:rsidR="003B0932" w:rsidRPr="00EC1346">
        <w:rPr>
          <w:color w:val="000000" w:themeColor="text1"/>
          <w:sz w:val="24"/>
          <w:szCs w:val="24"/>
        </w:rPr>
        <w:t>ода</w:t>
      </w:r>
      <w:r w:rsidRPr="00EC1346">
        <w:rPr>
          <w:color w:val="000000" w:themeColor="text1"/>
          <w:sz w:val="24"/>
          <w:szCs w:val="24"/>
        </w:rPr>
        <w:t>. Увеличение предложения готового жилья может стать дополнительным фактором, который приведет к снижению количества заключенных договоров долевого участия</w:t>
      </w:r>
      <w:r w:rsidR="00FF121B" w:rsidRPr="00EC1346">
        <w:rPr>
          <w:color w:val="000000" w:themeColor="text1"/>
          <w:sz w:val="24"/>
          <w:szCs w:val="24"/>
        </w:rPr>
        <w:t xml:space="preserve"> в ближайшей перспективе</w:t>
      </w:r>
      <w:r w:rsidRPr="00EC1346">
        <w:rPr>
          <w:color w:val="000000" w:themeColor="text1"/>
          <w:sz w:val="24"/>
          <w:szCs w:val="24"/>
        </w:rPr>
        <w:t>.</w:t>
      </w:r>
    </w:p>
    <w:p w14:paraId="66929B12" w14:textId="18238C87" w:rsidR="00F26CB0" w:rsidRPr="00EC1346" w:rsidRDefault="00DA01F9" w:rsidP="00F26CB0">
      <w:pPr>
        <w:pStyle w:val="a3"/>
        <w:spacing w:after="120" w:line="360" w:lineRule="auto"/>
        <w:ind w:left="0"/>
        <w:rPr>
          <w:color w:val="000000" w:themeColor="text1"/>
          <w:sz w:val="24"/>
          <w:szCs w:val="24"/>
        </w:rPr>
      </w:pPr>
      <w:r w:rsidRPr="00EC1346">
        <w:rPr>
          <w:color w:val="000000" w:themeColor="text1"/>
          <w:sz w:val="24"/>
          <w:szCs w:val="24"/>
        </w:rPr>
        <w:lastRenderedPageBreak/>
        <w:t>Таким образом</w:t>
      </w:r>
      <w:r w:rsidR="00965EAA" w:rsidRPr="00EC1346">
        <w:rPr>
          <w:color w:val="000000" w:themeColor="text1"/>
          <w:sz w:val="24"/>
          <w:szCs w:val="24"/>
        </w:rPr>
        <w:t>,</w:t>
      </w:r>
      <w:r w:rsidRPr="00EC1346">
        <w:rPr>
          <w:color w:val="000000" w:themeColor="text1"/>
          <w:sz w:val="24"/>
          <w:szCs w:val="24"/>
        </w:rPr>
        <w:t xml:space="preserve"> основными тенденциями на рынке жилищн</w:t>
      </w:r>
      <w:r w:rsidR="00965EAA" w:rsidRPr="00EC1346">
        <w:rPr>
          <w:color w:val="000000" w:themeColor="text1"/>
          <w:sz w:val="24"/>
          <w:szCs w:val="24"/>
        </w:rPr>
        <w:t>ого строительства в РФ являются</w:t>
      </w:r>
      <w:r w:rsidRPr="00EC1346">
        <w:rPr>
          <w:color w:val="000000" w:themeColor="text1"/>
          <w:sz w:val="24"/>
          <w:szCs w:val="24"/>
        </w:rPr>
        <w:t>:</w:t>
      </w:r>
    </w:p>
    <w:p w14:paraId="6545C668" w14:textId="01FA3647" w:rsidR="00965EAA" w:rsidRPr="00EC1346" w:rsidRDefault="00965EAA" w:rsidP="00FF121B">
      <w:pPr>
        <w:pStyle w:val="a3"/>
        <w:numPr>
          <w:ilvl w:val="0"/>
          <w:numId w:val="7"/>
        </w:numPr>
        <w:spacing w:after="120" w:line="360" w:lineRule="auto"/>
        <w:jc w:val="both"/>
        <w:rPr>
          <w:color w:val="000000" w:themeColor="text1"/>
          <w:sz w:val="24"/>
          <w:szCs w:val="24"/>
        </w:rPr>
      </w:pPr>
      <w:r w:rsidRPr="00EC1346">
        <w:rPr>
          <w:color w:val="000000" w:themeColor="text1"/>
          <w:sz w:val="24"/>
          <w:szCs w:val="24"/>
        </w:rPr>
        <w:t>Площадь приостановленного строительства жилой недвижимости последовательно снижается (</w:t>
      </w:r>
      <w:r w:rsidRPr="00EC1346">
        <w:rPr>
          <w:sz w:val="24"/>
          <w:szCs w:val="24"/>
        </w:rPr>
        <w:t xml:space="preserve">в среднем на 590 тыс. кв. м ежегодно с 2004 г.). По сообщениям в СМИ, аналогично </w:t>
      </w:r>
      <w:proofErr w:type="gramStart"/>
      <w:r w:rsidRPr="00EC1346">
        <w:rPr>
          <w:sz w:val="24"/>
          <w:szCs w:val="24"/>
        </w:rPr>
        <w:t>снижается число</w:t>
      </w:r>
      <w:proofErr w:type="gramEnd"/>
      <w:r w:rsidRPr="00EC1346">
        <w:rPr>
          <w:sz w:val="24"/>
          <w:szCs w:val="24"/>
        </w:rPr>
        <w:t xml:space="preserve"> обманутых дольщиков</w:t>
      </w:r>
      <w:r w:rsidR="00557D58" w:rsidRPr="00EC1346">
        <w:rPr>
          <w:sz w:val="24"/>
          <w:szCs w:val="24"/>
        </w:rPr>
        <w:t>;</w:t>
      </w:r>
    </w:p>
    <w:p w14:paraId="7A7B3FDA" w14:textId="54315A8F" w:rsidR="00DA01F9" w:rsidRPr="00EC1346" w:rsidRDefault="00DA01F9" w:rsidP="00FF121B">
      <w:pPr>
        <w:pStyle w:val="a3"/>
        <w:numPr>
          <w:ilvl w:val="0"/>
          <w:numId w:val="7"/>
        </w:numPr>
        <w:spacing w:after="120" w:line="360" w:lineRule="auto"/>
        <w:jc w:val="both"/>
        <w:rPr>
          <w:sz w:val="24"/>
          <w:szCs w:val="24"/>
        </w:rPr>
      </w:pPr>
      <w:r w:rsidRPr="00EC1346">
        <w:rPr>
          <w:sz w:val="24"/>
          <w:szCs w:val="24"/>
        </w:rPr>
        <w:t>Сниж</w:t>
      </w:r>
      <w:r w:rsidR="00965EAA" w:rsidRPr="00EC1346">
        <w:rPr>
          <w:sz w:val="24"/>
          <w:szCs w:val="24"/>
        </w:rPr>
        <w:t>ение количества заключенных договоров долевого у</w:t>
      </w:r>
      <w:r w:rsidR="00557D58" w:rsidRPr="00EC1346">
        <w:rPr>
          <w:sz w:val="24"/>
          <w:szCs w:val="24"/>
        </w:rPr>
        <w:t>частия на 24% за 6 мес. 2015 г. по сравнению с 2014 годом;</w:t>
      </w:r>
    </w:p>
    <w:p w14:paraId="572AADF5" w14:textId="372B9DD6" w:rsidR="00DA01F9" w:rsidRPr="00EC1346" w:rsidRDefault="00557D58" w:rsidP="00FF121B">
      <w:pPr>
        <w:pStyle w:val="a3"/>
        <w:numPr>
          <w:ilvl w:val="0"/>
          <w:numId w:val="7"/>
        </w:numPr>
        <w:spacing w:after="120" w:line="360" w:lineRule="auto"/>
        <w:jc w:val="both"/>
        <w:rPr>
          <w:color w:val="000000" w:themeColor="text1"/>
          <w:sz w:val="24"/>
          <w:szCs w:val="24"/>
        </w:rPr>
      </w:pPr>
      <w:r w:rsidRPr="00EC1346">
        <w:rPr>
          <w:color w:val="000000" w:themeColor="text1"/>
          <w:sz w:val="24"/>
          <w:szCs w:val="24"/>
        </w:rPr>
        <w:t>Потенциальное снижение объемов ввода</w:t>
      </w:r>
      <w:r w:rsidR="00DA01F9" w:rsidRPr="00EC1346">
        <w:rPr>
          <w:color w:val="000000" w:themeColor="text1"/>
          <w:sz w:val="24"/>
          <w:szCs w:val="24"/>
        </w:rPr>
        <w:t xml:space="preserve"> </w:t>
      </w:r>
      <w:r w:rsidRPr="00EC1346">
        <w:rPr>
          <w:color w:val="000000" w:themeColor="text1"/>
          <w:sz w:val="24"/>
          <w:szCs w:val="24"/>
        </w:rPr>
        <w:t>жилищного строительства</w:t>
      </w:r>
      <w:r w:rsidR="00DA01F9" w:rsidRPr="00EC1346">
        <w:rPr>
          <w:color w:val="000000" w:themeColor="text1"/>
          <w:sz w:val="24"/>
          <w:szCs w:val="24"/>
        </w:rPr>
        <w:t xml:space="preserve"> после 2015 г. и/или увеличение объемов незавершенного строительства</w:t>
      </w:r>
      <w:r w:rsidRPr="00EC1346">
        <w:rPr>
          <w:color w:val="000000" w:themeColor="text1"/>
          <w:sz w:val="24"/>
          <w:szCs w:val="24"/>
        </w:rPr>
        <w:t>;</w:t>
      </w:r>
    </w:p>
    <w:p w14:paraId="7C0C4F45" w14:textId="60F18F8E" w:rsidR="00DA01F9" w:rsidRPr="00EC1346" w:rsidRDefault="00965EAA" w:rsidP="00FF121B">
      <w:pPr>
        <w:pStyle w:val="a3"/>
        <w:numPr>
          <w:ilvl w:val="0"/>
          <w:numId w:val="7"/>
        </w:numPr>
        <w:spacing w:after="120" w:line="360" w:lineRule="auto"/>
        <w:jc w:val="both"/>
        <w:rPr>
          <w:color w:val="000000" w:themeColor="text1"/>
          <w:sz w:val="24"/>
          <w:szCs w:val="24"/>
        </w:rPr>
      </w:pPr>
      <w:r w:rsidRPr="00EC1346">
        <w:rPr>
          <w:color w:val="000000" w:themeColor="text1"/>
          <w:sz w:val="24"/>
          <w:szCs w:val="24"/>
        </w:rPr>
        <w:t>Зависимость цены на первичном рынке</w:t>
      </w:r>
      <w:r w:rsidR="00557D58" w:rsidRPr="00EC1346">
        <w:rPr>
          <w:color w:val="000000" w:themeColor="text1"/>
          <w:sz w:val="24"/>
          <w:szCs w:val="24"/>
        </w:rPr>
        <w:t>,</w:t>
      </w:r>
      <w:r w:rsidRPr="00EC1346">
        <w:rPr>
          <w:color w:val="000000" w:themeColor="text1"/>
          <w:sz w:val="24"/>
          <w:szCs w:val="24"/>
        </w:rPr>
        <w:t xml:space="preserve"> прежде всего</w:t>
      </w:r>
      <w:r w:rsidR="00557D58" w:rsidRPr="00EC1346">
        <w:rPr>
          <w:color w:val="000000" w:themeColor="text1"/>
          <w:sz w:val="24"/>
          <w:szCs w:val="24"/>
        </w:rPr>
        <w:t>,</w:t>
      </w:r>
      <w:r w:rsidRPr="00EC1346">
        <w:rPr>
          <w:color w:val="000000" w:themeColor="text1"/>
          <w:sz w:val="24"/>
          <w:szCs w:val="24"/>
        </w:rPr>
        <w:t xml:space="preserve"> от спроса на жилье и покупательной способности населения. </w:t>
      </w:r>
      <w:proofErr w:type="gramStart"/>
      <w:r w:rsidRPr="00EC1346">
        <w:rPr>
          <w:color w:val="000000" w:themeColor="text1"/>
          <w:sz w:val="24"/>
          <w:szCs w:val="24"/>
        </w:rPr>
        <w:t>Представляется, что текущие с</w:t>
      </w:r>
      <w:r w:rsidR="003B0932" w:rsidRPr="00EC1346">
        <w:rPr>
          <w:color w:val="000000" w:themeColor="text1"/>
          <w:sz w:val="24"/>
          <w:szCs w:val="24"/>
        </w:rPr>
        <w:t>траховые премии и/или взносы в Компенсационный Ф</w:t>
      </w:r>
      <w:r w:rsidRPr="00EC1346">
        <w:rPr>
          <w:color w:val="000000" w:themeColor="text1"/>
          <w:sz w:val="24"/>
          <w:szCs w:val="24"/>
        </w:rPr>
        <w:t>онд увеличат себестоимость застройщика, но не п</w:t>
      </w:r>
      <w:r w:rsidR="00557D58" w:rsidRPr="00EC1346">
        <w:rPr>
          <w:color w:val="000000" w:themeColor="text1"/>
          <w:sz w:val="24"/>
          <w:szCs w:val="24"/>
        </w:rPr>
        <w:t>овлияют на цену для покупателя;</w:t>
      </w:r>
      <w:proofErr w:type="gramEnd"/>
    </w:p>
    <w:p w14:paraId="61D71A53" w14:textId="2C8B32D4" w:rsidR="00965EAA" w:rsidRPr="00EC1346" w:rsidRDefault="00965EAA" w:rsidP="00FF121B">
      <w:pPr>
        <w:pStyle w:val="a3"/>
        <w:numPr>
          <w:ilvl w:val="0"/>
          <w:numId w:val="7"/>
        </w:numPr>
        <w:spacing w:after="120" w:line="360" w:lineRule="auto"/>
        <w:jc w:val="both"/>
        <w:rPr>
          <w:color w:val="000000" w:themeColor="text1"/>
          <w:sz w:val="24"/>
          <w:szCs w:val="24"/>
        </w:rPr>
      </w:pPr>
      <w:r w:rsidRPr="00EC1346">
        <w:rPr>
          <w:color w:val="000000" w:themeColor="text1"/>
          <w:sz w:val="24"/>
          <w:szCs w:val="24"/>
        </w:rPr>
        <w:t>Дальнейшее снижение реальных располагаемых доходов населения и рост предложения готового жилья, введенного в 2014-2015 гг.  могут привести как снижению стоимости жилья на первичном рынке</w:t>
      </w:r>
      <w:r w:rsidR="00557D58" w:rsidRPr="00EC1346">
        <w:rPr>
          <w:color w:val="000000" w:themeColor="text1"/>
          <w:sz w:val="24"/>
          <w:szCs w:val="24"/>
        </w:rPr>
        <w:t>,</w:t>
      </w:r>
      <w:r w:rsidRPr="00EC1346">
        <w:rPr>
          <w:color w:val="000000" w:themeColor="text1"/>
          <w:sz w:val="24"/>
          <w:szCs w:val="24"/>
        </w:rPr>
        <w:t xml:space="preserve"> так и к снижению количества заключенных договоров долевого участия.</w:t>
      </w:r>
    </w:p>
    <w:p w14:paraId="0463C483" w14:textId="3C82308B" w:rsidR="00F26CB0" w:rsidRPr="00EC1346" w:rsidRDefault="00965EAA" w:rsidP="00FF121B">
      <w:pPr>
        <w:pStyle w:val="a3"/>
        <w:spacing w:after="120" w:line="360" w:lineRule="auto"/>
        <w:ind w:left="0"/>
        <w:jc w:val="both"/>
        <w:rPr>
          <w:sz w:val="24"/>
          <w:szCs w:val="24"/>
        </w:rPr>
      </w:pPr>
      <w:r w:rsidRPr="00EC1346">
        <w:rPr>
          <w:sz w:val="24"/>
          <w:szCs w:val="24"/>
        </w:rPr>
        <w:t>Перечисленные выше тенденции были использованы при подготовке сценариев экономической модели для расчета выплат из компенсационного фонда.</w:t>
      </w:r>
    </w:p>
    <w:p w14:paraId="180E8DAB" w14:textId="77777777" w:rsidR="00FF121B" w:rsidRPr="00EC1346" w:rsidRDefault="00FF121B" w:rsidP="00FF121B">
      <w:pPr>
        <w:pStyle w:val="a3"/>
        <w:spacing w:after="120" w:line="360" w:lineRule="auto"/>
        <w:ind w:left="0"/>
        <w:jc w:val="both"/>
        <w:rPr>
          <w:sz w:val="24"/>
          <w:szCs w:val="24"/>
        </w:rPr>
      </w:pPr>
    </w:p>
    <w:p w14:paraId="5D672C66" w14:textId="7AE8EAE3" w:rsidR="00F26CB0" w:rsidRPr="00EC1346" w:rsidRDefault="00F26CB0" w:rsidP="00965EAA">
      <w:pPr>
        <w:pStyle w:val="a3"/>
        <w:numPr>
          <w:ilvl w:val="1"/>
          <w:numId w:val="1"/>
        </w:numPr>
        <w:spacing w:after="120" w:line="360" w:lineRule="auto"/>
        <w:outlineLvl w:val="1"/>
        <w:rPr>
          <w:sz w:val="24"/>
          <w:szCs w:val="24"/>
        </w:rPr>
      </w:pPr>
      <w:bookmarkStart w:id="5" w:name="_Toc461036749"/>
      <w:r w:rsidRPr="00EC1346">
        <w:rPr>
          <w:sz w:val="24"/>
          <w:szCs w:val="24"/>
        </w:rPr>
        <w:t>Застройщики</w:t>
      </w:r>
      <w:bookmarkEnd w:id="5"/>
      <w:r w:rsidRPr="00EC1346">
        <w:rPr>
          <w:sz w:val="24"/>
          <w:szCs w:val="24"/>
        </w:rPr>
        <w:t xml:space="preserve"> </w:t>
      </w:r>
    </w:p>
    <w:p w14:paraId="4707E391" w14:textId="0233FE06" w:rsidR="00DA01F9" w:rsidRPr="00EC1346" w:rsidRDefault="00DA01F9" w:rsidP="00DA01F9">
      <w:pPr>
        <w:pStyle w:val="a3"/>
        <w:spacing w:after="120" w:line="360" w:lineRule="auto"/>
        <w:ind w:left="0"/>
        <w:jc w:val="both"/>
        <w:rPr>
          <w:sz w:val="24"/>
          <w:szCs w:val="24"/>
        </w:rPr>
      </w:pPr>
      <w:r w:rsidRPr="00EC1346">
        <w:rPr>
          <w:sz w:val="24"/>
          <w:szCs w:val="24"/>
        </w:rPr>
        <w:t xml:space="preserve">Так как средства дольщиков являются основным источником финансирования для застройщиков, рост объемов </w:t>
      </w:r>
      <w:r w:rsidR="00FF121B" w:rsidRPr="00EC1346">
        <w:rPr>
          <w:sz w:val="24"/>
          <w:szCs w:val="24"/>
        </w:rPr>
        <w:t xml:space="preserve">долевого </w:t>
      </w:r>
      <w:r w:rsidRPr="00EC1346">
        <w:rPr>
          <w:sz w:val="24"/>
          <w:szCs w:val="24"/>
        </w:rPr>
        <w:t xml:space="preserve">жилищного строительства критически важен для девелоперов.  Как отмечалось ранее, количество заключенных договоров долевого участия и средняя цена в новостройках на территории РФ снизились в 2015 г., что сказалось на финансовом состоянии застройщиков. </w:t>
      </w:r>
      <w:r w:rsidR="00965EAA" w:rsidRPr="00EC1346">
        <w:rPr>
          <w:sz w:val="24"/>
          <w:szCs w:val="24"/>
        </w:rPr>
        <w:t>Доля и динамика «проблемных» строительных организаций представлена следующими данными ЦБ РФ.</w:t>
      </w:r>
    </w:p>
    <w:p w14:paraId="4F242184" w14:textId="5ACAC879" w:rsidR="00DA01F9" w:rsidRPr="00EC1346" w:rsidRDefault="00DA01F9" w:rsidP="00F26CB0">
      <w:pPr>
        <w:spacing w:after="120" w:line="360" w:lineRule="auto"/>
        <w:rPr>
          <w:rFonts w:asciiTheme="minorHAnsi" w:hAnsiTheme="minorHAnsi"/>
        </w:rPr>
      </w:pPr>
      <w:r w:rsidRPr="00EC1346">
        <w:rPr>
          <w:rFonts w:asciiTheme="minorHAnsi" w:hAnsiTheme="minorHAnsi"/>
          <w:noProof/>
          <w:lang w:eastAsia="ru-RU"/>
        </w:rPr>
        <w:lastRenderedPageBreak/>
        <w:drawing>
          <wp:inline distT="0" distB="0" distL="0" distR="0" wp14:anchorId="3079B089" wp14:editId="5139075D">
            <wp:extent cx="5719582" cy="3611828"/>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0161A6" w14:textId="443E2173" w:rsidR="00DA01F9" w:rsidRPr="00EC1346" w:rsidRDefault="00DA01F9" w:rsidP="00DA01F9">
      <w:pPr>
        <w:pStyle w:val="a3"/>
        <w:spacing w:after="120" w:line="360" w:lineRule="auto"/>
        <w:ind w:left="0"/>
        <w:jc w:val="right"/>
        <w:rPr>
          <w:color w:val="C00000"/>
          <w:sz w:val="24"/>
          <w:szCs w:val="24"/>
        </w:rPr>
      </w:pPr>
      <w:r w:rsidRPr="00EC1346">
        <w:rPr>
          <w:i/>
          <w:sz w:val="20"/>
          <w:szCs w:val="20"/>
        </w:rPr>
        <w:t>Источник: ЦБ РФ</w:t>
      </w:r>
    </w:p>
    <w:p w14:paraId="3C5CBCB5" w14:textId="37F8701F" w:rsidR="00440C62" w:rsidRPr="00EC1346" w:rsidRDefault="00440C62" w:rsidP="00440C62">
      <w:pPr>
        <w:pStyle w:val="a3"/>
        <w:spacing w:after="120" w:line="360" w:lineRule="auto"/>
        <w:ind w:left="0"/>
        <w:jc w:val="both"/>
        <w:rPr>
          <w:sz w:val="24"/>
          <w:szCs w:val="24"/>
        </w:rPr>
      </w:pPr>
      <w:r w:rsidRPr="00EC1346">
        <w:rPr>
          <w:sz w:val="24"/>
          <w:szCs w:val="24"/>
        </w:rPr>
        <w:t>По данным</w:t>
      </w:r>
      <w:r w:rsidRPr="00EC1346">
        <w:rPr>
          <w:rStyle w:val="a7"/>
          <w:sz w:val="24"/>
          <w:szCs w:val="24"/>
        </w:rPr>
        <w:footnoteReference w:id="9"/>
      </w:r>
      <w:r w:rsidRPr="00EC1346">
        <w:rPr>
          <w:sz w:val="24"/>
          <w:szCs w:val="24"/>
        </w:rPr>
        <w:t xml:space="preserve"> Рейтингового агентства строительного комплекса (РАСК), за первое полугодие 2016 г. обанкротилось 1,6 тыс. застройщиков, что значительно превышает соответствующие показатели 2014-2015гг.:</w:t>
      </w:r>
    </w:p>
    <w:p w14:paraId="1A879257" w14:textId="5BBE6FAD" w:rsidR="00440C62" w:rsidRPr="00EC1346" w:rsidRDefault="00440C62" w:rsidP="00440C62">
      <w:pPr>
        <w:pStyle w:val="a3"/>
        <w:spacing w:after="120" w:line="360" w:lineRule="auto"/>
        <w:ind w:left="0"/>
        <w:jc w:val="center"/>
        <w:rPr>
          <w:i/>
          <w:sz w:val="20"/>
          <w:szCs w:val="20"/>
        </w:rPr>
      </w:pPr>
      <w:r w:rsidRPr="00EC1346">
        <w:rPr>
          <w:noProof/>
          <w:lang w:eastAsia="ru-RU"/>
        </w:rPr>
        <w:drawing>
          <wp:inline distT="0" distB="0" distL="0" distR="0" wp14:anchorId="33CF2620" wp14:editId="3704BA15">
            <wp:extent cx="4431432" cy="2710250"/>
            <wp:effectExtent l="0" t="0" r="0" b="76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CF22E8" w14:textId="543C2A70" w:rsidR="00440C62" w:rsidRPr="00EC1346" w:rsidRDefault="00440C62" w:rsidP="00440C62">
      <w:pPr>
        <w:pStyle w:val="a3"/>
        <w:spacing w:after="120" w:line="360" w:lineRule="auto"/>
        <w:ind w:left="0"/>
        <w:jc w:val="right"/>
        <w:rPr>
          <w:color w:val="C00000"/>
          <w:sz w:val="24"/>
          <w:szCs w:val="24"/>
        </w:rPr>
      </w:pPr>
      <w:r w:rsidRPr="00EC1346">
        <w:rPr>
          <w:i/>
          <w:sz w:val="20"/>
          <w:szCs w:val="20"/>
        </w:rPr>
        <w:t xml:space="preserve">Источник: </w:t>
      </w:r>
      <w:proofErr w:type="gramStart"/>
      <w:r w:rsidRPr="00EC1346">
        <w:rPr>
          <w:i/>
          <w:sz w:val="20"/>
          <w:szCs w:val="20"/>
        </w:rPr>
        <w:t>Рейтинговое</w:t>
      </w:r>
      <w:proofErr w:type="gramEnd"/>
      <w:r w:rsidRPr="00EC1346">
        <w:rPr>
          <w:i/>
          <w:sz w:val="20"/>
          <w:szCs w:val="20"/>
        </w:rPr>
        <w:t xml:space="preserve"> агентства строительного комплекса</w:t>
      </w:r>
    </w:p>
    <w:p w14:paraId="7370C2E5" w14:textId="7F36F357" w:rsidR="00DA01F9" w:rsidRPr="00EC1346" w:rsidRDefault="00440C62" w:rsidP="00FF121B">
      <w:pPr>
        <w:spacing w:after="120" w:line="360" w:lineRule="auto"/>
        <w:jc w:val="both"/>
        <w:rPr>
          <w:rFonts w:asciiTheme="minorHAnsi" w:hAnsiTheme="minorHAnsi"/>
        </w:rPr>
      </w:pPr>
      <w:r w:rsidRPr="00EC1346">
        <w:rPr>
          <w:rFonts w:asciiTheme="minorHAnsi" w:hAnsiTheme="minorHAnsi"/>
        </w:rPr>
        <w:lastRenderedPageBreak/>
        <w:t>На основании представленных выше данных</w:t>
      </w:r>
      <w:r w:rsidR="00DA01F9" w:rsidRPr="00EC1346">
        <w:rPr>
          <w:rFonts w:asciiTheme="minorHAnsi" w:hAnsiTheme="minorHAnsi"/>
        </w:rPr>
        <w:t xml:space="preserve"> представляется возможным сделать следующие выводы:</w:t>
      </w:r>
    </w:p>
    <w:p w14:paraId="3F06346F" w14:textId="3D3C441E" w:rsidR="00DA01F9" w:rsidRPr="00EC1346" w:rsidRDefault="00DA01F9" w:rsidP="00DA01F9">
      <w:pPr>
        <w:pStyle w:val="a3"/>
        <w:numPr>
          <w:ilvl w:val="0"/>
          <w:numId w:val="8"/>
        </w:numPr>
        <w:spacing w:after="120" w:line="360" w:lineRule="auto"/>
        <w:jc w:val="both"/>
        <w:rPr>
          <w:sz w:val="24"/>
          <w:szCs w:val="24"/>
        </w:rPr>
      </w:pPr>
      <w:r w:rsidRPr="00EC1346">
        <w:rPr>
          <w:sz w:val="24"/>
          <w:szCs w:val="24"/>
        </w:rPr>
        <w:t xml:space="preserve">Кредитование сектора прекратило рост в середине 2014 г. С учетом того, что ввод жилья вырос в 2014-2015 гг., можно сделать вывод о том, что этот рост </w:t>
      </w:r>
      <w:r w:rsidR="00557D58" w:rsidRPr="00EC1346">
        <w:rPr>
          <w:sz w:val="24"/>
          <w:szCs w:val="24"/>
        </w:rPr>
        <w:t>был в меньшей степени</w:t>
      </w:r>
      <w:r w:rsidRPr="00EC1346">
        <w:rPr>
          <w:sz w:val="24"/>
          <w:szCs w:val="24"/>
        </w:rPr>
        <w:t xml:space="preserve"> обеспечен пр</w:t>
      </w:r>
      <w:r w:rsidR="00557D58" w:rsidRPr="00EC1346">
        <w:rPr>
          <w:sz w:val="24"/>
          <w:szCs w:val="24"/>
        </w:rPr>
        <w:t>ямым банковским финансированием;</w:t>
      </w:r>
    </w:p>
    <w:p w14:paraId="1E960C53" w14:textId="1C688AF6" w:rsidR="00DA01F9" w:rsidRPr="00EC1346" w:rsidRDefault="00557D58" w:rsidP="00DA01F9">
      <w:pPr>
        <w:pStyle w:val="a3"/>
        <w:numPr>
          <w:ilvl w:val="0"/>
          <w:numId w:val="8"/>
        </w:numPr>
        <w:spacing w:after="120" w:line="360" w:lineRule="auto"/>
        <w:jc w:val="both"/>
        <w:rPr>
          <w:sz w:val="24"/>
          <w:szCs w:val="24"/>
        </w:rPr>
      </w:pPr>
      <w:r w:rsidRPr="00EC1346">
        <w:rPr>
          <w:sz w:val="24"/>
          <w:szCs w:val="24"/>
        </w:rPr>
        <w:t xml:space="preserve">Начиная с середины 2014 </w:t>
      </w:r>
      <w:r w:rsidR="00DA01F9" w:rsidRPr="00EC1346">
        <w:rPr>
          <w:sz w:val="24"/>
          <w:szCs w:val="24"/>
        </w:rPr>
        <w:t xml:space="preserve">г.  более чем в три раза выросла просроченная задолженность строительных организаций, что свидетельствует о серьезных финансовых проблемах в этом секторе даже на </w:t>
      </w:r>
      <w:r w:rsidRPr="00EC1346">
        <w:rPr>
          <w:sz w:val="24"/>
          <w:szCs w:val="24"/>
        </w:rPr>
        <w:t>фоне общего кризиса в экономике;</w:t>
      </w:r>
    </w:p>
    <w:p w14:paraId="4ECB0ED8" w14:textId="4D3F2F34" w:rsidR="00DA01F9" w:rsidRPr="00EC1346" w:rsidRDefault="00DA01F9" w:rsidP="00DA01F9">
      <w:pPr>
        <w:pStyle w:val="a3"/>
        <w:numPr>
          <w:ilvl w:val="0"/>
          <w:numId w:val="8"/>
        </w:numPr>
        <w:spacing w:after="120" w:line="360" w:lineRule="auto"/>
        <w:jc w:val="both"/>
      </w:pPr>
      <w:r w:rsidRPr="00EC1346">
        <w:rPr>
          <w:sz w:val="24"/>
          <w:szCs w:val="24"/>
        </w:rPr>
        <w:t>С учетом того, что рост просроченной задолженности в три раза произошел на фоне снижения количества договоров долевого участия на 20-25%, аналогичное снижение объемов в ближай</w:t>
      </w:r>
      <w:r w:rsidR="00FF121B" w:rsidRPr="00EC1346">
        <w:rPr>
          <w:sz w:val="24"/>
          <w:szCs w:val="24"/>
        </w:rPr>
        <w:t>шей перспективе может отправить</w:t>
      </w:r>
      <w:r w:rsidRPr="00EC1346">
        <w:rPr>
          <w:sz w:val="24"/>
          <w:szCs w:val="24"/>
        </w:rPr>
        <w:t xml:space="preserve"> </w:t>
      </w:r>
      <w:r w:rsidR="00FF121B" w:rsidRPr="00EC1346">
        <w:rPr>
          <w:sz w:val="24"/>
          <w:szCs w:val="24"/>
        </w:rPr>
        <w:t xml:space="preserve">строительный </w:t>
      </w:r>
      <w:r w:rsidRPr="00EC1346">
        <w:rPr>
          <w:sz w:val="24"/>
          <w:szCs w:val="24"/>
        </w:rPr>
        <w:t>сектор в глубокий кризис</w:t>
      </w:r>
      <w:r w:rsidR="00557D58" w:rsidRPr="00EC1346">
        <w:rPr>
          <w:sz w:val="24"/>
          <w:szCs w:val="24"/>
        </w:rPr>
        <w:t>;</w:t>
      </w:r>
    </w:p>
    <w:p w14:paraId="1D53C921" w14:textId="2E1D1EEB" w:rsidR="00DA01F9" w:rsidRPr="00EC1346" w:rsidRDefault="00DA01F9" w:rsidP="00F26CB0">
      <w:pPr>
        <w:pStyle w:val="a3"/>
        <w:numPr>
          <w:ilvl w:val="0"/>
          <w:numId w:val="8"/>
        </w:numPr>
        <w:spacing w:after="120" w:line="360" w:lineRule="auto"/>
        <w:jc w:val="both"/>
        <w:rPr>
          <w:sz w:val="24"/>
          <w:szCs w:val="24"/>
        </w:rPr>
      </w:pPr>
      <w:r w:rsidRPr="00EC1346">
        <w:rPr>
          <w:sz w:val="24"/>
          <w:szCs w:val="24"/>
        </w:rPr>
        <w:t xml:space="preserve">Хотя положение застройщиков в цепочке добавленной стоимости отрасли и прямой выход на покупателей позволяют предположить их большую финансовую устойчивость по сравнению с подрядчиками, тем не </w:t>
      </w:r>
      <w:proofErr w:type="gramStart"/>
      <w:r w:rsidRPr="00EC1346">
        <w:rPr>
          <w:sz w:val="24"/>
          <w:szCs w:val="24"/>
        </w:rPr>
        <w:t>менее</w:t>
      </w:r>
      <w:proofErr w:type="gramEnd"/>
      <w:r w:rsidRPr="00EC1346">
        <w:rPr>
          <w:sz w:val="24"/>
          <w:szCs w:val="24"/>
        </w:rPr>
        <w:t xml:space="preserve"> можно сделать предположение о том, финансовое положение большинства застройщиков либо уже является проблемным, либо может стать таковым при падении объемов продаж в 2016-2017 гг.</w:t>
      </w:r>
    </w:p>
    <w:p w14:paraId="77B00386" w14:textId="0C02C452" w:rsidR="00DA01F9" w:rsidRPr="00EC1346" w:rsidRDefault="00DA01F9" w:rsidP="00965EAA">
      <w:pPr>
        <w:pStyle w:val="a3"/>
        <w:spacing w:after="120" w:line="360" w:lineRule="auto"/>
        <w:ind w:left="0"/>
        <w:jc w:val="both"/>
        <w:rPr>
          <w:sz w:val="24"/>
          <w:szCs w:val="24"/>
        </w:rPr>
      </w:pPr>
      <w:r w:rsidRPr="00EC1346">
        <w:rPr>
          <w:sz w:val="24"/>
          <w:szCs w:val="24"/>
        </w:rPr>
        <w:t>Таким образом, общее финансовое положение строительных организаций (в том числе застройщиков) нельзя назвать стабильным. Так как дольщики являются “менее требовательным и бесплатным” источником финансирования для застройщиков, риски невыполнения обяз</w:t>
      </w:r>
      <w:r w:rsidR="00FF121B" w:rsidRPr="00EC1346">
        <w:rPr>
          <w:sz w:val="24"/>
          <w:szCs w:val="24"/>
        </w:rPr>
        <w:t>ат</w:t>
      </w:r>
      <w:r w:rsidRPr="00EC1346">
        <w:rPr>
          <w:sz w:val="24"/>
          <w:szCs w:val="24"/>
        </w:rPr>
        <w:t xml:space="preserve">ельств перед ними значительно возросли. </w:t>
      </w:r>
    </w:p>
    <w:p w14:paraId="60357F22" w14:textId="77777777" w:rsidR="003E5F4C" w:rsidRPr="00EC1346" w:rsidRDefault="003E5F4C" w:rsidP="00DA01F9">
      <w:pPr>
        <w:spacing w:after="120" w:line="360" w:lineRule="auto"/>
        <w:jc w:val="both"/>
        <w:rPr>
          <w:rFonts w:asciiTheme="minorHAnsi" w:hAnsiTheme="minorHAnsi"/>
        </w:rPr>
      </w:pPr>
    </w:p>
    <w:p w14:paraId="603F41BA" w14:textId="237CA260" w:rsidR="00F26CB0" w:rsidRPr="00EC1346" w:rsidRDefault="00F26CB0" w:rsidP="006057E3">
      <w:pPr>
        <w:pStyle w:val="a3"/>
        <w:numPr>
          <w:ilvl w:val="1"/>
          <w:numId w:val="1"/>
        </w:numPr>
        <w:spacing w:after="120" w:line="360" w:lineRule="auto"/>
        <w:outlineLvl w:val="1"/>
        <w:rPr>
          <w:sz w:val="24"/>
          <w:szCs w:val="24"/>
        </w:rPr>
      </w:pPr>
      <w:bookmarkStart w:id="6" w:name="_Toc461036750"/>
      <w:r w:rsidRPr="00EC1346">
        <w:rPr>
          <w:sz w:val="24"/>
          <w:szCs w:val="24"/>
        </w:rPr>
        <w:t>Страховые компании</w:t>
      </w:r>
      <w:bookmarkEnd w:id="6"/>
    </w:p>
    <w:p w14:paraId="08A24F1D" w14:textId="5F565B54" w:rsidR="00E914C7" w:rsidRPr="00EC1346" w:rsidRDefault="00E914C7" w:rsidP="00FF121B">
      <w:pPr>
        <w:pStyle w:val="a3"/>
        <w:spacing w:after="120" w:line="360" w:lineRule="auto"/>
        <w:ind w:left="0"/>
        <w:jc w:val="both"/>
        <w:rPr>
          <w:sz w:val="24"/>
          <w:szCs w:val="24"/>
        </w:rPr>
      </w:pPr>
      <w:r w:rsidRPr="00EC1346">
        <w:rPr>
          <w:sz w:val="24"/>
          <w:szCs w:val="24"/>
        </w:rPr>
        <w:t>В соответствии со статьей 15.2 закона 214-ФЗ исполнение обязательств застройщика по передаче жилого помещения участнику долевого строительства по договору может обеспечиваться страхованием гражданской ответственности путем:</w:t>
      </w:r>
    </w:p>
    <w:p w14:paraId="24C14CBA" w14:textId="03222F44" w:rsidR="00E914C7" w:rsidRPr="00EC1346" w:rsidRDefault="00E914C7" w:rsidP="00965EAA">
      <w:pPr>
        <w:pStyle w:val="a3"/>
        <w:numPr>
          <w:ilvl w:val="0"/>
          <w:numId w:val="3"/>
        </w:numPr>
        <w:spacing w:after="120" w:line="360" w:lineRule="auto"/>
        <w:jc w:val="both"/>
        <w:rPr>
          <w:sz w:val="24"/>
          <w:szCs w:val="24"/>
        </w:rPr>
      </w:pPr>
      <w:r w:rsidRPr="00EC1346">
        <w:rPr>
          <w:sz w:val="24"/>
          <w:szCs w:val="24"/>
        </w:rPr>
        <w:t>участия застройщика в обществе взаимного страхования гражданской ответственности застройщиков</w:t>
      </w:r>
      <w:r w:rsidR="00965EAA" w:rsidRPr="00EC1346">
        <w:rPr>
          <w:sz w:val="24"/>
          <w:szCs w:val="24"/>
        </w:rPr>
        <w:t>;</w:t>
      </w:r>
    </w:p>
    <w:p w14:paraId="32AD2675" w14:textId="0E86E303" w:rsidR="00FF121B" w:rsidRPr="00EC1346" w:rsidRDefault="00E914C7" w:rsidP="00FF121B">
      <w:pPr>
        <w:pStyle w:val="a3"/>
        <w:numPr>
          <w:ilvl w:val="0"/>
          <w:numId w:val="3"/>
        </w:numPr>
        <w:spacing w:after="120" w:line="360" w:lineRule="auto"/>
        <w:jc w:val="both"/>
        <w:rPr>
          <w:sz w:val="24"/>
          <w:szCs w:val="24"/>
        </w:rPr>
      </w:pPr>
      <w:r w:rsidRPr="00EC1346">
        <w:rPr>
          <w:sz w:val="24"/>
          <w:szCs w:val="24"/>
        </w:rPr>
        <w:lastRenderedPageBreak/>
        <w:t>заключения договора страхования гражданской ответственности застройщика со страховой организацией</w:t>
      </w:r>
      <w:r w:rsidR="00FF121B" w:rsidRPr="00EC1346">
        <w:rPr>
          <w:sz w:val="24"/>
          <w:szCs w:val="24"/>
        </w:rPr>
        <w:t>.</w:t>
      </w:r>
    </w:p>
    <w:p w14:paraId="3D7CB04E" w14:textId="48BFE711" w:rsidR="00FF121B" w:rsidRPr="00EC1346" w:rsidRDefault="00965EAA" w:rsidP="00965EAA">
      <w:pPr>
        <w:pStyle w:val="a3"/>
        <w:spacing w:after="120" w:line="360" w:lineRule="auto"/>
        <w:ind w:left="0"/>
        <w:jc w:val="both"/>
        <w:rPr>
          <w:color w:val="000000" w:themeColor="text1"/>
          <w:sz w:val="24"/>
          <w:szCs w:val="24"/>
        </w:rPr>
      </w:pPr>
      <w:proofErr w:type="gramStart"/>
      <w:r w:rsidRPr="00EC1346">
        <w:rPr>
          <w:color w:val="000000" w:themeColor="text1"/>
          <w:sz w:val="24"/>
          <w:szCs w:val="24"/>
        </w:rPr>
        <w:t>В соответствии со статистикой ЦБ РФ по статье "гражданская ответственность за неисполнение или ненадлежащее исполнение обязательств по договору" в 2015 г. страховыми компаниями было собрано более 6,</w:t>
      </w:r>
      <w:r w:rsidR="00FF121B" w:rsidRPr="00EC1346">
        <w:rPr>
          <w:color w:val="000000" w:themeColor="text1"/>
          <w:sz w:val="24"/>
          <w:szCs w:val="24"/>
        </w:rPr>
        <w:t>5 млрд. руб. премий, а страховые</w:t>
      </w:r>
      <w:r w:rsidRPr="00EC1346">
        <w:rPr>
          <w:color w:val="000000" w:themeColor="text1"/>
          <w:sz w:val="24"/>
          <w:szCs w:val="24"/>
        </w:rPr>
        <w:t xml:space="preserve"> суммы составили более 1 трлн. руб. Хотя по статье "гражданская ответственность за неисполнение или ненадлежащее исполнение обязательств по договору" в статистике ЦБ учитывается не только страхование ответственности застройщика</w:t>
      </w:r>
      <w:proofErr w:type="gramEnd"/>
      <w:r w:rsidRPr="00EC1346">
        <w:rPr>
          <w:color w:val="000000" w:themeColor="text1"/>
          <w:sz w:val="24"/>
          <w:szCs w:val="24"/>
        </w:rPr>
        <w:t xml:space="preserve">, </w:t>
      </w:r>
      <w:r w:rsidR="00557D58" w:rsidRPr="00EC1346">
        <w:rPr>
          <w:color w:val="000000" w:themeColor="text1"/>
          <w:sz w:val="24"/>
          <w:szCs w:val="24"/>
        </w:rPr>
        <w:t xml:space="preserve">общая </w:t>
      </w:r>
      <w:r w:rsidRPr="00EC1346">
        <w:rPr>
          <w:color w:val="000000" w:themeColor="text1"/>
          <w:sz w:val="24"/>
          <w:szCs w:val="24"/>
        </w:rPr>
        <w:t>картина не ме</w:t>
      </w:r>
      <w:r w:rsidR="00557D58" w:rsidRPr="00EC1346">
        <w:rPr>
          <w:color w:val="000000" w:themeColor="text1"/>
          <w:sz w:val="24"/>
          <w:szCs w:val="24"/>
        </w:rPr>
        <w:t>няется, так как доля других видов</w:t>
      </w:r>
      <w:r w:rsidRPr="00EC1346">
        <w:rPr>
          <w:color w:val="000000" w:themeColor="text1"/>
          <w:sz w:val="24"/>
          <w:szCs w:val="24"/>
        </w:rPr>
        <w:t xml:space="preserve"> договорной </w:t>
      </w:r>
      <w:r w:rsidR="00557D58" w:rsidRPr="00EC1346">
        <w:rPr>
          <w:color w:val="000000" w:themeColor="text1"/>
          <w:sz w:val="24"/>
          <w:szCs w:val="24"/>
        </w:rPr>
        <w:t>ответственности значительно меньше</w:t>
      </w:r>
      <w:r w:rsidRPr="00EC1346">
        <w:rPr>
          <w:color w:val="000000" w:themeColor="text1"/>
          <w:sz w:val="24"/>
          <w:szCs w:val="24"/>
        </w:rPr>
        <w:t>. Ниже представлены данные по основным игрокам в 2015 г.:</w:t>
      </w:r>
    </w:p>
    <w:tbl>
      <w:tblPr>
        <w:tblStyle w:val="ListTable2Accent6"/>
        <w:tblW w:w="9639" w:type="dxa"/>
        <w:tblLayout w:type="fixed"/>
        <w:tblLook w:val="04A0" w:firstRow="1" w:lastRow="0" w:firstColumn="1" w:lastColumn="0" w:noHBand="0" w:noVBand="1"/>
      </w:tblPr>
      <w:tblGrid>
        <w:gridCol w:w="2472"/>
        <w:gridCol w:w="1202"/>
        <w:gridCol w:w="1203"/>
        <w:gridCol w:w="1203"/>
        <w:gridCol w:w="1203"/>
        <w:gridCol w:w="1203"/>
        <w:gridCol w:w="1153"/>
      </w:tblGrid>
      <w:tr w:rsidR="00965EAA" w:rsidRPr="00EC1346" w14:paraId="1A9173DF" w14:textId="77777777" w:rsidTr="00965EA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72" w:type="dxa"/>
            <w:noWrap/>
            <w:hideMark/>
          </w:tcPr>
          <w:p w14:paraId="4B7B0C15" w14:textId="77777777" w:rsidR="00965EAA" w:rsidRPr="00EC1346" w:rsidRDefault="00965EAA" w:rsidP="008F3C14">
            <w:pPr>
              <w:jc w:val="center"/>
              <w:rPr>
                <w:rFonts w:asciiTheme="minorHAnsi" w:eastAsia="Times New Roman" w:hAnsiTheme="minorHAnsi"/>
                <w:color w:val="000000"/>
                <w:sz w:val="20"/>
                <w:szCs w:val="20"/>
              </w:rPr>
            </w:pPr>
            <w:r w:rsidRPr="00EC1346">
              <w:rPr>
                <w:rFonts w:asciiTheme="minorHAnsi" w:eastAsia="Times New Roman" w:hAnsiTheme="minorHAnsi"/>
                <w:b w:val="0"/>
                <w:bCs w:val="0"/>
                <w:color w:val="000000"/>
                <w:sz w:val="20"/>
                <w:szCs w:val="20"/>
              </w:rPr>
              <w:t>Компания</w:t>
            </w:r>
          </w:p>
        </w:tc>
        <w:tc>
          <w:tcPr>
            <w:tcW w:w="1202" w:type="dxa"/>
            <w:noWrap/>
            <w:vAlign w:val="center"/>
            <w:hideMark/>
          </w:tcPr>
          <w:p w14:paraId="4A8B6EE0" w14:textId="014A188C" w:rsidR="00965EAA" w:rsidRPr="00EC1346" w:rsidRDefault="00965EAA" w:rsidP="008F3C1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000000"/>
                <w:sz w:val="20"/>
                <w:szCs w:val="20"/>
              </w:rPr>
            </w:pPr>
            <w:r w:rsidRPr="00EC1346">
              <w:rPr>
                <w:rFonts w:asciiTheme="minorHAnsi" w:eastAsia="Times New Roman" w:hAnsiTheme="minorHAnsi"/>
                <w:b w:val="0"/>
                <w:bCs w:val="0"/>
                <w:color w:val="000000"/>
                <w:sz w:val="20"/>
                <w:szCs w:val="20"/>
              </w:rPr>
              <w:t>Страховые премии, млн. руб</w:t>
            </w:r>
            <w:r w:rsidR="00FF121B" w:rsidRPr="00EC1346">
              <w:rPr>
                <w:rFonts w:asciiTheme="minorHAnsi" w:eastAsia="Times New Roman" w:hAnsiTheme="minorHAnsi"/>
                <w:b w:val="0"/>
                <w:bCs w:val="0"/>
                <w:color w:val="000000"/>
                <w:sz w:val="20"/>
                <w:szCs w:val="20"/>
              </w:rPr>
              <w:t>.</w:t>
            </w:r>
          </w:p>
        </w:tc>
        <w:tc>
          <w:tcPr>
            <w:tcW w:w="1203" w:type="dxa"/>
          </w:tcPr>
          <w:p w14:paraId="457AC1F8" w14:textId="7E39A7CB" w:rsidR="00965EAA" w:rsidRPr="00EC1346" w:rsidRDefault="00965EAA" w:rsidP="008F3C1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000000"/>
                <w:sz w:val="20"/>
                <w:szCs w:val="20"/>
              </w:rPr>
            </w:pPr>
            <w:r w:rsidRPr="00EC1346">
              <w:rPr>
                <w:rFonts w:asciiTheme="minorHAnsi" w:eastAsia="Times New Roman" w:hAnsiTheme="minorHAnsi"/>
                <w:b w:val="0"/>
                <w:bCs w:val="0"/>
                <w:color w:val="000000"/>
                <w:sz w:val="20"/>
                <w:szCs w:val="20"/>
              </w:rPr>
              <w:t>Доля рынка в 2015г., %</w:t>
            </w:r>
          </w:p>
        </w:tc>
        <w:tc>
          <w:tcPr>
            <w:tcW w:w="1203" w:type="dxa"/>
            <w:noWrap/>
            <w:vAlign w:val="center"/>
            <w:hideMark/>
          </w:tcPr>
          <w:p w14:paraId="62295AC5" w14:textId="5778845D" w:rsidR="00965EAA" w:rsidRPr="00EC1346" w:rsidRDefault="00965EAA" w:rsidP="008F3C1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000000"/>
                <w:sz w:val="20"/>
                <w:szCs w:val="20"/>
              </w:rPr>
            </w:pPr>
            <w:r w:rsidRPr="00EC1346">
              <w:rPr>
                <w:rFonts w:asciiTheme="minorHAnsi" w:eastAsia="Times New Roman" w:hAnsiTheme="minorHAnsi"/>
                <w:b w:val="0"/>
                <w:bCs w:val="0"/>
                <w:color w:val="000000"/>
                <w:sz w:val="20"/>
                <w:szCs w:val="20"/>
              </w:rPr>
              <w:t>Страховая сумма, млн. руб.</w:t>
            </w:r>
          </w:p>
        </w:tc>
        <w:tc>
          <w:tcPr>
            <w:tcW w:w="1203" w:type="dxa"/>
            <w:noWrap/>
            <w:vAlign w:val="center"/>
            <w:hideMark/>
          </w:tcPr>
          <w:p w14:paraId="678C17C6" w14:textId="41284EB4" w:rsidR="00965EAA" w:rsidRPr="00EC1346" w:rsidRDefault="00965EAA" w:rsidP="008F3C1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000000"/>
                <w:sz w:val="20"/>
                <w:szCs w:val="20"/>
              </w:rPr>
            </w:pPr>
            <w:r w:rsidRPr="00EC1346">
              <w:rPr>
                <w:rFonts w:asciiTheme="minorHAnsi" w:eastAsia="Times New Roman" w:hAnsiTheme="minorHAnsi"/>
                <w:b w:val="0"/>
                <w:bCs w:val="0"/>
                <w:color w:val="000000"/>
                <w:sz w:val="20"/>
                <w:szCs w:val="20"/>
              </w:rPr>
              <w:t>Кол-во договоров, тыс. ед.</w:t>
            </w:r>
          </w:p>
        </w:tc>
        <w:tc>
          <w:tcPr>
            <w:tcW w:w="1203" w:type="dxa"/>
            <w:noWrap/>
            <w:vAlign w:val="center"/>
            <w:hideMark/>
          </w:tcPr>
          <w:p w14:paraId="0478E977" w14:textId="77777777" w:rsidR="00965EAA" w:rsidRPr="00EC1346" w:rsidRDefault="00965EAA" w:rsidP="008F3C1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000000"/>
                <w:sz w:val="20"/>
                <w:szCs w:val="20"/>
              </w:rPr>
            </w:pPr>
            <w:r w:rsidRPr="00EC1346">
              <w:rPr>
                <w:rFonts w:asciiTheme="minorHAnsi" w:eastAsia="Times New Roman" w:hAnsiTheme="minorHAnsi"/>
                <w:b w:val="0"/>
                <w:bCs w:val="0"/>
                <w:color w:val="000000"/>
                <w:sz w:val="20"/>
                <w:szCs w:val="20"/>
              </w:rPr>
              <w:t>Премия / Сумма, %</w:t>
            </w:r>
          </w:p>
        </w:tc>
        <w:tc>
          <w:tcPr>
            <w:tcW w:w="1153" w:type="dxa"/>
            <w:noWrap/>
            <w:vAlign w:val="center"/>
            <w:hideMark/>
          </w:tcPr>
          <w:p w14:paraId="2DA1283D" w14:textId="2AF75766" w:rsidR="00965EAA" w:rsidRPr="00EC1346" w:rsidRDefault="00965EAA" w:rsidP="008F3C1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000000"/>
                <w:sz w:val="20"/>
                <w:szCs w:val="20"/>
              </w:rPr>
            </w:pPr>
            <w:r w:rsidRPr="00EC1346">
              <w:rPr>
                <w:rFonts w:asciiTheme="minorHAnsi" w:eastAsia="Times New Roman" w:hAnsiTheme="minorHAnsi"/>
                <w:b w:val="0"/>
                <w:bCs w:val="0"/>
                <w:color w:val="000000"/>
                <w:sz w:val="20"/>
                <w:szCs w:val="20"/>
              </w:rPr>
              <w:t>Сумма / Кол-во, млн. руб.</w:t>
            </w:r>
          </w:p>
        </w:tc>
      </w:tr>
      <w:tr w:rsidR="00965EAA" w:rsidRPr="00EC1346" w14:paraId="7B68B416" w14:textId="77777777" w:rsidTr="00965EA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72" w:type="dxa"/>
            <w:noWrap/>
            <w:hideMark/>
          </w:tcPr>
          <w:p w14:paraId="5916DEF8" w14:textId="4EA1A882" w:rsidR="00965EAA" w:rsidRPr="00EC1346" w:rsidRDefault="00965EAA">
            <w:pPr>
              <w:rPr>
                <w:rFonts w:asciiTheme="minorHAnsi" w:eastAsia="Times New Roman" w:hAnsiTheme="minorHAnsi"/>
                <w:b w:val="0"/>
                <w:bCs w:val="0"/>
                <w:color w:val="000000"/>
                <w:sz w:val="20"/>
                <w:szCs w:val="20"/>
              </w:rPr>
            </w:pPr>
            <w:r w:rsidRPr="00EC1346">
              <w:rPr>
                <w:rFonts w:asciiTheme="minorHAnsi" w:eastAsia="Times New Roman" w:hAnsiTheme="minorHAnsi"/>
                <w:b w:val="0"/>
                <w:color w:val="000000"/>
                <w:sz w:val="20"/>
                <w:szCs w:val="20"/>
              </w:rPr>
              <w:t>Респект*</w:t>
            </w:r>
            <w:r w:rsidRPr="00EC1346">
              <w:rPr>
                <w:rStyle w:val="a7"/>
                <w:rFonts w:asciiTheme="minorHAnsi" w:eastAsia="Times New Roman" w:hAnsiTheme="minorHAnsi"/>
                <w:b w:val="0"/>
                <w:color w:val="000000"/>
                <w:sz w:val="20"/>
                <w:szCs w:val="20"/>
              </w:rPr>
              <w:footnoteReference w:id="10"/>
            </w:r>
          </w:p>
        </w:tc>
        <w:tc>
          <w:tcPr>
            <w:tcW w:w="1202" w:type="dxa"/>
            <w:noWrap/>
            <w:vAlign w:val="center"/>
            <w:hideMark/>
          </w:tcPr>
          <w:p w14:paraId="5D74A955" w14:textId="7EC40A5C"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1 590</w:t>
            </w:r>
          </w:p>
        </w:tc>
        <w:tc>
          <w:tcPr>
            <w:tcW w:w="1203" w:type="dxa"/>
            <w:vAlign w:val="center"/>
          </w:tcPr>
          <w:p w14:paraId="17868D29" w14:textId="257FB227" w:rsidR="00965EAA" w:rsidRPr="00EC1346" w:rsidRDefault="00965EAA" w:rsidP="00965EA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24,4%</w:t>
            </w:r>
          </w:p>
        </w:tc>
        <w:tc>
          <w:tcPr>
            <w:tcW w:w="1203" w:type="dxa"/>
            <w:noWrap/>
            <w:vAlign w:val="center"/>
            <w:hideMark/>
          </w:tcPr>
          <w:p w14:paraId="5F910887" w14:textId="11702D4D"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227 338</w:t>
            </w:r>
          </w:p>
        </w:tc>
        <w:tc>
          <w:tcPr>
            <w:tcW w:w="1203" w:type="dxa"/>
            <w:noWrap/>
            <w:vAlign w:val="center"/>
            <w:hideMark/>
          </w:tcPr>
          <w:p w14:paraId="5A011D66" w14:textId="45EA8EC3"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31</w:t>
            </w:r>
          </w:p>
        </w:tc>
        <w:tc>
          <w:tcPr>
            <w:tcW w:w="1203" w:type="dxa"/>
            <w:noWrap/>
            <w:vAlign w:val="center"/>
            <w:hideMark/>
          </w:tcPr>
          <w:p w14:paraId="77D1C3A5" w14:textId="77777777"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0,7%</w:t>
            </w:r>
          </w:p>
        </w:tc>
        <w:tc>
          <w:tcPr>
            <w:tcW w:w="1153" w:type="dxa"/>
            <w:noWrap/>
            <w:vAlign w:val="center"/>
            <w:hideMark/>
          </w:tcPr>
          <w:p w14:paraId="454B78DE" w14:textId="3757CCB3"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7,2</w:t>
            </w:r>
          </w:p>
        </w:tc>
      </w:tr>
      <w:tr w:rsidR="00965EAA" w:rsidRPr="00EC1346" w14:paraId="42CF784D" w14:textId="77777777" w:rsidTr="00965EAA">
        <w:trPr>
          <w:trHeight w:val="320"/>
        </w:trPr>
        <w:tc>
          <w:tcPr>
            <w:cnfStyle w:val="001000000000" w:firstRow="0" w:lastRow="0" w:firstColumn="1" w:lastColumn="0" w:oddVBand="0" w:evenVBand="0" w:oddHBand="0" w:evenHBand="0" w:firstRowFirstColumn="0" w:firstRowLastColumn="0" w:lastRowFirstColumn="0" w:lastRowLastColumn="0"/>
            <w:tcW w:w="2472" w:type="dxa"/>
            <w:noWrap/>
            <w:hideMark/>
          </w:tcPr>
          <w:p w14:paraId="7AD1AF38" w14:textId="33DD9117" w:rsidR="00965EAA" w:rsidRPr="00EC1346" w:rsidRDefault="00965EAA" w:rsidP="008F3C14">
            <w:pPr>
              <w:rPr>
                <w:rFonts w:asciiTheme="minorHAnsi" w:eastAsia="Times New Roman" w:hAnsiTheme="minorHAnsi"/>
                <w:b w:val="0"/>
                <w:color w:val="000000"/>
                <w:sz w:val="20"/>
                <w:szCs w:val="20"/>
              </w:rPr>
            </w:pPr>
            <w:r w:rsidRPr="00EC1346">
              <w:rPr>
                <w:rFonts w:asciiTheme="minorHAnsi" w:eastAsia="Times New Roman" w:hAnsiTheme="minorHAnsi"/>
                <w:b w:val="0"/>
                <w:color w:val="000000"/>
                <w:sz w:val="20"/>
                <w:szCs w:val="20"/>
              </w:rPr>
              <w:t>ОВС Застройщиков*</w:t>
            </w:r>
          </w:p>
        </w:tc>
        <w:tc>
          <w:tcPr>
            <w:tcW w:w="1202" w:type="dxa"/>
            <w:noWrap/>
            <w:vAlign w:val="center"/>
            <w:hideMark/>
          </w:tcPr>
          <w:p w14:paraId="593BE1AA" w14:textId="524C651E"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719</w:t>
            </w:r>
          </w:p>
        </w:tc>
        <w:tc>
          <w:tcPr>
            <w:tcW w:w="1203" w:type="dxa"/>
            <w:vAlign w:val="center"/>
          </w:tcPr>
          <w:p w14:paraId="404549BA" w14:textId="2EE25B85" w:rsidR="00965EAA" w:rsidRPr="00EC1346" w:rsidRDefault="00965EAA" w:rsidP="00965EA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11,0%</w:t>
            </w:r>
          </w:p>
        </w:tc>
        <w:tc>
          <w:tcPr>
            <w:tcW w:w="1203" w:type="dxa"/>
            <w:noWrap/>
            <w:vAlign w:val="center"/>
            <w:hideMark/>
          </w:tcPr>
          <w:p w14:paraId="694D2D5E" w14:textId="1FE21B7D"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91 283</w:t>
            </w:r>
          </w:p>
        </w:tc>
        <w:tc>
          <w:tcPr>
            <w:tcW w:w="1203" w:type="dxa"/>
            <w:noWrap/>
            <w:vAlign w:val="center"/>
            <w:hideMark/>
          </w:tcPr>
          <w:p w14:paraId="50D25D98" w14:textId="626A8A98"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15</w:t>
            </w:r>
          </w:p>
        </w:tc>
        <w:tc>
          <w:tcPr>
            <w:tcW w:w="1203" w:type="dxa"/>
            <w:noWrap/>
            <w:vAlign w:val="center"/>
            <w:hideMark/>
          </w:tcPr>
          <w:p w14:paraId="315D6005" w14:textId="77777777"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0,8%</w:t>
            </w:r>
          </w:p>
        </w:tc>
        <w:tc>
          <w:tcPr>
            <w:tcW w:w="1153" w:type="dxa"/>
            <w:noWrap/>
            <w:vAlign w:val="center"/>
            <w:hideMark/>
          </w:tcPr>
          <w:p w14:paraId="66396473" w14:textId="278284B0"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6,2</w:t>
            </w:r>
          </w:p>
        </w:tc>
      </w:tr>
      <w:tr w:rsidR="00965EAA" w:rsidRPr="00EC1346" w14:paraId="6B8BFE4B" w14:textId="77777777" w:rsidTr="00965EA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72" w:type="dxa"/>
            <w:noWrap/>
            <w:hideMark/>
          </w:tcPr>
          <w:p w14:paraId="2C470AB9" w14:textId="003CBCE3" w:rsidR="00965EAA" w:rsidRPr="00EC1346" w:rsidRDefault="00965EAA">
            <w:pPr>
              <w:rPr>
                <w:rFonts w:asciiTheme="minorHAnsi" w:eastAsia="Times New Roman" w:hAnsiTheme="minorHAnsi"/>
                <w:b w:val="0"/>
                <w:color w:val="000000"/>
                <w:sz w:val="20"/>
                <w:szCs w:val="20"/>
              </w:rPr>
            </w:pPr>
            <w:r w:rsidRPr="00EC1346">
              <w:rPr>
                <w:rFonts w:asciiTheme="minorHAnsi" w:eastAsia="Times New Roman" w:hAnsiTheme="minorHAnsi"/>
                <w:b w:val="0"/>
                <w:color w:val="000000"/>
                <w:sz w:val="20"/>
                <w:szCs w:val="20"/>
              </w:rPr>
              <w:t>Региональная страховая компания*</w:t>
            </w:r>
          </w:p>
        </w:tc>
        <w:tc>
          <w:tcPr>
            <w:tcW w:w="1202" w:type="dxa"/>
            <w:noWrap/>
            <w:vAlign w:val="center"/>
            <w:hideMark/>
          </w:tcPr>
          <w:p w14:paraId="3C733280" w14:textId="253E9A74"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630</w:t>
            </w:r>
          </w:p>
        </w:tc>
        <w:tc>
          <w:tcPr>
            <w:tcW w:w="1203" w:type="dxa"/>
            <w:vAlign w:val="center"/>
          </w:tcPr>
          <w:p w14:paraId="15B515D5" w14:textId="3CDDDB3D" w:rsidR="00965EAA" w:rsidRPr="00EC1346" w:rsidRDefault="00965EAA" w:rsidP="00965EA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9,7%</w:t>
            </w:r>
          </w:p>
        </w:tc>
        <w:tc>
          <w:tcPr>
            <w:tcW w:w="1203" w:type="dxa"/>
            <w:noWrap/>
            <w:vAlign w:val="center"/>
            <w:hideMark/>
          </w:tcPr>
          <w:p w14:paraId="2A65236E" w14:textId="3D2A2AB4"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45 756</w:t>
            </w:r>
          </w:p>
        </w:tc>
        <w:tc>
          <w:tcPr>
            <w:tcW w:w="1203" w:type="dxa"/>
            <w:noWrap/>
            <w:vAlign w:val="center"/>
            <w:hideMark/>
          </w:tcPr>
          <w:p w14:paraId="050CFF04" w14:textId="1B47E392"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14</w:t>
            </w:r>
          </w:p>
        </w:tc>
        <w:tc>
          <w:tcPr>
            <w:tcW w:w="1203" w:type="dxa"/>
            <w:noWrap/>
            <w:vAlign w:val="center"/>
            <w:hideMark/>
          </w:tcPr>
          <w:p w14:paraId="5E9FFDF0" w14:textId="77777777"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1,4%</w:t>
            </w:r>
          </w:p>
        </w:tc>
        <w:tc>
          <w:tcPr>
            <w:tcW w:w="1153" w:type="dxa"/>
            <w:noWrap/>
            <w:vAlign w:val="center"/>
            <w:hideMark/>
          </w:tcPr>
          <w:p w14:paraId="3ADDD6F3" w14:textId="73FB5542"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3,3</w:t>
            </w:r>
          </w:p>
        </w:tc>
      </w:tr>
      <w:tr w:rsidR="00965EAA" w:rsidRPr="00EC1346" w14:paraId="18FB4E88" w14:textId="77777777" w:rsidTr="00965EAA">
        <w:trPr>
          <w:trHeight w:val="320"/>
        </w:trPr>
        <w:tc>
          <w:tcPr>
            <w:cnfStyle w:val="001000000000" w:firstRow="0" w:lastRow="0" w:firstColumn="1" w:lastColumn="0" w:oddVBand="0" w:evenVBand="0" w:oddHBand="0" w:evenHBand="0" w:firstRowFirstColumn="0" w:firstRowLastColumn="0" w:lastRowFirstColumn="0" w:lastRowLastColumn="0"/>
            <w:tcW w:w="2472" w:type="dxa"/>
            <w:noWrap/>
            <w:hideMark/>
          </w:tcPr>
          <w:p w14:paraId="74A7712A" w14:textId="1889A9D1" w:rsidR="00965EAA" w:rsidRPr="00EC1346" w:rsidRDefault="00965EAA">
            <w:pPr>
              <w:rPr>
                <w:rFonts w:asciiTheme="minorHAnsi" w:eastAsia="Times New Roman" w:hAnsiTheme="minorHAnsi"/>
                <w:b w:val="0"/>
                <w:color w:val="000000"/>
                <w:sz w:val="20"/>
                <w:szCs w:val="20"/>
              </w:rPr>
            </w:pPr>
            <w:r w:rsidRPr="00EC1346">
              <w:rPr>
                <w:rFonts w:asciiTheme="minorHAnsi" w:eastAsia="Times New Roman" w:hAnsiTheme="minorHAnsi"/>
                <w:b w:val="0"/>
                <w:color w:val="000000"/>
                <w:sz w:val="20"/>
                <w:szCs w:val="20"/>
              </w:rPr>
              <w:t>Советская</w:t>
            </w:r>
          </w:p>
        </w:tc>
        <w:tc>
          <w:tcPr>
            <w:tcW w:w="1202" w:type="dxa"/>
            <w:noWrap/>
            <w:vAlign w:val="center"/>
            <w:hideMark/>
          </w:tcPr>
          <w:p w14:paraId="56AD4414" w14:textId="6272BA86"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576</w:t>
            </w:r>
          </w:p>
        </w:tc>
        <w:tc>
          <w:tcPr>
            <w:tcW w:w="1203" w:type="dxa"/>
            <w:vAlign w:val="center"/>
          </w:tcPr>
          <w:p w14:paraId="01E71654" w14:textId="26309428" w:rsidR="00965EAA" w:rsidRPr="00EC1346" w:rsidRDefault="00965EAA" w:rsidP="00965EA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8,8%</w:t>
            </w:r>
          </w:p>
        </w:tc>
        <w:tc>
          <w:tcPr>
            <w:tcW w:w="1203" w:type="dxa"/>
            <w:noWrap/>
            <w:vAlign w:val="center"/>
            <w:hideMark/>
          </w:tcPr>
          <w:p w14:paraId="50199BCA" w14:textId="5F134912"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161 808</w:t>
            </w:r>
          </w:p>
        </w:tc>
        <w:tc>
          <w:tcPr>
            <w:tcW w:w="1203" w:type="dxa"/>
            <w:noWrap/>
            <w:vAlign w:val="center"/>
            <w:hideMark/>
          </w:tcPr>
          <w:p w14:paraId="017A7D23" w14:textId="0691429C"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35</w:t>
            </w:r>
          </w:p>
        </w:tc>
        <w:tc>
          <w:tcPr>
            <w:tcW w:w="1203" w:type="dxa"/>
            <w:noWrap/>
            <w:vAlign w:val="center"/>
            <w:hideMark/>
          </w:tcPr>
          <w:p w14:paraId="531F58A4" w14:textId="77777777"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0,4%</w:t>
            </w:r>
          </w:p>
        </w:tc>
        <w:tc>
          <w:tcPr>
            <w:tcW w:w="1153" w:type="dxa"/>
            <w:noWrap/>
            <w:vAlign w:val="center"/>
            <w:hideMark/>
          </w:tcPr>
          <w:p w14:paraId="74987CDE" w14:textId="7337D8A4"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4,6</w:t>
            </w:r>
          </w:p>
        </w:tc>
      </w:tr>
      <w:tr w:rsidR="00965EAA" w:rsidRPr="00EC1346" w14:paraId="41DCD369" w14:textId="77777777" w:rsidTr="00965EA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72" w:type="dxa"/>
            <w:noWrap/>
            <w:hideMark/>
          </w:tcPr>
          <w:p w14:paraId="7C0070DF" w14:textId="77777777" w:rsidR="00965EAA" w:rsidRPr="00EC1346" w:rsidRDefault="00965EAA">
            <w:pPr>
              <w:rPr>
                <w:rFonts w:asciiTheme="minorHAnsi" w:eastAsia="Times New Roman" w:hAnsiTheme="minorHAnsi"/>
                <w:b w:val="0"/>
                <w:color w:val="000000"/>
                <w:sz w:val="20"/>
                <w:szCs w:val="20"/>
              </w:rPr>
            </w:pPr>
            <w:r w:rsidRPr="00EC1346">
              <w:rPr>
                <w:rFonts w:asciiTheme="minorHAnsi" w:eastAsia="Times New Roman" w:hAnsiTheme="minorHAnsi"/>
                <w:b w:val="0"/>
                <w:color w:val="000000"/>
                <w:sz w:val="20"/>
                <w:szCs w:val="20"/>
              </w:rPr>
              <w:t>МЕСКО</w:t>
            </w:r>
          </w:p>
        </w:tc>
        <w:tc>
          <w:tcPr>
            <w:tcW w:w="1202" w:type="dxa"/>
            <w:noWrap/>
            <w:vAlign w:val="center"/>
            <w:hideMark/>
          </w:tcPr>
          <w:p w14:paraId="37F7276E" w14:textId="643EB179"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457</w:t>
            </w:r>
          </w:p>
        </w:tc>
        <w:tc>
          <w:tcPr>
            <w:tcW w:w="1203" w:type="dxa"/>
            <w:vAlign w:val="center"/>
          </w:tcPr>
          <w:p w14:paraId="369C1BD2" w14:textId="30B08E5C" w:rsidR="00965EAA" w:rsidRPr="00EC1346" w:rsidRDefault="00965EAA" w:rsidP="00965EA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7,0%</w:t>
            </w:r>
          </w:p>
        </w:tc>
        <w:tc>
          <w:tcPr>
            <w:tcW w:w="1203" w:type="dxa"/>
            <w:noWrap/>
            <w:vAlign w:val="center"/>
            <w:hideMark/>
          </w:tcPr>
          <w:p w14:paraId="1FB069B9" w14:textId="19503F61"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42 961</w:t>
            </w:r>
          </w:p>
        </w:tc>
        <w:tc>
          <w:tcPr>
            <w:tcW w:w="1203" w:type="dxa"/>
            <w:noWrap/>
            <w:vAlign w:val="center"/>
            <w:hideMark/>
          </w:tcPr>
          <w:p w14:paraId="4DD4B1FA" w14:textId="5866460E"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17</w:t>
            </w:r>
          </w:p>
        </w:tc>
        <w:tc>
          <w:tcPr>
            <w:tcW w:w="1203" w:type="dxa"/>
            <w:noWrap/>
            <w:vAlign w:val="center"/>
            <w:hideMark/>
          </w:tcPr>
          <w:p w14:paraId="73BCA081" w14:textId="77777777"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1,1%</w:t>
            </w:r>
          </w:p>
        </w:tc>
        <w:tc>
          <w:tcPr>
            <w:tcW w:w="1153" w:type="dxa"/>
            <w:noWrap/>
            <w:vAlign w:val="center"/>
            <w:hideMark/>
          </w:tcPr>
          <w:p w14:paraId="26666927" w14:textId="4C234EA8"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2,6</w:t>
            </w:r>
          </w:p>
        </w:tc>
      </w:tr>
      <w:tr w:rsidR="00965EAA" w:rsidRPr="00EC1346" w14:paraId="27770243" w14:textId="77777777" w:rsidTr="00965EAA">
        <w:trPr>
          <w:trHeight w:val="320"/>
        </w:trPr>
        <w:tc>
          <w:tcPr>
            <w:cnfStyle w:val="001000000000" w:firstRow="0" w:lastRow="0" w:firstColumn="1" w:lastColumn="0" w:oddVBand="0" w:evenVBand="0" w:oddHBand="0" w:evenHBand="0" w:firstRowFirstColumn="0" w:firstRowLastColumn="0" w:lastRowFirstColumn="0" w:lastRowLastColumn="0"/>
            <w:tcW w:w="2472" w:type="dxa"/>
            <w:noWrap/>
            <w:hideMark/>
          </w:tcPr>
          <w:p w14:paraId="4FA73F9B" w14:textId="55991A32" w:rsidR="00965EAA" w:rsidRPr="00EC1346" w:rsidRDefault="00965EAA">
            <w:pPr>
              <w:rPr>
                <w:rFonts w:asciiTheme="minorHAnsi" w:eastAsia="Times New Roman" w:hAnsiTheme="minorHAnsi"/>
                <w:b w:val="0"/>
                <w:color w:val="000000"/>
                <w:sz w:val="20"/>
                <w:szCs w:val="20"/>
              </w:rPr>
            </w:pPr>
            <w:r w:rsidRPr="00EC1346">
              <w:rPr>
                <w:rFonts w:asciiTheme="minorHAnsi" w:eastAsia="Times New Roman" w:hAnsiTheme="minorHAnsi"/>
                <w:b w:val="0"/>
                <w:color w:val="000000"/>
                <w:sz w:val="20"/>
                <w:szCs w:val="20"/>
              </w:rPr>
              <w:t>Центральное СО</w:t>
            </w:r>
          </w:p>
        </w:tc>
        <w:tc>
          <w:tcPr>
            <w:tcW w:w="1202" w:type="dxa"/>
            <w:noWrap/>
            <w:vAlign w:val="center"/>
            <w:hideMark/>
          </w:tcPr>
          <w:p w14:paraId="5E3FFCB1" w14:textId="27A68362"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407</w:t>
            </w:r>
          </w:p>
        </w:tc>
        <w:tc>
          <w:tcPr>
            <w:tcW w:w="1203" w:type="dxa"/>
            <w:vAlign w:val="center"/>
          </w:tcPr>
          <w:p w14:paraId="5381848A" w14:textId="0052325F" w:rsidR="00965EAA" w:rsidRPr="00EC1346" w:rsidRDefault="00965EAA" w:rsidP="00965EA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6,2%</w:t>
            </w:r>
          </w:p>
        </w:tc>
        <w:tc>
          <w:tcPr>
            <w:tcW w:w="1203" w:type="dxa"/>
            <w:noWrap/>
            <w:vAlign w:val="center"/>
            <w:hideMark/>
          </w:tcPr>
          <w:p w14:paraId="57CDF4E8" w14:textId="1DE41EE2"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50 046</w:t>
            </w:r>
          </w:p>
        </w:tc>
        <w:tc>
          <w:tcPr>
            <w:tcW w:w="1203" w:type="dxa"/>
            <w:noWrap/>
            <w:vAlign w:val="center"/>
            <w:hideMark/>
          </w:tcPr>
          <w:p w14:paraId="1339439F" w14:textId="139B58C6"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4</w:t>
            </w:r>
          </w:p>
        </w:tc>
        <w:tc>
          <w:tcPr>
            <w:tcW w:w="1203" w:type="dxa"/>
            <w:noWrap/>
            <w:vAlign w:val="center"/>
            <w:hideMark/>
          </w:tcPr>
          <w:p w14:paraId="16E3EE5A" w14:textId="77777777"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0,8%</w:t>
            </w:r>
          </w:p>
        </w:tc>
        <w:tc>
          <w:tcPr>
            <w:tcW w:w="1153" w:type="dxa"/>
            <w:noWrap/>
            <w:vAlign w:val="center"/>
            <w:hideMark/>
          </w:tcPr>
          <w:p w14:paraId="413BA007" w14:textId="014B99CB"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12,4</w:t>
            </w:r>
          </w:p>
        </w:tc>
      </w:tr>
      <w:tr w:rsidR="00965EAA" w:rsidRPr="00EC1346" w14:paraId="1450AA9F" w14:textId="77777777" w:rsidTr="00965EA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72" w:type="dxa"/>
            <w:noWrap/>
            <w:hideMark/>
          </w:tcPr>
          <w:p w14:paraId="1B9E9664" w14:textId="53579FFF" w:rsidR="00965EAA" w:rsidRPr="00EC1346" w:rsidRDefault="00965EAA">
            <w:pPr>
              <w:rPr>
                <w:rFonts w:asciiTheme="minorHAnsi" w:eastAsia="Times New Roman" w:hAnsiTheme="minorHAnsi"/>
                <w:b w:val="0"/>
                <w:color w:val="000000"/>
                <w:sz w:val="20"/>
                <w:szCs w:val="20"/>
              </w:rPr>
            </w:pPr>
            <w:proofErr w:type="spellStart"/>
            <w:r w:rsidRPr="00EC1346">
              <w:rPr>
                <w:rFonts w:asciiTheme="minorHAnsi" w:eastAsia="Times New Roman" w:hAnsiTheme="minorHAnsi"/>
                <w:b w:val="0"/>
                <w:color w:val="000000"/>
                <w:sz w:val="20"/>
                <w:szCs w:val="20"/>
              </w:rPr>
              <w:t>Балт</w:t>
            </w:r>
            <w:proofErr w:type="spellEnd"/>
            <w:r w:rsidRPr="00EC1346">
              <w:rPr>
                <w:rFonts w:asciiTheme="minorHAnsi" w:eastAsia="Times New Roman" w:hAnsiTheme="minorHAnsi"/>
                <w:b w:val="0"/>
                <w:color w:val="000000"/>
                <w:sz w:val="20"/>
                <w:szCs w:val="20"/>
              </w:rPr>
              <w:t>-страхование</w:t>
            </w:r>
          </w:p>
        </w:tc>
        <w:tc>
          <w:tcPr>
            <w:tcW w:w="1202" w:type="dxa"/>
            <w:noWrap/>
            <w:vAlign w:val="center"/>
            <w:hideMark/>
          </w:tcPr>
          <w:p w14:paraId="2DFC29D6" w14:textId="5A762E37"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396</w:t>
            </w:r>
          </w:p>
        </w:tc>
        <w:tc>
          <w:tcPr>
            <w:tcW w:w="1203" w:type="dxa"/>
            <w:vAlign w:val="center"/>
          </w:tcPr>
          <w:p w14:paraId="1CC5432A" w14:textId="6C631CE8" w:rsidR="00965EAA" w:rsidRPr="00EC1346" w:rsidRDefault="00965EAA" w:rsidP="00965EA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6,1%</w:t>
            </w:r>
          </w:p>
        </w:tc>
        <w:tc>
          <w:tcPr>
            <w:tcW w:w="1203" w:type="dxa"/>
            <w:noWrap/>
            <w:vAlign w:val="center"/>
            <w:hideMark/>
          </w:tcPr>
          <w:p w14:paraId="3DDDB05D" w14:textId="2AC68411"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78 149</w:t>
            </w:r>
          </w:p>
        </w:tc>
        <w:tc>
          <w:tcPr>
            <w:tcW w:w="1203" w:type="dxa"/>
            <w:noWrap/>
            <w:vAlign w:val="center"/>
            <w:hideMark/>
          </w:tcPr>
          <w:p w14:paraId="7CC3AD68" w14:textId="2083B8D0"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2</w:t>
            </w:r>
          </w:p>
        </w:tc>
        <w:tc>
          <w:tcPr>
            <w:tcW w:w="1203" w:type="dxa"/>
            <w:noWrap/>
            <w:vAlign w:val="center"/>
            <w:hideMark/>
          </w:tcPr>
          <w:p w14:paraId="79E075E0" w14:textId="77777777"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0,5%</w:t>
            </w:r>
          </w:p>
        </w:tc>
        <w:tc>
          <w:tcPr>
            <w:tcW w:w="1153" w:type="dxa"/>
            <w:noWrap/>
            <w:vAlign w:val="center"/>
            <w:hideMark/>
          </w:tcPr>
          <w:p w14:paraId="3316FF66" w14:textId="0F413F6F"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31,4</w:t>
            </w:r>
          </w:p>
        </w:tc>
      </w:tr>
      <w:tr w:rsidR="00965EAA" w:rsidRPr="00EC1346" w14:paraId="5D7BEB6B" w14:textId="77777777" w:rsidTr="00965EAA">
        <w:trPr>
          <w:trHeight w:val="320"/>
        </w:trPr>
        <w:tc>
          <w:tcPr>
            <w:cnfStyle w:val="001000000000" w:firstRow="0" w:lastRow="0" w:firstColumn="1" w:lastColumn="0" w:oddVBand="0" w:evenVBand="0" w:oddHBand="0" w:evenHBand="0" w:firstRowFirstColumn="0" w:firstRowLastColumn="0" w:lastRowFirstColumn="0" w:lastRowLastColumn="0"/>
            <w:tcW w:w="2472" w:type="dxa"/>
            <w:noWrap/>
            <w:hideMark/>
          </w:tcPr>
          <w:p w14:paraId="75AE62EF" w14:textId="0BAB0ACD" w:rsidR="00965EAA" w:rsidRPr="00EC1346" w:rsidRDefault="00965EAA">
            <w:pPr>
              <w:rPr>
                <w:rFonts w:asciiTheme="minorHAnsi" w:eastAsia="Times New Roman" w:hAnsiTheme="minorHAnsi"/>
                <w:b w:val="0"/>
                <w:color w:val="000000"/>
                <w:sz w:val="20"/>
                <w:szCs w:val="20"/>
              </w:rPr>
            </w:pPr>
            <w:r w:rsidRPr="00EC1346">
              <w:rPr>
                <w:rFonts w:asciiTheme="minorHAnsi" w:eastAsia="Times New Roman" w:hAnsiTheme="minorHAnsi"/>
                <w:b w:val="0"/>
                <w:color w:val="000000"/>
                <w:sz w:val="20"/>
                <w:szCs w:val="20"/>
              </w:rPr>
              <w:t>ИСК Евро-полис</w:t>
            </w:r>
          </w:p>
        </w:tc>
        <w:tc>
          <w:tcPr>
            <w:tcW w:w="1202" w:type="dxa"/>
            <w:noWrap/>
            <w:vAlign w:val="center"/>
            <w:hideMark/>
          </w:tcPr>
          <w:p w14:paraId="3E166E79" w14:textId="748B3506"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208</w:t>
            </w:r>
          </w:p>
        </w:tc>
        <w:tc>
          <w:tcPr>
            <w:tcW w:w="1203" w:type="dxa"/>
            <w:vAlign w:val="center"/>
          </w:tcPr>
          <w:p w14:paraId="7B55055C" w14:textId="3158EB8A" w:rsidR="00965EAA" w:rsidRPr="00EC1346" w:rsidRDefault="00965EAA" w:rsidP="00965EA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3,2%</w:t>
            </w:r>
          </w:p>
        </w:tc>
        <w:tc>
          <w:tcPr>
            <w:tcW w:w="1203" w:type="dxa"/>
            <w:noWrap/>
            <w:vAlign w:val="center"/>
            <w:hideMark/>
          </w:tcPr>
          <w:p w14:paraId="7D98F756" w14:textId="56AE6491"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36 751</w:t>
            </w:r>
          </w:p>
        </w:tc>
        <w:tc>
          <w:tcPr>
            <w:tcW w:w="1203" w:type="dxa"/>
            <w:noWrap/>
            <w:vAlign w:val="center"/>
            <w:hideMark/>
          </w:tcPr>
          <w:p w14:paraId="7055A735" w14:textId="40605857"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10</w:t>
            </w:r>
          </w:p>
        </w:tc>
        <w:tc>
          <w:tcPr>
            <w:tcW w:w="1203" w:type="dxa"/>
            <w:noWrap/>
            <w:vAlign w:val="center"/>
            <w:hideMark/>
          </w:tcPr>
          <w:p w14:paraId="20FC9DF5" w14:textId="77777777"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0,6%</w:t>
            </w:r>
          </w:p>
        </w:tc>
        <w:tc>
          <w:tcPr>
            <w:tcW w:w="1153" w:type="dxa"/>
            <w:noWrap/>
            <w:vAlign w:val="center"/>
            <w:hideMark/>
          </w:tcPr>
          <w:p w14:paraId="164483AB" w14:textId="203631B1"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3,8</w:t>
            </w:r>
          </w:p>
        </w:tc>
      </w:tr>
      <w:tr w:rsidR="00965EAA" w:rsidRPr="00EC1346" w14:paraId="4CF86150" w14:textId="77777777" w:rsidTr="00965EA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72" w:type="dxa"/>
            <w:noWrap/>
            <w:hideMark/>
          </w:tcPr>
          <w:p w14:paraId="76035FD4" w14:textId="1FB53FF5" w:rsidR="00965EAA" w:rsidRPr="00EC1346" w:rsidRDefault="00965EAA">
            <w:pPr>
              <w:rPr>
                <w:rFonts w:asciiTheme="minorHAnsi" w:eastAsia="Times New Roman" w:hAnsiTheme="minorHAnsi"/>
                <w:b w:val="0"/>
                <w:color w:val="000000"/>
                <w:sz w:val="20"/>
                <w:szCs w:val="20"/>
              </w:rPr>
            </w:pPr>
            <w:r w:rsidRPr="00EC1346">
              <w:rPr>
                <w:rFonts w:asciiTheme="minorHAnsi" w:eastAsia="Times New Roman" w:hAnsiTheme="minorHAnsi"/>
                <w:b w:val="0"/>
                <w:color w:val="000000"/>
                <w:sz w:val="20"/>
                <w:szCs w:val="20"/>
              </w:rPr>
              <w:t>Европа</w:t>
            </w:r>
          </w:p>
        </w:tc>
        <w:tc>
          <w:tcPr>
            <w:tcW w:w="1202" w:type="dxa"/>
            <w:noWrap/>
            <w:vAlign w:val="center"/>
            <w:hideMark/>
          </w:tcPr>
          <w:p w14:paraId="7A8040CC" w14:textId="28883BB9"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161</w:t>
            </w:r>
          </w:p>
        </w:tc>
        <w:tc>
          <w:tcPr>
            <w:tcW w:w="1203" w:type="dxa"/>
            <w:vAlign w:val="center"/>
          </w:tcPr>
          <w:p w14:paraId="4189D07F" w14:textId="3B50EDB7" w:rsidR="00965EAA" w:rsidRPr="00EC1346" w:rsidRDefault="00965EAA" w:rsidP="00965EA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2,5%</w:t>
            </w:r>
          </w:p>
        </w:tc>
        <w:tc>
          <w:tcPr>
            <w:tcW w:w="1203" w:type="dxa"/>
            <w:noWrap/>
            <w:vAlign w:val="center"/>
            <w:hideMark/>
          </w:tcPr>
          <w:p w14:paraId="2542CAD2" w14:textId="07BB8FD7"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66 531</w:t>
            </w:r>
          </w:p>
        </w:tc>
        <w:tc>
          <w:tcPr>
            <w:tcW w:w="1203" w:type="dxa"/>
            <w:noWrap/>
            <w:vAlign w:val="center"/>
            <w:hideMark/>
          </w:tcPr>
          <w:p w14:paraId="0E6BA5BF" w14:textId="622C5324"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19</w:t>
            </w:r>
          </w:p>
        </w:tc>
        <w:tc>
          <w:tcPr>
            <w:tcW w:w="1203" w:type="dxa"/>
            <w:noWrap/>
            <w:vAlign w:val="center"/>
            <w:hideMark/>
          </w:tcPr>
          <w:p w14:paraId="52C2407D" w14:textId="77777777"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0,2%</w:t>
            </w:r>
          </w:p>
        </w:tc>
        <w:tc>
          <w:tcPr>
            <w:tcW w:w="1153" w:type="dxa"/>
            <w:noWrap/>
            <w:vAlign w:val="center"/>
            <w:hideMark/>
          </w:tcPr>
          <w:p w14:paraId="0130ECC8" w14:textId="64715380"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3,5</w:t>
            </w:r>
          </w:p>
        </w:tc>
      </w:tr>
      <w:tr w:rsidR="00965EAA" w:rsidRPr="00EC1346" w14:paraId="729F923F" w14:textId="77777777" w:rsidTr="00965EAA">
        <w:trPr>
          <w:trHeight w:val="320"/>
        </w:trPr>
        <w:tc>
          <w:tcPr>
            <w:cnfStyle w:val="001000000000" w:firstRow="0" w:lastRow="0" w:firstColumn="1" w:lastColumn="0" w:oddVBand="0" w:evenVBand="0" w:oddHBand="0" w:evenHBand="0" w:firstRowFirstColumn="0" w:firstRowLastColumn="0" w:lastRowFirstColumn="0" w:lastRowLastColumn="0"/>
            <w:tcW w:w="2472" w:type="dxa"/>
            <w:noWrap/>
            <w:hideMark/>
          </w:tcPr>
          <w:p w14:paraId="6FBA1DCA" w14:textId="77777777" w:rsidR="00965EAA" w:rsidRPr="00EC1346" w:rsidRDefault="00965EAA">
            <w:pPr>
              <w:rPr>
                <w:rFonts w:asciiTheme="minorHAnsi" w:eastAsia="Times New Roman" w:hAnsiTheme="minorHAnsi"/>
                <w:b w:val="0"/>
                <w:color w:val="000000"/>
                <w:sz w:val="20"/>
                <w:szCs w:val="20"/>
              </w:rPr>
            </w:pPr>
            <w:r w:rsidRPr="00EC1346">
              <w:rPr>
                <w:rFonts w:asciiTheme="minorHAnsi" w:eastAsia="Times New Roman" w:hAnsiTheme="minorHAnsi"/>
                <w:b w:val="0"/>
                <w:color w:val="000000"/>
                <w:sz w:val="20"/>
                <w:szCs w:val="20"/>
              </w:rPr>
              <w:t>Прочие</w:t>
            </w:r>
          </w:p>
        </w:tc>
        <w:tc>
          <w:tcPr>
            <w:tcW w:w="1202" w:type="dxa"/>
            <w:noWrap/>
            <w:vAlign w:val="center"/>
            <w:hideMark/>
          </w:tcPr>
          <w:p w14:paraId="5215D0FB" w14:textId="30CB2D9E"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1 366</w:t>
            </w:r>
          </w:p>
        </w:tc>
        <w:tc>
          <w:tcPr>
            <w:tcW w:w="1203" w:type="dxa"/>
            <w:vAlign w:val="center"/>
          </w:tcPr>
          <w:p w14:paraId="12DD8D6C" w14:textId="2ABC647E" w:rsidR="00965EAA" w:rsidRPr="00EC1346" w:rsidRDefault="00965EAA" w:rsidP="00965EA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21,0%</w:t>
            </w:r>
          </w:p>
        </w:tc>
        <w:tc>
          <w:tcPr>
            <w:tcW w:w="1203" w:type="dxa"/>
            <w:noWrap/>
            <w:vAlign w:val="center"/>
            <w:hideMark/>
          </w:tcPr>
          <w:p w14:paraId="29FF1E1A" w14:textId="5F10641D"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255 412</w:t>
            </w:r>
          </w:p>
        </w:tc>
        <w:tc>
          <w:tcPr>
            <w:tcW w:w="1203" w:type="dxa"/>
            <w:noWrap/>
            <w:vAlign w:val="center"/>
            <w:hideMark/>
          </w:tcPr>
          <w:p w14:paraId="3B329B05" w14:textId="2B8159C5"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44</w:t>
            </w:r>
          </w:p>
        </w:tc>
        <w:tc>
          <w:tcPr>
            <w:tcW w:w="1203" w:type="dxa"/>
            <w:noWrap/>
            <w:vAlign w:val="center"/>
            <w:hideMark/>
          </w:tcPr>
          <w:p w14:paraId="1F71E4E9" w14:textId="77777777"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0,5%</w:t>
            </w:r>
          </w:p>
        </w:tc>
        <w:tc>
          <w:tcPr>
            <w:tcW w:w="1153" w:type="dxa"/>
            <w:noWrap/>
            <w:vAlign w:val="center"/>
            <w:hideMark/>
          </w:tcPr>
          <w:p w14:paraId="6F678D2B" w14:textId="4F8EA618" w:rsidR="00965EAA" w:rsidRPr="00EC1346" w:rsidRDefault="00965EAA" w:rsidP="008F3C1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5,7</w:t>
            </w:r>
          </w:p>
        </w:tc>
      </w:tr>
      <w:tr w:rsidR="00965EAA" w:rsidRPr="00EC1346" w14:paraId="5C98A94F" w14:textId="77777777" w:rsidTr="00965EA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72" w:type="dxa"/>
            <w:noWrap/>
            <w:hideMark/>
          </w:tcPr>
          <w:p w14:paraId="6EBA5CD1" w14:textId="77777777" w:rsidR="00965EAA" w:rsidRPr="00EC1346" w:rsidRDefault="00965EAA">
            <w:pPr>
              <w:rPr>
                <w:rFonts w:asciiTheme="minorHAnsi" w:eastAsia="Times New Roman" w:hAnsiTheme="minorHAnsi"/>
                <w:color w:val="000000"/>
                <w:sz w:val="20"/>
                <w:szCs w:val="20"/>
              </w:rPr>
            </w:pPr>
            <w:r w:rsidRPr="00EC1346">
              <w:rPr>
                <w:rFonts w:asciiTheme="minorHAnsi" w:eastAsia="Times New Roman" w:hAnsiTheme="minorHAnsi"/>
                <w:bCs w:val="0"/>
                <w:color w:val="000000"/>
                <w:sz w:val="20"/>
                <w:szCs w:val="20"/>
              </w:rPr>
              <w:t>Итого</w:t>
            </w:r>
          </w:p>
        </w:tc>
        <w:tc>
          <w:tcPr>
            <w:tcW w:w="1202" w:type="dxa"/>
            <w:noWrap/>
            <w:vAlign w:val="center"/>
            <w:hideMark/>
          </w:tcPr>
          <w:p w14:paraId="7E87A759" w14:textId="034277DE"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rPr>
            </w:pPr>
            <w:r w:rsidRPr="00EC1346">
              <w:rPr>
                <w:rFonts w:asciiTheme="minorHAnsi" w:eastAsia="Times New Roman" w:hAnsiTheme="minorHAnsi"/>
                <w:b/>
                <w:bCs/>
                <w:color w:val="000000"/>
                <w:sz w:val="20"/>
                <w:szCs w:val="20"/>
              </w:rPr>
              <w:t>6 508</w:t>
            </w:r>
          </w:p>
        </w:tc>
        <w:tc>
          <w:tcPr>
            <w:tcW w:w="1203" w:type="dxa"/>
            <w:vAlign w:val="center"/>
          </w:tcPr>
          <w:p w14:paraId="5172CFF8" w14:textId="1867F58A" w:rsidR="00965EAA" w:rsidRPr="00EC1346" w:rsidRDefault="00965EAA" w:rsidP="00965EA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C1346">
              <w:rPr>
                <w:rFonts w:asciiTheme="minorHAnsi" w:eastAsia="Times New Roman" w:hAnsiTheme="minorHAnsi"/>
                <w:color w:val="000000"/>
                <w:sz w:val="20"/>
                <w:szCs w:val="20"/>
              </w:rPr>
              <w:t>100,0%</w:t>
            </w:r>
          </w:p>
        </w:tc>
        <w:tc>
          <w:tcPr>
            <w:tcW w:w="1203" w:type="dxa"/>
            <w:noWrap/>
            <w:vAlign w:val="center"/>
            <w:hideMark/>
          </w:tcPr>
          <w:p w14:paraId="352BF10D" w14:textId="58871664"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rPr>
            </w:pPr>
            <w:r w:rsidRPr="00EC1346">
              <w:rPr>
                <w:rFonts w:asciiTheme="minorHAnsi" w:eastAsia="Times New Roman" w:hAnsiTheme="minorHAnsi"/>
                <w:b/>
                <w:bCs/>
                <w:color w:val="000000"/>
                <w:sz w:val="20"/>
                <w:szCs w:val="20"/>
              </w:rPr>
              <w:t>1 056 035</w:t>
            </w:r>
          </w:p>
        </w:tc>
        <w:tc>
          <w:tcPr>
            <w:tcW w:w="1203" w:type="dxa"/>
            <w:noWrap/>
            <w:vAlign w:val="center"/>
            <w:hideMark/>
          </w:tcPr>
          <w:p w14:paraId="71CB52F7" w14:textId="11216414"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rPr>
            </w:pPr>
            <w:r w:rsidRPr="00EC1346">
              <w:rPr>
                <w:rFonts w:asciiTheme="minorHAnsi" w:eastAsia="Times New Roman" w:hAnsiTheme="minorHAnsi"/>
                <w:b/>
                <w:bCs/>
                <w:color w:val="000000"/>
                <w:sz w:val="20"/>
                <w:szCs w:val="20"/>
              </w:rPr>
              <w:t>191</w:t>
            </w:r>
          </w:p>
        </w:tc>
        <w:tc>
          <w:tcPr>
            <w:tcW w:w="1203" w:type="dxa"/>
            <w:noWrap/>
            <w:vAlign w:val="center"/>
            <w:hideMark/>
          </w:tcPr>
          <w:p w14:paraId="203AC65E" w14:textId="77777777"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EC1346">
              <w:rPr>
                <w:rFonts w:asciiTheme="minorHAnsi" w:eastAsia="Times New Roman" w:hAnsiTheme="minorHAnsi"/>
                <w:b/>
                <w:color w:val="000000"/>
                <w:sz w:val="20"/>
                <w:szCs w:val="20"/>
              </w:rPr>
              <w:t>0,6%</w:t>
            </w:r>
          </w:p>
        </w:tc>
        <w:tc>
          <w:tcPr>
            <w:tcW w:w="1153" w:type="dxa"/>
            <w:noWrap/>
            <w:vAlign w:val="center"/>
            <w:hideMark/>
          </w:tcPr>
          <w:p w14:paraId="09D8C8B6" w14:textId="7B1ACFC5" w:rsidR="00965EAA" w:rsidRPr="00EC1346" w:rsidRDefault="00965EAA" w:rsidP="008F3C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EC1346">
              <w:rPr>
                <w:rFonts w:asciiTheme="minorHAnsi" w:eastAsia="Times New Roman" w:hAnsiTheme="minorHAnsi"/>
                <w:b/>
                <w:color w:val="000000"/>
                <w:sz w:val="20"/>
                <w:szCs w:val="20"/>
              </w:rPr>
              <w:t>5,5</w:t>
            </w:r>
          </w:p>
        </w:tc>
      </w:tr>
    </w:tbl>
    <w:p w14:paraId="4C912255" w14:textId="0DDD571C" w:rsidR="00965EAA" w:rsidRPr="00EC1346" w:rsidRDefault="008F3C14" w:rsidP="0033562D">
      <w:pPr>
        <w:spacing w:after="120" w:line="360" w:lineRule="auto"/>
        <w:jc w:val="right"/>
        <w:rPr>
          <w:rFonts w:asciiTheme="minorHAnsi" w:hAnsiTheme="minorHAnsi"/>
          <w:lang w:val="en-US"/>
        </w:rPr>
      </w:pPr>
      <w:r w:rsidRPr="00EC1346">
        <w:rPr>
          <w:rFonts w:asciiTheme="minorHAnsi" w:hAnsiTheme="minorHAnsi"/>
          <w:i/>
          <w:sz w:val="20"/>
          <w:szCs w:val="20"/>
        </w:rPr>
        <w:t>Источник: ЦБ РФ</w:t>
      </w:r>
    </w:p>
    <w:p w14:paraId="40A6E6DB" w14:textId="20F8101F" w:rsidR="00DE39EC" w:rsidRPr="00EC1346" w:rsidRDefault="00DE39EC" w:rsidP="00965EAA">
      <w:pPr>
        <w:spacing w:after="120" w:line="360" w:lineRule="auto"/>
        <w:jc w:val="both"/>
        <w:rPr>
          <w:rFonts w:asciiTheme="minorHAnsi" w:hAnsiTheme="minorHAnsi"/>
          <w:i/>
        </w:rPr>
      </w:pPr>
      <w:proofErr w:type="spellStart"/>
      <w:r w:rsidRPr="00EC1346">
        <w:rPr>
          <w:rFonts w:asciiTheme="minorHAnsi" w:hAnsiTheme="minorHAnsi"/>
          <w:i/>
        </w:rPr>
        <w:t>Справочно</w:t>
      </w:r>
      <w:proofErr w:type="spellEnd"/>
      <w:r w:rsidRPr="00EC1346">
        <w:rPr>
          <w:rFonts w:asciiTheme="minorHAnsi" w:hAnsiTheme="minorHAnsi"/>
          <w:i/>
        </w:rPr>
        <w:t>: по статистике ЦБ РФ по статье "гражданская ответственность за неисполнение или ненадлежащее исполнение обязательств по договору" за первое полугодие 2016 года было собрано более 7,6 млрд. рублей.</w:t>
      </w:r>
    </w:p>
    <w:p w14:paraId="26B0B059" w14:textId="5BE19091" w:rsidR="00965EAA" w:rsidRPr="00EC1346" w:rsidRDefault="00965EAA" w:rsidP="00965EAA">
      <w:pPr>
        <w:spacing w:after="120" w:line="360" w:lineRule="auto"/>
        <w:jc w:val="both"/>
        <w:rPr>
          <w:rFonts w:asciiTheme="minorHAnsi" w:hAnsiTheme="minorHAnsi"/>
        </w:rPr>
      </w:pPr>
      <w:r w:rsidRPr="00EC1346">
        <w:rPr>
          <w:rFonts w:asciiTheme="minorHAnsi" w:hAnsiTheme="minorHAnsi"/>
        </w:rPr>
        <w:t xml:space="preserve">Интересным представляется тот факт, что среди </w:t>
      </w:r>
      <w:r w:rsidR="00A15B2C" w:rsidRPr="00EC1346">
        <w:rPr>
          <w:rFonts w:asciiTheme="minorHAnsi" w:hAnsiTheme="minorHAnsi"/>
        </w:rPr>
        <w:t>топ-10 в этом сегменте</w:t>
      </w:r>
      <w:r w:rsidRPr="00EC1346">
        <w:rPr>
          <w:rFonts w:asciiTheme="minorHAnsi" w:hAnsiTheme="minorHAnsi"/>
        </w:rPr>
        <w:t xml:space="preserve"> отсутствуют компании из топ-10 общего рынка страховых услуг. В соответствии с </w:t>
      </w:r>
      <w:proofErr w:type="gramStart"/>
      <w:r w:rsidRPr="00EC1346">
        <w:rPr>
          <w:rFonts w:asciiTheme="minorHAnsi" w:hAnsiTheme="minorHAnsi"/>
        </w:rPr>
        <w:t>комментариями лидеров рынка</w:t>
      </w:r>
      <w:proofErr w:type="gramEnd"/>
      <w:r w:rsidRPr="00EC1346">
        <w:rPr>
          <w:rFonts w:asciiTheme="minorHAnsi" w:hAnsiTheme="minorHAnsi"/>
        </w:rPr>
        <w:t xml:space="preserve"> страхования на момент вступления нормы об обязательном страхов</w:t>
      </w:r>
      <w:r w:rsidR="00557D58" w:rsidRPr="00EC1346">
        <w:rPr>
          <w:rFonts w:asciiTheme="minorHAnsi" w:hAnsiTheme="minorHAnsi"/>
        </w:rPr>
        <w:t xml:space="preserve">ании </w:t>
      </w:r>
      <w:r w:rsidR="00557D58" w:rsidRPr="00EC1346">
        <w:rPr>
          <w:rFonts w:asciiTheme="minorHAnsi" w:hAnsiTheme="minorHAnsi"/>
        </w:rPr>
        <w:lastRenderedPageBreak/>
        <w:t>ответственности застройщиков</w:t>
      </w:r>
      <w:r w:rsidRPr="00EC1346">
        <w:rPr>
          <w:rFonts w:asciiTheme="minorHAnsi" w:hAnsiTheme="minorHAnsi"/>
        </w:rPr>
        <w:t xml:space="preserve"> в 2014 г., основными препятствиями для выхода на этот рынок были</w:t>
      </w:r>
      <w:r w:rsidRPr="00EC1346">
        <w:rPr>
          <w:rStyle w:val="a7"/>
          <w:rFonts w:asciiTheme="minorHAnsi" w:hAnsiTheme="minorHAnsi"/>
        </w:rPr>
        <w:footnoteReference w:id="11"/>
      </w:r>
      <w:r w:rsidRPr="00EC1346">
        <w:rPr>
          <w:rFonts w:asciiTheme="minorHAnsi" w:hAnsiTheme="minorHAnsi"/>
        </w:rPr>
        <w:t>:</w:t>
      </w:r>
    </w:p>
    <w:p w14:paraId="1C8093DA" w14:textId="6A7CCE02" w:rsidR="00C50F61" w:rsidRPr="00EC1346" w:rsidRDefault="00C50F61" w:rsidP="00965EAA">
      <w:pPr>
        <w:pStyle w:val="a3"/>
        <w:numPr>
          <w:ilvl w:val="0"/>
          <w:numId w:val="10"/>
        </w:numPr>
        <w:spacing w:after="120" w:line="360" w:lineRule="auto"/>
        <w:jc w:val="both"/>
        <w:rPr>
          <w:sz w:val="24"/>
          <w:szCs w:val="24"/>
        </w:rPr>
      </w:pPr>
      <w:r w:rsidRPr="00EC1346">
        <w:rPr>
          <w:sz w:val="24"/>
          <w:szCs w:val="24"/>
        </w:rPr>
        <w:t>Отсутствие возможности субр</w:t>
      </w:r>
      <w:r w:rsidR="00A15B2C" w:rsidRPr="00EC1346">
        <w:rPr>
          <w:sz w:val="24"/>
          <w:szCs w:val="24"/>
        </w:rPr>
        <w:t>огации в отношении застройщиков-</w:t>
      </w:r>
      <w:r w:rsidRPr="00EC1346">
        <w:rPr>
          <w:sz w:val="24"/>
          <w:szCs w:val="24"/>
        </w:rPr>
        <w:t>банкротов. При наступлении страхового случая, страховщик обязан выплатить убытки дольщикам, но не может получить права на объекты застройщика, так как предметом договора является гражданская ответственность;</w:t>
      </w:r>
    </w:p>
    <w:p w14:paraId="1DDA098C" w14:textId="4423E713" w:rsidR="00965EAA" w:rsidRPr="00EC1346" w:rsidRDefault="00C50F61" w:rsidP="00965EAA">
      <w:pPr>
        <w:pStyle w:val="a3"/>
        <w:numPr>
          <w:ilvl w:val="0"/>
          <w:numId w:val="10"/>
        </w:numPr>
        <w:spacing w:after="120" w:line="360" w:lineRule="auto"/>
        <w:jc w:val="both"/>
        <w:rPr>
          <w:sz w:val="24"/>
          <w:szCs w:val="24"/>
        </w:rPr>
      </w:pPr>
      <w:r w:rsidRPr="00EC1346">
        <w:rPr>
          <w:sz w:val="24"/>
          <w:szCs w:val="24"/>
        </w:rPr>
        <w:t>Неразвитость</w:t>
      </w:r>
      <w:r w:rsidR="00965EAA" w:rsidRPr="00EC1346">
        <w:rPr>
          <w:sz w:val="24"/>
          <w:szCs w:val="24"/>
        </w:rPr>
        <w:t xml:space="preserve"> рынка перестрахования для соответствующих рисков;</w:t>
      </w:r>
    </w:p>
    <w:p w14:paraId="4E7CE10A" w14:textId="72778D01" w:rsidR="00965EAA" w:rsidRPr="00EC1346" w:rsidRDefault="00FF121B" w:rsidP="00965EAA">
      <w:pPr>
        <w:pStyle w:val="a3"/>
        <w:numPr>
          <w:ilvl w:val="0"/>
          <w:numId w:val="10"/>
        </w:numPr>
        <w:spacing w:after="120" w:line="360" w:lineRule="auto"/>
        <w:jc w:val="both"/>
        <w:rPr>
          <w:sz w:val="24"/>
          <w:szCs w:val="24"/>
        </w:rPr>
      </w:pPr>
      <w:r w:rsidRPr="00EC1346">
        <w:rPr>
          <w:sz w:val="24"/>
          <w:szCs w:val="24"/>
        </w:rPr>
        <w:t xml:space="preserve">Потенциальные </w:t>
      </w:r>
      <w:proofErr w:type="spellStart"/>
      <w:r w:rsidR="00965EAA" w:rsidRPr="00EC1346">
        <w:rPr>
          <w:sz w:val="24"/>
          <w:szCs w:val="24"/>
        </w:rPr>
        <w:t>репутационные</w:t>
      </w:r>
      <w:proofErr w:type="spellEnd"/>
      <w:r w:rsidR="00965EAA" w:rsidRPr="00EC1346">
        <w:rPr>
          <w:sz w:val="24"/>
          <w:szCs w:val="24"/>
        </w:rPr>
        <w:t xml:space="preserve"> риски, связанные с активностью обманутых дольщиков;</w:t>
      </w:r>
    </w:p>
    <w:p w14:paraId="33550D7F" w14:textId="7377F697" w:rsidR="00965EAA" w:rsidRPr="00EC1346" w:rsidRDefault="00965EAA" w:rsidP="00965EAA">
      <w:pPr>
        <w:pStyle w:val="a3"/>
        <w:numPr>
          <w:ilvl w:val="0"/>
          <w:numId w:val="10"/>
        </w:numPr>
        <w:spacing w:after="120" w:line="360" w:lineRule="auto"/>
        <w:jc w:val="both"/>
        <w:rPr>
          <w:sz w:val="24"/>
          <w:szCs w:val="24"/>
        </w:rPr>
      </w:pPr>
      <w:r w:rsidRPr="00EC1346">
        <w:rPr>
          <w:sz w:val="24"/>
          <w:szCs w:val="24"/>
        </w:rPr>
        <w:t>Сложность оценки рисков банкротства застройщиков и высокая сумма страховой ответственности, так как по факту страхуется не отдельный договор, а весь объект стоимостью несколько сотен миллионов рублей.</w:t>
      </w:r>
    </w:p>
    <w:p w14:paraId="1EAF9726" w14:textId="7773EFAD" w:rsidR="00965EAA" w:rsidRPr="00EC1346" w:rsidRDefault="00965EAA" w:rsidP="00965EAA">
      <w:pPr>
        <w:spacing w:after="120" w:line="360" w:lineRule="auto"/>
        <w:jc w:val="both"/>
        <w:rPr>
          <w:rFonts w:asciiTheme="minorHAnsi" w:hAnsiTheme="minorHAnsi"/>
        </w:rPr>
      </w:pPr>
      <w:r w:rsidRPr="00EC1346">
        <w:rPr>
          <w:rFonts w:asciiTheme="minorHAnsi" w:hAnsiTheme="minorHAnsi"/>
        </w:rPr>
        <w:t>Показательным примером «незрелости» рынка страхования гражданской ответственности по договорам долевого строительства является пример компании СК «Советская». В 2015 г</w:t>
      </w:r>
      <w:r w:rsidR="00FF121B" w:rsidRPr="00EC1346">
        <w:rPr>
          <w:rFonts w:asciiTheme="minorHAnsi" w:hAnsiTheme="minorHAnsi"/>
        </w:rPr>
        <w:t>.</w:t>
      </w:r>
      <w:r w:rsidRPr="00EC1346">
        <w:rPr>
          <w:rFonts w:asciiTheme="minorHAnsi" w:hAnsiTheme="minorHAnsi"/>
        </w:rPr>
        <w:t xml:space="preserve"> компания собрала премии в размере 576 млн. руб. (сумма страхования составила почти 162 млрд. руб.), а в марте 2016</w:t>
      </w:r>
      <w:r w:rsidR="00557D58" w:rsidRPr="00EC1346">
        <w:rPr>
          <w:rFonts w:asciiTheme="minorHAnsi" w:hAnsiTheme="minorHAnsi"/>
        </w:rPr>
        <w:t xml:space="preserve"> г.</w:t>
      </w:r>
      <w:r w:rsidRPr="00EC1346">
        <w:rPr>
          <w:rFonts w:asciiTheme="minorHAnsi" w:hAnsiTheme="minorHAnsi"/>
        </w:rPr>
        <w:t xml:space="preserve"> ЦБ РФ, приостановил действие лицензии этой компании. По мнению участников </w:t>
      </w:r>
      <w:proofErr w:type="gramStart"/>
      <w:r w:rsidRPr="00EC1346">
        <w:rPr>
          <w:rFonts w:asciiTheme="minorHAnsi" w:hAnsiTheme="minorHAnsi"/>
        </w:rPr>
        <w:t>рынка</w:t>
      </w:r>
      <w:proofErr w:type="gramEnd"/>
      <w:r w:rsidRPr="00EC1346">
        <w:rPr>
          <w:rFonts w:asciiTheme="minorHAnsi" w:hAnsiTheme="minorHAnsi"/>
        </w:rPr>
        <w:t xml:space="preserve"> многие страховые компании не проводили корректную оценку своих рисков, в </w:t>
      </w:r>
      <w:r w:rsidR="00FF121B" w:rsidRPr="00EC1346">
        <w:rPr>
          <w:rFonts w:asciiTheme="minorHAnsi" w:hAnsiTheme="minorHAnsi"/>
        </w:rPr>
        <w:t>результате чего премии снижались до</w:t>
      </w:r>
      <w:r w:rsidRPr="00EC1346">
        <w:rPr>
          <w:rFonts w:asciiTheme="minorHAnsi" w:hAnsiTheme="minorHAnsi"/>
        </w:rPr>
        <w:t xml:space="preserve"> 0,2-0,4% от страховой суммы.</w:t>
      </w:r>
    </w:p>
    <w:p w14:paraId="7D90BFBA" w14:textId="4F153116" w:rsidR="00965EAA" w:rsidRPr="00EC1346" w:rsidRDefault="00965EAA" w:rsidP="00965EAA">
      <w:pPr>
        <w:spacing w:after="120" w:line="360" w:lineRule="auto"/>
        <w:jc w:val="both"/>
        <w:rPr>
          <w:rFonts w:asciiTheme="minorHAnsi" w:hAnsiTheme="minorHAnsi"/>
          <w:color w:val="C00000"/>
        </w:rPr>
      </w:pPr>
      <w:r w:rsidRPr="00EC1346">
        <w:rPr>
          <w:rFonts w:asciiTheme="minorHAnsi" w:hAnsiTheme="minorHAnsi"/>
        </w:rPr>
        <w:t>В то же вре</w:t>
      </w:r>
      <w:r w:rsidR="00557D58" w:rsidRPr="00EC1346">
        <w:rPr>
          <w:rFonts w:asciiTheme="minorHAnsi" w:hAnsiTheme="minorHAnsi"/>
        </w:rPr>
        <w:t>мя, судить о надежности страховых компаний</w:t>
      </w:r>
      <w:r w:rsidRPr="00EC1346">
        <w:rPr>
          <w:rFonts w:asciiTheme="minorHAnsi" w:hAnsiTheme="minorHAnsi"/>
        </w:rPr>
        <w:t xml:space="preserve"> по размеру тарифов не совсем верно, так как приоритетными </w:t>
      </w:r>
      <w:r w:rsidR="00FF121B" w:rsidRPr="00EC1346">
        <w:rPr>
          <w:rFonts w:asciiTheme="minorHAnsi" w:hAnsiTheme="minorHAnsi"/>
        </w:rPr>
        <w:t xml:space="preserve">клиентами для </w:t>
      </w:r>
      <w:r w:rsidR="00557D58" w:rsidRPr="00EC1346">
        <w:rPr>
          <w:rFonts w:asciiTheme="minorHAnsi" w:hAnsiTheme="minorHAnsi"/>
        </w:rPr>
        <w:t xml:space="preserve">них </w:t>
      </w:r>
      <w:r w:rsidRPr="00EC1346">
        <w:rPr>
          <w:rFonts w:asciiTheme="minorHAnsi" w:hAnsiTheme="minorHAnsi"/>
        </w:rPr>
        <w:t>являются надежные застройщики с объектами в высокой степени готовности</w:t>
      </w:r>
      <w:r w:rsidR="00FF121B" w:rsidRPr="00EC1346">
        <w:rPr>
          <w:rFonts w:asciiTheme="minorHAnsi" w:hAnsiTheme="minorHAnsi"/>
        </w:rPr>
        <w:t>, а премии по таким объектам должны быть ниже.</w:t>
      </w:r>
    </w:p>
    <w:p w14:paraId="715DC2AF" w14:textId="3D6F548A" w:rsidR="00965EAA" w:rsidRPr="00EC1346" w:rsidRDefault="00FF121B" w:rsidP="00965EAA">
      <w:pPr>
        <w:spacing w:after="120" w:line="360" w:lineRule="auto"/>
        <w:jc w:val="both"/>
        <w:rPr>
          <w:rFonts w:asciiTheme="minorHAnsi" w:hAnsiTheme="minorHAnsi"/>
        </w:rPr>
      </w:pPr>
      <w:r w:rsidRPr="00EC1346">
        <w:rPr>
          <w:rFonts w:asciiTheme="minorHAnsi" w:hAnsiTheme="minorHAnsi"/>
        </w:rPr>
        <w:t>По результата</w:t>
      </w:r>
      <w:r w:rsidR="00965EAA" w:rsidRPr="00EC1346">
        <w:rPr>
          <w:rFonts w:asciiTheme="minorHAnsi" w:hAnsiTheme="minorHAnsi"/>
        </w:rPr>
        <w:t>м 2016 г. ситуация на рынке страхования ответственно</w:t>
      </w:r>
      <w:r w:rsidRPr="00EC1346">
        <w:rPr>
          <w:rFonts w:asciiTheme="minorHAnsi" w:hAnsiTheme="minorHAnsi"/>
        </w:rPr>
        <w:t xml:space="preserve">сти застройщиков поменяется. </w:t>
      </w:r>
      <w:r w:rsidR="00965EAA" w:rsidRPr="00EC1346">
        <w:rPr>
          <w:rFonts w:asciiTheme="minorHAnsi" w:hAnsiTheme="minorHAnsi"/>
        </w:rPr>
        <w:t>Так как возможнос</w:t>
      </w:r>
      <w:r w:rsidR="00557D58" w:rsidRPr="00EC1346">
        <w:rPr>
          <w:rFonts w:asciiTheme="minorHAnsi" w:hAnsiTheme="minorHAnsi"/>
        </w:rPr>
        <w:t>ти</w:t>
      </w:r>
      <w:r w:rsidR="00965EAA" w:rsidRPr="00EC1346">
        <w:rPr>
          <w:rFonts w:asciiTheme="minorHAnsi" w:hAnsiTheme="minorHAnsi"/>
        </w:rPr>
        <w:t xml:space="preserve"> многих страховых компаний</w:t>
      </w:r>
      <w:r w:rsidR="00557D58" w:rsidRPr="00EC1346">
        <w:rPr>
          <w:rFonts w:asciiTheme="minorHAnsi" w:hAnsiTheme="minorHAnsi"/>
        </w:rPr>
        <w:t xml:space="preserve"> по выплате возмещений</w:t>
      </w:r>
      <w:r w:rsidR="00965EAA" w:rsidRPr="00EC1346">
        <w:rPr>
          <w:rFonts w:asciiTheme="minorHAnsi" w:hAnsiTheme="minorHAnsi"/>
        </w:rPr>
        <w:t xml:space="preserve"> при наступ</w:t>
      </w:r>
      <w:r w:rsidR="00557D58" w:rsidRPr="00EC1346">
        <w:rPr>
          <w:rFonts w:asciiTheme="minorHAnsi" w:hAnsiTheme="minorHAnsi"/>
        </w:rPr>
        <w:t>лении страхового случая вызывают</w:t>
      </w:r>
      <w:r w:rsidR="00965EAA" w:rsidRPr="00EC1346">
        <w:rPr>
          <w:rFonts w:asciiTheme="minorHAnsi" w:hAnsiTheme="minorHAnsi"/>
        </w:rPr>
        <w:t xml:space="preserve"> вопросы, </w:t>
      </w:r>
      <w:r w:rsidRPr="00EC1346">
        <w:rPr>
          <w:rFonts w:asciiTheme="minorHAnsi" w:hAnsiTheme="minorHAnsi"/>
        </w:rPr>
        <w:t xml:space="preserve">в июне 2016 г. </w:t>
      </w:r>
      <w:r w:rsidR="00965EAA" w:rsidRPr="00EC1346">
        <w:rPr>
          <w:rFonts w:asciiTheme="minorHAnsi" w:hAnsiTheme="minorHAnsi"/>
        </w:rPr>
        <w:t>ЦБ РФ выпустил список страховщиков, соответствующих требованиям статьи 15.2 закона 214-ФЗ. В этот список попали пятнадцать страховых компаний, при этом только три из них входили в топ-10 страховщиков ответственности застройщика по результатам 2015 г. Ве</w:t>
      </w:r>
      <w:r w:rsidR="00557D58" w:rsidRPr="00EC1346">
        <w:rPr>
          <w:rFonts w:asciiTheme="minorHAnsi" w:hAnsiTheme="minorHAnsi"/>
        </w:rPr>
        <w:t xml:space="preserve">роятно, что по </w:t>
      </w:r>
      <w:r w:rsidR="00557D58" w:rsidRPr="00EC1346">
        <w:rPr>
          <w:rFonts w:asciiTheme="minorHAnsi" w:hAnsiTheme="minorHAnsi"/>
        </w:rPr>
        <w:lastRenderedPageBreak/>
        <w:t>результатам 2016 </w:t>
      </w:r>
      <w:r w:rsidR="00024D3D" w:rsidRPr="00EC1346">
        <w:rPr>
          <w:rFonts w:asciiTheme="minorHAnsi" w:hAnsiTheme="minorHAnsi"/>
        </w:rPr>
        <w:t>г. топ- </w:t>
      </w:r>
      <w:r w:rsidR="00965EAA" w:rsidRPr="00EC1346">
        <w:rPr>
          <w:rFonts w:asciiTheme="minorHAnsi" w:hAnsiTheme="minorHAnsi"/>
        </w:rPr>
        <w:t>3 страховщика по результатам 2015 г. увеличат сбор премий, перераспределив рынок с компаниями, попавшими в список ЦБ.</w:t>
      </w:r>
    </w:p>
    <w:p w14:paraId="2F59E72B" w14:textId="136A7FE8" w:rsidR="00C50F61" w:rsidRPr="00EC1346" w:rsidRDefault="00965EAA" w:rsidP="00965EAA">
      <w:pPr>
        <w:spacing w:after="120" w:line="360" w:lineRule="auto"/>
        <w:jc w:val="both"/>
        <w:rPr>
          <w:rFonts w:asciiTheme="minorHAnsi" w:hAnsiTheme="minorHAnsi"/>
        </w:rPr>
      </w:pPr>
      <w:r w:rsidRPr="00EC1346">
        <w:rPr>
          <w:rFonts w:asciiTheme="minorHAnsi" w:hAnsiTheme="minorHAnsi"/>
        </w:rPr>
        <w:t xml:space="preserve">Таким образом, в отношении рынка страхования </w:t>
      </w:r>
      <w:r w:rsidR="00C50F61" w:rsidRPr="00EC1346">
        <w:rPr>
          <w:rFonts w:asciiTheme="minorHAnsi" w:hAnsiTheme="minorHAnsi"/>
        </w:rPr>
        <w:t>граж</w:t>
      </w:r>
      <w:r w:rsidRPr="00EC1346">
        <w:rPr>
          <w:rFonts w:asciiTheme="minorHAnsi" w:hAnsiTheme="minorHAnsi"/>
        </w:rPr>
        <w:t>данской ответственности застройщика можно сделать следующие выводы:</w:t>
      </w:r>
    </w:p>
    <w:p w14:paraId="77B9AFF5" w14:textId="57D3586D" w:rsidR="00C50F61" w:rsidRPr="00EC1346" w:rsidRDefault="00C50F61" w:rsidP="00C50F61">
      <w:pPr>
        <w:pStyle w:val="a3"/>
        <w:numPr>
          <w:ilvl w:val="0"/>
          <w:numId w:val="11"/>
        </w:numPr>
        <w:spacing w:after="120" w:line="360" w:lineRule="auto"/>
        <w:jc w:val="both"/>
        <w:rPr>
          <w:sz w:val="24"/>
          <w:szCs w:val="24"/>
        </w:rPr>
      </w:pPr>
      <w:r w:rsidRPr="00EC1346">
        <w:rPr>
          <w:sz w:val="24"/>
          <w:szCs w:val="24"/>
        </w:rPr>
        <w:t>На момент принятия нормы об обязательном страховании гражданской ответственности застройщиков не были созданы условия для того, чтобы при</w:t>
      </w:r>
      <w:r w:rsidR="00024D3D" w:rsidRPr="00EC1346">
        <w:rPr>
          <w:sz w:val="24"/>
          <w:szCs w:val="24"/>
        </w:rPr>
        <w:t>влечь на рынок его лидеров</w:t>
      </w:r>
      <w:r w:rsidRPr="00EC1346">
        <w:rPr>
          <w:sz w:val="24"/>
          <w:szCs w:val="24"/>
        </w:rPr>
        <w:t xml:space="preserve">, хотя </w:t>
      </w:r>
      <w:r w:rsidR="00024D3D" w:rsidRPr="00EC1346">
        <w:rPr>
          <w:sz w:val="24"/>
          <w:szCs w:val="24"/>
        </w:rPr>
        <w:t>их опасения и</w:t>
      </w:r>
      <w:r w:rsidRPr="00EC1346">
        <w:rPr>
          <w:sz w:val="24"/>
          <w:szCs w:val="24"/>
        </w:rPr>
        <w:t xml:space="preserve"> риски (реализовавшиеся впоследствии) были прогнозируемы.</w:t>
      </w:r>
    </w:p>
    <w:p w14:paraId="7CB0C684" w14:textId="3CABBD95" w:rsidR="00C50F61" w:rsidRPr="00EC1346" w:rsidRDefault="00C50F61" w:rsidP="00C50F61">
      <w:pPr>
        <w:pStyle w:val="a3"/>
        <w:numPr>
          <w:ilvl w:val="0"/>
          <w:numId w:val="11"/>
        </w:numPr>
        <w:spacing w:after="120" w:line="360" w:lineRule="auto"/>
        <w:jc w:val="both"/>
        <w:rPr>
          <w:sz w:val="24"/>
          <w:szCs w:val="24"/>
        </w:rPr>
      </w:pPr>
      <w:r w:rsidRPr="00EC1346">
        <w:rPr>
          <w:sz w:val="24"/>
          <w:szCs w:val="24"/>
        </w:rPr>
        <w:t>Опасени</w:t>
      </w:r>
      <w:r w:rsidR="00557D58" w:rsidRPr="00EC1346">
        <w:rPr>
          <w:sz w:val="24"/>
          <w:szCs w:val="24"/>
        </w:rPr>
        <w:t>я участников рынка и регулятора</w:t>
      </w:r>
      <w:r w:rsidRPr="00EC1346">
        <w:rPr>
          <w:sz w:val="24"/>
          <w:szCs w:val="24"/>
        </w:rPr>
        <w:t>, связанные с возможностью страховых компаний выполнить свои обязательства</w:t>
      </w:r>
      <w:r w:rsidR="00557D58" w:rsidRPr="00EC1346">
        <w:rPr>
          <w:sz w:val="24"/>
          <w:szCs w:val="24"/>
        </w:rPr>
        <w:t>,</w:t>
      </w:r>
      <w:r w:rsidRPr="00EC1346">
        <w:rPr>
          <w:sz w:val="24"/>
          <w:szCs w:val="24"/>
        </w:rPr>
        <w:t xml:space="preserve"> являются обоснованными, однако это не означает, что оставшиеся на рынке страховые компании не обладают необходимой компетенцией </w:t>
      </w:r>
      <w:r w:rsidR="00557D58" w:rsidRPr="00EC1346">
        <w:rPr>
          <w:sz w:val="24"/>
          <w:szCs w:val="24"/>
        </w:rPr>
        <w:t>в оценке своих рисков</w:t>
      </w:r>
      <w:r w:rsidRPr="00EC1346">
        <w:rPr>
          <w:sz w:val="24"/>
          <w:szCs w:val="24"/>
        </w:rPr>
        <w:t>.</w:t>
      </w:r>
    </w:p>
    <w:p w14:paraId="220B5614" w14:textId="7B87C585" w:rsidR="00C50F61" w:rsidRPr="00EC1346" w:rsidRDefault="00C50F61" w:rsidP="00C50F61">
      <w:pPr>
        <w:pStyle w:val="a3"/>
        <w:numPr>
          <w:ilvl w:val="0"/>
          <w:numId w:val="11"/>
        </w:numPr>
        <w:spacing w:after="120" w:line="360" w:lineRule="auto"/>
        <w:jc w:val="both"/>
        <w:rPr>
          <w:sz w:val="24"/>
          <w:szCs w:val="24"/>
        </w:rPr>
      </w:pPr>
      <w:r w:rsidRPr="00EC1346">
        <w:rPr>
          <w:sz w:val="24"/>
          <w:szCs w:val="24"/>
        </w:rPr>
        <w:t>Отсутствие суброгации в отношении недобросовестного застройщика затрудняет развитие рынка и препятствует эффективной работе существующего механизма страхования дольщиков.</w:t>
      </w:r>
    </w:p>
    <w:p w14:paraId="139DFAB5" w14:textId="327E671B" w:rsidR="00C50F61" w:rsidRPr="00EC1346" w:rsidRDefault="00C50F61" w:rsidP="00C50F61">
      <w:pPr>
        <w:pStyle w:val="a3"/>
        <w:numPr>
          <w:ilvl w:val="0"/>
          <w:numId w:val="11"/>
        </w:numPr>
        <w:spacing w:after="120" w:line="360" w:lineRule="auto"/>
        <w:jc w:val="both"/>
        <w:rPr>
          <w:sz w:val="24"/>
          <w:szCs w:val="24"/>
        </w:rPr>
      </w:pPr>
      <w:r w:rsidRPr="00EC1346">
        <w:rPr>
          <w:sz w:val="24"/>
          <w:szCs w:val="24"/>
        </w:rPr>
        <w:t xml:space="preserve">Страховые компании и банковский сектор в настоящее время </w:t>
      </w:r>
      <w:proofErr w:type="gramStart"/>
      <w:r w:rsidRPr="00EC1346">
        <w:rPr>
          <w:sz w:val="24"/>
          <w:szCs w:val="24"/>
        </w:rPr>
        <w:t>выполняют роль</w:t>
      </w:r>
      <w:proofErr w:type="gramEnd"/>
      <w:r w:rsidRPr="00EC1346">
        <w:rPr>
          <w:sz w:val="24"/>
          <w:szCs w:val="24"/>
        </w:rPr>
        <w:t xml:space="preserve"> определенного </w:t>
      </w:r>
      <w:r w:rsidR="00024D3D" w:rsidRPr="00EC1346">
        <w:rPr>
          <w:sz w:val="24"/>
          <w:szCs w:val="24"/>
        </w:rPr>
        <w:t>«</w:t>
      </w:r>
      <w:r w:rsidRPr="00EC1346">
        <w:rPr>
          <w:sz w:val="24"/>
          <w:szCs w:val="24"/>
        </w:rPr>
        <w:t>фильтра</w:t>
      </w:r>
      <w:r w:rsidR="00024D3D" w:rsidRPr="00EC1346">
        <w:rPr>
          <w:sz w:val="24"/>
          <w:szCs w:val="24"/>
        </w:rPr>
        <w:t>»</w:t>
      </w:r>
      <w:r w:rsidRPr="00EC1346">
        <w:rPr>
          <w:sz w:val="24"/>
          <w:szCs w:val="24"/>
        </w:rPr>
        <w:t xml:space="preserve">, который отсеивает часть «проблемных» застройщиков. Показательными </w:t>
      </w:r>
      <w:r w:rsidR="00557D58" w:rsidRPr="00EC1346">
        <w:rPr>
          <w:sz w:val="24"/>
          <w:szCs w:val="24"/>
        </w:rPr>
        <w:t>для оценки эффективности их работы могут быть результаты</w:t>
      </w:r>
      <w:r w:rsidRPr="00EC1346">
        <w:rPr>
          <w:sz w:val="24"/>
          <w:szCs w:val="24"/>
        </w:rPr>
        <w:t xml:space="preserve"> по страхованию ответственности </w:t>
      </w:r>
      <w:r w:rsidR="00557D58" w:rsidRPr="00EC1346">
        <w:rPr>
          <w:sz w:val="24"/>
          <w:szCs w:val="24"/>
        </w:rPr>
        <w:t xml:space="preserve">застройщиков </w:t>
      </w:r>
      <w:r w:rsidRPr="00EC1346">
        <w:rPr>
          <w:sz w:val="24"/>
          <w:szCs w:val="24"/>
        </w:rPr>
        <w:t xml:space="preserve">после </w:t>
      </w:r>
      <w:r w:rsidR="00FF121B" w:rsidRPr="00EC1346">
        <w:rPr>
          <w:sz w:val="24"/>
          <w:szCs w:val="24"/>
        </w:rPr>
        <w:t xml:space="preserve">того, как </w:t>
      </w:r>
      <w:r w:rsidRPr="00EC1346">
        <w:rPr>
          <w:sz w:val="24"/>
          <w:szCs w:val="24"/>
        </w:rPr>
        <w:t>ЦБ</w:t>
      </w:r>
      <w:r w:rsidR="00FF121B" w:rsidRPr="00EC1346">
        <w:rPr>
          <w:sz w:val="24"/>
          <w:szCs w:val="24"/>
        </w:rPr>
        <w:t xml:space="preserve"> ограничил число</w:t>
      </w:r>
      <w:r w:rsidRPr="00EC1346">
        <w:rPr>
          <w:sz w:val="24"/>
          <w:szCs w:val="24"/>
        </w:rPr>
        <w:t xml:space="preserve"> участников рынка. </w:t>
      </w:r>
    </w:p>
    <w:p w14:paraId="0286C21A" w14:textId="364643B0" w:rsidR="00AD0633" w:rsidRPr="00EC1346" w:rsidRDefault="00C50F61" w:rsidP="00965EAA">
      <w:pPr>
        <w:spacing w:after="120" w:line="360" w:lineRule="auto"/>
        <w:jc w:val="both"/>
        <w:rPr>
          <w:rFonts w:asciiTheme="minorHAnsi" w:hAnsiTheme="minorHAnsi"/>
        </w:rPr>
      </w:pPr>
      <w:r w:rsidRPr="00EC1346">
        <w:rPr>
          <w:rFonts w:asciiTheme="minorHAnsi" w:hAnsiTheme="minorHAnsi"/>
        </w:rPr>
        <w:t xml:space="preserve">Так как создание Компенсационного Фонда </w:t>
      </w:r>
      <w:r w:rsidR="004C189E" w:rsidRPr="00EC1346">
        <w:rPr>
          <w:rFonts w:asciiTheme="minorHAnsi" w:hAnsiTheme="minorHAnsi"/>
        </w:rPr>
        <w:t xml:space="preserve">планируется в качестве замены </w:t>
      </w:r>
      <w:r w:rsidR="00924374" w:rsidRPr="00EC1346">
        <w:rPr>
          <w:rFonts w:asciiTheme="minorHAnsi" w:hAnsiTheme="minorHAnsi"/>
        </w:rPr>
        <w:t>механизма</w:t>
      </w:r>
      <w:r w:rsidR="004C189E" w:rsidRPr="00EC1346">
        <w:rPr>
          <w:rFonts w:asciiTheme="minorHAnsi" w:hAnsiTheme="minorHAnsi"/>
        </w:rPr>
        <w:t xml:space="preserve"> обязательного страхования, </w:t>
      </w:r>
      <w:r w:rsidR="00924374" w:rsidRPr="00EC1346">
        <w:rPr>
          <w:rFonts w:asciiTheme="minorHAnsi" w:hAnsiTheme="minorHAnsi"/>
        </w:rPr>
        <w:t xml:space="preserve">то перечисленные выше сложности </w:t>
      </w:r>
      <w:r w:rsidR="00024D3D" w:rsidRPr="00EC1346">
        <w:rPr>
          <w:rFonts w:asciiTheme="minorHAnsi" w:hAnsiTheme="minorHAnsi"/>
        </w:rPr>
        <w:t xml:space="preserve">и проблемы </w:t>
      </w:r>
      <w:r w:rsidR="00924374" w:rsidRPr="00EC1346">
        <w:rPr>
          <w:rFonts w:asciiTheme="minorHAnsi" w:hAnsiTheme="minorHAnsi"/>
        </w:rPr>
        <w:t xml:space="preserve">должны находить лучшее решение в той системе, </w:t>
      </w:r>
      <w:r w:rsidR="00FF121B" w:rsidRPr="00EC1346">
        <w:rPr>
          <w:rFonts w:asciiTheme="minorHAnsi" w:hAnsiTheme="minorHAnsi"/>
        </w:rPr>
        <w:t>которая будет выстроена вокруг Ф</w:t>
      </w:r>
      <w:r w:rsidR="00924374" w:rsidRPr="00EC1346">
        <w:rPr>
          <w:rFonts w:asciiTheme="minorHAnsi" w:hAnsiTheme="minorHAnsi"/>
        </w:rPr>
        <w:t>онд</w:t>
      </w:r>
      <w:r w:rsidR="00FF121B" w:rsidRPr="00EC1346">
        <w:rPr>
          <w:rFonts w:asciiTheme="minorHAnsi" w:hAnsiTheme="minorHAnsi"/>
        </w:rPr>
        <w:t>а</w:t>
      </w:r>
      <w:r w:rsidR="00924374" w:rsidRPr="00EC1346">
        <w:rPr>
          <w:rFonts w:asciiTheme="minorHAnsi" w:hAnsiTheme="minorHAnsi"/>
        </w:rPr>
        <w:t xml:space="preserve">. </w:t>
      </w:r>
      <w:r w:rsidR="00AD0633" w:rsidRPr="00EC1346">
        <w:rPr>
          <w:rFonts w:asciiTheme="minorHAnsi" w:hAnsiTheme="minorHAnsi"/>
        </w:rPr>
        <w:t>В то</w:t>
      </w:r>
      <w:r w:rsidR="00FF121B" w:rsidRPr="00EC1346">
        <w:rPr>
          <w:rFonts w:asciiTheme="minorHAnsi" w:hAnsiTheme="minorHAnsi"/>
        </w:rPr>
        <w:t xml:space="preserve"> </w:t>
      </w:r>
      <w:r w:rsidR="00AD0633" w:rsidRPr="00EC1346">
        <w:rPr>
          <w:rFonts w:asciiTheme="minorHAnsi" w:hAnsiTheme="minorHAnsi"/>
        </w:rPr>
        <w:t>же время, необходимо оценить возможности по совершенствованию существующего механизма  страхования, за счет увеличения его возможностей и полномочий. Например, если одной из заявленных целей Компенсационного Фонда является «изъять, оценить и профинансировать завершение строительства»</w:t>
      </w:r>
      <w:r w:rsidR="00AD0633" w:rsidRPr="00EC1346">
        <w:rPr>
          <w:rStyle w:val="a7"/>
          <w:rFonts w:asciiTheme="minorHAnsi" w:hAnsiTheme="minorHAnsi"/>
        </w:rPr>
        <w:footnoteReference w:id="12"/>
      </w:r>
      <w:r w:rsidR="00AD0633" w:rsidRPr="00EC1346">
        <w:rPr>
          <w:rFonts w:asciiTheme="minorHAnsi" w:hAnsiTheme="minorHAnsi"/>
        </w:rPr>
        <w:t xml:space="preserve"> (в то время как страховые компании не обладают подобными полномочиями), то необходимо проанализировать возможность </w:t>
      </w:r>
      <w:r w:rsidR="00AD0633" w:rsidRPr="00EC1346">
        <w:rPr>
          <w:rFonts w:asciiTheme="minorHAnsi" w:hAnsiTheme="minorHAnsi"/>
        </w:rPr>
        <w:lastRenderedPageBreak/>
        <w:t>внедрения механизма суброгации для страховых компаний. Если недостаток сре</w:t>
      </w:r>
      <w:proofErr w:type="gramStart"/>
      <w:r w:rsidR="00AD0633" w:rsidRPr="00EC1346">
        <w:rPr>
          <w:rFonts w:asciiTheme="minorHAnsi" w:hAnsiTheme="minorHAnsi"/>
        </w:rPr>
        <w:t>дств в К</w:t>
      </w:r>
      <w:proofErr w:type="gramEnd"/>
      <w:r w:rsidR="00AD0633" w:rsidRPr="00EC1346">
        <w:rPr>
          <w:rFonts w:asciiTheme="minorHAnsi" w:hAnsiTheme="minorHAnsi"/>
        </w:rPr>
        <w:t xml:space="preserve">омпенсационном Фонде будет закрываться за счет бюджета и налогоплательщиков, то необходимо оценить потенциал создания и использования механизмов перестрахования в рамках существующей системы. Наконец, если в соответствии с позицией официальных лиц Минстроя Компенсационный Фонд «не должен брать ответственность за все долгострои», т.е. будет избирательно подходить к возмещению обязательств, то в этом </w:t>
      </w:r>
      <w:proofErr w:type="gramStart"/>
      <w:r w:rsidR="00AD0633" w:rsidRPr="00EC1346">
        <w:rPr>
          <w:rFonts w:asciiTheme="minorHAnsi" w:hAnsiTheme="minorHAnsi"/>
        </w:rPr>
        <w:t>смысле</w:t>
      </w:r>
      <w:proofErr w:type="gramEnd"/>
      <w:r w:rsidR="00AD0633" w:rsidRPr="00EC1346">
        <w:rPr>
          <w:rFonts w:asciiTheme="minorHAnsi" w:hAnsiTheme="minorHAnsi"/>
        </w:rPr>
        <w:t xml:space="preserve"> во-первых, не понятно его отличие от страховых компаний, которые также внимательно относятся к выбору застройщиков</w:t>
      </w:r>
      <w:r w:rsidR="00557D58" w:rsidRPr="00EC1346">
        <w:rPr>
          <w:rFonts w:asciiTheme="minorHAnsi" w:hAnsiTheme="minorHAnsi"/>
        </w:rPr>
        <w:t>,</w:t>
      </w:r>
      <w:r w:rsidR="00AD0633" w:rsidRPr="00EC1346">
        <w:rPr>
          <w:rFonts w:asciiTheme="minorHAnsi" w:hAnsiTheme="minorHAnsi"/>
        </w:rPr>
        <w:t xml:space="preserve"> и во-вторых, не ясно</w:t>
      </w:r>
      <w:r w:rsidR="00557D58" w:rsidRPr="00EC1346">
        <w:rPr>
          <w:rFonts w:asciiTheme="minorHAnsi" w:hAnsiTheme="minorHAnsi"/>
        </w:rPr>
        <w:t>,</w:t>
      </w:r>
      <w:r w:rsidR="00AD0633" w:rsidRPr="00EC1346">
        <w:rPr>
          <w:rFonts w:asciiTheme="minorHAnsi" w:hAnsiTheme="minorHAnsi"/>
        </w:rPr>
        <w:t xml:space="preserve"> как при  выборочном подходе планируется окончательно решить проблему обманутых дольщиков.</w:t>
      </w:r>
    </w:p>
    <w:p w14:paraId="2B5CEEC1" w14:textId="4DB4D537" w:rsidR="00F26CB0" w:rsidRPr="00EC1346" w:rsidRDefault="00F26CB0" w:rsidP="00F26CB0">
      <w:pPr>
        <w:spacing w:after="120" w:line="360" w:lineRule="auto"/>
        <w:rPr>
          <w:rFonts w:asciiTheme="minorHAnsi" w:hAnsiTheme="minorHAnsi"/>
          <w:i/>
        </w:rPr>
      </w:pPr>
    </w:p>
    <w:p w14:paraId="36A4F550" w14:textId="57EF8F25" w:rsidR="00F26CB0" w:rsidRPr="00EC1346" w:rsidRDefault="00F26CB0" w:rsidP="006057E3">
      <w:pPr>
        <w:pStyle w:val="a3"/>
        <w:numPr>
          <w:ilvl w:val="1"/>
          <w:numId w:val="1"/>
        </w:numPr>
        <w:spacing w:after="120" w:line="360" w:lineRule="auto"/>
        <w:outlineLvl w:val="1"/>
        <w:rPr>
          <w:sz w:val="24"/>
          <w:szCs w:val="24"/>
        </w:rPr>
      </w:pPr>
      <w:bookmarkStart w:id="7" w:name="_Toc461036751"/>
      <w:r w:rsidRPr="00EC1346">
        <w:rPr>
          <w:sz w:val="24"/>
          <w:szCs w:val="24"/>
        </w:rPr>
        <w:t>Кредитные организации</w:t>
      </w:r>
      <w:bookmarkEnd w:id="7"/>
      <w:r w:rsidRPr="00EC1346">
        <w:rPr>
          <w:sz w:val="24"/>
          <w:szCs w:val="24"/>
        </w:rPr>
        <w:t xml:space="preserve"> </w:t>
      </w:r>
    </w:p>
    <w:p w14:paraId="26C0BB64" w14:textId="58E987BC" w:rsidR="006057E3" w:rsidRPr="00EC1346" w:rsidRDefault="00AD0633" w:rsidP="00AD0633">
      <w:pPr>
        <w:spacing w:after="120" w:line="360" w:lineRule="auto"/>
        <w:jc w:val="both"/>
        <w:rPr>
          <w:rFonts w:asciiTheme="minorHAnsi" w:hAnsiTheme="minorHAnsi"/>
        </w:rPr>
      </w:pPr>
      <w:r w:rsidRPr="00EC1346">
        <w:rPr>
          <w:rFonts w:asciiTheme="minorHAnsi" w:hAnsiTheme="minorHAnsi"/>
        </w:rPr>
        <w:t>Банковские кредитные организации функционируют на рынке страхования ответственности застройщиков следующим образом:</w:t>
      </w:r>
    </w:p>
    <w:p w14:paraId="3A4273DC" w14:textId="4C9AEA7B" w:rsidR="00583225" w:rsidRPr="00EC1346" w:rsidRDefault="00583225" w:rsidP="00583225">
      <w:pPr>
        <w:pStyle w:val="a3"/>
        <w:numPr>
          <w:ilvl w:val="0"/>
          <w:numId w:val="12"/>
        </w:numPr>
        <w:spacing w:after="120" w:line="360" w:lineRule="auto"/>
        <w:jc w:val="both"/>
        <w:rPr>
          <w:sz w:val="24"/>
          <w:szCs w:val="24"/>
        </w:rPr>
      </w:pPr>
      <w:r w:rsidRPr="00EC1346">
        <w:rPr>
          <w:sz w:val="24"/>
          <w:szCs w:val="24"/>
        </w:rPr>
        <w:t>Выдача поручительств банка для исполнения обязательств застройщика;</w:t>
      </w:r>
    </w:p>
    <w:p w14:paraId="41C6A7FA" w14:textId="34ECCF0B" w:rsidR="00583225" w:rsidRPr="00EC1346" w:rsidRDefault="00583225" w:rsidP="00583225">
      <w:pPr>
        <w:pStyle w:val="a3"/>
        <w:numPr>
          <w:ilvl w:val="0"/>
          <w:numId w:val="12"/>
        </w:numPr>
        <w:spacing w:after="120" w:line="360" w:lineRule="auto"/>
        <w:jc w:val="both"/>
        <w:rPr>
          <w:sz w:val="24"/>
          <w:szCs w:val="24"/>
        </w:rPr>
      </w:pPr>
      <w:r w:rsidRPr="00EC1346">
        <w:rPr>
          <w:sz w:val="24"/>
          <w:szCs w:val="24"/>
        </w:rPr>
        <w:t xml:space="preserve">Прямое </w:t>
      </w:r>
      <w:r w:rsidR="0033562D" w:rsidRPr="00EC1346">
        <w:rPr>
          <w:sz w:val="24"/>
          <w:szCs w:val="24"/>
        </w:rPr>
        <w:t xml:space="preserve">проектное финансирование </w:t>
      </w:r>
      <w:r w:rsidRPr="00EC1346">
        <w:rPr>
          <w:sz w:val="24"/>
          <w:szCs w:val="24"/>
        </w:rPr>
        <w:t xml:space="preserve">застройщиков; </w:t>
      </w:r>
    </w:p>
    <w:p w14:paraId="448B9791" w14:textId="344FAB54" w:rsidR="00583225" w:rsidRPr="00EC1346" w:rsidRDefault="00583225" w:rsidP="00AD0633">
      <w:pPr>
        <w:pStyle w:val="a3"/>
        <w:numPr>
          <w:ilvl w:val="0"/>
          <w:numId w:val="12"/>
        </w:numPr>
        <w:spacing w:after="120" w:line="360" w:lineRule="auto"/>
        <w:jc w:val="both"/>
        <w:rPr>
          <w:sz w:val="24"/>
          <w:szCs w:val="24"/>
        </w:rPr>
      </w:pPr>
      <w:r w:rsidRPr="00EC1346">
        <w:rPr>
          <w:sz w:val="24"/>
          <w:szCs w:val="24"/>
        </w:rPr>
        <w:t>Ипотечное кредитование дольщиков.</w:t>
      </w:r>
    </w:p>
    <w:p w14:paraId="6F6C7AAC" w14:textId="14E589D1" w:rsidR="00583225" w:rsidRPr="00EC1346" w:rsidRDefault="00583225" w:rsidP="00583225">
      <w:pPr>
        <w:spacing w:after="120" w:line="360" w:lineRule="auto"/>
        <w:jc w:val="both"/>
        <w:rPr>
          <w:rFonts w:asciiTheme="minorHAnsi" w:hAnsiTheme="minorHAnsi"/>
        </w:rPr>
      </w:pPr>
      <w:r w:rsidRPr="00EC1346">
        <w:rPr>
          <w:rFonts w:asciiTheme="minorHAnsi" w:hAnsiTheme="minorHAnsi"/>
        </w:rPr>
        <w:t>Поручительство банка как инструмент исполнения обязательств застройщика не получило большого распространения в связи с тем, что во-первых, банки требуют обеспечение</w:t>
      </w:r>
      <w:r w:rsidR="00557D58" w:rsidRPr="00EC1346">
        <w:rPr>
          <w:rFonts w:asciiTheme="minorHAnsi" w:hAnsiTheme="minorHAnsi"/>
        </w:rPr>
        <w:t>,</w:t>
      </w:r>
      <w:r w:rsidRPr="00EC1346">
        <w:rPr>
          <w:rFonts w:asciiTheme="minorHAnsi" w:hAnsiTheme="minorHAnsi"/>
        </w:rPr>
        <w:t xml:space="preserve"> и во-вторых</w:t>
      </w:r>
      <w:r w:rsidR="00557D58" w:rsidRPr="00EC1346">
        <w:rPr>
          <w:rFonts w:asciiTheme="minorHAnsi" w:hAnsiTheme="minorHAnsi"/>
        </w:rPr>
        <w:t>,</w:t>
      </w:r>
      <w:r w:rsidRPr="00EC1346">
        <w:rPr>
          <w:rFonts w:asciiTheme="minorHAnsi" w:hAnsiTheme="minorHAnsi"/>
        </w:rPr>
        <w:t xml:space="preserve"> стоимость гарантии может достигать 2-4% годовых (страхование обходится застройщику в среднем в 0,7-1,2</w:t>
      </w:r>
      <w:r w:rsidR="00557D58" w:rsidRPr="00EC1346">
        <w:rPr>
          <w:rFonts w:asciiTheme="minorHAnsi" w:hAnsiTheme="minorHAnsi"/>
        </w:rPr>
        <w:t>%</w:t>
      </w:r>
      <w:r w:rsidRPr="00EC1346">
        <w:rPr>
          <w:rFonts w:asciiTheme="minorHAnsi" w:hAnsiTheme="minorHAnsi"/>
        </w:rPr>
        <w:t xml:space="preserve"> от страховой суммы). Поэтому банковская гарантия используется редко и в том случае, когда банк работает с застройщиком продолжительное время и полностью уверен в его надежности.</w:t>
      </w:r>
    </w:p>
    <w:p w14:paraId="5DED53D8" w14:textId="172A4F1F" w:rsidR="00583225" w:rsidRPr="00EC1346" w:rsidRDefault="0033562D" w:rsidP="00583225">
      <w:pPr>
        <w:spacing w:after="120" w:line="360" w:lineRule="auto"/>
        <w:jc w:val="both"/>
        <w:rPr>
          <w:rFonts w:asciiTheme="minorHAnsi" w:hAnsiTheme="minorHAnsi"/>
        </w:rPr>
      </w:pPr>
      <w:r w:rsidRPr="00EC1346">
        <w:rPr>
          <w:rFonts w:asciiTheme="minorHAnsi" w:hAnsiTheme="minorHAnsi"/>
        </w:rPr>
        <w:t>Объем прямого</w:t>
      </w:r>
      <w:r w:rsidR="00557D58" w:rsidRPr="00EC1346">
        <w:rPr>
          <w:rFonts w:asciiTheme="minorHAnsi" w:hAnsiTheme="minorHAnsi"/>
        </w:rPr>
        <w:t xml:space="preserve"> кредитования</w:t>
      </w:r>
      <w:r w:rsidR="00583225" w:rsidRPr="00EC1346">
        <w:rPr>
          <w:rFonts w:asciiTheme="minorHAnsi" w:hAnsiTheme="minorHAnsi"/>
        </w:rPr>
        <w:t xml:space="preserve"> </w:t>
      </w:r>
      <w:r w:rsidRPr="00EC1346">
        <w:rPr>
          <w:rFonts w:asciiTheme="minorHAnsi" w:hAnsiTheme="minorHAnsi"/>
        </w:rPr>
        <w:t xml:space="preserve">банками </w:t>
      </w:r>
      <w:r w:rsidR="00583225" w:rsidRPr="00EC1346">
        <w:rPr>
          <w:rFonts w:asciiTheme="minorHAnsi" w:hAnsiTheme="minorHAnsi"/>
        </w:rPr>
        <w:t xml:space="preserve">строительных компаний </w:t>
      </w:r>
      <w:r w:rsidRPr="00EC1346">
        <w:rPr>
          <w:rFonts w:asciiTheme="minorHAnsi" w:hAnsiTheme="minorHAnsi"/>
        </w:rPr>
        <w:t xml:space="preserve">последовательно снижается с 2013 г. В целом за три года объем кредитования строительных компаний упал на 36%, и причины для роста в 2016-2017 гг. отсутствуют.  С учетом представленных ранее данных по просроченной задолженности строительного сектора, можно констатировать, что </w:t>
      </w:r>
      <w:r w:rsidRPr="00EC1346">
        <w:rPr>
          <w:rFonts w:asciiTheme="minorHAnsi" w:hAnsiTheme="minorHAnsi"/>
        </w:rPr>
        <w:lastRenderedPageBreak/>
        <w:t xml:space="preserve">доступность прямых кредитов для застройщиков </w:t>
      </w:r>
      <w:proofErr w:type="gramStart"/>
      <w:r w:rsidRPr="00EC1346">
        <w:rPr>
          <w:rFonts w:asciiTheme="minorHAnsi" w:hAnsiTheme="minorHAnsi"/>
        </w:rPr>
        <w:t>снижается и получить их могут</w:t>
      </w:r>
      <w:proofErr w:type="gramEnd"/>
      <w:r w:rsidRPr="00EC1346">
        <w:rPr>
          <w:rFonts w:asciiTheme="minorHAnsi" w:hAnsiTheme="minorHAnsi"/>
        </w:rPr>
        <w:t xml:space="preserve"> только очень надежные застройщики на проекты, готовность которых составляет от 30%.</w:t>
      </w:r>
      <w:r w:rsidRPr="00EC1346">
        <w:rPr>
          <w:rStyle w:val="a7"/>
          <w:rFonts w:asciiTheme="minorHAnsi" w:hAnsiTheme="minorHAnsi"/>
        </w:rPr>
        <w:footnoteReference w:id="13"/>
      </w:r>
    </w:p>
    <w:p w14:paraId="4C0AB796" w14:textId="2982809A" w:rsidR="0033562D" w:rsidRPr="00EC1346" w:rsidRDefault="0033562D" w:rsidP="0033562D">
      <w:pPr>
        <w:spacing w:after="120" w:line="360" w:lineRule="auto"/>
        <w:jc w:val="center"/>
        <w:rPr>
          <w:rFonts w:asciiTheme="minorHAnsi" w:hAnsiTheme="minorHAnsi"/>
        </w:rPr>
      </w:pPr>
      <w:r w:rsidRPr="00EC1346">
        <w:rPr>
          <w:noProof/>
          <w:lang w:eastAsia="ru-RU"/>
        </w:rPr>
        <w:drawing>
          <wp:inline distT="0" distB="0" distL="0" distR="0" wp14:anchorId="0E8C5E81" wp14:editId="63989537">
            <wp:extent cx="5060496" cy="321128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9FC893" w14:textId="75827F9D" w:rsidR="00583225" w:rsidRPr="00EC1346" w:rsidRDefault="0033562D" w:rsidP="0033562D">
      <w:pPr>
        <w:spacing w:after="120" w:line="360" w:lineRule="auto"/>
        <w:jc w:val="right"/>
        <w:rPr>
          <w:rFonts w:asciiTheme="minorHAnsi" w:hAnsiTheme="minorHAnsi"/>
        </w:rPr>
      </w:pPr>
      <w:r w:rsidRPr="00EC1346">
        <w:rPr>
          <w:rFonts w:asciiTheme="minorHAnsi" w:hAnsiTheme="minorHAnsi"/>
          <w:i/>
          <w:sz w:val="20"/>
          <w:szCs w:val="20"/>
        </w:rPr>
        <w:t>Источник: ЦБ РФ</w:t>
      </w:r>
    </w:p>
    <w:p w14:paraId="32E82B4B" w14:textId="17DBD7D6" w:rsidR="0033562D" w:rsidRPr="00EC1346" w:rsidRDefault="0033562D" w:rsidP="0033562D">
      <w:pPr>
        <w:spacing w:after="120" w:line="360" w:lineRule="auto"/>
        <w:jc w:val="both"/>
        <w:rPr>
          <w:rFonts w:asciiTheme="minorHAnsi" w:hAnsiTheme="minorHAnsi"/>
        </w:rPr>
      </w:pPr>
      <w:r w:rsidRPr="00EC1346">
        <w:rPr>
          <w:rFonts w:asciiTheme="minorHAnsi" w:hAnsiTheme="minorHAnsi"/>
        </w:rPr>
        <w:t>Кроме кредитования застройщиков напрямую, банки выдают ипотечные кредиты дольщикам, при этом стоимость ипотечных к</w:t>
      </w:r>
      <w:r w:rsidR="00343FD0" w:rsidRPr="00EC1346">
        <w:rPr>
          <w:rFonts w:asciiTheme="minorHAnsi" w:hAnsiTheme="minorHAnsi"/>
        </w:rPr>
        <w:t>редитов составляет около 12-13%</w:t>
      </w:r>
      <w:r w:rsidRPr="00EC1346">
        <w:rPr>
          <w:rFonts w:asciiTheme="minorHAnsi" w:hAnsiTheme="minorHAnsi"/>
        </w:rPr>
        <w:t xml:space="preserve"> </w:t>
      </w:r>
      <w:r w:rsidR="00343FD0" w:rsidRPr="00EC1346">
        <w:rPr>
          <w:rFonts w:asciiTheme="minorHAnsi" w:hAnsiTheme="minorHAnsi"/>
        </w:rPr>
        <w:t>(</w:t>
      </w:r>
      <w:r w:rsidRPr="00EC1346">
        <w:rPr>
          <w:rFonts w:asciiTheme="minorHAnsi" w:hAnsiTheme="minorHAnsi"/>
        </w:rPr>
        <w:t>что меньше стоимости проектного финансирован</w:t>
      </w:r>
      <w:r w:rsidR="00FF121B" w:rsidRPr="00EC1346">
        <w:rPr>
          <w:rFonts w:asciiTheme="minorHAnsi" w:hAnsiTheme="minorHAnsi"/>
        </w:rPr>
        <w:t>ия для застройщиков в размере 17</w:t>
      </w:r>
      <w:r w:rsidRPr="00EC1346">
        <w:rPr>
          <w:rFonts w:asciiTheme="minorHAnsi" w:hAnsiTheme="minorHAnsi"/>
        </w:rPr>
        <w:t>%</w:t>
      </w:r>
      <w:r w:rsidR="00343FD0" w:rsidRPr="00EC1346">
        <w:rPr>
          <w:rFonts w:asciiTheme="minorHAnsi" w:hAnsiTheme="minorHAnsi"/>
        </w:rPr>
        <w:t>)</w:t>
      </w:r>
      <w:r w:rsidRPr="00EC1346">
        <w:rPr>
          <w:rFonts w:asciiTheme="minorHAnsi" w:hAnsiTheme="minorHAnsi"/>
        </w:rPr>
        <w:t>.  В настоящее время именно ипотечные кредиты дольщикам представляются основным источником финансирования новых проектов</w:t>
      </w:r>
      <w:r w:rsidR="00343FD0" w:rsidRPr="00EC1346">
        <w:rPr>
          <w:rFonts w:asciiTheme="minorHAnsi" w:hAnsiTheme="minorHAnsi"/>
        </w:rPr>
        <w:t xml:space="preserve"> застройщиков</w:t>
      </w:r>
      <w:r w:rsidRPr="00EC1346">
        <w:rPr>
          <w:rFonts w:asciiTheme="minorHAnsi" w:hAnsiTheme="minorHAnsi"/>
        </w:rPr>
        <w:t>.</w:t>
      </w:r>
    </w:p>
    <w:p w14:paraId="69D30897" w14:textId="54DAEB9D" w:rsidR="0033562D" w:rsidRPr="00EC1346" w:rsidRDefault="0033562D" w:rsidP="0033562D">
      <w:pPr>
        <w:spacing w:after="120" w:line="360" w:lineRule="auto"/>
        <w:jc w:val="center"/>
        <w:rPr>
          <w:rFonts w:asciiTheme="minorHAnsi" w:hAnsiTheme="minorHAnsi"/>
        </w:rPr>
      </w:pPr>
      <w:r w:rsidRPr="00EC1346">
        <w:rPr>
          <w:noProof/>
          <w:lang w:eastAsia="ru-RU"/>
        </w:rPr>
        <w:lastRenderedPageBreak/>
        <w:drawing>
          <wp:inline distT="0" distB="0" distL="0" distR="0" wp14:anchorId="6D8DC651" wp14:editId="4D9BF8C2">
            <wp:extent cx="5474875" cy="2966615"/>
            <wp:effectExtent l="0" t="0" r="12065"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84E824B" w14:textId="77777777" w:rsidR="0033562D" w:rsidRPr="00EC1346" w:rsidRDefault="0033562D" w:rsidP="0033562D">
      <w:pPr>
        <w:spacing w:after="120" w:line="360" w:lineRule="auto"/>
        <w:jc w:val="right"/>
        <w:rPr>
          <w:rFonts w:asciiTheme="minorHAnsi" w:hAnsiTheme="minorHAnsi"/>
        </w:rPr>
      </w:pPr>
      <w:r w:rsidRPr="00EC1346">
        <w:rPr>
          <w:rFonts w:asciiTheme="minorHAnsi" w:hAnsiTheme="minorHAnsi"/>
          <w:i/>
          <w:sz w:val="20"/>
          <w:szCs w:val="20"/>
        </w:rPr>
        <w:t>Источник: ЦБ РФ</w:t>
      </w:r>
    </w:p>
    <w:p w14:paraId="0A6D77A1" w14:textId="5729C697" w:rsidR="0033562D" w:rsidRPr="00EC1346" w:rsidRDefault="0033562D" w:rsidP="0033562D">
      <w:pPr>
        <w:spacing w:after="120" w:line="360" w:lineRule="auto"/>
        <w:jc w:val="both"/>
        <w:rPr>
          <w:rFonts w:asciiTheme="minorHAnsi" w:hAnsiTheme="minorHAnsi"/>
        </w:rPr>
      </w:pPr>
      <w:proofErr w:type="gramStart"/>
      <w:r w:rsidRPr="00EC1346">
        <w:rPr>
          <w:rFonts w:asciiTheme="minorHAnsi" w:hAnsiTheme="minorHAnsi"/>
        </w:rPr>
        <w:t>Объем выданных ипотечных кредитов достиг своего пика в 2014 г. (1,76 трлн. руб.), а уже в 2015 г. упал на 34% до уровня 1,16 трлн. руб. Интересным является соотнесение динамики ипотечного кредитования с приведенной ранее оценкой снижения количества договоров долевого участия в 2015 г</w:t>
      </w:r>
      <w:r w:rsidR="00FF121B" w:rsidRPr="00EC1346">
        <w:rPr>
          <w:rFonts w:asciiTheme="minorHAnsi" w:hAnsiTheme="minorHAnsi"/>
        </w:rPr>
        <w:t>.</w:t>
      </w:r>
      <w:r w:rsidRPr="00EC1346">
        <w:rPr>
          <w:rFonts w:asciiTheme="minorHAnsi" w:hAnsiTheme="minorHAnsi"/>
        </w:rPr>
        <w:t xml:space="preserve"> на 24% по сравнению с 2014 г.</w:t>
      </w:r>
      <w:proofErr w:type="gramEnd"/>
    </w:p>
    <w:p w14:paraId="2D64796C" w14:textId="3CB6BF9D" w:rsidR="00AD0633" w:rsidRPr="00EC1346" w:rsidRDefault="0033562D" w:rsidP="0033562D">
      <w:pPr>
        <w:spacing w:after="120" w:line="360" w:lineRule="auto"/>
        <w:jc w:val="both"/>
        <w:rPr>
          <w:rFonts w:asciiTheme="minorHAnsi" w:hAnsiTheme="minorHAnsi"/>
        </w:rPr>
      </w:pPr>
      <w:r w:rsidRPr="00EC1346">
        <w:rPr>
          <w:rFonts w:asciiTheme="minorHAnsi" w:hAnsiTheme="minorHAnsi"/>
        </w:rPr>
        <w:t xml:space="preserve">Снижение объема кредитования строительного сектора напрямую (на 36%) и через ипотечное кредитование (на 34%) и рост ввода жилья на 20% в 2014 г и на 5% в 2015 г свидетельствует о том, что девелоперы активно использовали собственные резервы </w:t>
      </w:r>
      <w:r w:rsidR="00FF121B" w:rsidRPr="00EC1346">
        <w:rPr>
          <w:rFonts w:asciiTheme="minorHAnsi" w:hAnsiTheme="minorHAnsi"/>
        </w:rPr>
        <w:t>для завершения начатых проектов, что также могло снизить их финансовую устойчивость.</w:t>
      </w:r>
    </w:p>
    <w:p w14:paraId="74D3BC65" w14:textId="4FCBD860" w:rsidR="00E914C7" w:rsidRPr="00EC1346" w:rsidRDefault="0033562D" w:rsidP="0033562D">
      <w:pPr>
        <w:spacing w:after="120" w:line="360" w:lineRule="auto"/>
        <w:jc w:val="both"/>
        <w:rPr>
          <w:rFonts w:asciiTheme="minorHAnsi" w:hAnsiTheme="minorHAnsi"/>
        </w:rPr>
      </w:pPr>
      <w:r w:rsidRPr="00EC1346">
        <w:rPr>
          <w:rFonts w:asciiTheme="minorHAnsi" w:hAnsiTheme="minorHAnsi"/>
        </w:rPr>
        <w:t>Таким образом, из-за высоких рисков в строительном секторе кредитные организации снижают объемы его кредитования, что негативно отражается на финансовой устойчивости застройщиков.</w:t>
      </w:r>
    </w:p>
    <w:p w14:paraId="642521BA" w14:textId="5C501405" w:rsidR="0033562D" w:rsidRPr="00EC1346" w:rsidRDefault="0033562D">
      <w:pPr>
        <w:rPr>
          <w:rFonts w:asciiTheme="minorHAnsi" w:hAnsiTheme="minorHAnsi" w:cstheme="minorBidi"/>
          <w:color w:val="C00000"/>
        </w:rPr>
      </w:pPr>
      <w:r w:rsidRPr="00EC1346">
        <w:rPr>
          <w:color w:val="C00000"/>
        </w:rPr>
        <w:br w:type="page"/>
      </w:r>
    </w:p>
    <w:p w14:paraId="071CE0CE" w14:textId="77777777" w:rsidR="0033562D" w:rsidRPr="00EC1346" w:rsidRDefault="0033562D" w:rsidP="0033562D">
      <w:pPr>
        <w:pStyle w:val="a3"/>
        <w:spacing w:after="120" w:line="360" w:lineRule="auto"/>
        <w:rPr>
          <w:color w:val="C00000"/>
          <w:sz w:val="24"/>
          <w:szCs w:val="24"/>
        </w:rPr>
      </w:pPr>
    </w:p>
    <w:p w14:paraId="5B0888E4" w14:textId="2DA03532" w:rsidR="00F26CB0" w:rsidRPr="00EC1346" w:rsidRDefault="00557D58" w:rsidP="00EB11D5">
      <w:pPr>
        <w:pStyle w:val="a3"/>
        <w:numPr>
          <w:ilvl w:val="0"/>
          <w:numId w:val="1"/>
        </w:numPr>
        <w:spacing w:after="120" w:line="360" w:lineRule="auto"/>
        <w:jc w:val="center"/>
        <w:outlineLvl w:val="0"/>
        <w:rPr>
          <w:b/>
          <w:sz w:val="28"/>
          <w:szCs w:val="28"/>
        </w:rPr>
      </w:pPr>
      <w:bookmarkStart w:id="8" w:name="_Toc461036752"/>
      <w:r w:rsidRPr="00EC1346">
        <w:rPr>
          <w:b/>
          <w:sz w:val="28"/>
          <w:szCs w:val="28"/>
        </w:rPr>
        <w:t>Компенсационный Ф</w:t>
      </w:r>
      <w:r w:rsidR="00106AAA" w:rsidRPr="00EC1346">
        <w:rPr>
          <w:b/>
          <w:sz w:val="28"/>
          <w:szCs w:val="28"/>
        </w:rPr>
        <w:t xml:space="preserve">онд, как </w:t>
      </w:r>
      <w:r w:rsidR="00F26CB0" w:rsidRPr="00EC1346">
        <w:rPr>
          <w:b/>
          <w:sz w:val="28"/>
          <w:szCs w:val="28"/>
        </w:rPr>
        <w:t xml:space="preserve">гарант </w:t>
      </w:r>
      <w:r w:rsidR="00AB07AB" w:rsidRPr="00EC1346">
        <w:rPr>
          <w:b/>
          <w:sz w:val="28"/>
          <w:szCs w:val="28"/>
        </w:rPr>
        <w:t>исполнения обязательств по договорам долевого участия</w:t>
      </w:r>
      <w:r w:rsidR="00F26CB0" w:rsidRPr="00EC1346">
        <w:rPr>
          <w:b/>
          <w:sz w:val="28"/>
          <w:szCs w:val="28"/>
        </w:rPr>
        <w:t>.</w:t>
      </w:r>
      <w:bookmarkEnd w:id="8"/>
    </w:p>
    <w:p w14:paraId="5797644A" w14:textId="08F8BF03" w:rsidR="00F26CB0" w:rsidRPr="00EC1346" w:rsidRDefault="00A15B2C" w:rsidP="00A15B2C">
      <w:pPr>
        <w:spacing w:after="120" w:line="360" w:lineRule="auto"/>
        <w:jc w:val="both"/>
      </w:pPr>
      <w:r w:rsidRPr="00EC1346">
        <w:rPr>
          <w:rFonts w:asciiTheme="minorHAnsi" w:hAnsiTheme="minorHAnsi" w:cstheme="minorBidi"/>
        </w:rPr>
        <w:t>Целью</w:t>
      </w:r>
      <w:r w:rsidR="00557D58" w:rsidRPr="00EC1346">
        <w:rPr>
          <w:rFonts w:asciiTheme="minorHAnsi" w:hAnsiTheme="minorHAnsi" w:cstheme="minorBidi"/>
        </w:rPr>
        <w:t xml:space="preserve"> создания экономической модели К</w:t>
      </w:r>
      <w:r w:rsidRPr="00EC1346">
        <w:rPr>
          <w:rFonts w:asciiTheme="minorHAnsi" w:hAnsiTheme="minorHAnsi" w:cstheme="minorBidi"/>
        </w:rPr>
        <w:t xml:space="preserve">омпенсационного фонда является анализ эффективности </w:t>
      </w:r>
      <w:r w:rsidR="00557D58" w:rsidRPr="00EC1346">
        <w:rPr>
          <w:rFonts w:asciiTheme="minorHAnsi" w:hAnsiTheme="minorHAnsi" w:cstheme="minorBidi"/>
        </w:rPr>
        <w:t xml:space="preserve">его </w:t>
      </w:r>
      <w:r w:rsidRPr="00EC1346">
        <w:rPr>
          <w:rFonts w:asciiTheme="minorHAnsi" w:hAnsiTheme="minorHAnsi" w:cstheme="minorBidi"/>
        </w:rPr>
        <w:t>работы и получение прогноза о его поступлениях и выплатах в рассматриваемых сценариях.</w:t>
      </w:r>
    </w:p>
    <w:p w14:paraId="01F22680" w14:textId="36545724" w:rsidR="00F26CB0" w:rsidRPr="00EC1346" w:rsidRDefault="00F26CB0" w:rsidP="00A15B2C">
      <w:pPr>
        <w:spacing w:after="120" w:line="360" w:lineRule="auto"/>
        <w:rPr>
          <w:rFonts w:asciiTheme="minorHAnsi" w:hAnsiTheme="minorHAnsi"/>
          <w:b/>
          <w:i/>
        </w:rPr>
      </w:pPr>
      <w:r w:rsidRPr="00EC1346">
        <w:rPr>
          <w:rFonts w:asciiTheme="minorHAnsi" w:hAnsiTheme="minorHAnsi"/>
          <w:b/>
          <w:i/>
        </w:rPr>
        <w:t>Сценарные условия</w:t>
      </w:r>
    </w:p>
    <w:p w14:paraId="60F844F8" w14:textId="67F3F499" w:rsidR="00A15B2C" w:rsidRPr="00EC1346" w:rsidRDefault="00A15B2C" w:rsidP="00A15B2C">
      <w:pPr>
        <w:spacing w:after="120" w:line="360" w:lineRule="auto"/>
        <w:jc w:val="both"/>
        <w:rPr>
          <w:rFonts w:asciiTheme="minorHAnsi" w:hAnsiTheme="minorHAnsi"/>
        </w:rPr>
      </w:pPr>
      <w:r w:rsidRPr="00EC1346">
        <w:rPr>
          <w:rFonts w:asciiTheme="minorHAnsi" w:hAnsiTheme="minorHAnsi"/>
        </w:rPr>
        <w:t xml:space="preserve">Как было отмечено ранее строительная отрасль </w:t>
      </w:r>
      <w:proofErr w:type="gramStart"/>
      <w:r w:rsidRPr="00EC1346">
        <w:rPr>
          <w:rFonts w:asciiTheme="minorHAnsi" w:hAnsiTheme="minorHAnsi"/>
        </w:rPr>
        <w:t>находится</w:t>
      </w:r>
      <w:proofErr w:type="gramEnd"/>
      <w:r w:rsidRPr="00EC1346">
        <w:rPr>
          <w:rFonts w:asciiTheme="minorHAnsi" w:hAnsiTheme="minorHAnsi"/>
        </w:rPr>
        <w:t xml:space="preserve"> на пороге глубокого кризиса, вызванного макроэкономической ситуацией, снижением продаж (в том числе по договорам долевого участия), финансовыми проблемами компаний и снижением объемов кредитования банковским сектором (как на условиях проектного финансирования, так и за счет ипотечного кредитования дольщиков). Ухудшение ситуации в строительном секторе в большей степени, чем </w:t>
      </w:r>
      <w:r w:rsidR="00343FD0" w:rsidRPr="00EC1346">
        <w:rPr>
          <w:rFonts w:asciiTheme="minorHAnsi" w:hAnsiTheme="minorHAnsi"/>
        </w:rPr>
        <w:t xml:space="preserve">это случилось </w:t>
      </w:r>
      <w:r w:rsidRPr="00EC1346">
        <w:rPr>
          <w:rFonts w:asciiTheme="minorHAnsi" w:hAnsiTheme="minorHAnsi"/>
        </w:rPr>
        <w:t>в 2015 г. представляется реальным вариантом, и эти опасения являются одной из при</w:t>
      </w:r>
      <w:r w:rsidR="00557D58" w:rsidRPr="00EC1346">
        <w:rPr>
          <w:rFonts w:asciiTheme="minorHAnsi" w:hAnsiTheme="minorHAnsi"/>
        </w:rPr>
        <w:t>чин создания Компенсационного Ф</w:t>
      </w:r>
      <w:r w:rsidRPr="00EC1346">
        <w:rPr>
          <w:rFonts w:asciiTheme="minorHAnsi" w:hAnsiTheme="minorHAnsi"/>
        </w:rPr>
        <w:t xml:space="preserve">онда. </w:t>
      </w:r>
    </w:p>
    <w:p w14:paraId="6A4E1C39" w14:textId="1D2A06E2" w:rsidR="00A15B2C" w:rsidRPr="00EC1346" w:rsidRDefault="00A15B2C" w:rsidP="00A15B2C">
      <w:pPr>
        <w:spacing w:after="120" w:line="360" w:lineRule="auto"/>
        <w:jc w:val="both"/>
        <w:rPr>
          <w:rFonts w:asciiTheme="minorHAnsi" w:hAnsiTheme="minorHAnsi"/>
        </w:rPr>
      </w:pPr>
      <w:r w:rsidRPr="00EC1346">
        <w:rPr>
          <w:rFonts w:asciiTheme="minorHAnsi" w:hAnsiTheme="minorHAnsi"/>
        </w:rPr>
        <w:t>Все, рассматриваемые далее сценарии работы Компенсационного фонда и страховых компаний, рассчитывались на основании следующих макроэкономических показателей:</w:t>
      </w:r>
    </w:p>
    <w:tbl>
      <w:tblPr>
        <w:tblStyle w:val="ListTable6ColorfulAccent6"/>
        <w:tblW w:w="9351" w:type="dxa"/>
        <w:tblLayout w:type="fixed"/>
        <w:tblLook w:val="04A0" w:firstRow="1" w:lastRow="0" w:firstColumn="1" w:lastColumn="0" w:noHBand="0" w:noVBand="1"/>
      </w:tblPr>
      <w:tblGrid>
        <w:gridCol w:w="2547"/>
        <w:gridCol w:w="972"/>
        <w:gridCol w:w="972"/>
        <w:gridCol w:w="972"/>
        <w:gridCol w:w="972"/>
        <w:gridCol w:w="972"/>
        <w:gridCol w:w="972"/>
        <w:gridCol w:w="972"/>
      </w:tblGrid>
      <w:tr w:rsidR="00A15B2C" w:rsidRPr="00EC1346" w14:paraId="51CAFDDF" w14:textId="77777777" w:rsidTr="00A15B2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37FB8B7" w14:textId="77777777" w:rsidR="00A15B2C" w:rsidRPr="00EC1346" w:rsidRDefault="00A15B2C">
            <w:pPr>
              <w:rPr>
                <w:rFonts w:ascii="Calibri" w:eastAsia="Times New Roman" w:hAnsi="Calibri"/>
                <w:b w:val="0"/>
                <w:color w:val="000000"/>
                <w:sz w:val="20"/>
                <w:szCs w:val="20"/>
                <w:lang w:val="en-US"/>
              </w:rPr>
            </w:pPr>
            <w:r w:rsidRPr="00EC1346">
              <w:rPr>
                <w:rFonts w:ascii="Calibri" w:eastAsia="Times New Roman" w:hAnsi="Calibri"/>
                <w:b w:val="0"/>
                <w:color w:val="000000"/>
                <w:sz w:val="20"/>
                <w:szCs w:val="20"/>
              </w:rPr>
              <w:t>Показатель</w:t>
            </w:r>
          </w:p>
        </w:tc>
        <w:tc>
          <w:tcPr>
            <w:tcW w:w="972" w:type="dxa"/>
            <w:noWrap/>
            <w:hideMark/>
          </w:tcPr>
          <w:p w14:paraId="15DE1BDA" w14:textId="77777777" w:rsidR="00A15B2C" w:rsidRPr="00EC1346" w:rsidRDefault="00A15B2C" w:rsidP="00A15B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color w:val="000000"/>
                <w:sz w:val="20"/>
                <w:szCs w:val="20"/>
              </w:rPr>
            </w:pPr>
            <w:r w:rsidRPr="00EC1346">
              <w:rPr>
                <w:rFonts w:ascii="Calibri" w:eastAsia="Times New Roman" w:hAnsi="Calibri"/>
                <w:b w:val="0"/>
                <w:color w:val="000000"/>
                <w:sz w:val="20"/>
                <w:szCs w:val="20"/>
              </w:rPr>
              <w:t>2015</w:t>
            </w:r>
          </w:p>
        </w:tc>
        <w:tc>
          <w:tcPr>
            <w:tcW w:w="972" w:type="dxa"/>
            <w:noWrap/>
            <w:hideMark/>
          </w:tcPr>
          <w:p w14:paraId="04DF25BC" w14:textId="77777777" w:rsidR="00A15B2C" w:rsidRPr="00EC1346" w:rsidRDefault="00A15B2C" w:rsidP="00A15B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color w:val="000000"/>
                <w:sz w:val="20"/>
                <w:szCs w:val="20"/>
              </w:rPr>
            </w:pPr>
            <w:r w:rsidRPr="00EC1346">
              <w:rPr>
                <w:rFonts w:ascii="Calibri" w:eastAsia="Times New Roman" w:hAnsi="Calibri"/>
                <w:b w:val="0"/>
                <w:color w:val="000000"/>
                <w:sz w:val="20"/>
                <w:szCs w:val="20"/>
              </w:rPr>
              <w:t>2016</w:t>
            </w:r>
          </w:p>
        </w:tc>
        <w:tc>
          <w:tcPr>
            <w:tcW w:w="972" w:type="dxa"/>
            <w:noWrap/>
            <w:hideMark/>
          </w:tcPr>
          <w:p w14:paraId="7FB73EDC" w14:textId="77777777" w:rsidR="00A15B2C" w:rsidRPr="00EC1346" w:rsidRDefault="00A15B2C" w:rsidP="00A15B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color w:val="000000"/>
                <w:sz w:val="20"/>
                <w:szCs w:val="20"/>
              </w:rPr>
            </w:pPr>
            <w:r w:rsidRPr="00EC1346">
              <w:rPr>
                <w:rFonts w:ascii="Calibri" w:eastAsia="Times New Roman" w:hAnsi="Calibri"/>
                <w:b w:val="0"/>
                <w:color w:val="000000"/>
                <w:sz w:val="20"/>
                <w:szCs w:val="20"/>
              </w:rPr>
              <w:t>2017</w:t>
            </w:r>
          </w:p>
        </w:tc>
        <w:tc>
          <w:tcPr>
            <w:tcW w:w="972" w:type="dxa"/>
            <w:noWrap/>
            <w:hideMark/>
          </w:tcPr>
          <w:p w14:paraId="33F38C83" w14:textId="77777777" w:rsidR="00A15B2C" w:rsidRPr="00EC1346" w:rsidRDefault="00A15B2C" w:rsidP="00A15B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color w:val="000000"/>
                <w:sz w:val="20"/>
                <w:szCs w:val="20"/>
              </w:rPr>
            </w:pPr>
            <w:r w:rsidRPr="00EC1346">
              <w:rPr>
                <w:rFonts w:ascii="Calibri" w:eastAsia="Times New Roman" w:hAnsi="Calibri"/>
                <w:b w:val="0"/>
                <w:color w:val="000000"/>
                <w:sz w:val="20"/>
                <w:szCs w:val="20"/>
              </w:rPr>
              <w:t>2018</w:t>
            </w:r>
          </w:p>
        </w:tc>
        <w:tc>
          <w:tcPr>
            <w:tcW w:w="972" w:type="dxa"/>
            <w:noWrap/>
            <w:hideMark/>
          </w:tcPr>
          <w:p w14:paraId="21624A8B" w14:textId="77777777" w:rsidR="00A15B2C" w:rsidRPr="00EC1346" w:rsidRDefault="00A15B2C" w:rsidP="00A15B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color w:val="000000"/>
                <w:sz w:val="20"/>
                <w:szCs w:val="20"/>
              </w:rPr>
            </w:pPr>
            <w:r w:rsidRPr="00EC1346">
              <w:rPr>
                <w:rFonts w:ascii="Calibri" w:eastAsia="Times New Roman" w:hAnsi="Calibri"/>
                <w:b w:val="0"/>
                <w:color w:val="000000"/>
                <w:sz w:val="20"/>
                <w:szCs w:val="20"/>
              </w:rPr>
              <w:t>2019</w:t>
            </w:r>
          </w:p>
        </w:tc>
        <w:tc>
          <w:tcPr>
            <w:tcW w:w="972" w:type="dxa"/>
            <w:noWrap/>
            <w:hideMark/>
          </w:tcPr>
          <w:p w14:paraId="52D27EE0" w14:textId="77777777" w:rsidR="00A15B2C" w:rsidRPr="00EC1346" w:rsidRDefault="00A15B2C" w:rsidP="00A15B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color w:val="000000"/>
                <w:sz w:val="20"/>
                <w:szCs w:val="20"/>
              </w:rPr>
            </w:pPr>
            <w:r w:rsidRPr="00EC1346">
              <w:rPr>
                <w:rFonts w:ascii="Calibri" w:eastAsia="Times New Roman" w:hAnsi="Calibri"/>
                <w:b w:val="0"/>
                <w:color w:val="000000"/>
                <w:sz w:val="20"/>
                <w:szCs w:val="20"/>
              </w:rPr>
              <w:t>2020</w:t>
            </w:r>
          </w:p>
        </w:tc>
        <w:tc>
          <w:tcPr>
            <w:tcW w:w="972" w:type="dxa"/>
            <w:noWrap/>
            <w:hideMark/>
          </w:tcPr>
          <w:p w14:paraId="705A430B" w14:textId="77777777" w:rsidR="00A15B2C" w:rsidRPr="00EC1346" w:rsidRDefault="00A15B2C" w:rsidP="00A15B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color w:val="000000"/>
                <w:sz w:val="20"/>
                <w:szCs w:val="20"/>
              </w:rPr>
            </w:pPr>
            <w:r w:rsidRPr="00EC1346">
              <w:rPr>
                <w:rFonts w:ascii="Calibri" w:eastAsia="Times New Roman" w:hAnsi="Calibri"/>
                <w:b w:val="0"/>
                <w:color w:val="000000"/>
                <w:sz w:val="20"/>
                <w:szCs w:val="20"/>
              </w:rPr>
              <w:t>2021</w:t>
            </w:r>
          </w:p>
        </w:tc>
      </w:tr>
      <w:tr w:rsidR="00A15B2C" w:rsidRPr="00EC1346" w14:paraId="7FE6EF2A" w14:textId="77777777" w:rsidTr="00A15B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37A3E08" w14:textId="77777777" w:rsidR="00A15B2C" w:rsidRPr="00EC1346" w:rsidRDefault="00A15B2C">
            <w:pPr>
              <w:rPr>
                <w:rFonts w:ascii="Calibri" w:eastAsia="Times New Roman" w:hAnsi="Calibri"/>
                <w:color w:val="000000"/>
                <w:sz w:val="20"/>
                <w:szCs w:val="20"/>
              </w:rPr>
            </w:pPr>
            <w:r w:rsidRPr="00EC1346">
              <w:rPr>
                <w:rFonts w:ascii="Calibri" w:eastAsia="Times New Roman" w:hAnsi="Calibri"/>
                <w:color w:val="000000"/>
                <w:sz w:val="20"/>
                <w:szCs w:val="20"/>
              </w:rPr>
              <w:t>Темп роста цен на жилье на первичном рынке</w:t>
            </w:r>
          </w:p>
        </w:tc>
        <w:tc>
          <w:tcPr>
            <w:tcW w:w="972" w:type="dxa"/>
            <w:noWrap/>
            <w:vAlign w:val="center"/>
            <w:hideMark/>
          </w:tcPr>
          <w:p w14:paraId="33AAB9EF" w14:textId="4C1F112D" w:rsidR="00A15B2C" w:rsidRPr="00EC1346" w:rsidRDefault="00A15B2C" w:rsidP="00A15B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-1,5%</w:t>
            </w:r>
          </w:p>
        </w:tc>
        <w:tc>
          <w:tcPr>
            <w:tcW w:w="972" w:type="dxa"/>
            <w:noWrap/>
            <w:vAlign w:val="center"/>
            <w:hideMark/>
          </w:tcPr>
          <w:p w14:paraId="37ABD792" w14:textId="3A972C6C" w:rsidR="00A15B2C" w:rsidRPr="00EC1346" w:rsidRDefault="00A15B2C" w:rsidP="00A15B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-3,8%</w:t>
            </w:r>
          </w:p>
        </w:tc>
        <w:tc>
          <w:tcPr>
            <w:tcW w:w="972" w:type="dxa"/>
            <w:noWrap/>
            <w:vAlign w:val="center"/>
            <w:hideMark/>
          </w:tcPr>
          <w:p w14:paraId="5679DC65" w14:textId="352DAF6B" w:rsidR="00A15B2C" w:rsidRPr="00EC1346" w:rsidRDefault="00A15B2C" w:rsidP="00A15B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-5,0%</w:t>
            </w:r>
          </w:p>
        </w:tc>
        <w:tc>
          <w:tcPr>
            <w:tcW w:w="972" w:type="dxa"/>
            <w:noWrap/>
            <w:vAlign w:val="center"/>
            <w:hideMark/>
          </w:tcPr>
          <w:p w14:paraId="1C08FF29" w14:textId="49A2A008" w:rsidR="00A15B2C" w:rsidRPr="00EC1346" w:rsidRDefault="00A15B2C" w:rsidP="00A15B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-5,0%</w:t>
            </w:r>
          </w:p>
        </w:tc>
        <w:tc>
          <w:tcPr>
            <w:tcW w:w="972" w:type="dxa"/>
            <w:noWrap/>
            <w:vAlign w:val="center"/>
            <w:hideMark/>
          </w:tcPr>
          <w:p w14:paraId="20319406" w14:textId="45E12CCD" w:rsidR="00A15B2C" w:rsidRPr="00EC1346" w:rsidRDefault="00A15B2C" w:rsidP="00A15B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0,0%</w:t>
            </w:r>
          </w:p>
        </w:tc>
        <w:tc>
          <w:tcPr>
            <w:tcW w:w="972" w:type="dxa"/>
            <w:noWrap/>
            <w:vAlign w:val="center"/>
            <w:hideMark/>
          </w:tcPr>
          <w:p w14:paraId="290872A3" w14:textId="5F92F3BC" w:rsidR="00A15B2C" w:rsidRPr="00EC1346" w:rsidRDefault="00A15B2C" w:rsidP="00A15B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0,0%</w:t>
            </w:r>
          </w:p>
        </w:tc>
        <w:tc>
          <w:tcPr>
            <w:tcW w:w="972" w:type="dxa"/>
            <w:noWrap/>
            <w:vAlign w:val="center"/>
            <w:hideMark/>
          </w:tcPr>
          <w:p w14:paraId="4422A37E" w14:textId="673A2BA4" w:rsidR="00A15B2C" w:rsidRPr="00EC1346" w:rsidRDefault="00A15B2C" w:rsidP="00A15B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0,0%</w:t>
            </w:r>
          </w:p>
        </w:tc>
      </w:tr>
      <w:tr w:rsidR="00A15B2C" w:rsidRPr="00EC1346" w14:paraId="2E911CD7" w14:textId="77777777" w:rsidTr="00A15B2C">
        <w:trPr>
          <w:trHeight w:val="32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97208A8" w14:textId="2C64C3CA" w:rsidR="00A15B2C" w:rsidRPr="00EC1346" w:rsidRDefault="00A15B2C">
            <w:pPr>
              <w:rPr>
                <w:rFonts w:ascii="Calibri" w:eastAsia="Times New Roman" w:hAnsi="Calibri"/>
                <w:color w:val="000000"/>
                <w:sz w:val="20"/>
                <w:szCs w:val="20"/>
              </w:rPr>
            </w:pPr>
            <w:r w:rsidRPr="00EC1346">
              <w:rPr>
                <w:rFonts w:ascii="Calibri" w:eastAsia="Times New Roman" w:hAnsi="Calibri"/>
                <w:color w:val="000000"/>
                <w:sz w:val="20"/>
                <w:szCs w:val="20"/>
              </w:rPr>
              <w:t>Темп роста постоянных затрат</w:t>
            </w:r>
            <w:r w:rsidRPr="00EC1346">
              <w:rPr>
                <w:rStyle w:val="a7"/>
                <w:rFonts w:ascii="Calibri" w:eastAsia="Times New Roman" w:hAnsi="Calibri"/>
                <w:color w:val="000000"/>
                <w:sz w:val="20"/>
                <w:szCs w:val="20"/>
              </w:rPr>
              <w:footnoteReference w:id="14"/>
            </w:r>
          </w:p>
        </w:tc>
        <w:tc>
          <w:tcPr>
            <w:tcW w:w="972" w:type="dxa"/>
            <w:noWrap/>
            <w:vAlign w:val="center"/>
            <w:hideMark/>
          </w:tcPr>
          <w:p w14:paraId="06C2EC2D" w14:textId="1AEC23EC" w:rsidR="00A15B2C" w:rsidRPr="00EC1346" w:rsidRDefault="00A15B2C" w:rsidP="00A15B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4,9%</w:t>
            </w:r>
          </w:p>
        </w:tc>
        <w:tc>
          <w:tcPr>
            <w:tcW w:w="972" w:type="dxa"/>
            <w:noWrap/>
            <w:vAlign w:val="center"/>
            <w:hideMark/>
          </w:tcPr>
          <w:p w14:paraId="7EEB3756" w14:textId="374C2EE4" w:rsidR="00A15B2C" w:rsidRPr="00EC1346" w:rsidRDefault="00A15B2C" w:rsidP="00A15B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3,9%</w:t>
            </w:r>
          </w:p>
        </w:tc>
        <w:tc>
          <w:tcPr>
            <w:tcW w:w="972" w:type="dxa"/>
            <w:noWrap/>
            <w:vAlign w:val="center"/>
            <w:hideMark/>
          </w:tcPr>
          <w:p w14:paraId="20B6D8E7" w14:textId="6D3AAA97" w:rsidR="00A15B2C" w:rsidRPr="00EC1346" w:rsidRDefault="00A15B2C" w:rsidP="00A15B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4,2%</w:t>
            </w:r>
          </w:p>
        </w:tc>
        <w:tc>
          <w:tcPr>
            <w:tcW w:w="972" w:type="dxa"/>
            <w:noWrap/>
            <w:vAlign w:val="center"/>
            <w:hideMark/>
          </w:tcPr>
          <w:p w14:paraId="21ABD6BC" w14:textId="24F487BA" w:rsidR="00A15B2C" w:rsidRPr="00EC1346" w:rsidRDefault="00A15B2C" w:rsidP="00A15B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5,5%</w:t>
            </w:r>
          </w:p>
        </w:tc>
        <w:tc>
          <w:tcPr>
            <w:tcW w:w="972" w:type="dxa"/>
            <w:noWrap/>
            <w:vAlign w:val="center"/>
            <w:hideMark/>
          </w:tcPr>
          <w:p w14:paraId="5859A258" w14:textId="4529EE4E" w:rsidR="00A15B2C" w:rsidRPr="00EC1346" w:rsidRDefault="00A15B2C" w:rsidP="00A15B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5,3%</w:t>
            </w:r>
          </w:p>
        </w:tc>
        <w:tc>
          <w:tcPr>
            <w:tcW w:w="972" w:type="dxa"/>
            <w:noWrap/>
            <w:vAlign w:val="center"/>
            <w:hideMark/>
          </w:tcPr>
          <w:p w14:paraId="01B5DEB7" w14:textId="6BC553E6" w:rsidR="00A15B2C" w:rsidRPr="00EC1346" w:rsidRDefault="00A15B2C" w:rsidP="00A15B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5,3%</w:t>
            </w:r>
          </w:p>
        </w:tc>
        <w:tc>
          <w:tcPr>
            <w:tcW w:w="972" w:type="dxa"/>
            <w:noWrap/>
            <w:vAlign w:val="center"/>
            <w:hideMark/>
          </w:tcPr>
          <w:p w14:paraId="392DD6AA" w14:textId="3BBDFE79" w:rsidR="00A15B2C" w:rsidRPr="00EC1346" w:rsidRDefault="00A15B2C" w:rsidP="00A15B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5,3%</w:t>
            </w:r>
          </w:p>
        </w:tc>
      </w:tr>
      <w:tr w:rsidR="00A15B2C" w:rsidRPr="00EC1346" w14:paraId="4CEB27A1" w14:textId="77777777" w:rsidTr="00A15B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00C2FDC" w14:textId="02903E00" w:rsidR="00A15B2C" w:rsidRPr="00EC1346" w:rsidRDefault="00A15B2C">
            <w:pPr>
              <w:rPr>
                <w:rFonts w:ascii="Calibri" w:eastAsia="Times New Roman" w:hAnsi="Calibri"/>
                <w:color w:val="000000"/>
                <w:sz w:val="20"/>
                <w:szCs w:val="20"/>
              </w:rPr>
            </w:pPr>
            <w:r w:rsidRPr="00EC1346">
              <w:rPr>
                <w:rFonts w:ascii="Calibri" w:eastAsia="Times New Roman" w:hAnsi="Calibri"/>
                <w:color w:val="000000"/>
                <w:sz w:val="20"/>
                <w:szCs w:val="20"/>
              </w:rPr>
              <w:t>Изменение объема продаж по ДДУ</w:t>
            </w:r>
            <w:r w:rsidRPr="00EC1346">
              <w:rPr>
                <w:rStyle w:val="a7"/>
                <w:rFonts w:ascii="Calibri" w:eastAsia="Times New Roman" w:hAnsi="Calibri"/>
                <w:color w:val="000000"/>
                <w:sz w:val="20"/>
                <w:szCs w:val="20"/>
              </w:rPr>
              <w:footnoteReference w:id="15"/>
            </w:r>
          </w:p>
        </w:tc>
        <w:tc>
          <w:tcPr>
            <w:tcW w:w="972" w:type="dxa"/>
            <w:noWrap/>
            <w:vAlign w:val="center"/>
            <w:hideMark/>
          </w:tcPr>
          <w:p w14:paraId="3E94D6E6" w14:textId="3AE5BD5D" w:rsidR="00A15B2C" w:rsidRPr="00EC1346" w:rsidRDefault="00A15B2C" w:rsidP="00A15B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-24,2%</w:t>
            </w:r>
          </w:p>
        </w:tc>
        <w:tc>
          <w:tcPr>
            <w:tcW w:w="972" w:type="dxa"/>
            <w:noWrap/>
            <w:vAlign w:val="center"/>
            <w:hideMark/>
          </w:tcPr>
          <w:p w14:paraId="6F05166F" w14:textId="4A10BEC7" w:rsidR="00A15B2C" w:rsidRPr="00EC1346" w:rsidRDefault="00A15B2C" w:rsidP="00A15B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3,2%</w:t>
            </w:r>
          </w:p>
        </w:tc>
        <w:tc>
          <w:tcPr>
            <w:tcW w:w="972" w:type="dxa"/>
            <w:noWrap/>
            <w:vAlign w:val="center"/>
            <w:hideMark/>
          </w:tcPr>
          <w:p w14:paraId="313A9B35" w14:textId="12B3E8FA" w:rsidR="00A15B2C" w:rsidRPr="00EC1346" w:rsidRDefault="00A15B2C" w:rsidP="00A15B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-30,0%</w:t>
            </w:r>
          </w:p>
        </w:tc>
        <w:tc>
          <w:tcPr>
            <w:tcW w:w="972" w:type="dxa"/>
            <w:noWrap/>
            <w:vAlign w:val="center"/>
            <w:hideMark/>
          </w:tcPr>
          <w:p w14:paraId="306115E6" w14:textId="0A55856B" w:rsidR="00A15B2C" w:rsidRPr="00EC1346" w:rsidRDefault="00A15B2C" w:rsidP="00A15B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-10,0%</w:t>
            </w:r>
          </w:p>
        </w:tc>
        <w:tc>
          <w:tcPr>
            <w:tcW w:w="972" w:type="dxa"/>
            <w:noWrap/>
            <w:vAlign w:val="center"/>
            <w:hideMark/>
          </w:tcPr>
          <w:p w14:paraId="1791E3A3" w14:textId="36AE7FA4" w:rsidR="00A15B2C" w:rsidRPr="00EC1346" w:rsidRDefault="00A15B2C" w:rsidP="00A15B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0,0%</w:t>
            </w:r>
          </w:p>
        </w:tc>
        <w:tc>
          <w:tcPr>
            <w:tcW w:w="972" w:type="dxa"/>
            <w:noWrap/>
            <w:vAlign w:val="center"/>
            <w:hideMark/>
          </w:tcPr>
          <w:p w14:paraId="52D697D7" w14:textId="057ADAA8" w:rsidR="00A15B2C" w:rsidRPr="00EC1346" w:rsidRDefault="00A15B2C" w:rsidP="00A15B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0,0%</w:t>
            </w:r>
          </w:p>
        </w:tc>
        <w:tc>
          <w:tcPr>
            <w:tcW w:w="972" w:type="dxa"/>
            <w:noWrap/>
            <w:vAlign w:val="center"/>
            <w:hideMark/>
          </w:tcPr>
          <w:p w14:paraId="0D8BF2B8" w14:textId="3D3F1A43" w:rsidR="00A15B2C" w:rsidRPr="00EC1346" w:rsidRDefault="00A15B2C" w:rsidP="00A15B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0,0%</w:t>
            </w:r>
          </w:p>
        </w:tc>
      </w:tr>
    </w:tbl>
    <w:p w14:paraId="3E94C089" w14:textId="77777777" w:rsidR="00A15B2C" w:rsidRPr="00EC1346" w:rsidRDefault="00A15B2C" w:rsidP="00EB11D5">
      <w:pPr>
        <w:spacing w:line="360" w:lineRule="auto"/>
        <w:jc w:val="both"/>
        <w:rPr>
          <w:rFonts w:asciiTheme="minorHAnsi" w:hAnsiTheme="minorHAnsi"/>
        </w:rPr>
      </w:pPr>
    </w:p>
    <w:p w14:paraId="4A2ACE92" w14:textId="56BC202A" w:rsidR="00A15B2C" w:rsidRPr="00EC1346" w:rsidRDefault="00A15B2C" w:rsidP="00A15B2C">
      <w:pPr>
        <w:spacing w:after="120" w:line="360" w:lineRule="auto"/>
        <w:jc w:val="both"/>
        <w:rPr>
          <w:rFonts w:asciiTheme="minorHAnsi" w:hAnsiTheme="minorHAnsi"/>
        </w:rPr>
      </w:pPr>
      <w:r w:rsidRPr="00EC1346">
        <w:rPr>
          <w:rFonts w:asciiTheme="minorHAnsi" w:hAnsiTheme="minorHAnsi"/>
        </w:rPr>
        <w:t>Для оценки эффективности работы Фонда был</w:t>
      </w:r>
      <w:r w:rsidR="00557D58" w:rsidRPr="00EC1346">
        <w:rPr>
          <w:rFonts w:asciiTheme="minorHAnsi" w:hAnsiTheme="minorHAnsi"/>
        </w:rPr>
        <w:t>и</w:t>
      </w:r>
      <w:r w:rsidRPr="00EC1346">
        <w:rPr>
          <w:rFonts w:asciiTheme="minorHAnsi" w:hAnsiTheme="minorHAnsi"/>
        </w:rPr>
        <w:t xml:space="preserve"> разработаны </w:t>
      </w:r>
      <w:r w:rsidR="00EE314E" w:rsidRPr="00EC1346">
        <w:rPr>
          <w:rFonts w:asciiTheme="minorHAnsi" w:hAnsiTheme="minorHAnsi"/>
        </w:rPr>
        <w:t xml:space="preserve">четыре </w:t>
      </w:r>
      <w:r w:rsidRPr="00EC1346">
        <w:rPr>
          <w:rFonts w:asciiTheme="minorHAnsi" w:hAnsiTheme="minorHAnsi"/>
        </w:rPr>
        <w:t>сценария:</w:t>
      </w:r>
    </w:p>
    <w:p w14:paraId="60C6EA6A" w14:textId="6980FC1F" w:rsidR="00D1304D" w:rsidRPr="00EC1346" w:rsidRDefault="00A15B2C" w:rsidP="00A15B2C">
      <w:pPr>
        <w:pStyle w:val="a3"/>
        <w:numPr>
          <w:ilvl w:val="0"/>
          <w:numId w:val="15"/>
        </w:numPr>
        <w:spacing w:after="120" w:line="360" w:lineRule="auto"/>
        <w:jc w:val="both"/>
        <w:rPr>
          <w:b/>
          <w:sz w:val="24"/>
          <w:szCs w:val="24"/>
        </w:rPr>
      </w:pPr>
      <w:r w:rsidRPr="00EC1346">
        <w:rPr>
          <w:b/>
          <w:sz w:val="24"/>
          <w:szCs w:val="24"/>
        </w:rPr>
        <w:t>Сценарий №1</w:t>
      </w:r>
      <w:r w:rsidRPr="00EC1346">
        <w:rPr>
          <w:sz w:val="24"/>
          <w:szCs w:val="24"/>
        </w:rPr>
        <w:t xml:space="preserve"> предполагает, что норма об обязательном </w:t>
      </w:r>
      <w:r w:rsidR="00832DCC" w:rsidRPr="00EC1346">
        <w:rPr>
          <w:sz w:val="24"/>
          <w:szCs w:val="24"/>
        </w:rPr>
        <w:t xml:space="preserve">обеспечении ответственности застройщика </w:t>
      </w:r>
      <w:r w:rsidRPr="00EC1346">
        <w:rPr>
          <w:sz w:val="24"/>
          <w:szCs w:val="24"/>
        </w:rPr>
        <w:t xml:space="preserve">будет упразднена, страхование </w:t>
      </w:r>
      <w:r w:rsidR="00557D58" w:rsidRPr="00EC1346">
        <w:rPr>
          <w:sz w:val="24"/>
          <w:szCs w:val="24"/>
        </w:rPr>
        <w:t>добровольной</w:t>
      </w:r>
      <w:r w:rsidRPr="00EC1346">
        <w:rPr>
          <w:sz w:val="24"/>
          <w:szCs w:val="24"/>
        </w:rPr>
        <w:t xml:space="preserve"> гражданской ответственности застройщика перестанет осуществляться, а Фонд начнет работу с 2017 г. </w:t>
      </w:r>
      <w:r w:rsidR="00A533FD" w:rsidRPr="00EC1346">
        <w:rPr>
          <w:sz w:val="24"/>
          <w:szCs w:val="24"/>
        </w:rPr>
        <w:t xml:space="preserve">Недостаток денежных средств Фонда компенсируется из бюджета. </w:t>
      </w:r>
      <w:r w:rsidR="00A533FD" w:rsidRPr="00EC1346">
        <w:rPr>
          <w:b/>
          <w:sz w:val="24"/>
          <w:szCs w:val="24"/>
        </w:rPr>
        <w:lastRenderedPageBreak/>
        <w:t xml:space="preserve">Детали </w:t>
      </w:r>
      <w:r w:rsidR="00343FD0" w:rsidRPr="00EC1346">
        <w:rPr>
          <w:b/>
          <w:sz w:val="24"/>
          <w:szCs w:val="24"/>
        </w:rPr>
        <w:t xml:space="preserve">рассмотренного </w:t>
      </w:r>
      <w:r w:rsidR="00A533FD" w:rsidRPr="00EC1346">
        <w:rPr>
          <w:b/>
          <w:sz w:val="24"/>
          <w:szCs w:val="24"/>
        </w:rPr>
        <w:t>м</w:t>
      </w:r>
      <w:r w:rsidRPr="00EC1346">
        <w:rPr>
          <w:b/>
          <w:sz w:val="24"/>
          <w:szCs w:val="24"/>
        </w:rPr>
        <w:t>еханизм</w:t>
      </w:r>
      <w:r w:rsidR="00557D58" w:rsidRPr="00EC1346">
        <w:rPr>
          <w:b/>
          <w:sz w:val="24"/>
          <w:szCs w:val="24"/>
        </w:rPr>
        <w:t>а работы Компенсационного Ф</w:t>
      </w:r>
      <w:r w:rsidR="00A533FD" w:rsidRPr="00EC1346">
        <w:rPr>
          <w:b/>
          <w:sz w:val="24"/>
          <w:szCs w:val="24"/>
        </w:rPr>
        <w:t>онда описаны в Разделе №2</w:t>
      </w:r>
      <w:r w:rsidRPr="00EC1346">
        <w:rPr>
          <w:b/>
          <w:sz w:val="24"/>
          <w:szCs w:val="24"/>
        </w:rPr>
        <w:t>.</w:t>
      </w:r>
    </w:p>
    <w:p w14:paraId="1ADF8FE4" w14:textId="0D27083A" w:rsidR="00A15B2C" w:rsidRPr="00EC1346" w:rsidRDefault="00D1304D" w:rsidP="00A15B2C">
      <w:pPr>
        <w:pStyle w:val="a3"/>
        <w:numPr>
          <w:ilvl w:val="0"/>
          <w:numId w:val="15"/>
        </w:numPr>
        <w:spacing w:after="120" w:line="360" w:lineRule="auto"/>
        <w:jc w:val="both"/>
        <w:rPr>
          <w:b/>
          <w:sz w:val="24"/>
          <w:szCs w:val="24"/>
        </w:rPr>
      </w:pPr>
      <w:r w:rsidRPr="00EC1346">
        <w:rPr>
          <w:b/>
          <w:sz w:val="24"/>
          <w:szCs w:val="24"/>
        </w:rPr>
        <w:t>Сценарий №2</w:t>
      </w:r>
      <w:r w:rsidR="00701D79" w:rsidRPr="00EC1346">
        <w:rPr>
          <w:b/>
          <w:sz w:val="24"/>
          <w:szCs w:val="24"/>
        </w:rPr>
        <w:t xml:space="preserve"> </w:t>
      </w:r>
      <w:r w:rsidR="00701D79" w:rsidRPr="00EC1346">
        <w:rPr>
          <w:sz w:val="24"/>
          <w:szCs w:val="24"/>
        </w:rPr>
        <w:t xml:space="preserve">равнозначен Сценарию №1, за исключением того, что в Сценарии №2 рассматриваются последствия участия </w:t>
      </w:r>
      <w:r w:rsidR="00701D79" w:rsidRPr="00EC1346">
        <w:rPr>
          <w:b/>
          <w:sz w:val="24"/>
          <w:szCs w:val="24"/>
        </w:rPr>
        <w:t>(путем внесения денежных средств и включения соответствующих обязательств)</w:t>
      </w:r>
      <w:r w:rsidR="00701D79" w:rsidRPr="00EC1346">
        <w:rPr>
          <w:sz w:val="24"/>
          <w:szCs w:val="24"/>
        </w:rPr>
        <w:t xml:space="preserve"> существующих страховщиков в капитале Компенсационного Фонда.</w:t>
      </w:r>
    </w:p>
    <w:p w14:paraId="565B4793" w14:textId="250385C6" w:rsidR="00A15B2C" w:rsidRPr="00EC1346" w:rsidRDefault="00D1304D" w:rsidP="00A15B2C">
      <w:pPr>
        <w:pStyle w:val="a3"/>
        <w:numPr>
          <w:ilvl w:val="0"/>
          <w:numId w:val="15"/>
        </w:numPr>
        <w:spacing w:after="120" w:line="360" w:lineRule="auto"/>
        <w:jc w:val="both"/>
        <w:rPr>
          <w:sz w:val="24"/>
          <w:szCs w:val="24"/>
        </w:rPr>
      </w:pPr>
      <w:r w:rsidRPr="00EC1346">
        <w:rPr>
          <w:b/>
          <w:sz w:val="24"/>
          <w:szCs w:val="24"/>
        </w:rPr>
        <w:t>Сценарий №</w:t>
      </w:r>
      <w:r w:rsidR="00B60780" w:rsidRPr="00EC1346">
        <w:rPr>
          <w:b/>
          <w:sz w:val="24"/>
          <w:szCs w:val="24"/>
        </w:rPr>
        <w:t>3</w:t>
      </w:r>
      <w:r w:rsidR="00A15B2C" w:rsidRPr="00EC1346">
        <w:rPr>
          <w:b/>
          <w:sz w:val="24"/>
          <w:szCs w:val="24"/>
        </w:rPr>
        <w:t xml:space="preserve"> </w:t>
      </w:r>
      <w:r w:rsidR="00A15B2C" w:rsidRPr="00EC1346">
        <w:rPr>
          <w:sz w:val="24"/>
          <w:szCs w:val="24"/>
        </w:rPr>
        <w:t xml:space="preserve">предполагает, </w:t>
      </w:r>
      <w:r w:rsidR="00557D58" w:rsidRPr="00EC1346">
        <w:rPr>
          <w:sz w:val="24"/>
          <w:szCs w:val="24"/>
        </w:rPr>
        <w:t xml:space="preserve">что </w:t>
      </w:r>
      <w:r w:rsidR="00A15B2C" w:rsidRPr="00EC1346">
        <w:rPr>
          <w:sz w:val="24"/>
          <w:szCs w:val="24"/>
        </w:rPr>
        <w:t>Компенсационный Фонд будет создан, но норма о страховании гражданской ответственности останется обязательной для застройщиков. Застройщики будут оплачив</w:t>
      </w:r>
      <w:r w:rsidR="00557D58" w:rsidRPr="00EC1346">
        <w:rPr>
          <w:sz w:val="24"/>
          <w:szCs w:val="24"/>
        </w:rPr>
        <w:t>ать взносы и в Компенсационный Ф</w:t>
      </w:r>
      <w:r w:rsidR="00A15B2C" w:rsidRPr="00EC1346">
        <w:rPr>
          <w:sz w:val="24"/>
          <w:szCs w:val="24"/>
        </w:rPr>
        <w:t xml:space="preserve">онд (1%), и на страхование ответственности; при этом Компенсационный Фонд гарантирует выплату в размере 1 млн. руб. на строительство каждой квартиры (сумма корректируется на процент готовности объекта), а страховые компании покрывают остаток требуемой для достройки суммы. Предполагается, что данный механизм не повлияет на цену жилья, так как цена определяется рынком на основании спроса и предложения. </w:t>
      </w:r>
    </w:p>
    <w:p w14:paraId="132FCE4E" w14:textId="6195EE89" w:rsidR="00B60780" w:rsidRPr="00EC1346" w:rsidRDefault="00B60780" w:rsidP="00A15B2C">
      <w:pPr>
        <w:pStyle w:val="a3"/>
        <w:numPr>
          <w:ilvl w:val="0"/>
          <w:numId w:val="15"/>
        </w:numPr>
        <w:spacing w:after="120" w:line="360" w:lineRule="auto"/>
        <w:jc w:val="both"/>
        <w:rPr>
          <w:sz w:val="24"/>
          <w:szCs w:val="24"/>
        </w:rPr>
      </w:pPr>
      <w:r w:rsidRPr="00EC1346">
        <w:rPr>
          <w:b/>
          <w:sz w:val="24"/>
          <w:szCs w:val="24"/>
        </w:rPr>
        <w:t xml:space="preserve">Сценарий №4 </w:t>
      </w:r>
      <w:r w:rsidRPr="00EC1346">
        <w:rPr>
          <w:sz w:val="24"/>
          <w:szCs w:val="24"/>
        </w:rPr>
        <w:t>является предположением о показателях работы Компенсационного Фонда в условиях отсутствия финансирования первоначального капитала со стороны государства.</w:t>
      </w:r>
    </w:p>
    <w:p w14:paraId="03871D11" w14:textId="53C8E8A4" w:rsidR="00F26CB0" w:rsidRPr="00EC1346" w:rsidRDefault="00557D58" w:rsidP="00557D58">
      <w:pPr>
        <w:spacing w:after="120" w:line="360" w:lineRule="auto"/>
        <w:jc w:val="both"/>
        <w:rPr>
          <w:rFonts w:asciiTheme="minorHAnsi" w:hAnsiTheme="minorHAnsi"/>
        </w:rPr>
      </w:pPr>
      <w:r w:rsidRPr="00EC1346">
        <w:rPr>
          <w:rFonts w:asciiTheme="minorHAnsi" w:hAnsiTheme="minorHAnsi"/>
        </w:rPr>
        <w:t>В рамках создания экономической модели</w:t>
      </w:r>
      <w:r w:rsidR="00A533FD" w:rsidRPr="00EC1346">
        <w:rPr>
          <w:rFonts w:asciiTheme="minorHAnsi" w:hAnsiTheme="minorHAnsi"/>
        </w:rPr>
        <w:t xml:space="preserve"> Компенсационного Фонда, компании-застройщики были разделены на группы, в соответствии с их результатами в 2016 г. </w:t>
      </w:r>
    </w:p>
    <w:p w14:paraId="577D2438" w14:textId="5BF597BA" w:rsidR="00A533FD" w:rsidRPr="00EC1346" w:rsidRDefault="00A533FD" w:rsidP="00A533FD">
      <w:pPr>
        <w:pStyle w:val="a3"/>
        <w:numPr>
          <w:ilvl w:val="0"/>
          <w:numId w:val="16"/>
        </w:numPr>
        <w:spacing w:after="120" w:line="360" w:lineRule="auto"/>
        <w:jc w:val="both"/>
        <w:rPr>
          <w:sz w:val="24"/>
          <w:szCs w:val="24"/>
        </w:rPr>
      </w:pPr>
      <w:r w:rsidRPr="00EC1346">
        <w:rPr>
          <w:sz w:val="24"/>
          <w:szCs w:val="24"/>
        </w:rPr>
        <w:t>В первую группу (Группа №1) вошли «эффективные» компании, которые работают с прибылью в текущих условиях, после падения рынка в 2015 г.</w:t>
      </w:r>
      <w:r w:rsidR="00343FD0" w:rsidRPr="00EC1346">
        <w:rPr>
          <w:sz w:val="24"/>
          <w:szCs w:val="24"/>
        </w:rPr>
        <w:t>;</w:t>
      </w:r>
    </w:p>
    <w:p w14:paraId="4B64DA94" w14:textId="31C630A7" w:rsidR="00A533FD" w:rsidRPr="00EC1346" w:rsidRDefault="00A533FD" w:rsidP="00A533FD">
      <w:pPr>
        <w:pStyle w:val="a3"/>
        <w:numPr>
          <w:ilvl w:val="0"/>
          <w:numId w:val="16"/>
        </w:numPr>
        <w:spacing w:after="120" w:line="360" w:lineRule="auto"/>
        <w:jc w:val="both"/>
        <w:rPr>
          <w:sz w:val="24"/>
          <w:szCs w:val="24"/>
        </w:rPr>
      </w:pPr>
      <w:r w:rsidRPr="00EC1346">
        <w:rPr>
          <w:sz w:val="24"/>
          <w:szCs w:val="24"/>
        </w:rPr>
        <w:t>Во вторую группу (Группа №2) вошли  компании, деятельность которых является бе</w:t>
      </w:r>
      <w:r w:rsidR="00343FD0" w:rsidRPr="00EC1346">
        <w:rPr>
          <w:sz w:val="24"/>
          <w:szCs w:val="24"/>
        </w:rPr>
        <w:t>зубыточной (прибыль равна нулю);</w:t>
      </w:r>
    </w:p>
    <w:p w14:paraId="671AE6A5" w14:textId="1B455169" w:rsidR="00A533FD" w:rsidRPr="00EC1346" w:rsidRDefault="00A533FD" w:rsidP="00A533FD">
      <w:pPr>
        <w:pStyle w:val="a3"/>
        <w:numPr>
          <w:ilvl w:val="0"/>
          <w:numId w:val="16"/>
        </w:numPr>
        <w:spacing w:after="120" w:line="360" w:lineRule="auto"/>
        <w:jc w:val="both"/>
        <w:rPr>
          <w:sz w:val="24"/>
          <w:szCs w:val="24"/>
        </w:rPr>
      </w:pPr>
      <w:r w:rsidRPr="00EC1346">
        <w:rPr>
          <w:sz w:val="24"/>
          <w:szCs w:val="24"/>
        </w:rPr>
        <w:t>В третью (Группа №3)  групп</w:t>
      </w:r>
      <w:r w:rsidR="00343FD0" w:rsidRPr="00EC1346">
        <w:rPr>
          <w:sz w:val="24"/>
          <w:szCs w:val="24"/>
        </w:rPr>
        <w:t>у вошли «неэффективные»</w:t>
      </w:r>
      <w:r w:rsidRPr="00EC1346">
        <w:rPr>
          <w:sz w:val="24"/>
          <w:szCs w:val="24"/>
        </w:rPr>
        <w:t xml:space="preserve"> компании, в текущих условиях работающие с убытком</w:t>
      </w:r>
      <w:r w:rsidR="00343FD0" w:rsidRPr="00EC1346">
        <w:rPr>
          <w:sz w:val="24"/>
          <w:szCs w:val="24"/>
        </w:rPr>
        <w:t>;</w:t>
      </w:r>
      <w:r w:rsidRPr="00EC1346">
        <w:rPr>
          <w:sz w:val="24"/>
          <w:szCs w:val="24"/>
        </w:rPr>
        <w:t xml:space="preserve"> </w:t>
      </w:r>
    </w:p>
    <w:p w14:paraId="4223BE04" w14:textId="4D50DB59" w:rsidR="00A533FD" w:rsidRPr="00EC1346" w:rsidRDefault="00A533FD" w:rsidP="00A533FD">
      <w:pPr>
        <w:pStyle w:val="a3"/>
        <w:numPr>
          <w:ilvl w:val="0"/>
          <w:numId w:val="16"/>
        </w:numPr>
        <w:spacing w:after="120" w:line="360" w:lineRule="auto"/>
        <w:jc w:val="both"/>
        <w:rPr>
          <w:sz w:val="24"/>
          <w:szCs w:val="24"/>
        </w:rPr>
      </w:pPr>
      <w:r w:rsidRPr="00EC1346">
        <w:rPr>
          <w:sz w:val="24"/>
          <w:szCs w:val="24"/>
        </w:rPr>
        <w:t xml:space="preserve">В четвертую группу (Группа №4) вошли недобросовестные застройщики, которые не </w:t>
      </w:r>
      <w:proofErr w:type="gramStart"/>
      <w:r w:rsidRPr="00EC1346">
        <w:rPr>
          <w:sz w:val="24"/>
          <w:szCs w:val="24"/>
        </w:rPr>
        <w:t>собираются</w:t>
      </w:r>
      <w:proofErr w:type="gramEnd"/>
      <w:r w:rsidRPr="00EC1346">
        <w:rPr>
          <w:sz w:val="24"/>
          <w:szCs w:val="24"/>
        </w:rPr>
        <w:t xml:space="preserve"> выполнят свои обязательства по достройке жилья (принято допущение, что на момент прекращения отношений с дольщиками объект готов на 30%)</w:t>
      </w:r>
      <w:r w:rsidR="00343FD0" w:rsidRPr="00EC1346">
        <w:rPr>
          <w:sz w:val="24"/>
          <w:szCs w:val="24"/>
        </w:rPr>
        <w:t>.</w:t>
      </w:r>
    </w:p>
    <w:p w14:paraId="2F153ECD" w14:textId="1F1F592E" w:rsidR="00A533FD" w:rsidRPr="00EC1346" w:rsidRDefault="00A533FD" w:rsidP="00A15B2C">
      <w:pPr>
        <w:spacing w:after="120" w:line="360" w:lineRule="auto"/>
        <w:rPr>
          <w:rFonts w:asciiTheme="minorHAnsi" w:hAnsiTheme="minorHAnsi"/>
        </w:rPr>
      </w:pPr>
      <w:r w:rsidRPr="00EC1346">
        <w:rPr>
          <w:rFonts w:asciiTheme="minorHAnsi" w:hAnsiTheme="minorHAnsi"/>
        </w:rPr>
        <w:t>Параметры описанных групп представлены в следующей таблице:</w:t>
      </w:r>
    </w:p>
    <w:tbl>
      <w:tblPr>
        <w:tblStyle w:val="ListTable6ColorfulAccent6"/>
        <w:tblW w:w="9640" w:type="dxa"/>
        <w:tblLook w:val="04A0" w:firstRow="1" w:lastRow="0" w:firstColumn="1" w:lastColumn="0" w:noHBand="0" w:noVBand="1"/>
      </w:tblPr>
      <w:tblGrid>
        <w:gridCol w:w="4440"/>
        <w:gridCol w:w="1300"/>
        <w:gridCol w:w="1300"/>
        <w:gridCol w:w="1300"/>
        <w:gridCol w:w="1300"/>
      </w:tblGrid>
      <w:tr w:rsidR="00A533FD" w:rsidRPr="00EC1346" w14:paraId="55AD5DBF" w14:textId="77777777" w:rsidTr="00A533F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440" w:type="dxa"/>
            <w:noWrap/>
            <w:hideMark/>
          </w:tcPr>
          <w:p w14:paraId="12EDC5B5" w14:textId="77777777" w:rsidR="00A533FD" w:rsidRPr="00EC1346" w:rsidRDefault="00A533FD">
            <w:pPr>
              <w:rPr>
                <w:rFonts w:ascii="Calibri" w:eastAsia="Times New Roman" w:hAnsi="Calibri"/>
                <w:color w:val="000000"/>
                <w:sz w:val="20"/>
                <w:szCs w:val="20"/>
                <w:lang w:val="en-US"/>
              </w:rPr>
            </w:pPr>
            <w:r w:rsidRPr="00EC1346">
              <w:rPr>
                <w:rFonts w:ascii="Calibri" w:eastAsia="Times New Roman" w:hAnsi="Calibri"/>
                <w:color w:val="000000"/>
                <w:sz w:val="20"/>
                <w:szCs w:val="20"/>
              </w:rPr>
              <w:lastRenderedPageBreak/>
              <w:t>Показатель</w:t>
            </w:r>
          </w:p>
        </w:tc>
        <w:tc>
          <w:tcPr>
            <w:tcW w:w="1300" w:type="dxa"/>
            <w:noWrap/>
            <w:hideMark/>
          </w:tcPr>
          <w:p w14:paraId="46C66295" w14:textId="77777777" w:rsidR="00A533FD" w:rsidRPr="00EC1346" w:rsidRDefault="00A533F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Группа 1</w:t>
            </w:r>
          </w:p>
        </w:tc>
        <w:tc>
          <w:tcPr>
            <w:tcW w:w="1300" w:type="dxa"/>
            <w:noWrap/>
            <w:hideMark/>
          </w:tcPr>
          <w:p w14:paraId="43C0BFF3" w14:textId="77777777" w:rsidR="00A533FD" w:rsidRPr="00EC1346" w:rsidRDefault="00A533F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Группа 2</w:t>
            </w:r>
          </w:p>
        </w:tc>
        <w:tc>
          <w:tcPr>
            <w:tcW w:w="1300" w:type="dxa"/>
            <w:noWrap/>
            <w:hideMark/>
          </w:tcPr>
          <w:p w14:paraId="5490B49A" w14:textId="77777777" w:rsidR="00A533FD" w:rsidRPr="00EC1346" w:rsidRDefault="00A533F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Группа 3</w:t>
            </w:r>
          </w:p>
        </w:tc>
        <w:tc>
          <w:tcPr>
            <w:tcW w:w="1300" w:type="dxa"/>
            <w:noWrap/>
            <w:hideMark/>
          </w:tcPr>
          <w:p w14:paraId="4E6D644B" w14:textId="77777777" w:rsidR="00A533FD" w:rsidRPr="00EC1346" w:rsidRDefault="00A533F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Группа 4</w:t>
            </w:r>
          </w:p>
        </w:tc>
      </w:tr>
      <w:tr w:rsidR="00A533FD" w:rsidRPr="00EC1346" w14:paraId="0A16D1D9" w14:textId="77777777" w:rsidTr="00A533F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440" w:type="dxa"/>
            <w:noWrap/>
            <w:hideMark/>
          </w:tcPr>
          <w:p w14:paraId="76F253AE" w14:textId="77777777" w:rsidR="00A533FD" w:rsidRPr="00EC1346" w:rsidRDefault="00A533FD">
            <w:pPr>
              <w:rPr>
                <w:rFonts w:ascii="Calibri" w:eastAsia="Times New Roman" w:hAnsi="Calibri"/>
                <w:color w:val="000000"/>
                <w:sz w:val="20"/>
                <w:szCs w:val="20"/>
              </w:rPr>
            </w:pPr>
            <w:r w:rsidRPr="00EC1346">
              <w:rPr>
                <w:rFonts w:ascii="Calibri" w:eastAsia="Times New Roman" w:hAnsi="Calibri"/>
                <w:color w:val="000000"/>
                <w:sz w:val="20"/>
                <w:szCs w:val="20"/>
              </w:rPr>
              <w:t>Переменные затраты в выручке,%</w:t>
            </w:r>
          </w:p>
        </w:tc>
        <w:tc>
          <w:tcPr>
            <w:tcW w:w="1300" w:type="dxa"/>
            <w:noWrap/>
            <w:vAlign w:val="center"/>
            <w:hideMark/>
          </w:tcPr>
          <w:p w14:paraId="49813E9C" w14:textId="77777777" w:rsidR="00A533FD" w:rsidRPr="00EC1346" w:rsidRDefault="00A533FD" w:rsidP="00A533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70%</w:t>
            </w:r>
          </w:p>
        </w:tc>
        <w:tc>
          <w:tcPr>
            <w:tcW w:w="1300" w:type="dxa"/>
            <w:noWrap/>
            <w:vAlign w:val="center"/>
            <w:hideMark/>
          </w:tcPr>
          <w:p w14:paraId="7E4BBF02" w14:textId="77777777" w:rsidR="00A533FD" w:rsidRPr="00EC1346" w:rsidRDefault="00A533FD" w:rsidP="00A533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75%</w:t>
            </w:r>
          </w:p>
        </w:tc>
        <w:tc>
          <w:tcPr>
            <w:tcW w:w="1300" w:type="dxa"/>
            <w:noWrap/>
            <w:vAlign w:val="center"/>
            <w:hideMark/>
          </w:tcPr>
          <w:p w14:paraId="3AEBB5D9" w14:textId="77777777" w:rsidR="00A533FD" w:rsidRPr="00EC1346" w:rsidRDefault="00A533FD" w:rsidP="00A533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80%</w:t>
            </w:r>
          </w:p>
        </w:tc>
        <w:tc>
          <w:tcPr>
            <w:tcW w:w="1300" w:type="dxa"/>
            <w:noWrap/>
            <w:vAlign w:val="center"/>
            <w:hideMark/>
          </w:tcPr>
          <w:p w14:paraId="7FAC2510" w14:textId="7018F4D2" w:rsidR="00A533FD" w:rsidRPr="00EC1346" w:rsidRDefault="00A533FD" w:rsidP="00A533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p>
        </w:tc>
      </w:tr>
      <w:tr w:rsidR="00A533FD" w:rsidRPr="00EC1346" w14:paraId="000A02CC" w14:textId="77777777" w:rsidTr="00A533FD">
        <w:trPr>
          <w:trHeight w:val="320"/>
        </w:trPr>
        <w:tc>
          <w:tcPr>
            <w:cnfStyle w:val="001000000000" w:firstRow="0" w:lastRow="0" w:firstColumn="1" w:lastColumn="0" w:oddVBand="0" w:evenVBand="0" w:oddHBand="0" w:evenHBand="0" w:firstRowFirstColumn="0" w:firstRowLastColumn="0" w:lastRowFirstColumn="0" w:lastRowLastColumn="0"/>
            <w:tcW w:w="4440" w:type="dxa"/>
            <w:noWrap/>
            <w:hideMark/>
          </w:tcPr>
          <w:p w14:paraId="287D2F33" w14:textId="77777777" w:rsidR="00A533FD" w:rsidRPr="00EC1346" w:rsidRDefault="00A533FD">
            <w:pPr>
              <w:rPr>
                <w:rFonts w:ascii="Calibri" w:eastAsia="Times New Roman" w:hAnsi="Calibri"/>
                <w:color w:val="000000"/>
                <w:sz w:val="20"/>
                <w:szCs w:val="20"/>
              </w:rPr>
            </w:pPr>
            <w:r w:rsidRPr="00EC1346">
              <w:rPr>
                <w:rFonts w:ascii="Calibri" w:eastAsia="Times New Roman" w:hAnsi="Calibri"/>
                <w:color w:val="000000"/>
                <w:sz w:val="20"/>
                <w:szCs w:val="20"/>
              </w:rPr>
              <w:t>Постоянные затраты в выручке,%</w:t>
            </w:r>
          </w:p>
        </w:tc>
        <w:tc>
          <w:tcPr>
            <w:tcW w:w="1300" w:type="dxa"/>
            <w:noWrap/>
            <w:vAlign w:val="center"/>
            <w:hideMark/>
          </w:tcPr>
          <w:p w14:paraId="6588884C" w14:textId="77777777" w:rsidR="00A533FD" w:rsidRPr="00EC1346" w:rsidRDefault="00A533FD" w:rsidP="00A533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w:t>
            </w:r>
          </w:p>
        </w:tc>
        <w:tc>
          <w:tcPr>
            <w:tcW w:w="1300" w:type="dxa"/>
            <w:noWrap/>
            <w:vAlign w:val="center"/>
            <w:hideMark/>
          </w:tcPr>
          <w:p w14:paraId="41E1C478" w14:textId="77777777" w:rsidR="00A533FD" w:rsidRPr="00EC1346" w:rsidRDefault="00A533FD" w:rsidP="00A533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25%</w:t>
            </w:r>
          </w:p>
        </w:tc>
        <w:tc>
          <w:tcPr>
            <w:tcW w:w="1300" w:type="dxa"/>
            <w:noWrap/>
            <w:vAlign w:val="center"/>
            <w:hideMark/>
          </w:tcPr>
          <w:p w14:paraId="0D3B08E9" w14:textId="77777777" w:rsidR="00A533FD" w:rsidRPr="00EC1346" w:rsidRDefault="00A533FD" w:rsidP="00A533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30%</w:t>
            </w:r>
          </w:p>
        </w:tc>
        <w:tc>
          <w:tcPr>
            <w:tcW w:w="1300" w:type="dxa"/>
            <w:noWrap/>
            <w:vAlign w:val="center"/>
            <w:hideMark/>
          </w:tcPr>
          <w:p w14:paraId="2CD199E7" w14:textId="08751D3F" w:rsidR="00A533FD" w:rsidRPr="00EC1346" w:rsidRDefault="00A533FD" w:rsidP="00A533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p>
        </w:tc>
      </w:tr>
      <w:tr w:rsidR="00A533FD" w:rsidRPr="00EC1346" w14:paraId="766F17A0" w14:textId="77777777" w:rsidTr="00A533F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440" w:type="dxa"/>
            <w:noWrap/>
            <w:hideMark/>
          </w:tcPr>
          <w:p w14:paraId="1B19F15A" w14:textId="7E0DDF47" w:rsidR="00A533FD" w:rsidRPr="00EC1346" w:rsidRDefault="00A533FD">
            <w:pPr>
              <w:rPr>
                <w:rFonts w:ascii="Calibri" w:eastAsia="Times New Roman" w:hAnsi="Calibri"/>
                <w:color w:val="000000"/>
                <w:sz w:val="20"/>
                <w:szCs w:val="20"/>
              </w:rPr>
            </w:pPr>
            <w:r w:rsidRPr="00EC1346">
              <w:rPr>
                <w:rFonts w:ascii="Calibri" w:eastAsia="Times New Roman" w:hAnsi="Calibri"/>
                <w:color w:val="000000"/>
                <w:sz w:val="20"/>
                <w:szCs w:val="20"/>
              </w:rPr>
              <w:t>Прибыль / (Убыток) в выручке, %</w:t>
            </w:r>
          </w:p>
        </w:tc>
        <w:tc>
          <w:tcPr>
            <w:tcW w:w="1300" w:type="dxa"/>
            <w:noWrap/>
            <w:vAlign w:val="center"/>
            <w:hideMark/>
          </w:tcPr>
          <w:p w14:paraId="4D4CC7BD" w14:textId="77777777" w:rsidR="00A533FD" w:rsidRPr="00EC1346" w:rsidRDefault="00A533FD" w:rsidP="00A533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10%</w:t>
            </w:r>
          </w:p>
        </w:tc>
        <w:tc>
          <w:tcPr>
            <w:tcW w:w="1300" w:type="dxa"/>
            <w:noWrap/>
            <w:vAlign w:val="center"/>
            <w:hideMark/>
          </w:tcPr>
          <w:p w14:paraId="15976E10" w14:textId="77777777" w:rsidR="00A533FD" w:rsidRPr="00EC1346" w:rsidRDefault="00A533FD" w:rsidP="00A533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0%</w:t>
            </w:r>
          </w:p>
        </w:tc>
        <w:tc>
          <w:tcPr>
            <w:tcW w:w="1300" w:type="dxa"/>
            <w:noWrap/>
            <w:vAlign w:val="center"/>
            <w:hideMark/>
          </w:tcPr>
          <w:p w14:paraId="6D660B77" w14:textId="77777777" w:rsidR="00A533FD" w:rsidRPr="00EC1346" w:rsidRDefault="00A533FD" w:rsidP="00A533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-10%</w:t>
            </w:r>
          </w:p>
        </w:tc>
        <w:tc>
          <w:tcPr>
            <w:tcW w:w="1300" w:type="dxa"/>
            <w:noWrap/>
            <w:vAlign w:val="center"/>
            <w:hideMark/>
          </w:tcPr>
          <w:p w14:paraId="7ED2C226" w14:textId="0FEF9E3B" w:rsidR="00A533FD" w:rsidRPr="00EC1346" w:rsidRDefault="00A533FD" w:rsidP="00A533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p>
        </w:tc>
      </w:tr>
      <w:tr w:rsidR="00A533FD" w:rsidRPr="00EC1346" w14:paraId="0E74E4B5" w14:textId="77777777" w:rsidTr="00A533FD">
        <w:trPr>
          <w:trHeight w:val="320"/>
        </w:trPr>
        <w:tc>
          <w:tcPr>
            <w:cnfStyle w:val="001000000000" w:firstRow="0" w:lastRow="0" w:firstColumn="1" w:lastColumn="0" w:oddVBand="0" w:evenVBand="0" w:oddHBand="0" w:evenHBand="0" w:firstRowFirstColumn="0" w:firstRowLastColumn="0" w:lastRowFirstColumn="0" w:lastRowLastColumn="0"/>
            <w:tcW w:w="4440" w:type="dxa"/>
            <w:noWrap/>
            <w:hideMark/>
          </w:tcPr>
          <w:p w14:paraId="1EEA3DA7" w14:textId="2E6AB724" w:rsidR="00A533FD" w:rsidRPr="00EC1346" w:rsidRDefault="00A533FD">
            <w:pPr>
              <w:rPr>
                <w:rFonts w:ascii="Calibri" w:eastAsia="Times New Roman" w:hAnsi="Calibri"/>
                <w:color w:val="000000"/>
                <w:sz w:val="20"/>
                <w:szCs w:val="20"/>
              </w:rPr>
            </w:pPr>
            <w:r w:rsidRPr="00EC1346">
              <w:rPr>
                <w:rFonts w:ascii="Calibri" w:eastAsia="Times New Roman" w:hAnsi="Calibri"/>
                <w:color w:val="000000"/>
                <w:sz w:val="20"/>
                <w:szCs w:val="20"/>
              </w:rPr>
              <w:t>Оценка доли рынка</w:t>
            </w:r>
            <w:r w:rsidR="00557D58" w:rsidRPr="00EC1346">
              <w:rPr>
                <w:rFonts w:ascii="Calibri" w:eastAsia="Times New Roman" w:hAnsi="Calibri"/>
                <w:color w:val="000000"/>
                <w:sz w:val="20"/>
                <w:szCs w:val="20"/>
              </w:rPr>
              <w:t xml:space="preserve"> </w:t>
            </w:r>
            <w:r w:rsidRPr="00EC1346">
              <w:rPr>
                <w:rFonts w:ascii="Calibri" w:eastAsia="Times New Roman" w:hAnsi="Calibri"/>
                <w:color w:val="000000"/>
                <w:sz w:val="20"/>
                <w:szCs w:val="20"/>
              </w:rPr>
              <w:t>в 2016 г.</w:t>
            </w:r>
          </w:p>
        </w:tc>
        <w:tc>
          <w:tcPr>
            <w:tcW w:w="1300" w:type="dxa"/>
            <w:noWrap/>
            <w:vAlign w:val="center"/>
            <w:hideMark/>
          </w:tcPr>
          <w:p w14:paraId="1B4BF222" w14:textId="0206F23F" w:rsidR="00A533FD" w:rsidRPr="00EC1346" w:rsidRDefault="00234A05" w:rsidP="00A533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43</w:t>
            </w:r>
            <w:r w:rsidR="00A533FD" w:rsidRPr="00EC1346">
              <w:rPr>
                <w:rFonts w:ascii="Calibri" w:eastAsia="Times New Roman" w:hAnsi="Calibri"/>
                <w:color w:val="000000"/>
                <w:sz w:val="20"/>
                <w:szCs w:val="20"/>
              </w:rPr>
              <w:t>%</w:t>
            </w:r>
          </w:p>
        </w:tc>
        <w:tc>
          <w:tcPr>
            <w:tcW w:w="1300" w:type="dxa"/>
            <w:noWrap/>
            <w:vAlign w:val="center"/>
            <w:hideMark/>
          </w:tcPr>
          <w:p w14:paraId="4B94BA3F" w14:textId="77777777" w:rsidR="00A533FD" w:rsidRPr="00EC1346" w:rsidRDefault="00A533FD" w:rsidP="00A533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30%</w:t>
            </w:r>
          </w:p>
        </w:tc>
        <w:tc>
          <w:tcPr>
            <w:tcW w:w="1300" w:type="dxa"/>
            <w:noWrap/>
            <w:vAlign w:val="center"/>
            <w:hideMark/>
          </w:tcPr>
          <w:p w14:paraId="23B9F00F" w14:textId="7FF26A99" w:rsidR="00A533FD" w:rsidRPr="00EC1346" w:rsidRDefault="00234A05" w:rsidP="00A533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25</w:t>
            </w:r>
            <w:r w:rsidR="00A533FD" w:rsidRPr="00EC1346">
              <w:rPr>
                <w:rFonts w:ascii="Calibri" w:eastAsia="Times New Roman" w:hAnsi="Calibri"/>
                <w:color w:val="000000"/>
                <w:sz w:val="20"/>
                <w:szCs w:val="20"/>
              </w:rPr>
              <w:t>%</w:t>
            </w:r>
          </w:p>
        </w:tc>
        <w:tc>
          <w:tcPr>
            <w:tcW w:w="1300" w:type="dxa"/>
            <w:noWrap/>
            <w:vAlign w:val="center"/>
            <w:hideMark/>
          </w:tcPr>
          <w:p w14:paraId="2F3B3BE1" w14:textId="4D0945B4" w:rsidR="00A533FD" w:rsidRPr="00EC1346" w:rsidRDefault="00234A05" w:rsidP="00A533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w:t>
            </w:r>
            <w:r w:rsidR="00A533FD" w:rsidRPr="00EC1346">
              <w:rPr>
                <w:rFonts w:ascii="Calibri" w:eastAsia="Times New Roman" w:hAnsi="Calibri"/>
                <w:color w:val="000000"/>
                <w:sz w:val="20"/>
                <w:szCs w:val="20"/>
              </w:rPr>
              <w:t>%</w:t>
            </w:r>
          </w:p>
        </w:tc>
      </w:tr>
    </w:tbl>
    <w:p w14:paraId="6E8CFCA9" w14:textId="77777777" w:rsidR="00A533FD" w:rsidRPr="00EC1346" w:rsidRDefault="00A533FD" w:rsidP="00EB11D5">
      <w:pPr>
        <w:spacing w:line="360" w:lineRule="auto"/>
        <w:rPr>
          <w:rFonts w:asciiTheme="minorHAnsi" w:hAnsiTheme="minorHAnsi"/>
        </w:rPr>
      </w:pPr>
    </w:p>
    <w:p w14:paraId="753B9529" w14:textId="372DCF73" w:rsidR="00A533FD" w:rsidRPr="00EC1346" w:rsidRDefault="00A533FD" w:rsidP="00A533FD">
      <w:pPr>
        <w:spacing w:after="120" w:line="360" w:lineRule="auto"/>
        <w:jc w:val="both"/>
        <w:rPr>
          <w:rFonts w:asciiTheme="minorHAnsi" w:hAnsiTheme="minorHAnsi"/>
        </w:rPr>
      </w:pPr>
      <w:r w:rsidRPr="00EC1346">
        <w:rPr>
          <w:rFonts w:asciiTheme="minorHAnsi" w:hAnsiTheme="minorHAnsi"/>
        </w:rPr>
        <w:t xml:space="preserve">Представленные параметры идентичны для каждого описанного выше сценария, за исключением того, что </w:t>
      </w:r>
      <w:r w:rsidRPr="00EC1346">
        <w:rPr>
          <w:rFonts w:asciiTheme="minorHAnsi" w:hAnsiTheme="minorHAnsi"/>
          <w:b/>
        </w:rPr>
        <w:t>сценарии отличаются в плане прогноза доли рынка жилищного строительства для каждой группы.</w:t>
      </w:r>
    </w:p>
    <w:p w14:paraId="20272093" w14:textId="23E11E33" w:rsidR="00343FD0" w:rsidRPr="00EC1346" w:rsidRDefault="00A533FD" w:rsidP="00A533FD">
      <w:pPr>
        <w:spacing w:after="120" w:line="360" w:lineRule="auto"/>
        <w:jc w:val="both"/>
        <w:rPr>
          <w:rFonts w:asciiTheme="minorHAnsi" w:hAnsiTheme="minorHAnsi"/>
        </w:rPr>
      </w:pPr>
      <w:r w:rsidRPr="00EC1346">
        <w:rPr>
          <w:rFonts w:asciiTheme="minorHAnsi" w:hAnsiTheme="minorHAnsi"/>
        </w:rPr>
        <w:t>В рассматриваемой модели, создание Компенсационного Фонда без «фильтра» в виде страховых компаний приведет к тому, что покупатели со временем будут обращать меньше внимания на финансовую устойчивость застройщика (получение квартиры гарантировано Фондом, а по сути – государством), что приведет к тому, что рыночные доли застройщиков первых трех групп станут равными. Снижение доли рынка эффективных компаний приведет к падению их прибыли, в то время как увеличение доли рынка поможет «неэффективным» компаниям сократить убытки.</w:t>
      </w:r>
      <w:r w:rsidR="00BD55B6" w:rsidRPr="00EC1346">
        <w:rPr>
          <w:rFonts w:asciiTheme="minorHAnsi" w:hAnsiTheme="minorHAnsi"/>
        </w:rPr>
        <w:t xml:space="preserve"> </w:t>
      </w:r>
      <w:r w:rsidRPr="00EC1346">
        <w:rPr>
          <w:rFonts w:asciiTheme="minorHAnsi" w:hAnsiTheme="minorHAnsi"/>
        </w:rPr>
        <w:t xml:space="preserve">«Фильтр» в виде страховых компаний, наоборот, приведет к исчезновению «неэффективных» компаний (Группа №3) и усилению позиций «эффективных» (Группа №1). </w:t>
      </w:r>
    </w:p>
    <w:p w14:paraId="10AD0325" w14:textId="20D29F2B" w:rsidR="00A533FD" w:rsidRPr="00EC1346" w:rsidRDefault="00A533FD" w:rsidP="00A533FD">
      <w:pPr>
        <w:spacing w:after="120" w:line="360" w:lineRule="auto"/>
        <w:jc w:val="both"/>
        <w:rPr>
          <w:rFonts w:asciiTheme="minorHAnsi" w:hAnsiTheme="minorHAnsi"/>
        </w:rPr>
      </w:pPr>
      <w:r w:rsidRPr="00EC1346">
        <w:rPr>
          <w:rFonts w:asciiTheme="minorHAnsi" w:hAnsiTheme="minorHAnsi"/>
          <w:b/>
        </w:rPr>
        <w:t xml:space="preserve">Прогноз долей рынка </w:t>
      </w:r>
      <w:r w:rsidR="00B60780" w:rsidRPr="00EC1346">
        <w:rPr>
          <w:rFonts w:asciiTheme="minorHAnsi" w:hAnsiTheme="minorHAnsi"/>
          <w:b/>
        </w:rPr>
        <w:t>по трем группам для Сценария №1,</w:t>
      </w:r>
      <w:r w:rsidR="00D1304D" w:rsidRPr="00EC1346">
        <w:rPr>
          <w:rFonts w:asciiTheme="minorHAnsi" w:hAnsiTheme="minorHAnsi"/>
          <w:b/>
        </w:rPr>
        <w:t xml:space="preserve"> Сценария №2</w:t>
      </w:r>
      <w:r w:rsidR="00B60780" w:rsidRPr="00EC1346">
        <w:rPr>
          <w:rFonts w:asciiTheme="minorHAnsi" w:hAnsiTheme="minorHAnsi"/>
          <w:b/>
        </w:rPr>
        <w:t xml:space="preserve"> и Сценария №4</w:t>
      </w:r>
      <w:r w:rsidRPr="00EC1346">
        <w:rPr>
          <w:rFonts w:asciiTheme="minorHAnsi" w:hAnsiTheme="minorHAnsi"/>
          <w:b/>
        </w:rPr>
        <w:t xml:space="preserve"> представлен в следующей таблице:</w:t>
      </w:r>
    </w:p>
    <w:tbl>
      <w:tblPr>
        <w:tblStyle w:val="ListTable6ColorfulAccent6"/>
        <w:tblW w:w="9634" w:type="dxa"/>
        <w:tblLayout w:type="fixed"/>
        <w:tblLook w:val="04A0" w:firstRow="1" w:lastRow="0" w:firstColumn="1" w:lastColumn="0" w:noHBand="0" w:noVBand="1"/>
      </w:tblPr>
      <w:tblGrid>
        <w:gridCol w:w="1938"/>
        <w:gridCol w:w="1282"/>
        <w:gridCol w:w="1283"/>
        <w:gridCol w:w="1283"/>
        <w:gridCol w:w="1282"/>
        <w:gridCol w:w="1283"/>
        <w:gridCol w:w="1283"/>
      </w:tblGrid>
      <w:tr w:rsidR="00A533FD" w:rsidRPr="00EC1346" w14:paraId="241601DD" w14:textId="77777777" w:rsidTr="00A533F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38" w:type="dxa"/>
            <w:noWrap/>
            <w:hideMark/>
          </w:tcPr>
          <w:p w14:paraId="2E173B0A" w14:textId="77777777" w:rsidR="00A533FD" w:rsidRPr="00EC1346" w:rsidRDefault="00A533FD" w:rsidP="00A533FD">
            <w:pPr>
              <w:rPr>
                <w:rFonts w:ascii="Calibri" w:eastAsia="Times New Roman" w:hAnsi="Calibri"/>
                <w:color w:val="000000"/>
                <w:sz w:val="20"/>
                <w:szCs w:val="20"/>
                <w:lang w:val="en-US"/>
              </w:rPr>
            </w:pPr>
            <w:r w:rsidRPr="00EC1346">
              <w:rPr>
                <w:rFonts w:ascii="Calibri" w:eastAsia="Times New Roman" w:hAnsi="Calibri"/>
                <w:color w:val="000000"/>
                <w:sz w:val="20"/>
                <w:szCs w:val="20"/>
              </w:rPr>
              <w:t>Группа</w:t>
            </w:r>
          </w:p>
        </w:tc>
        <w:tc>
          <w:tcPr>
            <w:tcW w:w="1282" w:type="dxa"/>
            <w:noWrap/>
            <w:hideMark/>
          </w:tcPr>
          <w:p w14:paraId="4C40C374" w14:textId="77777777" w:rsidR="00A533FD" w:rsidRPr="00EC1346" w:rsidRDefault="00A533FD" w:rsidP="00A533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2016</w:t>
            </w:r>
          </w:p>
        </w:tc>
        <w:tc>
          <w:tcPr>
            <w:tcW w:w="1283" w:type="dxa"/>
            <w:noWrap/>
            <w:hideMark/>
          </w:tcPr>
          <w:p w14:paraId="6B97044B" w14:textId="77777777" w:rsidR="00A533FD" w:rsidRPr="00EC1346" w:rsidRDefault="00A533FD" w:rsidP="00A533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2017</w:t>
            </w:r>
          </w:p>
        </w:tc>
        <w:tc>
          <w:tcPr>
            <w:tcW w:w="1283" w:type="dxa"/>
            <w:noWrap/>
            <w:hideMark/>
          </w:tcPr>
          <w:p w14:paraId="1B8C9235" w14:textId="77777777" w:rsidR="00A533FD" w:rsidRPr="00EC1346" w:rsidRDefault="00A533FD" w:rsidP="00A533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2018</w:t>
            </w:r>
          </w:p>
        </w:tc>
        <w:tc>
          <w:tcPr>
            <w:tcW w:w="1282" w:type="dxa"/>
            <w:noWrap/>
            <w:hideMark/>
          </w:tcPr>
          <w:p w14:paraId="7AD1B086" w14:textId="77777777" w:rsidR="00A533FD" w:rsidRPr="00EC1346" w:rsidRDefault="00A533FD" w:rsidP="00A533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2019</w:t>
            </w:r>
          </w:p>
        </w:tc>
        <w:tc>
          <w:tcPr>
            <w:tcW w:w="1283" w:type="dxa"/>
            <w:noWrap/>
            <w:hideMark/>
          </w:tcPr>
          <w:p w14:paraId="596E0A80" w14:textId="77777777" w:rsidR="00A533FD" w:rsidRPr="00EC1346" w:rsidRDefault="00A533FD" w:rsidP="00A533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2020</w:t>
            </w:r>
          </w:p>
        </w:tc>
        <w:tc>
          <w:tcPr>
            <w:tcW w:w="1283" w:type="dxa"/>
            <w:noWrap/>
            <w:hideMark/>
          </w:tcPr>
          <w:p w14:paraId="6D95BA39" w14:textId="77777777" w:rsidR="00A533FD" w:rsidRPr="00EC1346" w:rsidRDefault="00A533FD" w:rsidP="00A533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2021</w:t>
            </w:r>
          </w:p>
        </w:tc>
      </w:tr>
      <w:tr w:rsidR="00234A05" w:rsidRPr="00EC1346" w14:paraId="58445D9A" w14:textId="77777777" w:rsidTr="00234A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38" w:type="dxa"/>
            <w:noWrap/>
            <w:hideMark/>
          </w:tcPr>
          <w:p w14:paraId="7B523726" w14:textId="77777777" w:rsidR="00234A05" w:rsidRPr="00EC1346" w:rsidRDefault="00234A05" w:rsidP="00A533FD">
            <w:pPr>
              <w:rPr>
                <w:rFonts w:ascii="Calibri" w:eastAsia="Times New Roman" w:hAnsi="Calibri"/>
                <w:color w:val="000000"/>
                <w:sz w:val="20"/>
                <w:szCs w:val="20"/>
              </w:rPr>
            </w:pPr>
            <w:r w:rsidRPr="00EC1346">
              <w:rPr>
                <w:rFonts w:ascii="Calibri" w:eastAsia="Times New Roman" w:hAnsi="Calibri"/>
                <w:color w:val="000000"/>
                <w:sz w:val="20"/>
                <w:szCs w:val="20"/>
              </w:rPr>
              <w:t>Группа №1</w:t>
            </w:r>
          </w:p>
        </w:tc>
        <w:tc>
          <w:tcPr>
            <w:tcW w:w="1282" w:type="dxa"/>
            <w:noWrap/>
            <w:vAlign w:val="center"/>
            <w:hideMark/>
          </w:tcPr>
          <w:p w14:paraId="1C1AB208" w14:textId="0DB2FBAD"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43,0%</w:t>
            </w:r>
          </w:p>
        </w:tc>
        <w:tc>
          <w:tcPr>
            <w:tcW w:w="1283" w:type="dxa"/>
            <w:noWrap/>
            <w:vAlign w:val="center"/>
            <w:hideMark/>
          </w:tcPr>
          <w:p w14:paraId="472C8EE2" w14:textId="5CFF7D19"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38,0%</w:t>
            </w:r>
          </w:p>
        </w:tc>
        <w:tc>
          <w:tcPr>
            <w:tcW w:w="1283" w:type="dxa"/>
            <w:noWrap/>
            <w:vAlign w:val="center"/>
            <w:hideMark/>
          </w:tcPr>
          <w:p w14:paraId="137253DD" w14:textId="52A0133E"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32,0%</w:t>
            </w:r>
          </w:p>
        </w:tc>
        <w:tc>
          <w:tcPr>
            <w:tcW w:w="1282" w:type="dxa"/>
            <w:noWrap/>
            <w:vAlign w:val="center"/>
            <w:hideMark/>
          </w:tcPr>
          <w:p w14:paraId="2407FE02" w14:textId="791F1ED4"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33,0%</w:t>
            </w:r>
          </w:p>
        </w:tc>
        <w:tc>
          <w:tcPr>
            <w:tcW w:w="1283" w:type="dxa"/>
            <w:noWrap/>
            <w:vAlign w:val="center"/>
            <w:hideMark/>
          </w:tcPr>
          <w:p w14:paraId="61A85975" w14:textId="14819137"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33,5%</w:t>
            </w:r>
          </w:p>
        </w:tc>
        <w:tc>
          <w:tcPr>
            <w:tcW w:w="1283" w:type="dxa"/>
            <w:noWrap/>
            <w:vAlign w:val="center"/>
            <w:hideMark/>
          </w:tcPr>
          <w:p w14:paraId="127CC954" w14:textId="7DFA23AA"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33,5%</w:t>
            </w:r>
          </w:p>
        </w:tc>
      </w:tr>
      <w:tr w:rsidR="00234A05" w:rsidRPr="00EC1346" w14:paraId="64A4F463" w14:textId="77777777" w:rsidTr="00234A05">
        <w:trPr>
          <w:trHeight w:val="320"/>
        </w:trPr>
        <w:tc>
          <w:tcPr>
            <w:cnfStyle w:val="001000000000" w:firstRow="0" w:lastRow="0" w:firstColumn="1" w:lastColumn="0" w:oddVBand="0" w:evenVBand="0" w:oddHBand="0" w:evenHBand="0" w:firstRowFirstColumn="0" w:firstRowLastColumn="0" w:lastRowFirstColumn="0" w:lastRowLastColumn="0"/>
            <w:tcW w:w="1938" w:type="dxa"/>
            <w:noWrap/>
            <w:hideMark/>
          </w:tcPr>
          <w:p w14:paraId="51C7BEBA" w14:textId="77777777" w:rsidR="00234A05" w:rsidRPr="00EC1346" w:rsidRDefault="00234A05" w:rsidP="00A533FD">
            <w:pPr>
              <w:rPr>
                <w:rFonts w:ascii="Calibri" w:eastAsia="Times New Roman" w:hAnsi="Calibri"/>
                <w:color w:val="000000"/>
                <w:sz w:val="20"/>
                <w:szCs w:val="20"/>
              </w:rPr>
            </w:pPr>
            <w:r w:rsidRPr="00EC1346">
              <w:rPr>
                <w:rFonts w:ascii="Calibri" w:eastAsia="Times New Roman" w:hAnsi="Calibri"/>
                <w:color w:val="000000"/>
                <w:sz w:val="20"/>
                <w:szCs w:val="20"/>
              </w:rPr>
              <w:t>Группа №2</w:t>
            </w:r>
          </w:p>
        </w:tc>
        <w:tc>
          <w:tcPr>
            <w:tcW w:w="1282" w:type="dxa"/>
            <w:noWrap/>
            <w:vAlign w:val="center"/>
            <w:hideMark/>
          </w:tcPr>
          <w:p w14:paraId="76ECC0FB" w14:textId="5FBA468F"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30,0%</w:t>
            </w:r>
          </w:p>
        </w:tc>
        <w:tc>
          <w:tcPr>
            <w:tcW w:w="1283" w:type="dxa"/>
            <w:noWrap/>
            <w:vAlign w:val="center"/>
            <w:hideMark/>
          </w:tcPr>
          <w:p w14:paraId="73B44E19" w14:textId="78D26703"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30,0%</w:t>
            </w:r>
          </w:p>
        </w:tc>
        <w:tc>
          <w:tcPr>
            <w:tcW w:w="1283" w:type="dxa"/>
            <w:noWrap/>
            <w:vAlign w:val="center"/>
            <w:hideMark/>
          </w:tcPr>
          <w:p w14:paraId="67250B18" w14:textId="78E924D2"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33,0%</w:t>
            </w:r>
          </w:p>
        </w:tc>
        <w:tc>
          <w:tcPr>
            <w:tcW w:w="1282" w:type="dxa"/>
            <w:noWrap/>
            <w:vAlign w:val="center"/>
            <w:hideMark/>
          </w:tcPr>
          <w:p w14:paraId="132774DC" w14:textId="7FE0A245"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33,0%</w:t>
            </w:r>
          </w:p>
        </w:tc>
        <w:tc>
          <w:tcPr>
            <w:tcW w:w="1283" w:type="dxa"/>
            <w:noWrap/>
            <w:vAlign w:val="center"/>
            <w:hideMark/>
          </w:tcPr>
          <w:p w14:paraId="6BBAC6EE" w14:textId="081B82E2"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33,0%</w:t>
            </w:r>
          </w:p>
        </w:tc>
        <w:tc>
          <w:tcPr>
            <w:tcW w:w="1283" w:type="dxa"/>
            <w:noWrap/>
            <w:vAlign w:val="center"/>
            <w:hideMark/>
          </w:tcPr>
          <w:p w14:paraId="776E7C56" w14:textId="0C9FFB8A"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33,0%</w:t>
            </w:r>
          </w:p>
        </w:tc>
      </w:tr>
      <w:tr w:rsidR="00234A05" w:rsidRPr="00EC1346" w14:paraId="0A134E12" w14:textId="77777777" w:rsidTr="00234A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38" w:type="dxa"/>
            <w:noWrap/>
            <w:hideMark/>
          </w:tcPr>
          <w:p w14:paraId="274071A1" w14:textId="77777777" w:rsidR="00234A05" w:rsidRPr="00EC1346" w:rsidRDefault="00234A05" w:rsidP="00A533FD">
            <w:pPr>
              <w:rPr>
                <w:rFonts w:ascii="Calibri" w:eastAsia="Times New Roman" w:hAnsi="Calibri"/>
                <w:color w:val="000000"/>
                <w:sz w:val="20"/>
                <w:szCs w:val="20"/>
              </w:rPr>
            </w:pPr>
            <w:r w:rsidRPr="00EC1346">
              <w:rPr>
                <w:rFonts w:ascii="Calibri" w:eastAsia="Times New Roman" w:hAnsi="Calibri"/>
                <w:color w:val="000000"/>
                <w:sz w:val="20"/>
                <w:szCs w:val="20"/>
              </w:rPr>
              <w:t>Группа №3</w:t>
            </w:r>
          </w:p>
        </w:tc>
        <w:tc>
          <w:tcPr>
            <w:tcW w:w="1282" w:type="dxa"/>
            <w:noWrap/>
            <w:vAlign w:val="center"/>
            <w:hideMark/>
          </w:tcPr>
          <w:p w14:paraId="6E53E409" w14:textId="367E57DF"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25,0%</w:t>
            </w:r>
          </w:p>
        </w:tc>
        <w:tc>
          <w:tcPr>
            <w:tcW w:w="1283" w:type="dxa"/>
            <w:noWrap/>
            <w:vAlign w:val="center"/>
            <w:hideMark/>
          </w:tcPr>
          <w:p w14:paraId="2360101A" w14:textId="4D6B2EF1"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30,0%</w:t>
            </w:r>
          </w:p>
        </w:tc>
        <w:tc>
          <w:tcPr>
            <w:tcW w:w="1283" w:type="dxa"/>
            <w:noWrap/>
            <w:vAlign w:val="center"/>
            <w:hideMark/>
          </w:tcPr>
          <w:p w14:paraId="37567F67" w14:textId="7D30E10C"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33,0%</w:t>
            </w:r>
          </w:p>
        </w:tc>
        <w:tc>
          <w:tcPr>
            <w:tcW w:w="1282" w:type="dxa"/>
            <w:noWrap/>
            <w:vAlign w:val="center"/>
            <w:hideMark/>
          </w:tcPr>
          <w:p w14:paraId="0C62509D" w14:textId="628D27F4"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33,0%</w:t>
            </w:r>
          </w:p>
        </w:tc>
        <w:tc>
          <w:tcPr>
            <w:tcW w:w="1283" w:type="dxa"/>
            <w:noWrap/>
            <w:vAlign w:val="center"/>
            <w:hideMark/>
          </w:tcPr>
          <w:p w14:paraId="32BB415F" w14:textId="04D45A2C"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33,0%</w:t>
            </w:r>
          </w:p>
        </w:tc>
        <w:tc>
          <w:tcPr>
            <w:tcW w:w="1283" w:type="dxa"/>
            <w:noWrap/>
            <w:vAlign w:val="center"/>
            <w:hideMark/>
          </w:tcPr>
          <w:p w14:paraId="54C7A50A" w14:textId="07F62C72"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33,0%</w:t>
            </w:r>
          </w:p>
        </w:tc>
      </w:tr>
      <w:tr w:rsidR="00234A05" w:rsidRPr="00EC1346" w14:paraId="277EC8D2" w14:textId="77777777" w:rsidTr="00234A05">
        <w:trPr>
          <w:trHeight w:val="320"/>
        </w:trPr>
        <w:tc>
          <w:tcPr>
            <w:cnfStyle w:val="001000000000" w:firstRow="0" w:lastRow="0" w:firstColumn="1" w:lastColumn="0" w:oddVBand="0" w:evenVBand="0" w:oddHBand="0" w:evenHBand="0" w:firstRowFirstColumn="0" w:firstRowLastColumn="0" w:lastRowFirstColumn="0" w:lastRowLastColumn="0"/>
            <w:tcW w:w="1938" w:type="dxa"/>
            <w:noWrap/>
            <w:hideMark/>
          </w:tcPr>
          <w:p w14:paraId="21A6CF6C" w14:textId="77777777" w:rsidR="00234A05" w:rsidRPr="00EC1346" w:rsidRDefault="00234A05" w:rsidP="00A533FD">
            <w:pPr>
              <w:rPr>
                <w:rFonts w:ascii="Calibri" w:eastAsia="Times New Roman" w:hAnsi="Calibri"/>
                <w:color w:val="000000"/>
                <w:sz w:val="20"/>
                <w:szCs w:val="20"/>
              </w:rPr>
            </w:pPr>
            <w:r w:rsidRPr="00EC1346">
              <w:rPr>
                <w:rFonts w:ascii="Calibri" w:eastAsia="Times New Roman" w:hAnsi="Calibri"/>
                <w:color w:val="000000"/>
                <w:sz w:val="20"/>
                <w:szCs w:val="20"/>
              </w:rPr>
              <w:t>Группа №4</w:t>
            </w:r>
          </w:p>
        </w:tc>
        <w:tc>
          <w:tcPr>
            <w:tcW w:w="1282" w:type="dxa"/>
            <w:noWrap/>
            <w:vAlign w:val="center"/>
            <w:hideMark/>
          </w:tcPr>
          <w:p w14:paraId="177035A2" w14:textId="3269DC87"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w:t>
            </w:r>
          </w:p>
        </w:tc>
        <w:tc>
          <w:tcPr>
            <w:tcW w:w="1283" w:type="dxa"/>
            <w:noWrap/>
            <w:vAlign w:val="center"/>
            <w:hideMark/>
          </w:tcPr>
          <w:p w14:paraId="46C641B2" w14:textId="3F951132"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w:t>
            </w:r>
          </w:p>
        </w:tc>
        <w:tc>
          <w:tcPr>
            <w:tcW w:w="1283" w:type="dxa"/>
            <w:noWrap/>
            <w:vAlign w:val="center"/>
            <w:hideMark/>
          </w:tcPr>
          <w:p w14:paraId="3ED32C32" w14:textId="20125DC9"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w:t>
            </w:r>
          </w:p>
        </w:tc>
        <w:tc>
          <w:tcPr>
            <w:tcW w:w="1282" w:type="dxa"/>
            <w:noWrap/>
            <w:vAlign w:val="center"/>
            <w:hideMark/>
          </w:tcPr>
          <w:p w14:paraId="46534E89" w14:textId="789FDE42"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1,0%</w:t>
            </w:r>
          </w:p>
        </w:tc>
        <w:tc>
          <w:tcPr>
            <w:tcW w:w="1283" w:type="dxa"/>
            <w:noWrap/>
            <w:vAlign w:val="center"/>
            <w:hideMark/>
          </w:tcPr>
          <w:p w14:paraId="04F8A57B" w14:textId="34A26FBD"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0,5%</w:t>
            </w:r>
          </w:p>
        </w:tc>
        <w:tc>
          <w:tcPr>
            <w:tcW w:w="1283" w:type="dxa"/>
            <w:noWrap/>
            <w:vAlign w:val="center"/>
            <w:hideMark/>
          </w:tcPr>
          <w:p w14:paraId="51F10CA4" w14:textId="2341E3E5"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0,5%</w:t>
            </w:r>
          </w:p>
        </w:tc>
      </w:tr>
    </w:tbl>
    <w:p w14:paraId="15D14112" w14:textId="77777777" w:rsidR="00A533FD" w:rsidRPr="00EC1346" w:rsidRDefault="00A533FD" w:rsidP="00EB11D5">
      <w:pPr>
        <w:spacing w:line="360" w:lineRule="auto"/>
        <w:jc w:val="both"/>
        <w:rPr>
          <w:rFonts w:asciiTheme="minorHAnsi" w:hAnsiTheme="minorHAnsi"/>
        </w:rPr>
      </w:pPr>
    </w:p>
    <w:p w14:paraId="061861FB" w14:textId="06A2DBC2" w:rsidR="00A533FD" w:rsidRPr="00EC1346" w:rsidRDefault="00A533FD" w:rsidP="00A533FD">
      <w:pPr>
        <w:spacing w:after="120" w:line="360" w:lineRule="auto"/>
        <w:jc w:val="both"/>
        <w:rPr>
          <w:rFonts w:asciiTheme="minorHAnsi" w:hAnsiTheme="minorHAnsi"/>
        </w:rPr>
      </w:pPr>
      <w:r w:rsidRPr="00EC1346">
        <w:rPr>
          <w:rFonts w:asciiTheme="minorHAnsi" w:hAnsiTheme="minorHAnsi"/>
        </w:rPr>
        <w:t xml:space="preserve">Прогноз долей рынка по трем группам </w:t>
      </w:r>
      <w:r w:rsidR="00D1304D" w:rsidRPr="00EC1346">
        <w:rPr>
          <w:rFonts w:asciiTheme="minorHAnsi" w:hAnsiTheme="minorHAnsi"/>
          <w:b/>
        </w:rPr>
        <w:t>для Сценария №3</w:t>
      </w:r>
      <w:r w:rsidRPr="00EC1346">
        <w:rPr>
          <w:rFonts w:asciiTheme="minorHAnsi" w:hAnsiTheme="minorHAnsi"/>
          <w:b/>
        </w:rPr>
        <w:t>, в котор</w:t>
      </w:r>
      <w:r w:rsidR="00B60780" w:rsidRPr="00EC1346">
        <w:rPr>
          <w:rFonts w:asciiTheme="minorHAnsi" w:hAnsiTheme="minorHAnsi"/>
          <w:b/>
        </w:rPr>
        <w:t>ом</w:t>
      </w:r>
      <w:r w:rsidRPr="00EC1346">
        <w:rPr>
          <w:rFonts w:asciiTheme="minorHAnsi" w:hAnsiTheme="minorHAnsi"/>
          <w:b/>
        </w:rPr>
        <w:t xml:space="preserve"> страхование продолжает </w:t>
      </w:r>
      <w:proofErr w:type="gramStart"/>
      <w:r w:rsidRPr="00EC1346">
        <w:rPr>
          <w:rFonts w:asciiTheme="minorHAnsi" w:hAnsiTheme="minorHAnsi"/>
          <w:b/>
        </w:rPr>
        <w:t>оставаться обязательным представлен</w:t>
      </w:r>
      <w:proofErr w:type="gramEnd"/>
      <w:r w:rsidRPr="00EC1346">
        <w:rPr>
          <w:rFonts w:asciiTheme="minorHAnsi" w:hAnsiTheme="minorHAnsi"/>
          <w:b/>
        </w:rPr>
        <w:t xml:space="preserve"> в следующей таблице:</w:t>
      </w:r>
    </w:p>
    <w:tbl>
      <w:tblPr>
        <w:tblStyle w:val="ListTable6ColorfulAccent6"/>
        <w:tblW w:w="9642" w:type="dxa"/>
        <w:tblLayout w:type="fixed"/>
        <w:tblLook w:val="04A0" w:firstRow="1" w:lastRow="0" w:firstColumn="1" w:lastColumn="0" w:noHBand="0" w:noVBand="1"/>
      </w:tblPr>
      <w:tblGrid>
        <w:gridCol w:w="2263"/>
        <w:gridCol w:w="1300"/>
        <w:gridCol w:w="1300"/>
        <w:gridCol w:w="1300"/>
        <w:gridCol w:w="1300"/>
        <w:gridCol w:w="1300"/>
        <w:gridCol w:w="879"/>
      </w:tblGrid>
      <w:tr w:rsidR="00A533FD" w:rsidRPr="00EC1346" w14:paraId="0ED5BD99" w14:textId="77777777" w:rsidTr="00A533F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2673257" w14:textId="77777777" w:rsidR="00A533FD" w:rsidRPr="00EC1346" w:rsidRDefault="00A533FD" w:rsidP="00A533FD">
            <w:pPr>
              <w:rPr>
                <w:rFonts w:ascii="Calibri" w:eastAsia="Times New Roman" w:hAnsi="Calibri"/>
                <w:color w:val="000000"/>
                <w:sz w:val="20"/>
                <w:szCs w:val="20"/>
                <w:lang w:val="en-US"/>
              </w:rPr>
            </w:pPr>
            <w:r w:rsidRPr="00EC1346">
              <w:rPr>
                <w:rFonts w:ascii="Calibri" w:eastAsia="Times New Roman" w:hAnsi="Calibri"/>
                <w:color w:val="000000"/>
                <w:sz w:val="20"/>
                <w:szCs w:val="20"/>
              </w:rPr>
              <w:t>Группа</w:t>
            </w:r>
          </w:p>
        </w:tc>
        <w:tc>
          <w:tcPr>
            <w:tcW w:w="1300" w:type="dxa"/>
            <w:noWrap/>
            <w:hideMark/>
          </w:tcPr>
          <w:p w14:paraId="7C032245" w14:textId="77777777" w:rsidR="00A533FD" w:rsidRPr="00EC1346" w:rsidRDefault="00A533FD" w:rsidP="00A533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2016</w:t>
            </w:r>
          </w:p>
        </w:tc>
        <w:tc>
          <w:tcPr>
            <w:tcW w:w="1300" w:type="dxa"/>
            <w:noWrap/>
            <w:hideMark/>
          </w:tcPr>
          <w:p w14:paraId="1F46BC36" w14:textId="77777777" w:rsidR="00A533FD" w:rsidRPr="00EC1346" w:rsidRDefault="00A533FD" w:rsidP="00A533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2017</w:t>
            </w:r>
          </w:p>
        </w:tc>
        <w:tc>
          <w:tcPr>
            <w:tcW w:w="1300" w:type="dxa"/>
            <w:noWrap/>
            <w:hideMark/>
          </w:tcPr>
          <w:p w14:paraId="77AF22EE" w14:textId="77777777" w:rsidR="00A533FD" w:rsidRPr="00EC1346" w:rsidRDefault="00A533FD" w:rsidP="00A533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2018</w:t>
            </w:r>
          </w:p>
        </w:tc>
        <w:tc>
          <w:tcPr>
            <w:tcW w:w="1300" w:type="dxa"/>
            <w:noWrap/>
            <w:hideMark/>
          </w:tcPr>
          <w:p w14:paraId="14DBF0F6" w14:textId="77777777" w:rsidR="00A533FD" w:rsidRPr="00EC1346" w:rsidRDefault="00A533FD" w:rsidP="00A533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2019</w:t>
            </w:r>
          </w:p>
        </w:tc>
        <w:tc>
          <w:tcPr>
            <w:tcW w:w="1300" w:type="dxa"/>
            <w:noWrap/>
            <w:hideMark/>
          </w:tcPr>
          <w:p w14:paraId="54B7C171" w14:textId="77777777" w:rsidR="00A533FD" w:rsidRPr="00EC1346" w:rsidRDefault="00A533FD" w:rsidP="00A533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2020</w:t>
            </w:r>
          </w:p>
        </w:tc>
        <w:tc>
          <w:tcPr>
            <w:tcW w:w="879" w:type="dxa"/>
            <w:noWrap/>
            <w:hideMark/>
          </w:tcPr>
          <w:p w14:paraId="2884EF1C" w14:textId="77777777" w:rsidR="00A533FD" w:rsidRPr="00EC1346" w:rsidRDefault="00A533FD" w:rsidP="00A533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2021</w:t>
            </w:r>
          </w:p>
        </w:tc>
      </w:tr>
      <w:tr w:rsidR="00234A05" w:rsidRPr="00EC1346" w14:paraId="2D3583AF" w14:textId="77777777" w:rsidTr="00234A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8D74171" w14:textId="77777777" w:rsidR="00234A05" w:rsidRPr="00EC1346" w:rsidRDefault="00234A05" w:rsidP="00A533FD">
            <w:pPr>
              <w:rPr>
                <w:rFonts w:ascii="Calibri" w:eastAsia="Times New Roman" w:hAnsi="Calibri"/>
                <w:color w:val="000000"/>
                <w:sz w:val="20"/>
                <w:szCs w:val="20"/>
              </w:rPr>
            </w:pPr>
            <w:r w:rsidRPr="00EC1346">
              <w:rPr>
                <w:rFonts w:ascii="Calibri" w:eastAsia="Times New Roman" w:hAnsi="Calibri"/>
                <w:color w:val="000000"/>
                <w:sz w:val="20"/>
                <w:szCs w:val="20"/>
              </w:rPr>
              <w:t>Группа №1</w:t>
            </w:r>
          </w:p>
        </w:tc>
        <w:tc>
          <w:tcPr>
            <w:tcW w:w="1300" w:type="dxa"/>
            <w:noWrap/>
            <w:vAlign w:val="center"/>
            <w:hideMark/>
          </w:tcPr>
          <w:p w14:paraId="34F661FF" w14:textId="00A608AC"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43,0%</w:t>
            </w:r>
          </w:p>
        </w:tc>
        <w:tc>
          <w:tcPr>
            <w:tcW w:w="1300" w:type="dxa"/>
            <w:noWrap/>
            <w:vAlign w:val="center"/>
            <w:hideMark/>
          </w:tcPr>
          <w:p w14:paraId="6B1A3439" w14:textId="39860D26"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59,0%</w:t>
            </w:r>
          </w:p>
        </w:tc>
        <w:tc>
          <w:tcPr>
            <w:tcW w:w="1300" w:type="dxa"/>
            <w:noWrap/>
            <w:vAlign w:val="center"/>
            <w:hideMark/>
          </w:tcPr>
          <w:p w14:paraId="67525E93" w14:textId="0526CD96"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64,9%</w:t>
            </w:r>
          </w:p>
        </w:tc>
        <w:tc>
          <w:tcPr>
            <w:tcW w:w="1300" w:type="dxa"/>
            <w:noWrap/>
            <w:vAlign w:val="center"/>
            <w:hideMark/>
          </w:tcPr>
          <w:p w14:paraId="5E030E95" w14:textId="511BA4EC"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59,9%</w:t>
            </w:r>
          </w:p>
        </w:tc>
        <w:tc>
          <w:tcPr>
            <w:tcW w:w="1300" w:type="dxa"/>
            <w:noWrap/>
            <w:vAlign w:val="center"/>
            <w:hideMark/>
          </w:tcPr>
          <w:p w14:paraId="36535A86" w14:textId="19BD73DE"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59,9%</w:t>
            </w:r>
          </w:p>
        </w:tc>
        <w:tc>
          <w:tcPr>
            <w:tcW w:w="879" w:type="dxa"/>
            <w:noWrap/>
            <w:vAlign w:val="center"/>
            <w:hideMark/>
          </w:tcPr>
          <w:p w14:paraId="36C48BD7" w14:textId="2DB6C63F"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59,9%</w:t>
            </w:r>
          </w:p>
        </w:tc>
      </w:tr>
      <w:tr w:rsidR="00234A05" w:rsidRPr="00EC1346" w14:paraId="5A538679" w14:textId="77777777" w:rsidTr="00234A05">
        <w:trPr>
          <w:trHeight w:val="32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9099C79" w14:textId="77777777" w:rsidR="00234A05" w:rsidRPr="00EC1346" w:rsidRDefault="00234A05" w:rsidP="00A533FD">
            <w:pPr>
              <w:rPr>
                <w:rFonts w:ascii="Calibri" w:eastAsia="Times New Roman" w:hAnsi="Calibri"/>
                <w:color w:val="000000"/>
                <w:sz w:val="20"/>
                <w:szCs w:val="20"/>
              </w:rPr>
            </w:pPr>
            <w:r w:rsidRPr="00EC1346">
              <w:rPr>
                <w:rFonts w:ascii="Calibri" w:eastAsia="Times New Roman" w:hAnsi="Calibri"/>
                <w:color w:val="000000"/>
                <w:sz w:val="20"/>
                <w:szCs w:val="20"/>
              </w:rPr>
              <w:t>Группа №2</w:t>
            </w:r>
          </w:p>
        </w:tc>
        <w:tc>
          <w:tcPr>
            <w:tcW w:w="1300" w:type="dxa"/>
            <w:noWrap/>
            <w:vAlign w:val="center"/>
            <w:hideMark/>
          </w:tcPr>
          <w:p w14:paraId="00C4CE3D" w14:textId="4F858DE6"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30,0%</w:t>
            </w:r>
          </w:p>
        </w:tc>
        <w:tc>
          <w:tcPr>
            <w:tcW w:w="1300" w:type="dxa"/>
            <w:noWrap/>
            <w:vAlign w:val="center"/>
            <w:hideMark/>
          </w:tcPr>
          <w:p w14:paraId="1928AC71" w14:textId="3C725FEF"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30,0%</w:t>
            </w:r>
          </w:p>
        </w:tc>
        <w:tc>
          <w:tcPr>
            <w:tcW w:w="1300" w:type="dxa"/>
            <w:noWrap/>
            <w:vAlign w:val="center"/>
            <w:hideMark/>
          </w:tcPr>
          <w:p w14:paraId="486C19F5" w14:textId="7BA3A891"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35,0%</w:t>
            </w:r>
          </w:p>
        </w:tc>
        <w:tc>
          <w:tcPr>
            <w:tcW w:w="1300" w:type="dxa"/>
            <w:noWrap/>
            <w:vAlign w:val="center"/>
            <w:hideMark/>
          </w:tcPr>
          <w:p w14:paraId="762CA61A" w14:textId="59A1E981"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40,0%</w:t>
            </w:r>
          </w:p>
        </w:tc>
        <w:tc>
          <w:tcPr>
            <w:tcW w:w="1300" w:type="dxa"/>
            <w:noWrap/>
            <w:vAlign w:val="center"/>
            <w:hideMark/>
          </w:tcPr>
          <w:p w14:paraId="29ED30BA" w14:textId="01242047"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40,0%</w:t>
            </w:r>
          </w:p>
        </w:tc>
        <w:tc>
          <w:tcPr>
            <w:tcW w:w="879" w:type="dxa"/>
            <w:noWrap/>
            <w:vAlign w:val="center"/>
            <w:hideMark/>
          </w:tcPr>
          <w:p w14:paraId="0B731E06" w14:textId="58599C2E"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40,0%</w:t>
            </w:r>
          </w:p>
        </w:tc>
      </w:tr>
      <w:tr w:rsidR="00234A05" w:rsidRPr="00EC1346" w14:paraId="12B17CB0" w14:textId="77777777" w:rsidTr="00234A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15AB5EF" w14:textId="77777777" w:rsidR="00234A05" w:rsidRPr="00EC1346" w:rsidRDefault="00234A05" w:rsidP="00A533FD">
            <w:pPr>
              <w:rPr>
                <w:rFonts w:ascii="Calibri" w:eastAsia="Times New Roman" w:hAnsi="Calibri"/>
                <w:color w:val="000000"/>
                <w:sz w:val="20"/>
                <w:szCs w:val="20"/>
              </w:rPr>
            </w:pPr>
            <w:r w:rsidRPr="00EC1346">
              <w:rPr>
                <w:rFonts w:ascii="Calibri" w:eastAsia="Times New Roman" w:hAnsi="Calibri"/>
                <w:color w:val="000000"/>
                <w:sz w:val="20"/>
                <w:szCs w:val="20"/>
              </w:rPr>
              <w:t>Группа №3</w:t>
            </w:r>
          </w:p>
        </w:tc>
        <w:tc>
          <w:tcPr>
            <w:tcW w:w="1300" w:type="dxa"/>
            <w:noWrap/>
            <w:vAlign w:val="center"/>
            <w:hideMark/>
          </w:tcPr>
          <w:p w14:paraId="200273D5" w14:textId="4D6D8DD6"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25,0%</w:t>
            </w:r>
          </w:p>
        </w:tc>
        <w:tc>
          <w:tcPr>
            <w:tcW w:w="1300" w:type="dxa"/>
            <w:noWrap/>
            <w:vAlign w:val="center"/>
            <w:hideMark/>
          </w:tcPr>
          <w:p w14:paraId="19227C56" w14:textId="0798210F"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10,0%</w:t>
            </w:r>
          </w:p>
        </w:tc>
        <w:tc>
          <w:tcPr>
            <w:tcW w:w="1300" w:type="dxa"/>
            <w:noWrap/>
            <w:vAlign w:val="center"/>
            <w:hideMark/>
          </w:tcPr>
          <w:p w14:paraId="5B08AD6E" w14:textId="0BA43C6E"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0,0%</w:t>
            </w:r>
          </w:p>
        </w:tc>
        <w:tc>
          <w:tcPr>
            <w:tcW w:w="1300" w:type="dxa"/>
            <w:noWrap/>
            <w:vAlign w:val="center"/>
            <w:hideMark/>
          </w:tcPr>
          <w:p w14:paraId="76F24C05" w14:textId="73C83426"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0,0%</w:t>
            </w:r>
          </w:p>
        </w:tc>
        <w:tc>
          <w:tcPr>
            <w:tcW w:w="1300" w:type="dxa"/>
            <w:noWrap/>
            <w:vAlign w:val="center"/>
            <w:hideMark/>
          </w:tcPr>
          <w:p w14:paraId="485B4DB5" w14:textId="363B061E"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0,0%</w:t>
            </w:r>
          </w:p>
        </w:tc>
        <w:tc>
          <w:tcPr>
            <w:tcW w:w="879" w:type="dxa"/>
            <w:noWrap/>
            <w:vAlign w:val="center"/>
            <w:hideMark/>
          </w:tcPr>
          <w:p w14:paraId="71C0F630" w14:textId="23EA423E"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0,0%</w:t>
            </w:r>
          </w:p>
        </w:tc>
      </w:tr>
      <w:tr w:rsidR="00234A05" w:rsidRPr="00EC1346" w14:paraId="55DD9114" w14:textId="77777777" w:rsidTr="00234A05">
        <w:trPr>
          <w:trHeight w:val="32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E09191F" w14:textId="77777777" w:rsidR="00234A05" w:rsidRPr="00EC1346" w:rsidRDefault="00234A05" w:rsidP="00A533FD">
            <w:pPr>
              <w:rPr>
                <w:rFonts w:ascii="Calibri" w:eastAsia="Times New Roman" w:hAnsi="Calibri"/>
                <w:color w:val="000000"/>
                <w:sz w:val="20"/>
                <w:szCs w:val="20"/>
              </w:rPr>
            </w:pPr>
            <w:r w:rsidRPr="00EC1346">
              <w:rPr>
                <w:rFonts w:ascii="Calibri" w:eastAsia="Times New Roman" w:hAnsi="Calibri"/>
                <w:color w:val="000000"/>
                <w:sz w:val="20"/>
                <w:szCs w:val="20"/>
              </w:rPr>
              <w:t>Группа №4</w:t>
            </w:r>
          </w:p>
        </w:tc>
        <w:tc>
          <w:tcPr>
            <w:tcW w:w="1300" w:type="dxa"/>
            <w:noWrap/>
            <w:vAlign w:val="center"/>
            <w:hideMark/>
          </w:tcPr>
          <w:p w14:paraId="7E15820A" w14:textId="1A8DFC5B"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w:t>
            </w:r>
          </w:p>
        </w:tc>
        <w:tc>
          <w:tcPr>
            <w:tcW w:w="1300" w:type="dxa"/>
            <w:noWrap/>
            <w:vAlign w:val="center"/>
            <w:hideMark/>
          </w:tcPr>
          <w:p w14:paraId="1A2ABA4A" w14:textId="0C90385C"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1,0%</w:t>
            </w:r>
          </w:p>
        </w:tc>
        <w:tc>
          <w:tcPr>
            <w:tcW w:w="1300" w:type="dxa"/>
            <w:noWrap/>
            <w:vAlign w:val="center"/>
            <w:hideMark/>
          </w:tcPr>
          <w:p w14:paraId="743957B6" w14:textId="0131C893"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0,1%</w:t>
            </w:r>
          </w:p>
        </w:tc>
        <w:tc>
          <w:tcPr>
            <w:tcW w:w="1300" w:type="dxa"/>
            <w:noWrap/>
            <w:vAlign w:val="center"/>
            <w:hideMark/>
          </w:tcPr>
          <w:p w14:paraId="56E6CF1C" w14:textId="07D85B66"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0,1%</w:t>
            </w:r>
          </w:p>
        </w:tc>
        <w:tc>
          <w:tcPr>
            <w:tcW w:w="1300" w:type="dxa"/>
            <w:noWrap/>
            <w:vAlign w:val="center"/>
            <w:hideMark/>
          </w:tcPr>
          <w:p w14:paraId="6FA457E2" w14:textId="62A00AA6"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0,1%</w:t>
            </w:r>
          </w:p>
        </w:tc>
        <w:tc>
          <w:tcPr>
            <w:tcW w:w="879" w:type="dxa"/>
            <w:noWrap/>
            <w:vAlign w:val="center"/>
            <w:hideMark/>
          </w:tcPr>
          <w:p w14:paraId="0ECC7CD4" w14:textId="20B72EBC"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0,1%</w:t>
            </w:r>
          </w:p>
        </w:tc>
      </w:tr>
    </w:tbl>
    <w:p w14:paraId="75613FBF" w14:textId="069A48ED" w:rsidR="00F26CB0" w:rsidRPr="00EC1346" w:rsidRDefault="00F26CB0" w:rsidP="00A533FD">
      <w:pPr>
        <w:spacing w:after="120" w:line="360" w:lineRule="auto"/>
        <w:jc w:val="both"/>
        <w:rPr>
          <w:rFonts w:asciiTheme="minorHAnsi" w:hAnsiTheme="minorHAnsi"/>
          <w:b/>
          <w:i/>
        </w:rPr>
      </w:pPr>
      <w:r w:rsidRPr="00EC1346">
        <w:rPr>
          <w:rFonts w:asciiTheme="minorHAnsi" w:hAnsiTheme="minorHAnsi"/>
          <w:b/>
          <w:i/>
        </w:rPr>
        <w:lastRenderedPageBreak/>
        <w:t xml:space="preserve">Сценарий </w:t>
      </w:r>
      <w:r w:rsidR="00A533FD" w:rsidRPr="00EC1346">
        <w:rPr>
          <w:rFonts w:asciiTheme="minorHAnsi" w:hAnsiTheme="minorHAnsi"/>
          <w:b/>
          <w:i/>
        </w:rPr>
        <w:t>№1: результаты.</w:t>
      </w:r>
    </w:p>
    <w:p w14:paraId="19F50F1A" w14:textId="692EFE26" w:rsidR="00A533FD" w:rsidRPr="00EC1346" w:rsidRDefault="00A533FD" w:rsidP="00A533FD">
      <w:pPr>
        <w:spacing w:after="120" w:line="360" w:lineRule="auto"/>
        <w:jc w:val="both"/>
        <w:rPr>
          <w:rFonts w:asciiTheme="minorHAnsi" w:hAnsiTheme="minorHAnsi"/>
        </w:rPr>
      </w:pPr>
      <w:r w:rsidRPr="00EC1346">
        <w:rPr>
          <w:rFonts w:asciiTheme="minorHAnsi" w:hAnsiTheme="minorHAnsi"/>
        </w:rPr>
        <w:t>После проведения экономического моделирования Сценария №1 можно сделать вывод о недостаточности средств Компенсационного Фонда при ухудшении состояния отрасли жилищного строительства. Гарантия обязатель</w:t>
      </w:r>
      <w:proofErr w:type="gramStart"/>
      <w:r w:rsidRPr="00EC1346">
        <w:rPr>
          <w:rFonts w:asciiTheme="minorHAnsi" w:hAnsiTheme="minorHAnsi"/>
        </w:rPr>
        <w:t>ств вс</w:t>
      </w:r>
      <w:proofErr w:type="gramEnd"/>
      <w:r w:rsidRPr="00EC1346">
        <w:rPr>
          <w:rFonts w:asciiTheme="minorHAnsi" w:hAnsiTheme="minorHAnsi"/>
        </w:rPr>
        <w:t xml:space="preserve">ех групп застройщиков приводит к необходимости </w:t>
      </w:r>
      <w:proofErr w:type="spellStart"/>
      <w:r w:rsidRPr="00EC1346">
        <w:rPr>
          <w:rFonts w:asciiTheme="minorHAnsi" w:hAnsiTheme="minorHAnsi"/>
        </w:rPr>
        <w:t>дофинансирования</w:t>
      </w:r>
      <w:proofErr w:type="spellEnd"/>
      <w:r w:rsidRPr="00EC1346">
        <w:rPr>
          <w:rFonts w:asciiTheme="minorHAnsi" w:hAnsiTheme="minorHAnsi"/>
        </w:rPr>
        <w:t xml:space="preserve"> </w:t>
      </w:r>
      <w:r w:rsidR="00474935" w:rsidRPr="00EC1346">
        <w:rPr>
          <w:rFonts w:asciiTheme="minorHAnsi" w:hAnsiTheme="minorHAnsi"/>
        </w:rPr>
        <w:t xml:space="preserve">Фонда </w:t>
      </w:r>
      <w:r w:rsidRPr="00EC1346">
        <w:rPr>
          <w:rFonts w:asciiTheme="minorHAnsi" w:hAnsiTheme="minorHAnsi"/>
        </w:rPr>
        <w:t>из бюджета:</w:t>
      </w:r>
    </w:p>
    <w:p w14:paraId="32FCA8EE" w14:textId="52013116" w:rsidR="00474935" w:rsidRPr="00EC1346" w:rsidRDefault="00234A05" w:rsidP="00EB11D5">
      <w:pPr>
        <w:spacing w:after="120" w:line="360" w:lineRule="auto"/>
        <w:jc w:val="center"/>
        <w:rPr>
          <w:rFonts w:asciiTheme="minorHAnsi" w:hAnsiTheme="minorHAnsi"/>
        </w:rPr>
      </w:pPr>
      <w:r w:rsidRPr="00EC1346">
        <w:rPr>
          <w:noProof/>
          <w:lang w:eastAsia="ru-RU"/>
        </w:rPr>
        <w:drawing>
          <wp:inline distT="0" distB="0" distL="0" distR="0" wp14:anchorId="19DD0A8F" wp14:editId="4C955603">
            <wp:extent cx="4429414" cy="2608998"/>
            <wp:effectExtent l="0" t="0" r="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ListTable6ColorfulAccent6"/>
        <w:tblW w:w="9283" w:type="dxa"/>
        <w:tblLayout w:type="fixed"/>
        <w:tblLook w:val="04A0" w:firstRow="1" w:lastRow="0" w:firstColumn="1" w:lastColumn="0" w:noHBand="0" w:noVBand="1"/>
      </w:tblPr>
      <w:tblGrid>
        <w:gridCol w:w="3261"/>
        <w:gridCol w:w="1003"/>
        <w:gridCol w:w="1004"/>
        <w:gridCol w:w="1004"/>
        <w:gridCol w:w="1003"/>
        <w:gridCol w:w="1004"/>
        <w:gridCol w:w="1004"/>
      </w:tblGrid>
      <w:tr w:rsidR="00474935" w:rsidRPr="00EC1346" w14:paraId="2F7BBD63" w14:textId="77777777" w:rsidTr="0047493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3040B9BD" w14:textId="77777777" w:rsidR="00474935" w:rsidRPr="00EC1346" w:rsidRDefault="00474935" w:rsidP="00474935">
            <w:pPr>
              <w:rPr>
                <w:rFonts w:ascii="Calibri" w:eastAsia="Times New Roman" w:hAnsi="Calibri"/>
                <w:color w:val="000000"/>
                <w:sz w:val="20"/>
                <w:szCs w:val="20"/>
                <w:lang w:val="en-US"/>
              </w:rPr>
            </w:pPr>
            <w:r w:rsidRPr="00EC1346">
              <w:rPr>
                <w:rFonts w:ascii="Calibri" w:eastAsia="Times New Roman" w:hAnsi="Calibri"/>
                <w:color w:val="000000"/>
                <w:sz w:val="20"/>
                <w:szCs w:val="20"/>
              </w:rPr>
              <w:t>Показатель</w:t>
            </w:r>
          </w:p>
        </w:tc>
        <w:tc>
          <w:tcPr>
            <w:tcW w:w="1003" w:type="dxa"/>
            <w:noWrap/>
            <w:vAlign w:val="center"/>
            <w:hideMark/>
          </w:tcPr>
          <w:p w14:paraId="3E224FF7" w14:textId="77777777" w:rsidR="00474935" w:rsidRPr="00EC1346" w:rsidRDefault="00474935" w:rsidP="004749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2017</w:t>
            </w:r>
          </w:p>
        </w:tc>
        <w:tc>
          <w:tcPr>
            <w:tcW w:w="1004" w:type="dxa"/>
            <w:noWrap/>
            <w:vAlign w:val="center"/>
            <w:hideMark/>
          </w:tcPr>
          <w:p w14:paraId="45629B6F" w14:textId="77777777" w:rsidR="00474935" w:rsidRPr="00EC1346" w:rsidRDefault="00474935" w:rsidP="004749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2018</w:t>
            </w:r>
          </w:p>
        </w:tc>
        <w:tc>
          <w:tcPr>
            <w:tcW w:w="1004" w:type="dxa"/>
            <w:noWrap/>
            <w:vAlign w:val="center"/>
            <w:hideMark/>
          </w:tcPr>
          <w:p w14:paraId="72F1CFF5" w14:textId="77777777" w:rsidR="00474935" w:rsidRPr="00EC1346" w:rsidRDefault="00474935" w:rsidP="004749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2019</w:t>
            </w:r>
          </w:p>
        </w:tc>
        <w:tc>
          <w:tcPr>
            <w:tcW w:w="1003" w:type="dxa"/>
            <w:noWrap/>
            <w:vAlign w:val="center"/>
            <w:hideMark/>
          </w:tcPr>
          <w:p w14:paraId="41C3D3A7" w14:textId="77777777" w:rsidR="00474935" w:rsidRPr="00EC1346" w:rsidRDefault="00474935" w:rsidP="004749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2020</w:t>
            </w:r>
          </w:p>
        </w:tc>
        <w:tc>
          <w:tcPr>
            <w:tcW w:w="1004" w:type="dxa"/>
            <w:noWrap/>
            <w:vAlign w:val="center"/>
            <w:hideMark/>
          </w:tcPr>
          <w:p w14:paraId="109B8C02" w14:textId="77777777" w:rsidR="00474935" w:rsidRPr="00EC1346" w:rsidRDefault="00474935" w:rsidP="004749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2021</w:t>
            </w:r>
          </w:p>
        </w:tc>
        <w:tc>
          <w:tcPr>
            <w:tcW w:w="1004" w:type="dxa"/>
            <w:noWrap/>
            <w:vAlign w:val="center"/>
            <w:hideMark/>
          </w:tcPr>
          <w:p w14:paraId="3A56D024" w14:textId="77777777" w:rsidR="00474935" w:rsidRPr="00EC1346" w:rsidRDefault="00474935" w:rsidP="004749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Итого</w:t>
            </w:r>
          </w:p>
        </w:tc>
      </w:tr>
      <w:tr w:rsidR="00234A05" w:rsidRPr="00EC1346" w14:paraId="62FEEDBD" w14:textId="77777777" w:rsidTr="00234A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391D3D4E" w14:textId="77777777" w:rsidR="00234A05" w:rsidRPr="00EC1346" w:rsidRDefault="00234A05" w:rsidP="00474935">
            <w:pPr>
              <w:rPr>
                <w:rFonts w:ascii="Calibri" w:eastAsia="Times New Roman" w:hAnsi="Calibri"/>
                <w:color w:val="000000"/>
                <w:sz w:val="20"/>
                <w:szCs w:val="20"/>
              </w:rPr>
            </w:pPr>
            <w:r w:rsidRPr="00EC1346">
              <w:rPr>
                <w:rFonts w:ascii="Calibri" w:eastAsia="Times New Roman" w:hAnsi="Calibri"/>
                <w:color w:val="000000"/>
                <w:sz w:val="20"/>
                <w:szCs w:val="20"/>
              </w:rPr>
              <w:t>Размер компенсационного фонда на начало года, млрд. руб.</w:t>
            </w:r>
          </w:p>
        </w:tc>
        <w:tc>
          <w:tcPr>
            <w:tcW w:w="1003" w:type="dxa"/>
            <w:noWrap/>
            <w:vAlign w:val="center"/>
            <w:hideMark/>
          </w:tcPr>
          <w:p w14:paraId="31C5B7F9" w14:textId="4ADEC748"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35</w:t>
            </w:r>
          </w:p>
        </w:tc>
        <w:tc>
          <w:tcPr>
            <w:tcW w:w="1004" w:type="dxa"/>
            <w:noWrap/>
            <w:vAlign w:val="center"/>
            <w:hideMark/>
          </w:tcPr>
          <w:p w14:paraId="092F8EBF" w14:textId="32DB7B43"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33</w:t>
            </w:r>
          </w:p>
        </w:tc>
        <w:tc>
          <w:tcPr>
            <w:tcW w:w="1004" w:type="dxa"/>
            <w:noWrap/>
            <w:vAlign w:val="center"/>
            <w:hideMark/>
          </w:tcPr>
          <w:p w14:paraId="0083ED36" w14:textId="14AA0589"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w:t>
            </w:r>
          </w:p>
        </w:tc>
        <w:tc>
          <w:tcPr>
            <w:tcW w:w="1003" w:type="dxa"/>
            <w:noWrap/>
            <w:vAlign w:val="center"/>
            <w:hideMark/>
          </w:tcPr>
          <w:p w14:paraId="602FF074" w14:textId="5DB24EB9"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w:t>
            </w:r>
          </w:p>
        </w:tc>
        <w:tc>
          <w:tcPr>
            <w:tcW w:w="1004" w:type="dxa"/>
            <w:noWrap/>
            <w:vAlign w:val="center"/>
            <w:hideMark/>
          </w:tcPr>
          <w:p w14:paraId="2A28890E" w14:textId="6797877C"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w:t>
            </w:r>
          </w:p>
        </w:tc>
        <w:tc>
          <w:tcPr>
            <w:tcW w:w="1004" w:type="dxa"/>
            <w:noWrap/>
            <w:vAlign w:val="center"/>
            <w:hideMark/>
          </w:tcPr>
          <w:p w14:paraId="701EA723" w14:textId="3B357E02"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p>
        </w:tc>
      </w:tr>
      <w:tr w:rsidR="00234A05" w:rsidRPr="00EC1346" w14:paraId="7E0E4AC0" w14:textId="77777777" w:rsidTr="00234A05">
        <w:trPr>
          <w:trHeight w:val="32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68F34798" w14:textId="77777777" w:rsidR="00234A05" w:rsidRPr="00EC1346" w:rsidRDefault="00234A05" w:rsidP="00474935">
            <w:pPr>
              <w:rPr>
                <w:rFonts w:ascii="Calibri" w:eastAsia="Times New Roman" w:hAnsi="Calibri"/>
                <w:color w:val="000000"/>
                <w:sz w:val="20"/>
                <w:szCs w:val="20"/>
              </w:rPr>
            </w:pPr>
            <w:r w:rsidRPr="00EC1346">
              <w:rPr>
                <w:rFonts w:ascii="Calibri" w:eastAsia="Times New Roman" w:hAnsi="Calibri"/>
                <w:color w:val="000000"/>
                <w:sz w:val="20"/>
                <w:szCs w:val="20"/>
              </w:rPr>
              <w:t>Отчисления в фонд, млрд. руб.</w:t>
            </w:r>
          </w:p>
        </w:tc>
        <w:tc>
          <w:tcPr>
            <w:tcW w:w="1003" w:type="dxa"/>
            <w:noWrap/>
            <w:vAlign w:val="center"/>
            <w:hideMark/>
          </w:tcPr>
          <w:p w14:paraId="580E8D8D" w14:textId="5E4B9717"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16</w:t>
            </w:r>
          </w:p>
        </w:tc>
        <w:tc>
          <w:tcPr>
            <w:tcW w:w="1004" w:type="dxa"/>
            <w:noWrap/>
            <w:vAlign w:val="center"/>
            <w:hideMark/>
          </w:tcPr>
          <w:p w14:paraId="41593350" w14:textId="5D756B51"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14</w:t>
            </w:r>
          </w:p>
        </w:tc>
        <w:tc>
          <w:tcPr>
            <w:tcW w:w="1004" w:type="dxa"/>
            <w:noWrap/>
            <w:vAlign w:val="center"/>
            <w:hideMark/>
          </w:tcPr>
          <w:p w14:paraId="16125CC8" w14:textId="0F78A7E9"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14</w:t>
            </w:r>
          </w:p>
        </w:tc>
        <w:tc>
          <w:tcPr>
            <w:tcW w:w="1003" w:type="dxa"/>
            <w:noWrap/>
            <w:vAlign w:val="center"/>
            <w:hideMark/>
          </w:tcPr>
          <w:p w14:paraId="597E1A87" w14:textId="62645311"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14</w:t>
            </w:r>
          </w:p>
        </w:tc>
        <w:tc>
          <w:tcPr>
            <w:tcW w:w="1004" w:type="dxa"/>
            <w:noWrap/>
            <w:vAlign w:val="center"/>
            <w:hideMark/>
          </w:tcPr>
          <w:p w14:paraId="55CC9DE2" w14:textId="7814E147"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14</w:t>
            </w:r>
          </w:p>
        </w:tc>
        <w:tc>
          <w:tcPr>
            <w:tcW w:w="1004" w:type="dxa"/>
            <w:noWrap/>
            <w:vAlign w:val="center"/>
            <w:hideMark/>
          </w:tcPr>
          <w:p w14:paraId="25D1D613" w14:textId="04550138"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b/>
                <w:color w:val="000000"/>
                <w:sz w:val="20"/>
                <w:szCs w:val="20"/>
              </w:rPr>
              <w:t>72</w:t>
            </w:r>
          </w:p>
        </w:tc>
      </w:tr>
      <w:tr w:rsidR="00234A05" w:rsidRPr="00EC1346" w14:paraId="5367A0B9" w14:textId="77777777" w:rsidTr="00234A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5569C44" w14:textId="77777777" w:rsidR="00234A05" w:rsidRPr="00EC1346" w:rsidRDefault="00234A05" w:rsidP="00474935">
            <w:pPr>
              <w:rPr>
                <w:rFonts w:ascii="Calibri" w:eastAsia="Times New Roman" w:hAnsi="Calibri"/>
                <w:color w:val="000000"/>
                <w:sz w:val="20"/>
                <w:szCs w:val="20"/>
              </w:rPr>
            </w:pPr>
            <w:r w:rsidRPr="00EC1346">
              <w:rPr>
                <w:rFonts w:ascii="Calibri" w:eastAsia="Times New Roman" w:hAnsi="Calibri"/>
                <w:color w:val="000000"/>
                <w:sz w:val="20"/>
                <w:szCs w:val="20"/>
              </w:rPr>
              <w:t>Выплаты на достройку объектов, млрд. руб.</w:t>
            </w:r>
          </w:p>
        </w:tc>
        <w:tc>
          <w:tcPr>
            <w:tcW w:w="1003" w:type="dxa"/>
            <w:noWrap/>
            <w:vAlign w:val="center"/>
            <w:hideMark/>
          </w:tcPr>
          <w:p w14:paraId="66B5A18F" w14:textId="798C9B89"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18</w:t>
            </w:r>
          </w:p>
        </w:tc>
        <w:tc>
          <w:tcPr>
            <w:tcW w:w="1004" w:type="dxa"/>
            <w:noWrap/>
            <w:vAlign w:val="center"/>
            <w:hideMark/>
          </w:tcPr>
          <w:p w14:paraId="6103E861" w14:textId="54C8AE69"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54</w:t>
            </w:r>
          </w:p>
        </w:tc>
        <w:tc>
          <w:tcPr>
            <w:tcW w:w="1004" w:type="dxa"/>
            <w:noWrap/>
            <w:vAlign w:val="center"/>
            <w:hideMark/>
          </w:tcPr>
          <w:p w14:paraId="6DF6AD9F" w14:textId="4048E23E"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132</w:t>
            </w:r>
          </w:p>
        </w:tc>
        <w:tc>
          <w:tcPr>
            <w:tcW w:w="1003" w:type="dxa"/>
            <w:noWrap/>
            <w:vAlign w:val="center"/>
            <w:hideMark/>
          </w:tcPr>
          <w:p w14:paraId="2B6FAB8B" w14:textId="21E4A3B5"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248</w:t>
            </w:r>
          </w:p>
        </w:tc>
        <w:tc>
          <w:tcPr>
            <w:tcW w:w="1004" w:type="dxa"/>
            <w:noWrap/>
            <w:vAlign w:val="center"/>
            <w:hideMark/>
          </w:tcPr>
          <w:p w14:paraId="7614B3DB" w14:textId="6CBF314B"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357</w:t>
            </w:r>
          </w:p>
        </w:tc>
        <w:tc>
          <w:tcPr>
            <w:tcW w:w="1004" w:type="dxa"/>
            <w:noWrap/>
            <w:vAlign w:val="center"/>
            <w:hideMark/>
          </w:tcPr>
          <w:p w14:paraId="1344D9E3" w14:textId="24199164"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b/>
                <w:color w:val="000000"/>
                <w:sz w:val="20"/>
                <w:szCs w:val="20"/>
              </w:rPr>
              <w:t>809</w:t>
            </w:r>
          </w:p>
        </w:tc>
      </w:tr>
      <w:tr w:rsidR="00234A05" w:rsidRPr="00EC1346" w14:paraId="0FABBA9F" w14:textId="77777777" w:rsidTr="00234A05">
        <w:trPr>
          <w:trHeight w:val="32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98DA915" w14:textId="4AD8F802" w:rsidR="00234A05" w:rsidRPr="00EC1346" w:rsidRDefault="00234A05" w:rsidP="00474935">
            <w:pPr>
              <w:rPr>
                <w:rFonts w:ascii="Calibri" w:eastAsia="Times New Roman" w:hAnsi="Calibri"/>
                <w:color w:val="000000"/>
                <w:sz w:val="20"/>
                <w:szCs w:val="20"/>
              </w:rPr>
            </w:pPr>
            <w:r w:rsidRPr="00EC1346">
              <w:rPr>
                <w:rFonts w:ascii="Calibri" w:eastAsia="Times New Roman" w:hAnsi="Calibri"/>
                <w:color w:val="000000"/>
                <w:sz w:val="20"/>
                <w:szCs w:val="20"/>
              </w:rPr>
              <w:t>Финансирование из бюджета РФ, млрд. руб.</w:t>
            </w:r>
          </w:p>
        </w:tc>
        <w:tc>
          <w:tcPr>
            <w:tcW w:w="1003" w:type="dxa"/>
            <w:noWrap/>
            <w:vAlign w:val="center"/>
            <w:hideMark/>
          </w:tcPr>
          <w:p w14:paraId="5A9C563B" w14:textId="7AC974AC"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w:t>
            </w:r>
          </w:p>
        </w:tc>
        <w:tc>
          <w:tcPr>
            <w:tcW w:w="1004" w:type="dxa"/>
            <w:noWrap/>
            <w:vAlign w:val="center"/>
            <w:hideMark/>
          </w:tcPr>
          <w:p w14:paraId="3AA4F9D7" w14:textId="67E17A26"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7</w:t>
            </w:r>
          </w:p>
        </w:tc>
        <w:tc>
          <w:tcPr>
            <w:tcW w:w="1004" w:type="dxa"/>
            <w:noWrap/>
            <w:vAlign w:val="center"/>
            <w:hideMark/>
          </w:tcPr>
          <w:p w14:paraId="66116FDD" w14:textId="41BB10CA"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118</w:t>
            </w:r>
          </w:p>
        </w:tc>
        <w:tc>
          <w:tcPr>
            <w:tcW w:w="1003" w:type="dxa"/>
            <w:noWrap/>
            <w:vAlign w:val="center"/>
            <w:hideMark/>
          </w:tcPr>
          <w:p w14:paraId="45FD6B6B" w14:textId="085F3FFE"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234</w:t>
            </w:r>
          </w:p>
        </w:tc>
        <w:tc>
          <w:tcPr>
            <w:tcW w:w="1004" w:type="dxa"/>
            <w:noWrap/>
            <w:vAlign w:val="center"/>
            <w:hideMark/>
          </w:tcPr>
          <w:p w14:paraId="260EC48F" w14:textId="6C05B7D7"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343</w:t>
            </w:r>
          </w:p>
        </w:tc>
        <w:tc>
          <w:tcPr>
            <w:tcW w:w="1004" w:type="dxa"/>
            <w:noWrap/>
            <w:vAlign w:val="center"/>
            <w:hideMark/>
          </w:tcPr>
          <w:p w14:paraId="1F976FE0" w14:textId="40C162CA"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b/>
                <w:color w:val="000000"/>
                <w:sz w:val="20"/>
                <w:szCs w:val="20"/>
              </w:rPr>
              <w:t>702</w:t>
            </w:r>
          </w:p>
        </w:tc>
      </w:tr>
      <w:tr w:rsidR="00234A05" w:rsidRPr="00EC1346" w14:paraId="6A3FB6B7" w14:textId="77777777" w:rsidTr="00234A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A231BDC" w14:textId="77777777" w:rsidR="00234A05" w:rsidRPr="00EC1346" w:rsidRDefault="00234A05" w:rsidP="00474935">
            <w:pPr>
              <w:rPr>
                <w:rFonts w:ascii="Calibri" w:eastAsia="Times New Roman" w:hAnsi="Calibri"/>
                <w:color w:val="000000"/>
                <w:sz w:val="20"/>
                <w:szCs w:val="20"/>
              </w:rPr>
            </w:pPr>
            <w:r w:rsidRPr="00EC1346">
              <w:rPr>
                <w:rFonts w:ascii="Calibri" w:eastAsia="Times New Roman" w:hAnsi="Calibri"/>
                <w:color w:val="000000"/>
                <w:sz w:val="20"/>
                <w:szCs w:val="20"/>
              </w:rPr>
              <w:t>Доля фонда в объеме выплат, %</w:t>
            </w:r>
          </w:p>
        </w:tc>
        <w:tc>
          <w:tcPr>
            <w:tcW w:w="1003" w:type="dxa"/>
            <w:noWrap/>
            <w:vAlign w:val="center"/>
            <w:hideMark/>
          </w:tcPr>
          <w:p w14:paraId="3FF0A64E" w14:textId="0A425966"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100%</w:t>
            </w:r>
          </w:p>
        </w:tc>
        <w:tc>
          <w:tcPr>
            <w:tcW w:w="1004" w:type="dxa"/>
            <w:noWrap/>
            <w:vAlign w:val="center"/>
            <w:hideMark/>
          </w:tcPr>
          <w:p w14:paraId="0E28E0F2" w14:textId="0D6F3559"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87%</w:t>
            </w:r>
          </w:p>
        </w:tc>
        <w:tc>
          <w:tcPr>
            <w:tcW w:w="1004" w:type="dxa"/>
            <w:noWrap/>
            <w:vAlign w:val="center"/>
            <w:hideMark/>
          </w:tcPr>
          <w:p w14:paraId="514A58E3" w14:textId="02D31417"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11%</w:t>
            </w:r>
          </w:p>
        </w:tc>
        <w:tc>
          <w:tcPr>
            <w:tcW w:w="1003" w:type="dxa"/>
            <w:noWrap/>
            <w:vAlign w:val="center"/>
            <w:hideMark/>
          </w:tcPr>
          <w:p w14:paraId="2C40E66A" w14:textId="4F1DE105"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6%</w:t>
            </w:r>
          </w:p>
        </w:tc>
        <w:tc>
          <w:tcPr>
            <w:tcW w:w="1004" w:type="dxa"/>
            <w:noWrap/>
            <w:vAlign w:val="center"/>
            <w:hideMark/>
          </w:tcPr>
          <w:p w14:paraId="50D44434" w14:textId="7ED28E8C"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4%</w:t>
            </w:r>
          </w:p>
        </w:tc>
        <w:tc>
          <w:tcPr>
            <w:tcW w:w="1004" w:type="dxa"/>
            <w:noWrap/>
            <w:vAlign w:val="center"/>
            <w:hideMark/>
          </w:tcPr>
          <w:p w14:paraId="7A49549B" w14:textId="78BCF0F9"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b/>
                <w:color w:val="000000"/>
                <w:sz w:val="20"/>
                <w:szCs w:val="20"/>
              </w:rPr>
              <w:t>13%</w:t>
            </w:r>
          </w:p>
        </w:tc>
      </w:tr>
    </w:tbl>
    <w:p w14:paraId="60A956AA" w14:textId="77777777" w:rsidR="00A533FD" w:rsidRPr="00EC1346" w:rsidRDefault="00A533FD" w:rsidP="00A533FD">
      <w:pPr>
        <w:spacing w:after="120" w:line="360" w:lineRule="auto"/>
        <w:jc w:val="both"/>
        <w:rPr>
          <w:rFonts w:asciiTheme="minorHAnsi" w:hAnsiTheme="minorHAnsi"/>
        </w:rPr>
      </w:pPr>
    </w:p>
    <w:p w14:paraId="64304535" w14:textId="5182E046" w:rsidR="00701D79" w:rsidRPr="00EC1346" w:rsidRDefault="00701D79" w:rsidP="00701D79">
      <w:pPr>
        <w:spacing w:after="120" w:line="360" w:lineRule="auto"/>
        <w:jc w:val="both"/>
        <w:rPr>
          <w:rFonts w:asciiTheme="minorHAnsi" w:hAnsiTheme="minorHAnsi"/>
          <w:b/>
          <w:i/>
        </w:rPr>
      </w:pPr>
      <w:r w:rsidRPr="00EC1346">
        <w:rPr>
          <w:rFonts w:asciiTheme="minorHAnsi" w:hAnsiTheme="minorHAnsi"/>
          <w:b/>
          <w:i/>
        </w:rPr>
        <w:t>Сценарий №2: результаты.</w:t>
      </w:r>
    </w:p>
    <w:p w14:paraId="1A292FCD" w14:textId="78275ED0" w:rsidR="00701D79" w:rsidRPr="00EC1346" w:rsidRDefault="00701D79" w:rsidP="00474935">
      <w:pPr>
        <w:spacing w:after="120" w:line="360" w:lineRule="auto"/>
        <w:jc w:val="both"/>
        <w:rPr>
          <w:rFonts w:asciiTheme="minorHAnsi" w:hAnsiTheme="minorHAnsi"/>
        </w:rPr>
      </w:pPr>
      <w:r w:rsidRPr="00EC1346">
        <w:rPr>
          <w:rFonts w:asciiTheme="minorHAnsi" w:hAnsiTheme="minorHAnsi"/>
        </w:rPr>
        <w:t xml:space="preserve">Одним из </w:t>
      </w:r>
      <w:r w:rsidR="00EB11D5" w:rsidRPr="00EC1346">
        <w:rPr>
          <w:rFonts w:asciiTheme="minorHAnsi" w:hAnsiTheme="minorHAnsi"/>
        </w:rPr>
        <w:t xml:space="preserve">вариантов </w:t>
      </w:r>
      <w:r w:rsidRPr="00EC1346">
        <w:rPr>
          <w:rFonts w:asciiTheme="minorHAnsi" w:hAnsiTheme="minorHAnsi"/>
        </w:rPr>
        <w:t xml:space="preserve">финансирования Компенсационного Фонда помимо </w:t>
      </w:r>
      <w:r w:rsidR="00A533FD" w:rsidRPr="00EC1346">
        <w:rPr>
          <w:rFonts w:asciiTheme="minorHAnsi" w:hAnsiTheme="minorHAnsi"/>
        </w:rPr>
        <w:t xml:space="preserve"> </w:t>
      </w:r>
      <w:r w:rsidRPr="00EC1346">
        <w:rPr>
          <w:rFonts w:asciiTheme="minorHAnsi" w:hAnsiTheme="minorHAnsi"/>
        </w:rPr>
        <w:t>взносов участников и бюджетного финансирования могут стать взносы организаций, занимающихся страхование</w:t>
      </w:r>
      <w:r w:rsidR="00EB11D5" w:rsidRPr="00EC1346">
        <w:rPr>
          <w:rFonts w:asciiTheme="minorHAnsi" w:hAnsiTheme="minorHAnsi"/>
        </w:rPr>
        <w:t>м</w:t>
      </w:r>
      <w:r w:rsidRPr="00EC1346">
        <w:rPr>
          <w:rFonts w:asciiTheme="minorHAnsi" w:hAnsiTheme="minorHAnsi"/>
        </w:rPr>
        <w:t xml:space="preserve"> ответственности застройщиков в настоящее время. Важнейшим моментом, который необходимо иметь в виду при рассмотрении подобного варианта является то, что вместе </w:t>
      </w:r>
      <w:proofErr w:type="gramStart"/>
      <w:r w:rsidRPr="00EC1346">
        <w:rPr>
          <w:rFonts w:asciiTheme="minorHAnsi" w:hAnsiTheme="minorHAnsi"/>
        </w:rPr>
        <w:t>со</w:t>
      </w:r>
      <w:proofErr w:type="gramEnd"/>
      <w:r w:rsidRPr="00EC1346">
        <w:rPr>
          <w:rFonts w:asciiTheme="minorHAnsi" w:hAnsiTheme="minorHAnsi"/>
        </w:rPr>
        <w:t xml:space="preserve"> взносами страховщиков, в Компенсационный Фонд </w:t>
      </w:r>
      <w:r w:rsidRPr="00EC1346">
        <w:rPr>
          <w:rFonts w:asciiTheme="minorHAnsi" w:hAnsiTheme="minorHAnsi"/>
          <w:b/>
        </w:rPr>
        <w:t>должны быть внесены и обязательства</w:t>
      </w:r>
      <w:r w:rsidRPr="00EC1346">
        <w:rPr>
          <w:rFonts w:asciiTheme="minorHAnsi" w:hAnsiTheme="minorHAnsi"/>
        </w:rPr>
        <w:t xml:space="preserve">, обеспеченные соответствующими взносами. Премии, собранные страховыми организациями служат гарантией исполнения связанных с ними обязательств, а их </w:t>
      </w:r>
      <w:r w:rsidRPr="00EC1346">
        <w:rPr>
          <w:rFonts w:asciiTheme="minorHAnsi" w:hAnsiTheme="minorHAnsi"/>
        </w:rPr>
        <w:lastRenderedPageBreak/>
        <w:t xml:space="preserve">использование для гарантии дополнительных обязательств фактически может сигнализировать о некорректной оценке риска либо страховой организацией, либо Фондом. </w:t>
      </w:r>
    </w:p>
    <w:p w14:paraId="1D610B1C" w14:textId="62C31E44" w:rsidR="00701D79" w:rsidRPr="00EC1346" w:rsidRDefault="00701D79" w:rsidP="00474935">
      <w:pPr>
        <w:spacing w:after="120" w:line="360" w:lineRule="auto"/>
        <w:jc w:val="both"/>
        <w:rPr>
          <w:rFonts w:asciiTheme="minorHAnsi" w:hAnsiTheme="minorHAnsi"/>
        </w:rPr>
      </w:pPr>
      <w:r w:rsidRPr="00EC1346">
        <w:rPr>
          <w:rFonts w:asciiTheme="minorHAnsi" w:hAnsiTheme="minorHAnsi"/>
        </w:rPr>
        <w:t xml:space="preserve">Таким образом, Сценарий №2 подразумевает изменение существующей концепции, которая заключается в том, что Фонд будет гарантировать только исполнение договоров долевого участия, заключенных после 2017 г. Целесообразность подобного объединения «старых» и «новых» активов и обязательств не является очевидной и должна быть изучена подробнее. Одним </w:t>
      </w:r>
      <w:proofErr w:type="gramStart"/>
      <w:r w:rsidRPr="00EC1346">
        <w:rPr>
          <w:rFonts w:asciiTheme="minorHAnsi" w:hAnsiTheme="minorHAnsi"/>
        </w:rPr>
        <w:t>из</w:t>
      </w:r>
      <w:proofErr w:type="gramEnd"/>
      <w:r w:rsidRPr="00EC1346">
        <w:rPr>
          <w:rFonts w:asciiTheme="minorHAnsi" w:hAnsiTheme="minorHAnsi"/>
        </w:rPr>
        <w:t xml:space="preserve"> </w:t>
      </w:r>
      <w:proofErr w:type="gramStart"/>
      <w:r w:rsidRPr="00EC1346">
        <w:rPr>
          <w:rFonts w:asciiTheme="minorHAnsi" w:hAnsiTheme="minorHAnsi"/>
        </w:rPr>
        <w:t>мотивом</w:t>
      </w:r>
      <w:proofErr w:type="gramEnd"/>
      <w:r w:rsidRPr="00EC1346">
        <w:rPr>
          <w:rFonts w:asciiTheme="minorHAnsi" w:hAnsiTheme="minorHAnsi"/>
        </w:rPr>
        <w:t xml:space="preserve"> подобного объединения для существующих страховых организаций может стать желание «распр</w:t>
      </w:r>
      <w:r w:rsidR="00EB11D5" w:rsidRPr="00EC1346">
        <w:rPr>
          <w:rFonts w:asciiTheme="minorHAnsi" w:hAnsiTheme="minorHAnsi"/>
        </w:rPr>
        <w:t>еделить</w:t>
      </w:r>
      <w:r w:rsidRPr="00EC1346">
        <w:rPr>
          <w:rFonts w:asciiTheme="minorHAnsi" w:hAnsiTheme="minorHAnsi"/>
        </w:rPr>
        <w:t xml:space="preserve">» риски существующего портфеля обязательств на </w:t>
      </w:r>
      <w:r w:rsidR="00EB11D5" w:rsidRPr="00EC1346">
        <w:rPr>
          <w:rFonts w:asciiTheme="minorHAnsi" w:hAnsiTheme="minorHAnsi"/>
        </w:rPr>
        <w:t>участников</w:t>
      </w:r>
      <w:r w:rsidRPr="00EC1346">
        <w:rPr>
          <w:rFonts w:asciiTheme="minorHAnsi" w:hAnsiTheme="minorHAnsi"/>
        </w:rPr>
        <w:t xml:space="preserve"> Фонда. </w:t>
      </w:r>
    </w:p>
    <w:p w14:paraId="59337CEA" w14:textId="552D14C3" w:rsidR="00701D79" w:rsidRPr="00EC1346" w:rsidRDefault="00701D79" w:rsidP="00474935">
      <w:pPr>
        <w:spacing w:after="120" w:line="360" w:lineRule="auto"/>
        <w:jc w:val="both"/>
        <w:rPr>
          <w:rFonts w:asciiTheme="minorHAnsi" w:hAnsiTheme="minorHAnsi"/>
        </w:rPr>
      </w:pPr>
      <w:r w:rsidRPr="00EC1346">
        <w:rPr>
          <w:rFonts w:asciiTheme="minorHAnsi" w:hAnsiTheme="minorHAnsi"/>
        </w:rPr>
        <w:t>При реализации Сценария №2 серьезным вопросом могут стать критерии отбора существующих страховых организаций для участия в Фонде. Моделирование Сценария №2 предлагается провести на примере объединения активов и обязательств Компенсационного Фонда и  НО «ПОВС застройщиков» (</w:t>
      </w:r>
      <w:r w:rsidR="00EB11D5" w:rsidRPr="00EC1346">
        <w:rPr>
          <w:rFonts w:asciiTheme="minorHAnsi" w:hAnsiTheme="minorHAnsi"/>
        </w:rPr>
        <w:t>далее – «</w:t>
      </w:r>
      <w:r w:rsidRPr="00EC1346">
        <w:rPr>
          <w:rFonts w:asciiTheme="minorHAnsi" w:hAnsiTheme="minorHAnsi"/>
        </w:rPr>
        <w:t>ОВС Застройщиков</w:t>
      </w:r>
      <w:r w:rsidR="00EB11D5" w:rsidRPr="00EC1346">
        <w:rPr>
          <w:rFonts w:asciiTheme="minorHAnsi" w:hAnsiTheme="minorHAnsi"/>
        </w:rPr>
        <w:t>»</w:t>
      </w:r>
      <w:r w:rsidRPr="00EC1346">
        <w:rPr>
          <w:rFonts w:asciiTheme="minorHAnsi" w:hAnsiTheme="minorHAnsi"/>
        </w:rPr>
        <w:t xml:space="preserve">). Выбор этой организации для анализа </w:t>
      </w:r>
      <w:proofErr w:type="gramStart"/>
      <w:r w:rsidRPr="00EC1346">
        <w:rPr>
          <w:rFonts w:asciiTheme="minorHAnsi" w:hAnsiTheme="minorHAnsi"/>
        </w:rPr>
        <w:t>связан</w:t>
      </w:r>
      <w:proofErr w:type="gramEnd"/>
      <w:r w:rsidRPr="00EC1346">
        <w:rPr>
          <w:rFonts w:asciiTheme="minorHAnsi" w:hAnsiTheme="minorHAnsi"/>
        </w:rPr>
        <w:t xml:space="preserve"> прежде всего </w:t>
      </w:r>
      <w:r w:rsidR="00EB11D5" w:rsidRPr="00EC1346">
        <w:rPr>
          <w:rFonts w:asciiTheme="minorHAnsi" w:hAnsiTheme="minorHAnsi"/>
        </w:rPr>
        <w:t xml:space="preserve">с ее размером </w:t>
      </w:r>
      <w:r w:rsidRPr="00EC1346">
        <w:rPr>
          <w:rFonts w:asciiTheme="minorHAnsi" w:hAnsiTheme="minorHAnsi"/>
        </w:rPr>
        <w:t>(является одним из лидеров), и уникальностью применения этой организацией модели «взаимного страхования», которая имеет ряд сходств с моделью Компенсационного Фонда. Представляется, что аналогичные выводы для Сценария №2 могут быть получены и при моделировании объединения активов и обязательств Фонда с активами и обязательствами других страховых организаций.</w:t>
      </w:r>
    </w:p>
    <w:p w14:paraId="21A6A28A" w14:textId="58B21A3E" w:rsidR="00701D79" w:rsidRPr="00EC1346" w:rsidRDefault="00701D79" w:rsidP="00474935">
      <w:pPr>
        <w:spacing w:after="120" w:line="360" w:lineRule="auto"/>
        <w:jc w:val="both"/>
        <w:rPr>
          <w:rFonts w:asciiTheme="minorHAnsi" w:hAnsiTheme="minorHAnsi"/>
        </w:rPr>
      </w:pPr>
      <w:r w:rsidRPr="00EC1346">
        <w:rPr>
          <w:rFonts w:asciiTheme="minorHAnsi" w:hAnsiTheme="minorHAnsi"/>
        </w:rPr>
        <w:t>Премии,</w:t>
      </w:r>
      <w:r w:rsidR="00EB11D5" w:rsidRPr="00EC1346">
        <w:rPr>
          <w:rFonts w:asciiTheme="minorHAnsi" w:hAnsiTheme="minorHAnsi"/>
        </w:rPr>
        <w:t xml:space="preserve"> страх</w:t>
      </w:r>
      <w:r w:rsidRPr="00EC1346">
        <w:rPr>
          <w:rFonts w:asciiTheme="minorHAnsi" w:hAnsiTheme="minorHAnsi"/>
        </w:rPr>
        <w:t>овые суммы и выплаты «ОВС Застройщиков» в 2014-2015 гг. представлены в следующей таблице:</w:t>
      </w:r>
    </w:p>
    <w:tbl>
      <w:tblPr>
        <w:tblStyle w:val="ListTable6ColorfulAccent6"/>
        <w:tblW w:w="6992" w:type="dxa"/>
        <w:jc w:val="center"/>
        <w:tblLayout w:type="fixed"/>
        <w:tblLook w:val="04A0" w:firstRow="1" w:lastRow="0" w:firstColumn="1" w:lastColumn="0" w:noHBand="0" w:noVBand="1"/>
      </w:tblPr>
      <w:tblGrid>
        <w:gridCol w:w="2977"/>
        <w:gridCol w:w="1003"/>
        <w:gridCol w:w="1004"/>
        <w:gridCol w:w="1004"/>
        <w:gridCol w:w="1004"/>
      </w:tblGrid>
      <w:tr w:rsidR="00701D79" w:rsidRPr="00EC1346" w14:paraId="1D6F05D7" w14:textId="77777777" w:rsidTr="00701D79">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77" w:type="dxa"/>
            <w:noWrap/>
            <w:vAlign w:val="bottom"/>
            <w:hideMark/>
          </w:tcPr>
          <w:p w14:paraId="2F81B79E" w14:textId="24FB8AC4" w:rsidR="00701D79" w:rsidRPr="00EC1346" w:rsidRDefault="00701D79" w:rsidP="00701D79">
            <w:pPr>
              <w:rPr>
                <w:rFonts w:ascii="Calibri" w:eastAsia="Times New Roman" w:hAnsi="Calibri"/>
                <w:b w:val="0"/>
                <w:bCs w:val="0"/>
                <w:color w:val="000000"/>
                <w:sz w:val="20"/>
                <w:szCs w:val="20"/>
              </w:rPr>
            </w:pPr>
            <w:r w:rsidRPr="00EC1346">
              <w:rPr>
                <w:rFonts w:ascii="Calibri" w:eastAsia="Times New Roman" w:hAnsi="Calibri"/>
                <w:b w:val="0"/>
                <w:bCs w:val="0"/>
                <w:color w:val="000000"/>
                <w:sz w:val="20"/>
                <w:szCs w:val="20"/>
              </w:rPr>
              <w:t>Наименование</w:t>
            </w:r>
          </w:p>
        </w:tc>
        <w:tc>
          <w:tcPr>
            <w:tcW w:w="1003" w:type="dxa"/>
            <w:noWrap/>
            <w:vAlign w:val="bottom"/>
            <w:hideMark/>
          </w:tcPr>
          <w:p w14:paraId="1E6DF55A" w14:textId="6FB2E3E5" w:rsidR="00701D79" w:rsidRPr="00EC1346" w:rsidRDefault="00701D79" w:rsidP="00701D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20"/>
                <w:szCs w:val="20"/>
              </w:rPr>
            </w:pPr>
            <w:r w:rsidRPr="00EC1346">
              <w:rPr>
                <w:rFonts w:ascii="Calibri" w:eastAsia="Times New Roman" w:hAnsi="Calibri"/>
                <w:b w:val="0"/>
                <w:bCs w:val="0"/>
                <w:color w:val="000000"/>
                <w:sz w:val="20"/>
                <w:szCs w:val="20"/>
              </w:rPr>
              <w:t>2014</w:t>
            </w:r>
          </w:p>
        </w:tc>
        <w:tc>
          <w:tcPr>
            <w:tcW w:w="1004" w:type="dxa"/>
            <w:noWrap/>
            <w:vAlign w:val="bottom"/>
            <w:hideMark/>
          </w:tcPr>
          <w:p w14:paraId="7B6A4613" w14:textId="1F24CD11" w:rsidR="00701D79" w:rsidRPr="00EC1346" w:rsidRDefault="00701D79" w:rsidP="00701D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20"/>
                <w:szCs w:val="20"/>
              </w:rPr>
            </w:pPr>
            <w:r w:rsidRPr="00EC1346">
              <w:rPr>
                <w:rFonts w:ascii="Calibri" w:eastAsia="Times New Roman" w:hAnsi="Calibri"/>
                <w:b w:val="0"/>
                <w:bCs w:val="0"/>
                <w:color w:val="000000"/>
                <w:sz w:val="20"/>
                <w:szCs w:val="20"/>
              </w:rPr>
              <w:t>2015</w:t>
            </w:r>
          </w:p>
        </w:tc>
        <w:tc>
          <w:tcPr>
            <w:tcW w:w="1004" w:type="dxa"/>
            <w:noWrap/>
            <w:vAlign w:val="bottom"/>
            <w:hideMark/>
          </w:tcPr>
          <w:p w14:paraId="370F3293" w14:textId="0ED760D2" w:rsidR="00701D79" w:rsidRPr="00EC1346" w:rsidRDefault="00701D79" w:rsidP="00701D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20"/>
                <w:szCs w:val="20"/>
              </w:rPr>
            </w:pPr>
            <w:r w:rsidRPr="00EC1346">
              <w:rPr>
                <w:rFonts w:ascii="Calibri" w:eastAsia="Times New Roman" w:hAnsi="Calibri"/>
                <w:b w:val="0"/>
                <w:bCs w:val="0"/>
                <w:color w:val="000000"/>
                <w:sz w:val="20"/>
                <w:szCs w:val="20"/>
              </w:rPr>
              <w:t>2016</w:t>
            </w:r>
            <w:r w:rsidRPr="00EC1346">
              <w:rPr>
                <w:rStyle w:val="a7"/>
                <w:rFonts w:ascii="Calibri" w:eastAsia="Times New Roman" w:hAnsi="Calibri"/>
                <w:b w:val="0"/>
                <w:bCs w:val="0"/>
                <w:color w:val="000000"/>
                <w:sz w:val="20"/>
                <w:szCs w:val="20"/>
              </w:rPr>
              <w:footnoteReference w:id="16"/>
            </w:r>
          </w:p>
        </w:tc>
        <w:tc>
          <w:tcPr>
            <w:tcW w:w="1004" w:type="dxa"/>
            <w:noWrap/>
            <w:vAlign w:val="bottom"/>
            <w:hideMark/>
          </w:tcPr>
          <w:p w14:paraId="1EE04976" w14:textId="1FED390F" w:rsidR="00701D79" w:rsidRPr="00EC1346" w:rsidRDefault="00701D79" w:rsidP="00701D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Cs w:val="0"/>
                <w:color w:val="000000"/>
                <w:sz w:val="20"/>
                <w:szCs w:val="20"/>
              </w:rPr>
            </w:pPr>
            <w:r w:rsidRPr="00EC1346">
              <w:rPr>
                <w:rFonts w:ascii="Calibri" w:eastAsia="Times New Roman" w:hAnsi="Calibri"/>
                <w:bCs w:val="0"/>
                <w:color w:val="000000"/>
                <w:sz w:val="20"/>
                <w:szCs w:val="20"/>
              </w:rPr>
              <w:t>Итого</w:t>
            </w:r>
          </w:p>
        </w:tc>
      </w:tr>
      <w:tr w:rsidR="00701D79" w:rsidRPr="00EC1346" w14:paraId="5BE6B1DA" w14:textId="77777777" w:rsidTr="00701D7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77" w:type="dxa"/>
            <w:noWrap/>
            <w:vAlign w:val="bottom"/>
            <w:hideMark/>
          </w:tcPr>
          <w:p w14:paraId="473FD801" w14:textId="4B5244B6" w:rsidR="00701D79" w:rsidRPr="00EC1346" w:rsidRDefault="00701D79" w:rsidP="00701D79">
            <w:pPr>
              <w:rPr>
                <w:rFonts w:ascii="Calibri" w:eastAsia="Times New Roman" w:hAnsi="Calibri"/>
                <w:b w:val="0"/>
                <w:color w:val="000000"/>
                <w:sz w:val="20"/>
                <w:szCs w:val="20"/>
              </w:rPr>
            </w:pPr>
            <w:r w:rsidRPr="00EC1346">
              <w:rPr>
                <w:rFonts w:ascii="Calibri" w:eastAsia="Times New Roman" w:hAnsi="Calibri"/>
                <w:b w:val="0"/>
                <w:color w:val="000000"/>
                <w:sz w:val="20"/>
                <w:szCs w:val="20"/>
              </w:rPr>
              <w:t>Страховая премия, млн. руб.</w:t>
            </w:r>
          </w:p>
        </w:tc>
        <w:tc>
          <w:tcPr>
            <w:tcW w:w="1003" w:type="dxa"/>
            <w:noWrap/>
            <w:vAlign w:val="bottom"/>
            <w:hideMark/>
          </w:tcPr>
          <w:p w14:paraId="774E8277" w14:textId="6804B909" w:rsidR="00701D79" w:rsidRPr="00EC1346" w:rsidRDefault="00701D79" w:rsidP="00701D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 xml:space="preserve"> 484   </w:t>
            </w:r>
          </w:p>
        </w:tc>
        <w:tc>
          <w:tcPr>
            <w:tcW w:w="1004" w:type="dxa"/>
            <w:noWrap/>
            <w:vAlign w:val="bottom"/>
            <w:hideMark/>
          </w:tcPr>
          <w:p w14:paraId="19F002D9" w14:textId="3AE1E2AA" w:rsidR="00701D79" w:rsidRPr="00EC1346" w:rsidRDefault="00701D79" w:rsidP="00701D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 xml:space="preserve"> 719   </w:t>
            </w:r>
          </w:p>
        </w:tc>
        <w:tc>
          <w:tcPr>
            <w:tcW w:w="1004" w:type="dxa"/>
            <w:noWrap/>
            <w:vAlign w:val="bottom"/>
            <w:hideMark/>
          </w:tcPr>
          <w:p w14:paraId="27A9FCCD" w14:textId="41EA628B" w:rsidR="00701D79" w:rsidRPr="00EC1346" w:rsidRDefault="00701D79" w:rsidP="00701D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 xml:space="preserve"> 2 303   </w:t>
            </w:r>
          </w:p>
        </w:tc>
        <w:tc>
          <w:tcPr>
            <w:tcW w:w="1004" w:type="dxa"/>
            <w:noWrap/>
            <w:vAlign w:val="bottom"/>
            <w:hideMark/>
          </w:tcPr>
          <w:p w14:paraId="1AA58B88" w14:textId="57D34CC1" w:rsidR="00701D79" w:rsidRPr="00EC1346" w:rsidRDefault="00701D79" w:rsidP="00701D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b/>
                <w:color w:val="000000"/>
                <w:sz w:val="20"/>
                <w:szCs w:val="20"/>
              </w:rPr>
              <w:t xml:space="preserve"> 3 506   </w:t>
            </w:r>
          </w:p>
        </w:tc>
      </w:tr>
      <w:tr w:rsidR="00701D79" w:rsidRPr="00EC1346" w14:paraId="1F8D84B1" w14:textId="77777777" w:rsidTr="00701D79">
        <w:trPr>
          <w:trHeight w:val="320"/>
          <w:jc w:val="center"/>
        </w:trPr>
        <w:tc>
          <w:tcPr>
            <w:cnfStyle w:val="001000000000" w:firstRow="0" w:lastRow="0" w:firstColumn="1" w:lastColumn="0" w:oddVBand="0" w:evenVBand="0" w:oddHBand="0" w:evenHBand="0" w:firstRowFirstColumn="0" w:firstRowLastColumn="0" w:lastRowFirstColumn="0" w:lastRowLastColumn="0"/>
            <w:tcW w:w="2977" w:type="dxa"/>
            <w:noWrap/>
            <w:vAlign w:val="bottom"/>
            <w:hideMark/>
          </w:tcPr>
          <w:p w14:paraId="3C41E30B" w14:textId="70826B17" w:rsidR="00701D79" w:rsidRPr="00EC1346" w:rsidRDefault="00701D79" w:rsidP="00701D79">
            <w:pPr>
              <w:rPr>
                <w:rFonts w:ascii="Calibri" w:eastAsia="Times New Roman" w:hAnsi="Calibri"/>
                <w:b w:val="0"/>
                <w:color w:val="000000"/>
                <w:sz w:val="20"/>
                <w:szCs w:val="20"/>
              </w:rPr>
            </w:pPr>
            <w:r w:rsidRPr="00EC1346">
              <w:rPr>
                <w:rFonts w:ascii="Calibri" w:eastAsia="Times New Roman" w:hAnsi="Calibri"/>
                <w:b w:val="0"/>
                <w:color w:val="000000"/>
                <w:sz w:val="20"/>
                <w:szCs w:val="20"/>
              </w:rPr>
              <w:t>Страховая сумма, млн. руб.</w:t>
            </w:r>
          </w:p>
        </w:tc>
        <w:tc>
          <w:tcPr>
            <w:tcW w:w="1003" w:type="dxa"/>
            <w:noWrap/>
            <w:vAlign w:val="bottom"/>
            <w:hideMark/>
          </w:tcPr>
          <w:p w14:paraId="46AFF796" w14:textId="22BE99AE" w:rsidR="00701D79" w:rsidRPr="00EC1346" w:rsidRDefault="00701D79" w:rsidP="00701D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 xml:space="preserve"> 49 651   </w:t>
            </w:r>
          </w:p>
        </w:tc>
        <w:tc>
          <w:tcPr>
            <w:tcW w:w="1004" w:type="dxa"/>
            <w:noWrap/>
            <w:vAlign w:val="bottom"/>
            <w:hideMark/>
          </w:tcPr>
          <w:p w14:paraId="67BA001E" w14:textId="64B141C1" w:rsidR="00701D79" w:rsidRPr="00EC1346" w:rsidRDefault="00701D79" w:rsidP="00701D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 xml:space="preserve"> 91 283   </w:t>
            </w:r>
          </w:p>
        </w:tc>
        <w:tc>
          <w:tcPr>
            <w:tcW w:w="1004" w:type="dxa"/>
            <w:noWrap/>
            <w:vAlign w:val="bottom"/>
            <w:hideMark/>
          </w:tcPr>
          <w:p w14:paraId="65A37BCD" w14:textId="1C42C896" w:rsidR="00701D79" w:rsidRPr="00EC1346" w:rsidRDefault="00701D79" w:rsidP="00701D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 xml:space="preserve"> 252 104   </w:t>
            </w:r>
          </w:p>
        </w:tc>
        <w:tc>
          <w:tcPr>
            <w:tcW w:w="1004" w:type="dxa"/>
            <w:noWrap/>
            <w:vAlign w:val="bottom"/>
            <w:hideMark/>
          </w:tcPr>
          <w:p w14:paraId="76FB3E2F" w14:textId="65E0DB36" w:rsidR="00701D79" w:rsidRPr="00EC1346" w:rsidRDefault="00701D79" w:rsidP="00701D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b/>
                <w:color w:val="000000"/>
                <w:sz w:val="20"/>
                <w:szCs w:val="20"/>
              </w:rPr>
              <w:t xml:space="preserve"> 393 037   </w:t>
            </w:r>
          </w:p>
        </w:tc>
      </w:tr>
      <w:tr w:rsidR="00701D79" w:rsidRPr="00EC1346" w14:paraId="0FB552DC" w14:textId="77777777" w:rsidTr="00701D7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77" w:type="dxa"/>
            <w:noWrap/>
            <w:vAlign w:val="bottom"/>
            <w:hideMark/>
          </w:tcPr>
          <w:p w14:paraId="13283845" w14:textId="1E788452" w:rsidR="00701D79" w:rsidRPr="00EC1346" w:rsidRDefault="00701D79" w:rsidP="00701D79">
            <w:pPr>
              <w:rPr>
                <w:rFonts w:ascii="Calibri" w:eastAsia="Times New Roman" w:hAnsi="Calibri"/>
                <w:b w:val="0"/>
                <w:color w:val="000000"/>
                <w:sz w:val="20"/>
                <w:szCs w:val="20"/>
              </w:rPr>
            </w:pPr>
            <w:r w:rsidRPr="00EC1346">
              <w:rPr>
                <w:rFonts w:ascii="Calibri" w:eastAsia="Times New Roman" w:hAnsi="Calibri"/>
                <w:b w:val="0"/>
                <w:color w:val="000000"/>
                <w:sz w:val="20"/>
                <w:szCs w:val="20"/>
              </w:rPr>
              <w:t>Страховая выплата, млн. руб.</w:t>
            </w:r>
          </w:p>
        </w:tc>
        <w:tc>
          <w:tcPr>
            <w:tcW w:w="1003" w:type="dxa"/>
            <w:noWrap/>
            <w:vAlign w:val="bottom"/>
            <w:hideMark/>
          </w:tcPr>
          <w:p w14:paraId="09036ADD" w14:textId="5B104E8D" w:rsidR="00701D79" w:rsidRPr="00EC1346" w:rsidRDefault="00701D79" w:rsidP="00701D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 xml:space="preserve"> 1   </w:t>
            </w:r>
          </w:p>
        </w:tc>
        <w:tc>
          <w:tcPr>
            <w:tcW w:w="1004" w:type="dxa"/>
            <w:noWrap/>
            <w:vAlign w:val="bottom"/>
            <w:hideMark/>
          </w:tcPr>
          <w:p w14:paraId="632751D0" w14:textId="3CC4C7B8" w:rsidR="00701D79" w:rsidRPr="00EC1346" w:rsidRDefault="00701D79" w:rsidP="00701D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 xml:space="preserve"> 20   </w:t>
            </w:r>
          </w:p>
        </w:tc>
        <w:tc>
          <w:tcPr>
            <w:tcW w:w="1004" w:type="dxa"/>
            <w:noWrap/>
            <w:vAlign w:val="bottom"/>
            <w:hideMark/>
          </w:tcPr>
          <w:p w14:paraId="767A74DF" w14:textId="6D697BD7" w:rsidR="00701D79" w:rsidRPr="00EC1346" w:rsidRDefault="00701D79" w:rsidP="00701D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 xml:space="preserve"> 42   </w:t>
            </w:r>
          </w:p>
        </w:tc>
        <w:tc>
          <w:tcPr>
            <w:tcW w:w="1004" w:type="dxa"/>
            <w:noWrap/>
            <w:vAlign w:val="bottom"/>
            <w:hideMark/>
          </w:tcPr>
          <w:p w14:paraId="5BB0262C" w14:textId="3D0C384E" w:rsidR="00701D79" w:rsidRPr="00EC1346" w:rsidRDefault="00701D79" w:rsidP="00701D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b/>
                <w:color w:val="000000"/>
                <w:sz w:val="20"/>
                <w:szCs w:val="20"/>
              </w:rPr>
              <w:t xml:space="preserve"> 63   </w:t>
            </w:r>
          </w:p>
        </w:tc>
      </w:tr>
    </w:tbl>
    <w:p w14:paraId="1A5B2061" w14:textId="77777777" w:rsidR="00701D79" w:rsidRPr="00EC1346" w:rsidRDefault="00701D79" w:rsidP="00701D79">
      <w:pPr>
        <w:spacing w:after="120" w:line="360" w:lineRule="auto"/>
        <w:jc w:val="right"/>
        <w:rPr>
          <w:rFonts w:asciiTheme="minorHAnsi" w:hAnsiTheme="minorHAnsi"/>
        </w:rPr>
      </w:pPr>
      <w:r w:rsidRPr="00EC1346">
        <w:rPr>
          <w:rFonts w:asciiTheme="minorHAnsi" w:hAnsiTheme="minorHAnsi"/>
          <w:i/>
          <w:sz w:val="20"/>
          <w:szCs w:val="20"/>
        </w:rPr>
        <w:t>Источник: ЦБ РФ</w:t>
      </w:r>
    </w:p>
    <w:p w14:paraId="44B8A0CA" w14:textId="4A0CBB45" w:rsidR="00EB11D5" w:rsidRPr="00EC1346" w:rsidRDefault="00701D79" w:rsidP="00474935">
      <w:pPr>
        <w:spacing w:after="120" w:line="360" w:lineRule="auto"/>
        <w:jc w:val="both"/>
        <w:rPr>
          <w:rFonts w:asciiTheme="minorHAnsi" w:hAnsiTheme="minorHAnsi"/>
        </w:rPr>
      </w:pPr>
      <w:r w:rsidRPr="00EC1346">
        <w:rPr>
          <w:rFonts w:asciiTheme="minorHAnsi" w:hAnsiTheme="minorHAnsi"/>
        </w:rPr>
        <w:t xml:space="preserve">Потенциальный объем обязательств «ОВС Застройщиков» </w:t>
      </w:r>
      <w:proofErr w:type="gramStart"/>
      <w:r w:rsidRPr="00EC1346">
        <w:rPr>
          <w:rFonts w:asciiTheme="minorHAnsi" w:hAnsiTheme="minorHAnsi"/>
        </w:rPr>
        <w:t>на конец</w:t>
      </w:r>
      <w:proofErr w:type="gramEnd"/>
      <w:r w:rsidRPr="00EC1346">
        <w:rPr>
          <w:rFonts w:asciiTheme="minorHAnsi" w:hAnsiTheme="minorHAnsi"/>
        </w:rPr>
        <w:t xml:space="preserve"> 2016 г. предлагается оценить в размере 400 млрд. руб</w:t>
      </w:r>
      <w:r w:rsidR="00EB11D5" w:rsidRPr="00EC1346">
        <w:rPr>
          <w:rFonts w:asciiTheme="minorHAnsi" w:hAnsiTheme="minorHAnsi"/>
        </w:rPr>
        <w:t>.</w:t>
      </w:r>
      <w:r w:rsidRPr="00EC1346">
        <w:rPr>
          <w:rStyle w:val="a7"/>
          <w:rFonts w:asciiTheme="minorHAnsi" w:hAnsiTheme="minorHAnsi"/>
        </w:rPr>
        <w:footnoteReference w:id="17"/>
      </w:r>
      <w:r w:rsidR="00EB11D5" w:rsidRPr="00EC1346">
        <w:rPr>
          <w:rFonts w:asciiTheme="minorHAnsi" w:hAnsiTheme="minorHAnsi"/>
        </w:rPr>
        <w:t xml:space="preserve">, а размер активов  - 3,5 млрд. руб. (оценочный объем </w:t>
      </w:r>
      <w:r w:rsidR="00EB11D5" w:rsidRPr="00EC1346">
        <w:rPr>
          <w:rFonts w:asciiTheme="minorHAnsi" w:hAnsiTheme="minorHAnsi"/>
        </w:rPr>
        <w:lastRenderedPageBreak/>
        <w:t>страховых премий в 2014-2016 гг.).</w:t>
      </w:r>
      <w:r w:rsidRPr="00EC1346">
        <w:rPr>
          <w:rFonts w:asciiTheme="minorHAnsi" w:hAnsiTheme="minorHAnsi"/>
        </w:rPr>
        <w:t xml:space="preserve"> </w:t>
      </w:r>
      <w:proofErr w:type="gramStart"/>
      <w:r w:rsidR="00EB11D5" w:rsidRPr="00EC1346">
        <w:rPr>
          <w:rFonts w:asciiTheme="minorHAnsi" w:hAnsiTheme="minorHAnsi"/>
        </w:rPr>
        <w:t>Если применить к «ОВС Застройщиков» представленную ранее структуру финансовой состоятельности компаний отрасли, в которой 25% компаний работают с убытком (и могут стать банкротами при реализации представленных макроэкономических параметров), а также принять допущение о том, что средняя степень готовности проектов таких компаний составляет 50%, то потенциальный объем денежных средств на достройку проблемных объектов участников «ОВС Застройщиков» может составить около 49 млрд</w:t>
      </w:r>
      <w:proofErr w:type="gramEnd"/>
      <w:r w:rsidR="00EB11D5" w:rsidRPr="00EC1346">
        <w:rPr>
          <w:rFonts w:asciiTheme="minorHAnsi" w:hAnsiTheme="minorHAnsi"/>
        </w:rPr>
        <w:t>. руб. Прогноз поступления и использования денежных сре</w:t>
      </w:r>
      <w:proofErr w:type="gramStart"/>
      <w:r w:rsidR="00EB11D5" w:rsidRPr="00EC1346">
        <w:rPr>
          <w:rFonts w:asciiTheme="minorHAnsi" w:hAnsiTheme="minorHAnsi"/>
        </w:rPr>
        <w:t>дств в с</w:t>
      </w:r>
      <w:proofErr w:type="gramEnd"/>
      <w:r w:rsidR="00EB11D5" w:rsidRPr="00EC1346">
        <w:rPr>
          <w:rFonts w:asciiTheme="minorHAnsi" w:hAnsiTheme="minorHAnsi"/>
        </w:rPr>
        <w:t>оответствии со Сценарием №2 представлен ниже:</w:t>
      </w:r>
    </w:p>
    <w:tbl>
      <w:tblPr>
        <w:tblStyle w:val="ListTable6ColorfulAccent6"/>
        <w:tblW w:w="9639" w:type="dxa"/>
        <w:tblLayout w:type="fixed"/>
        <w:tblLook w:val="04A0" w:firstRow="1" w:lastRow="0" w:firstColumn="1" w:lastColumn="0" w:noHBand="0" w:noVBand="1"/>
      </w:tblPr>
      <w:tblGrid>
        <w:gridCol w:w="3544"/>
        <w:gridCol w:w="1015"/>
        <w:gridCol w:w="1016"/>
        <w:gridCol w:w="1016"/>
        <w:gridCol w:w="1016"/>
        <w:gridCol w:w="1016"/>
        <w:gridCol w:w="1016"/>
      </w:tblGrid>
      <w:tr w:rsidR="00EB11D5" w:rsidRPr="00EC1346" w14:paraId="14C5CB4C" w14:textId="77777777" w:rsidTr="00EB11D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44" w:type="dxa"/>
            <w:noWrap/>
            <w:vAlign w:val="bottom"/>
            <w:hideMark/>
          </w:tcPr>
          <w:p w14:paraId="7F8E1120" w14:textId="45081E5B" w:rsidR="00EB11D5" w:rsidRPr="00EC1346" w:rsidRDefault="00EB11D5" w:rsidP="008C6717">
            <w:pPr>
              <w:rPr>
                <w:rFonts w:ascii="Calibri" w:eastAsia="Times New Roman" w:hAnsi="Calibri"/>
                <w:color w:val="000000"/>
                <w:sz w:val="20"/>
                <w:szCs w:val="20"/>
                <w:lang w:val="en-US"/>
              </w:rPr>
            </w:pPr>
            <w:r w:rsidRPr="00EC1346">
              <w:rPr>
                <w:rFonts w:ascii="Calibri" w:eastAsia="Times New Roman" w:hAnsi="Calibri"/>
                <w:color w:val="000000"/>
                <w:sz w:val="20"/>
                <w:szCs w:val="20"/>
              </w:rPr>
              <w:t>Показатель</w:t>
            </w:r>
          </w:p>
        </w:tc>
        <w:tc>
          <w:tcPr>
            <w:tcW w:w="1015" w:type="dxa"/>
            <w:noWrap/>
            <w:vAlign w:val="center"/>
            <w:hideMark/>
          </w:tcPr>
          <w:p w14:paraId="0833FC0E" w14:textId="72F8C30A" w:rsidR="00EB11D5" w:rsidRPr="00EC1346" w:rsidRDefault="00EB11D5" w:rsidP="00EB11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2017</w:t>
            </w:r>
          </w:p>
        </w:tc>
        <w:tc>
          <w:tcPr>
            <w:tcW w:w="1016" w:type="dxa"/>
            <w:noWrap/>
            <w:vAlign w:val="center"/>
            <w:hideMark/>
          </w:tcPr>
          <w:p w14:paraId="4D594947" w14:textId="7D34C849" w:rsidR="00EB11D5" w:rsidRPr="00EC1346" w:rsidRDefault="00EB11D5" w:rsidP="00EB11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2018</w:t>
            </w:r>
          </w:p>
        </w:tc>
        <w:tc>
          <w:tcPr>
            <w:tcW w:w="1016" w:type="dxa"/>
            <w:noWrap/>
            <w:vAlign w:val="center"/>
            <w:hideMark/>
          </w:tcPr>
          <w:p w14:paraId="755CF85D" w14:textId="7B1B8AFD" w:rsidR="00EB11D5" w:rsidRPr="00EC1346" w:rsidRDefault="00EB11D5" w:rsidP="00EB11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2019</w:t>
            </w:r>
          </w:p>
        </w:tc>
        <w:tc>
          <w:tcPr>
            <w:tcW w:w="1016" w:type="dxa"/>
            <w:noWrap/>
            <w:vAlign w:val="center"/>
            <w:hideMark/>
          </w:tcPr>
          <w:p w14:paraId="0AB1043F" w14:textId="7C32A448" w:rsidR="00EB11D5" w:rsidRPr="00EC1346" w:rsidRDefault="00EB11D5" w:rsidP="00EB11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2020</w:t>
            </w:r>
          </w:p>
        </w:tc>
        <w:tc>
          <w:tcPr>
            <w:tcW w:w="1016" w:type="dxa"/>
            <w:noWrap/>
            <w:vAlign w:val="center"/>
            <w:hideMark/>
          </w:tcPr>
          <w:p w14:paraId="43FC8D20" w14:textId="3E18DB2A" w:rsidR="00EB11D5" w:rsidRPr="00EC1346" w:rsidRDefault="00EB11D5" w:rsidP="00EB11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2021</w:t>
            </w:r>
          </w:p>
        </w:tc>
        <w:tc>
          <w:tcPr>
            <w:tcW w:w="1016" w:type="dxa"/>
            <w:noWrap/>
            <w:vAlign w:val="center"/>
            <w:hideMark/>
          </w:tcPr>
          <w:p w14:paraId="4ABECCDB" w14:textId="4A7380B5" w:rsidR="00EB11D5" w:rsidRPr="00EC1346" w:rsidRDefault="00EB11D5" w:rsidP="00EB11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Итого</w:t>
            </w:r>
          </w:p>
        </w:tc>
      </w:tr>
      <w:tr w:rsidR="00EB11D5" w:rsidRPr="00EC1346" w14:paraId="70E22F57" w14:textId="77777777" w:rsidTr="00EB11D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44" w:type="dxa"/>
            <w:noWrap/>
            <w:vAlign w:val="bottom"/>
            <w:hideMark/>
          </w:tcPr>
          <w:p w14:paraId="0314DF01" w14:textId="046422C0" w:rsidR="00EB11D5" w:rsidRPr="00EC1346" w:rsidRDefault="00EB11D5" w:rsidP="008C6717">
            <w:pPr>
              <w:rPr>
                <w:rFonts w:ascii="Calibri" w:eastAsia="Times New Roman" w:hAnsi="Calibri"/>
                <w:color w:val="000000"/>
                <w:sz w:val="20"/>
                <w:szCs w:val="20"/>
              </w:rPr>
            </w:pPr>
            <w:r w:rsidRPr="00EC1346">
              <w:rPr>
                <w:rFonts w:ascii="Calibri" w:eastAsia="Times New Roman" w:hAnsi="Calibri"/>
                <w:color w:val="000000"/>
                <w:sz w:val="20"/>
                <w:szCs w:val="20"/>
              </w:rPr>
              <w:t>Размер компенсационного фонда на начало года</w:t>
            </w:r>
            <w:r w:rsidR="00933FB1" w:rsidRPr="00EC1346">
              <w:rPr>
                <w:rFonts w:ascii="Calibri" w:eastAsia="Times New Roman" w:hAnsi="Calibri"/>
                <w:color w:val="000000"/>
                <w:sz w:val="20"/>
                <w:szCs w:val="20"/>
              </w:rPr>
              <w:t>, млрд. руб.</w:t>
            </w:r>
          </w:p>
        </w:tc>
        <w:tc>
          <w:tcPr>
            <w:tcW w:w="1015" w:type="dxa"/>
            <w:noWrap/>
            <w:vAlign w:val="center"/>
            <w:hideMark/>
          </w:tcPr>
          <w:p w14:paraId="52BBEC46" w14:textId="04FE9231" w:rsidR="00EB11D5" w:rsidRPr="00EC1346" w:rsidRDefault="00EB11D5" w:rsidP="00EB1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35</w:t>
            </w:r>
          </w:p>
        </w:tc>
        <w:tc>
          <w:tcPr>
            <w:tcW w:w="1016" w:type="dxa"/>
            <w:noWrap/>
            <w:vAlign w:val="center"/>
            <w:hideMark/>
          </w:tcPr>
          <w:p w14:paraId="0E641B24" w14:textId="373EAFDF" w:rsidR="00EB11D5" w:rsidRPr="00EC1346" w:rsidRDefault="00EB11D5" w:rsidP="00EB1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w:t>
            </w:r>
          </w:p>
        </w:tc>
        <w:tc>
          <w:tcPr>
            <w:tcW w:w="1016" w:type="dxa"/>
            <w:noWrap/>
            <w:vAlign w:val="center"/>
            <w:hideMark/>
          </w:tcPr>
          <w:p w14:paraId="3171F92A" w14:textId="0EAD1855" w:rsidR="00EB11D5" w:rsidRPr="00EC1346" w:rsidRDefault="00EB11D5" w:rsidP="00EB1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w:t>
            </w:r>
          </w:p>
        </w:tc>
        <w:tc>
          <w:tcPr>
            <w:tcW w:w="1016" w:type="dxa"/>
            <w:noWrap/>
            <w:vAlign w:val="center"/>
            <w:hideMark/>
          </w:tcPr>
          <w:p w14:paraId="7C7085DD" w14:textId="7252FFD5" w:rsidR="00EB11D5" w:rsidRPr="00EC1346" w:rsidRDefault="00EB11D5" w:rsidP="00EB1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w:t>
            </w:r>
          </w:p>
        </w:tc>
        <w:tc>
          <w:tcPr>
            <w:tcW w:w="1016" w:type="dxa"/>
            <w:noWrap/>
            <w:vAlign w:val="center"/>
            <w:hideMark/>
          </w:tcPr>
          <w:p w14:paraId="03CC65AD" w14:textId="6D459895" w:rsidR="00EB11D5" w:rsidRPr="00EC1346" w:rsidRDefault="00EB11D5" w:rsidP="00EB1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w:t>
            </w:r>
          </w:p>
        </w:tc>
        <w:tc>
          <w:tcPr>
            <w:tcW w:w="1016" w:type="dxa"/>
            <w:noWrap/>
            <w:vAlign w:val="center"/>
            <w:hideMark/>
          </w:tcPr>
          <w:p w14:paraId="53655106" w14:textId="21FB8D15" w:rsidR="00EB11D5" w:rsidRPr="00EC1346" w:rsidRDefault="00EB11D5" w:rsidP="00EB1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p>
        </w:tc>
      </w:tr>
      <w:tr w:rsidR="00EB11D5" w:rsidRPr="00EC1346" w14:paraId="0F562164" w14:textId="77777777" w:rsidTr="00EB11D5">
        <w:trPr>
          <w:trHeight w:val="320"/>
        </w:trPr>
        <w:tc>
          <w:tcPr>
            <w:cnfStyle w:val="001000000000" w:firstRow="0" w:lastRow="0" w:firstColumn="1" w:lastColumn="0" w:oddVBand="0" w:evenVBand="0" w:oddHBand="0" w:evenHBand="0" w:firstRowFirstColumn="0" w:firstRowLastColumn="0" w:lastRowFirstColumn="0" w:lastRowLastColumn="0"/>
            <w:tcW w:w="3544" w:type="dxa"/>
            <w:noWrap/>
            <w:vAlign w:val="bottom"/>
          </w:tcPr>
          <w:p w14:paraId="145ADFD8" w14:textId="5EFD67EE" w:rsidR="00EB11D5" w:rsidRPr="00EC1346" w:rsidRDefault="00EB11D5" w:rsidP="008C6717">
            <w:pPr>
              <w:rPr>
                <w:rFonts w:ascii="Calibri" w:eastAsia="Times New Roman" w:hAnsi="Calibri"/>
                <w:color w:val="000000"/>
                <w:sz w:val="20"/>
                <w:szCs w:val="20"/>
              </w:rPr>
            </w:pPr>
            <w:r w:rsidRPr="00EC1346">
              <w:rPr>
                <w:rFonts w:ascii="Calibri" w:eastAsia="Times New Roman" w:hAnsi="Calibri"/>
                <w:color w:val="000000"/>
                <w:sz w:val="20"/>
                <w:szCs w:val="20"/>
              </w:rPr>
              <w:t>Дополнительные взносы (на примере "ОВС застройщиков")</w:t>
            </w:r>
            <w:r w:rsidR="00933FB1" w:rsidRPr="00EC1346">
              <w:rPr>
                <w:rFonts w:ascii="Calibri" w:eastAsia="Times New Roman" w:hAnsi="Calibri"/>
                <w:color w:val="000000"/>
                <w:sz w:val="20"/>
                <w:szCs w:val="20"/>
              </w:rPr>
              <w:t>, млрд. руб.</w:t>
            </w:r>
          </w:p>
        </w:tc>
        <w:tc>
          <w:tcPr>
            <w:tcW w:w="1015" w:type="dxa"/>
            <w:noWrap/>
            <w:vAlign w:val="center"/>
          </w:tcPr>
          <w:p w14:paraId="7D4A1038" w14:textId="661E7F63" w:rsidR="00EB11D5" w:rsidRPr="00EC1346" w:rsidRDefault="00EB11D5" w:rsidP="00EB11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4</w:t>
            </w:r>
          </w:p>
        </w:tc>
        <w:tc>
          <w:tcPr>
            <w:tcW w:w="1016" w:type="dxa"/>
            <w:noWrap/>
            <w:vAlign w:val="center"/>
          </w:tcPr>
          <w:p w14:paraId="1D5D41BC" w14:textId="06DCCCFD" w:rsidR="00EB11D5" w:rsidRPr="00EC1346" w:rsidRDefault="00EB11D5" w:rsidP="00EB11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w:t>
            </w:r>
          </w:p>
        </w:tc>
        <w:tc>
          <w:tcPr>
            <w:tcW w:w="1016" w:type="dxa"/>
            <w:noWrap/>
            <w:vAlign w:val="center"/>
          </w:tcPr>
          <w:p w14:paraId="1DAF99D9" w14:textId="1AC79100" w:rsidR="00EB11D5" w:rsidRPr="00EC1346" w:rsidRDefault="00EB11D5" w:rsidP="00EB11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w:t>
            </w:r>
          </w:p>
        </w:tc>
        <w:tc>
          <w:tcPr>
            <w:tcW w:w="1016" w:type="dxa"/>
            <w:noWrap/>
            <w:vAlign w:val="center"/>
          </w:tcPr>
          <w:p w14:paraId="74ADD76C" w14:textId="5EE364C8" w:rsidR="00EB11D5" w:rsidRPr="00EC1346" w:rsidRDefault="00EB11D5" w:rsidP="00EB11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w:t>
            </w:r>
          </w:p>
        </w:tc>
        <w:tc>
          <w:tcPr>
            <w:tcW w:w="1016" w:type="dxa"/>
            <w:noWrap/>
            <w:vAlign w:val="center"/>
          </w:tcPr>
          <w:p w14:paraId="4C2E2FE9" w14:textId="545F8EFA" w:rsidR="00EB11D5" w:rsidRPr="00EC1346" w:rsidRDefault="00EB11D5" w:rsidP="00EB11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w:t>
            </w:r>
          </w:p>
        </w:tc>
        <w:tc>
          <w:tcPr>
            <w:tcW w:w="1016" w:type="dxa"/>
            <w:noWrap/>
            <w:vAlign w:val="center"/>
          </w:tcPr>
          <w:p w14:paraId="22F0EA38" w14:textId="33405B03" w:rsidR="00EB11D5" w:rsidRPr="00EC1346" w:rsidRDefault="00EB11D5" w:rsidP="00EB11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b/>
                <w:color w:val="000000"/>
                <w:sz w:val="20"/>
                <w:szCs w:val="20"/>
              </w:rPr>
              <w:t>4</w:t>
            </w:r>
          </w:p>
        </w:tc>
      </w:tr>
      <w:tr w:rsidR="00EB11D5" w:rsidRPr="00EC1346" w14:paraId="75A330A8" w14:textId="77777777" w:rsidTr="00EB11D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44" w:type="dxa"/>
            <w:noWrap/>
            <w:vAlign w:val="bottom"/>
            <w:hideMark/>
          </w:tcPr>
          <w:p w14:paraId="303F067B" w14:textId="0B65CD76" w:rsidR="00EB11D5" w:rsidRPr="00EC1346" w:rsidRDefault="00EB11D5" w:rsidP="008C6717">
            <w:pPr>
              <w:rPr>
                <w:rFonts w:ascii="Calibri" w:eastAsia="Times New Roman" w:hAnsi="Calibri"/>
                <w:color w:val="000000"/>
                <w:sz w:val="20"/>
                <w:szCs w:val="20"/>
              </w:rPr>
            </w:pPr>
            <w:r w:rsidRPr="00EC1346">
              <w:rPr>
                <w:rFonts w:ascii="Calibri" w:eastAsia="Times New Roman" w:hAnsi="Calibri"/>
                <w:color w:val="000000"/>
                <w:sz w:val="20"/>
                <w:szCs w:val="20"/>
              </w:rPr>
              <w:t>Отчисления в фонд</w:t>
            </w:r>
            <w:r w:rsidR="00933FB1" w:rsidRPr="00EC1346">
              <w:rPr>
                <w:rFonts w:ascii="Calibri" w:eastAsia="Times New Roman" w:hAnsi="Calibri"/>
                <w:color w:val="000000"/>
                <w:sz w:val="20"/>
                <w:szCs w:val="20"/>
              </w:rPr>
              <w:t>, млрд. руб.</w:t>
            </w:r>
          </w:p>
        </w:tc>
        <w:tc>
          <w:tcPr>
            <w:tcW w:w="1015" w:type="dxa"/>
            <w:noWrap/>
            <w:vAlign w:val="center"/>
            <w:hideMark/>
          </w:tcPr>
          <w:p w14:paraId="7CE8697B" w14:textId="0E0F0A9E" w:rsidR="00EB11D5" w:rsidRPr="00EC1346" w:rsidRDefault="00EB11D5" w:rsidP="00EB1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16</w:t>
            </w:r>
          </w:p>
        </w:tc>
        <w:tc>
          <w:tcPr>
            <w:tcW w:w="1016" w:type="dxa"/>
            <w:noWrap/>
            <w:vAlign w:val="center"/>
            <w:hideMark/>
          </w:tcPr>
          <w:p w14:paraId="7B239ADA" w14:textId="7B0C380E" w:rsidR="00EB11D5" w:rsidRPr="00EC1346" w:rsidRDefault="00EB11D5" w:rsidP="00EB1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14</w:t>
            </w:r>
          </w:p>
        </w:tc>
        <w:tc>
          <w:tcPr>
            <w:tcW w:w="1016" w:type="dxa"/>
            <w:noWrap/>
            <w:vAlign w:val="center"/>
            <w:hideMark/>
          </w:tcPr>
          <w:p w14:paraId="1FF8911D" w14:textId="18C0E40B" w:rsidR="00EB11D5" w:rsidRPr="00EC1346" w:rsidRDefault="00EB11D5" w:rsidP="00EB1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14</w:t>
            </w:r>
          </w:p>
        </w:tc>
        <w:tc>
          <w:tcPr>
            <w:tcW w:w="1016" w:type="dxa"/>
            <w:noWrap/>
            <w:vAlign w:val="center"/>
            <w:hideMark/>
          </w:tcPr>
          <w:p w14:paraId="1DE3B903" w14:textId="078B4784" w:rsidR="00EB11D5" w:rsidRPr="00EC1346" w:rsidRDefault="00EB11D5" w:rsidP="00EB1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14</w:t>
            </w:r>
          </w:p>
        </w:tc>
        <w:tc>
          <w:tcPr>
            <w:tcW w:w="1016" w:type="dxa"/>
            <w:noWrap/>
            <w:vAlign w:val="center"/>
            <w:hideMark/>
          </w:tcPr>
          <w:p w14:paraId="443D79C3" w14:textId="01DA9129" w:rsidR="00EB11D5" w:rsidRPr="00EC1346" w:rsidRDefault="00EB11D5" w:rsidP="00EB1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14</w:t>
            </w:r>
          </w:p>
        </w:tc>
        <w:tc>
          <w:tcPr>
            <w:tcW w:w="1016" w:type="dxa"/>
            <w:noWrap/>
            <w:vAlign w:val="center"/>
            <w:hideMark/>
          </w:tcPr>
          <w:p w14:paraId="0575073C" w14:textId="38FF9063" w:rsidR="00EB11D5" w:rsidRPr="00EC1346" w:rsidRDefault="00EB11D5" w:rsidP="00EB1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p>
        </w:tc>
      </w:tr>
      <w:tr w:rsidR="00EB11D5" w:rsidRPr="00EC1346" w14:paraId="4DBA59F0" w14:textId="77777777" w:rsidTr="00EB11D5">
        <w:trPr>
          <w:trHeight w:val="320"/>
        </w:trPr>
        <w:tc>
          <w:tcPr>
            <w:cnfStyle w:val="001000000000" w:firstRow="0" w:lastRow="0" w:firstColumn="1" w:lastColumn="0" w:oddVBand="0" w:evenVBand="0" w:oddHBand="0" w:evenHBand="0" w:firstRowFirstColumn="0" w:firstRowLastColumn="0" w:lastRowFirstColumn="0" w:lastRowLastColumn="0"/>
            <w:tcW w:w="3544" w:type="dxa"/>
            <w:noWrap/>
            <w:vAlign w:val="bottom"/>
            <w:hideMark/>
          </w:tcPr>
          <w:p w14:paraId="108E8F26" w14:textId="4739A2D2" w:rsidR="00EB11D5" w:rsidRPr="00EC1346" w:rsidRDefault="00EB11D5" w:rsidP="008C6717">
            <w:pPr>
              <w:rPr>
                <w:rFonts w:ascii="Calibri" w:eastAsia="Times New Roman" w:hAnsi="Calibri"/>
                <w:color w:val="000000"/>
                <w:sz w:val="20"/>
                <w:szCs w:val="20"/>
              </w:rPr>
            </w:pPr>
            <w:r w:rsidRPr="00EC1346">
              <w:rPr>
                <w:rFonts w:ascii="Calibri" w:eastAsia="Times New Roman" w:hAnsi="Calibri"/>
                <w:color w:val="000000"/>
                <w:sz w:val="20"/>
                <w:szCs w:val="20"/>
              </w:rPr>
              <w:t>Выплаты на достройку объектов</w:t>
            </w:r>
            <w:r w:rsidR="00933FB1" w:rsidRPr="00EC1346">
              <w:rPr>
                <w:rFonts w:ascii="Calibri" w:eastAsia="Times New Roman" w:hAnsi="Calibri"/>
                <w:color w:val="000000"/>
                <w:sz w:val="20"/>
                <w:szCs w:val="20"/>
              </w:rPr>
              <w:t>, млрд. руб.</w:t>
            </w:r>
          </w:p>
        </w:tc>
        <w:tc>
          <w:tcPr>
            <w:tcW w:w="1015" w:type="dxa"/>
            <w:noWrap/>
            <w:vAlign w:val="center"/>
            <w:hideMark/>
          </w:tcPr>
          <w:p w14:paraId="481670DB" w14:textId="6B3B4C64" w:rsidR="00EB11D5" w:rsidRPr="00EC1346" w:rsidRDefault="00EB11D5" w:rsidP="00EB11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67</w:t>
            </w:r>
          </w:p>
        </w:tc>
        <w:tc>
          <w:tcPr>
            <w:tcW w:w="1016" w:type="dxa"/>
            <w:noWrap/>
            <w:vAlign w:val="center"/>
            <w:hideMark/>
          </w:tcPr>
          <w:p w14:paraId="1FF46969" w14:textId="47C61215" w:rsidR="00EB11D5" w:rsidRPr="00EC1346" w:rsidRDefault="00EB11D5" w:rsidP="00EB11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54</w:t>
            </w:r>
          </w:p>
        </w:tc>
        <w:tc>
          <w:tcPr>
            <w:tcW w:w="1016" w:type="dxa"/>
            <w:noWrap/>
            <w:vAlign w:val="center"/>
            <w:hideMark/>
          </w:tcPr>
          <w:p w14:paraId="7E7CB18A" w14:textId="53D8AF4A" w:rsidR="00EB11D5" w:rsidRPr="00EC1346" w:rsidRDefault="00EB11D5" w:rsidP="00EB11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132</w:t>
            </w:r>
          </w:p>
        </w:tc>
        <w:tc>
          <w:tcPr>
            <w:tcW w:w="1016" w:type="dxa"/>
            <w:noWrap/>
            <w:vAlign w:val="center"/>
            <w:hideMark/>
          </w:tcPr>
          <w:p w14:paraId="10B3F784" w14:textId="62C8DF9B" w:rsidR="00EB11D5" w:rsidRPr="00EC1346" w:rsidRDefault="00EB11D5" w:rsidP="00EB11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248</w:t>
            </w:r>
          </w:p>
        </w:tc>
        <w:tc>
          <w:tcPr>
            <w:tcW w:w="1016" w:type="dxa"/>
            <w:noWrap/>
            <w:vAlign w:val="center"/>
            <w:hideMark/>
          </w:tcPr>
          <w:p w14:paraId="632B4A82" w14:textId="127F5BF3" w:rsidR="00EB11D5" w:rsidRPr="00EC1346" w:rsidRDefault="00EB11D5" w:rsidP="00EB11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357</w:t>
            </w:r>
          </w:p>
        </w:tc>
        <w:tc>
          <w:tcPr>
            <w:tcW w:w="1016" w:type="dxa"/>
            <w:noWrap/>
            <w:vAlign w:val="center"/>
            <w:hideMark/>
          </w:tcPr>
          <w:p w14:paraId="0ED648FA" w14:textId="3940057B" w:rsidR="00EB11D5" w:rsidRPr="00EC1346" w:rsidRDefault="00EB11D5" w:rsidP="00EB11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b/>
                <w:color w:val="000000"/>
                <w:sz w:val="20"/>
                <w:szCs w:val="20"/>
              </w:rPr>
              <w:t>858</w:t>
            </w:r>
          </w:p>
        </w:tc>
      </w:tr>
      <w:tr w:rsidR="00EB11D5" w:rsidRPr="00EC1346" w14:paraId="0138ED0F" w14:textId="77777777" w:rsidTr="00EB11D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544" w:type="dxa"/>
            <w:noWrap/>
            <w:vAlign w:val="bottom"/>
            <w:hideMark/>
          </w:tcPr>
          <w:p w14:paraId="01193218" w14:textId="0494604D" w:rsidR="00EB11D5" w:rsidRPr="00EC1346" w:rsidRDefault="00EB11D5" w:rsidP="008C6717">
            <w:pPr>
              <w:rPr>
                <w:rFonts w:ascii="Calibri" w:eastAsia="Times New Roman" w:hAnsi="Calibri"/>
                <w:color w:val="000000"/>
                <w:sz w:val="20"/>
                <w:szCs w:val="20"/>
              </w:rPr>
            </w:pPr>
            <w:r w:rsidRPr="00EC1346">
              <w:rPr>
                <w:rFonts w:ascii="Calibri" w:eastAsia="Times New Roman" w:hAnsi="Calibri"/>
                <w:color w:val="000000"/>
                <w:sz w:val="20"/>
                <w:szCs w:val="20"/>
              </w:rPr>
              <w:t>Финансирование из бюджета</w:t>
            </w:r>
            <w:r w:rsidR="00933FB1" w:rsidRPr="00EC1346">
              <w:rPr>
                <w:rFonts w:ascii="Calibri" w:eastAsia="Times New Roman" w:hAnsi="Calibri"/>
                <w:color w:val="000000"/>
                <w:sz w:val="20"/>
                <w:szCs w:val="20"/>
              </w:rPr>
              <w:t>, млрд. руб.</w:t>
            </w:r>
          </w:p>
        </w:tc>
        <w:tc>
          <w:tcPr>
            <w:tcW w:w="1015" w:type="dxa"/>
            <w:noWrap/>
            <w:vAlign w:val="center"/>
            <w:hideMark/>
          </w:tcPr>
          <w:p w14:paraId="3EA37765" w14:textId="0CD81335" w:rsidR="00EB11D5" w:rsidRPr="00EC1346" w:rsidRDefault="00EB11D5" w:rsidP="00EB1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13</w:t>
            </w:r>
          </w:p>
        </w:tc>
        <w:tc>
          <w:tcPr>
            <w:tcW w:w="1016" w:type="dxa"/>
            <w:noWrap/>
            <w:vAlign w:val="center"/>
            <w:hideMark/>
          </w:tcPr>
          <w:p w14:paraId="20282BC5" w14:textId="4BF327FE" w:rsidR="00EB11D5" w:rsidRPr="00EC1346" w:rsidRDefault="00EB11D5" w:rsidP="00EB1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40</w:t>
            </w:r>
          </w:p>
        </w:tc>
        <w:tc>
          <w:tcPr>
            <w:tcW w:w="1016" w:type="dxa"/>
            <w:noWrap/>
            <w:vAlign w:val="center"/>
            <w:hideMark/>
          </w:tcPr>
          <w:p w14:paraId="4023EDD9" w14:textId="4923752A" w:rsidR="00EB11D5" w:rsidRPr="00EC1346" w:rsidRDefault="00EB11D5" w:rsidP="00EB1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118</w:t>
            </w:r>
          </w:p>
        </w:tc>
        <w:tc>
          <w:tcPr>
            <w:tcW w:w="1016" w:type="dxa"/>
            <w:noWrap/>
            <w:vAlign w:val="center"/>
            <w:hideMark/>
          </w:tcPr>
          <w:p w14:paraId="3D686A09" w14:textId="2F392D8E" w:rsidR="00EB11D5" w:rsidRPr="00EC1346" w:rsidRDefault="00EB11D5" w:rsidP="00EB1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234</w:t>
            </w:r>
          </w:p>
        </w:tc>
        <w:tc>
          <w:tcPr>
            <w:tcW w:w="1016" w:type="dxa"/>
            <w:noWrap/>
            <w:vAlign w:val="center"/>
            <w:hideMark/>
          </w:tcPr>
          <w:p w14:paraId="69B8AAB1" w14:textId="62D18CED" w:rsidR="00EB11D5" w:rsidRPr="00EC1346" w:rsidRDefault="00EB11D5" w:rsidP="00EB1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343</w:t>
            </w:r>
          </w:p>
        </w:tc>
        <w:tc>
          <w:tcPr>
            <w:tcW w:w="1016" w:type="dxa"/>
            <w:noWrap/>
            <w:vAlign w:val="center"/>
            <w:hideMark/>
          </w:tcPr>
          <w:p w14:paraId="6C7936D1" w14:textId="6A4528E8" w:rsidR="00EB11D5" w:rsidRPr="00EC1346" w:rsidRDefault="00EB11D5" w:rsidP="00EB1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b/>
                <w:color w:val="000000"/>
                <w:sz w:val="20"/>
                <w:szCs w:val="20"/>
              </w:rPr>
              <w:t>748</w:t>
            </w:r>
          </w:p>
        </w:tc>
      </w:tr>
      <w:tr w:rsidR="00EB11D5" w:rsidRPr="00EC1346" w14:paraId="7B524445" w14:textId="77777777" w:rsidTr="00EB11D5">
        <w:trPr>
          <w:trHeight w:val="320"/>
        </w:trPr>
        <w:tc>
          <w:tcPr>
            <w:cnfStyle w:val="001000000000" w:firstRow="0" w:lastRow="0" w:firstColumn="1" w:lastColumn="0" w:oddVBand="0" w:evenVBand="0" w:oddHBand="0" w:evenHBand="0" w:firstRowFirstColumn="0" w:firstRowLastColumn="0" w:lastRowFirstColumn="0" w:lastRowLastColumn="0"/>
            <w:tcW w:w="3544" w:type="dxa"/>
            <w:noWrap/>
            <w:vAlign w:val="bottom"/>
            <w:hideMark/>
          </w:tcPr>
          <w:p w14:paraId="7FEB191C" w14:textId="0BC256D5" w:rsidR="00EB11D5" w:rsidRPr="00EC1346" w:rsidRDefault="00EB11D5" w:rsidP="008C6717">
            <w:pPr>
              <w:rPr>
                <w:rFonts w:ascii="Calibri" w:eastAsia="Times New Roman" w:hAnsi="Calibri"/>
                <w:color w:val="000000"/>
                <w:sz w:val="20"/>
                <w:szCs w:val="20"/>
              </w:rPr>
            </w:pPr>
            <w:r w:rsidRPr="00EC1346">
              <w:rPr>
                <w:rFonts w:ascii="Calibri" w:eastAsia="Times New Roman" w:hAnsi="Calibri"/>
                <w:color w:val="000000"/>
                <w:sz w:val="20"/>
                <w:szCs w:val="20"/>
              </w:rPr>
              <w:t>Доля фонда в объеме выплат</w:t>
            </w:r>
            <w:r w:rsidR="00933FB1" w:rsidRPr="00EC1346">
              <w:rPr>
                <w:rFonts w:ascii="Calibri" w:eastAsia="Times New Roman" w:hAnsi="Calibri"/>
                <w:color w:val="000000"/>
                <w:sz w:val="20"/>
                <w:szCs w:val="20"/>
              </w:rPr>
              <w:t>, %</w:t>
            </w:r>
          </w:p>
        </w:tc>
        <w:tc>
          <w:tcPr>
            <w:tcW w:w="1015" w:type="dxa"/>
            <w:noWrap/>
            <w:vAlign w:val="center"/>
            <w:hideMark/>
          </w:tcPr>
          <w:p w14:paraId="792F3E02" w14:textId="618471E9" w:rsidR="00EB11D5" w:rsidRPr="00EC1346" w:rsidRDefault="00EB11D5" w:rsidP="00EB11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81%</w:t>
            </w:r>
          </w:p>
        </w:tc>
        <w:tc>
          <w:tcPr>
            <w:tcW w:w="1016" w:type="dxa"/>
            <w:noWrap/>
            <w:vAlign w:val="center"/>
            <w:hideMark/>
          </w:tcPr>
          <w:p w14:paraId="246ABB41" w14:textId="3BEC9D59" w:rsidR="00EB11D5" w:rsidRPr="00EC1346" w:rsidRDefault="00EB11D5" w:rsidP="00EB11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26%</w:t>
            </w:r>
          </w:p>
        </w:tc>
        <w:tc>
          <w:tcPr>
            <w:tcW w:w="1016" w:type="dxa"/>
            <w:noWrap/>
            <w:vAlign w:val="center"/>
            <w:hideMark/>
          </w:tcPr>
          <w:p w14:paraId="2D9E6F13" w14:textId="32FA661A" w:rsidR="00EB11D5" w:rsidRPr="00EC1346" w:rsidRDefault="00EB11D5" w:rsidP="00EB11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11%</w:t>
            </w:r>
          </w:p>
        </w:tc>
        <w:tc>
          <w:tcPr>
            <w:tcW w:w="1016" w:type="dxa"/>
            <w:noWrap/>
            <w:vAlign w:val="center"/>
            <w:hideMark/>
          </w:tcPr>
          <w:p w14:paraId="32180A2A" w14:textId="69050B7C" w:rsidR="00EB11D5" w:rsidRPr="00EC1346" w:rsidRDefault="00EB11D5" w:rsidP="00EB11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6%</w:t>
            </w:r>
          </w:p>
        </w:tc>
        <w:tc>
          <w:tcPr>
            <w:tcW w:w="1016" w:type="dxa"/>
            <w:noWrap/>
            <w:vAlign w:val="center"/>
            <w:hideMark/>
          </w:tcPr>
          <w:p w14:paraId="5F4AB410" w14:textId="0604CC7B" w:rsidR="00EB11D5" w:rsidRPr="00EC1346" w:rsidRDefault="00EB11D5" w:rsidP="00EB11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4%</w:t>
            </w:r>
          </w:p>
        </w:tc>
        <w:tc>
          <w:tcPr>
            <w:tcW w:w="1016" w:type="dxa"/>
            <w:noWrap/>
            <w:vAlign w:val="center"/>
            <w:hideMark/>
          </w:tcPr>
          <w:p w14:paraId="4FEABC9A" w14:textId="0DF3BAE0" w:rsidR="00EB11D5" w:rsidRPr="00EC1346" w:rsidRDefault="00EB11D5" w:rsidP="00EB11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b/>
                <w:color w:val="000000"/>
                <w:sz w:val="20"/>
                <w:szCs w:val="20"/>
              </w:rPr>
              <w:t>13%</w:t>
            </w:r>
          </w:p>
        </w:tc>
      </w:tr>
    </w:tbl>
    <w:p w14:paraId="199FE438" w14:textId="77777777" w:rsidR="00EB11D5" w:rsidRPr="00EC1346" w:rsidRDefault="00EB11D5" w:rsidP="00474935">
      <w:pPr>
        <w:spacing w:after="120" w:line="360" w:lineRule="auto"/>
        <w:jc w:val="both"/>
        <w:rPr>
          <w:rFonts w:asciiTheme="minorHAnsi" w:hAnsiTheme="minorHAnsi"/>
        </w:rPr>
      </w:pPr>
    </w:p>
    <w:p w14:paraId="31BD7C1D" w14:textId="4A7270BB" w:rsidR="00EB11D5" w:rsidRPr="00EC1346" w:rsidRDefault="00EB11D5" w:rsidP="00474935">
      <w:pPr>
        <w:spacing w:after="120" w:line="360" w:lineRule="auto"/>
        <w:jc w:val="both"/>
        <w:rPr>
          <w:rFonts w:asciiTheme="minorHAnsi" w:hAnsiTheme="minorHAnsi"/>
        </w:rPr>
      </w:pPr>
      <w:r w:rsidRPr="00EC1346">
        <w:rPr>
          <w:rFonts w:asciiTheme="minorHAnsi" w:hAnsiTheme="minorHAnsi"/>
        </w:rPr>
        <w:t xml:space="preserve">Из представленной таблицы видно, что уже в 2017 г. средств Компенсационного Фонда не хватает и возникает необходимость бюджетного финансирования. Таким образом,  гарантия Компенсационным Фондом обязательств, возникших в 2014-2016 гг. даже для одного крупного страховщика, может  привести исчерпанию средств фонда уже в 2017 г. </w:t>
      </w:r>
    </w:p>
    <w:p w14:paraId="4CCB594A" w14:textId="302D396F" w:rsidR="00EB11D5" w:rsidRPr="00EC1346" w:rsidRDefault="00EB11D5" w:rsidP="00474935">
      <w:pPr>
        <w:spacing w:after="120" w:line="360" w:lineRule="auto"/>
        <w:jc w:val="both"/>
        <w:rPr>
          <w:rFonts w:asciiTheme="minorHAnsi" w:hAnsiTheme="minorHAnsi"/>
        </w:rPr>
      </w:pPr>
      <w:r w:rsidRPr="00EC1346">
        <w:rPr>
          <w:rFonts w:asciiTheme="minorHAnsi" w:hAnsiTheme="minorHAnsi"/>
        </w:rPr>
        <w:t xml:space="preserve">Очевидно, что принятие дополнительных обязательств Компенсационным Фондом существенно увеличивает вероятность его раннего исчерпания и </w:t>
      </w:r>
      <w:proofErr w:type="spellStart"/>
      <w:r w:rsidRPr="00EC1346">
        <w:rPr>
          <w:rFonts w:asciiTheme="minorHAnsi" w:hAnsiTheme="minorHAnsi"/>
        </w:rPr>
        <w:t>дофинансирования</w:t>
      </w:r>
      <w:proofErr w:type="spellEnd"/>
      <w:r w:rsidRPr="00EC1346">
        <w:rPr>
          <w:rFonts w:asciiTheme="minorHAnsi" w:hAnsiTheme="minorHAnsi"/>
        </w:rPr>
        <w:t xml:space="preserve"> из бюджета.</w:t>
      </w:r>
    </w:p>
    <w:p w14:paraId="47596FF1" w14:textId="4448E7E1" w:rsidR="00474935" w:rsidRPr="00EC1346" w:rsidRDefault="00474935" w:rsidP="00474935">
      <w:pPr>
        <w:spacing w:after="120" w:line="360" w:lineRule="auto"/>
        <w:jc w:val="both"/>
        <w:rPr>
          <w:rFonts w:asciiTheme="minorHAnsi" w:hAnsiTheme="minorHAnsi"/>
          <w:b/>
          <w:i/>
        </w:rPr>
      </w:pPr>
      <w:r w:rsidRPr="00EC1346">
        <w:rPr>
          <w:rFonts w:asciiTheme="minorHAnsi" w:hAnsiTheme="minorHAnsi"/>
          <w:b/>
          <w:i/>
        </w:rPr>
        <w:t xml:space="preserve">Сценарий </w:t>
      </w:r>
      <w:r w:rsidR="00D1304D" w:rsidRPr="00EC1346">
        <w:rPr>
          <w:rFonts w:asciiTheme="minorHAnsi" w:hAnsiTheme="minorHAnsi"/>
          <w:b/>
          <w:i/>
        </w:rPr>
        <w:t>№</w:t>
      </w:r>
      <w:r w:rsidR="008C6717" w:rsidRPr="00EC1346">
        <w:rPr>
          <w:rFonts w:asciiTheme="minorHAnsi" w:hAnsiTheme="minorHAnsi"/>
          <w:b/>
          <w:i/>
        </w:rPr>
        <w:t>3</w:t>
      </w:r>
      <w:r w:rsidRPr="00EC1346">
        <w:rPr>
          <w:rFonts w:asciiTheme="minorHAnsi" w:hAnsiTheme="minorHAnsi"/>
          <w:b/>
          <w:i/>
        </w:rPr>
        <w:t>: результаты.</w:t>
      </w:r>
    </w:p>
    <w:p w14:paraId="45AE828E" w14:textId="652C8788" w:rsidR="00474935" w:rsidRPr="00EC1346" w:rsidRDefault="00474935" w:rsidP="00474935">
      <w:pPr>
        <w:spacing w:after="120" w:line="360" w:lineRule="auto"/>
        <w:jc w:val="both"/>
        <w:rPr>
          <w:rFonts w:asciiTheme="minorHAnsi" w:hAnsiTheme="minorHAnsi"/>
        </w:rPr>
      </w:pPr>
      <w:r w:rsidRPr="00EC1346">
        <w:rPr>
          <w:rFonts w:asciiTheme="minorHAnsi" w:hAnsiTheme="minorHAnsi"/>
        </w:rPr>
        <w:t>В рамках сценария №3 обязательства Компенсационного Фонда ограничены 1 млн. руб. на каждую квартиру (с учетом корректировки на процент готовности объекта), поэтому выплаты из средств Фонда</w:t>
      </w:r>
      <w:r w:rsidR="00557D58" w:rsidRPr="00EC1346">
        <w:rPr>
          <w:rFonts w:asciiTheme="minorHAnsi" w:hAnsiTheme="minorHAnsi"/>
        </w:rPr>
        <w:t xml:space="preserve"> и бюджета </w:t>
      </w:r>
      <w:r w:rsidR="00343FD0" w:rsidRPr="00EC1346">
        <w:rPr>
          <w:rFonts w:asciiTheme="minorHAnsi" w:hAnsiTheme="minorHAnsi"/>
        </w:rPr>
        <w:t>существенно</w:t>
      </w:r>
      <w:r w:rsidR="00557D58" w:rsidRPr="00EC1346">
        <w:rPr>
          <w:rFonts w:asciiTheme="minorHAnsi" w:hAnsiTheme="minorHAnsi"/>
        </w:rPr>
        <w:t xml:space="preserve"> меньше, чем в соответствии со Сценарием</w:t>
      </w:r>
      <w:r w:rsidRPr="00EC1346">
        <w:rPr>
          <w:rFonts w:asciiTheme="minorHAnsi" w:hAnsiTheme="minorHAnsi"/>
        </w:rPr>
        <w:t xml:space="preserve"> №1. </w:t>
      </w:r>
    </w:p>
    <w:p w14:paraId="13BBE23C" w14:textId="115839F9" w:rsidR="00474935" w:rsidRPr="00EC1346" w:rsidRDefault="00234A05" w:rsidP="00474935">
      <w:pPr>
        <w:spacing w:after="120" w:line="360" w:lineRule="auto"/>
        <w:jc w:val="center"/>
        <w:rPr>
          <w:rFonts w:asciiTheme="minorHAnsi" w:hAnsiTheme="minorHAnsi"/>
        </w:rPr>
      </w:pPr>
      <w:r w:rsidRPr="00EC1346">
        <w:rPr>
          <w:noProof/>
          <w:lang w:eastAsia="ru-RU"/>
        </w:rPr>
        <w:lastRenderedPageBreak/>
        <w:drawing>
          <wp:inline distT="0" distB="0" distL="0" distR="0" wp14:anchorId="00B4C9A5" wp14:editId="32600A65">
            <wp:extent cx="4656889" cy="2826763"/>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9E2C5E1" w14:textId="77777777" w:rsidR="00474935" w:rsidRPr="00EC1346" w:rsidRDefault="00474935" w:rsidP="00474935">
      <w:pPr>
        <w:spacing w:after="120" w:line="360" w:lineRule="auto"/>
        <w:jc w:val="both"/>
        <w:rPr>
          <w:rFonts w:asciiTheme="minorHAnsi" w:hAnsiTheme="minorHAnsi"/>
        </w:rPr>
      </w:pPr>
    </w:p>
    <w:p w14:paraId="00D1A665" w14:textId="77777777" w:rsidR="00474935" w:rsidRPr="00EC1346" w:rsidRDefault="00474935" w:rsidP="00474935">
      <w:pPr>
        <w:spacing w:after="120" w:line="360" w:lineRule="auto"/>
        <w:jc w:val="both"/>
        <w:rPr>
          <w:rFonts w:asciiTheme="minorHAnsi" w:hAnsiTheme="minorHAnsi"/>
          <w:b/>
          <w:i/>
        </w:rPr>
      </w:pPr>
    </w:p>
    <w:p w14:paraId="2C81A781" w14:textId="2DB5276E" w:rsidR="00474935" w:rsidRPr="00EC1346" w:rsidRDefault="00557D58" w:rsidP="00474935">
      <w:pPr>
        <w:spacing w:after="120" w:line="360" w:lineRule="auto"/>
        <w:jc w:val="both"/>
        <w:rPr>
          <w:rFonts w:asciiTheme="minorHAnsi" w:hAnsiTheme="minorHAnsi"/>
        </w:rPr>
      </w:pPr>
      <w:r w:rsidRPr="00EC1346">
        <w:rPr>
          <w:rFonts w:asciiTheme="minorHAnsi" w:hAnsiTheme="minorHAnsi"/>
        </w:rPr>
        <w:t>Д</w:t>
      </w:r>
      <w:r w:rsidR="00474935" w:rsidRPr="00EC1346">
        <w:rPr>
          <w:rFonts w:asciiTheme="minorHAnsi" w:hAnsiTheme="minorHAnsi"/>
        </w:rPr>
        <w:t xml:space="preserve">вижение денежных средств Компенсационного Фонда </w:t>
      </w:r>
      <w:r w:rsidR="00D1304D" w:rsidRPr="00EC1346">
        <w:rPr>
          <w:rFonts w:asciiTheme="minorHAnsi" w:hAnsiTheme="minorHAnsi"/>
        </w:rPr>
        <w:t>в соответствии со Сценарием №</w:t>
      </w:r>
      <w:r w:rsidR="008C6717" w:rsidRPr="00EC1346">
        <w:rPr>
          <w:rFonts w:asciiTheme="minorHAnsi" w:hAnsiTheme="minorHAnsi"/>
        </w:rPr>
        <w:t>3</w:t>
      </w:r>
      <w:r w:rsidRPr="00EC1346">
        <w:rPr>
          <w:rFonts w:asciiTheme="minorHAnsi" w:hAnsiTheme="minorHAnsi"/>
        </w:rPr>
        <w:t xml:space="preserve"> </w:t>
      </w:r>
      <w:r w:rsidR="00474935" w:rsidRPr="00EC1346">
        <w:rPr>
          <w:rFonts w:asciiTheme="minorHAnsi" w:hAnsiTheme="minorHAnsi"/>
        </w:rPr>
        <w:t>представлено в следующей таблице:</w:t>
      </w:r>
    </w:p>
    <w:tbl>
      <w:tblPr>
        <w:tblStyle w:val="ListTable6ColorfulAccent6"/>
        <w:tblW w:w="9283" w:type="dxa"/>
        <w:tblLayout w:type="fixed"/>
        <w:tblLook w:val="04A0" w:firstRow="1" w:lastRow="0" w:firstColumn="1" w:lastColumn="0" w:noHBand="0" w:noVBand="1"/>
      </w:tblPr>
      <w:tblGrid>
        <w:gridCol w:w="3261"/>
        <w:gridCol w:w="1003"/>
        <w:gridCol w:w="1004"/>
        <w:gridCol w:w="1004"/>
        <w:gridCol w:w="1003"/>
        <w:gridCol w:w="1004"/>
        <w:gridCol w:w="1004"/>
      </w:tblGrid>
      <w:tr w:rsidR="00474935" w:rsidRPr="00EC1346" w14:paraId="0E681846" w14:textId="77777777" w:rsidTr="008C671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63411729" w14:textId="77777777" w:rsidR="00474935" w:rsidRPr="00EC1346" w:rsidRDefault="00474935" w:rsidP="008C6717">
            <w:pPr>
              <w:rPr>
                <w:rFonts w:ascii="Calibri" w:eastAsia="Times New Roman" w:hAnsi="Calibri"/>
                <w:color w:val="000000"/>
                <w:sz w:val="20"/>
                <w:szCs w:val="20"/>
                <w:lang w:val="en-US"/>
              </w:rPr>
            </w:pPr>
            <w:r w:rsidRPr="00EC1346">
              <w:rPr>
                <w:rFonts w:ascii="Calibri" w:eastAsia="Times New Roman" w:hAnsi="Calibri"/>
                <w:color w:val="000000"/>
                <w:sz w:val="20"/>
                <w:szCs w:val="20"/>
              </w:rPr>
              <w:t>Показатель</w:t>
            </w:r>
          </w:p>
        </w:tc>
        <w:tc>
          <w:tcPr>
            <w:tcW w:w="1003" w:type="dxa"/>
            <w:noWrap/>
            <w:vAlign w:val="center"/>
            <w:hideMark/>
          </w:tcPr>
          <w:p w14:paraId="53225FE0" w14:textId="77777777" w:rsidR="00474935" w:rsidRPr="00EC1346" w:rsidRDefault="00474935" w:rsidP="008C671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2017</w:t>
            </w:r>
          </w:p>
        </w:tc>
        <w:tc>
          <w:tcPr>
            <w:tcW w:w="1004" w:type="dxa"/>
            <w:noWrap/>
            <w:vAlign w:val="center"/>
            <w:hideMark/>
          </w:tcPr>
          <w:p w14:paraId="68C5085D" w14:textId="77777777" w:rsidR="00474935" w:rsidRPr="00EC1346" w:rsidRDefault="00474935" w:rsidP="008C671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2018</w:t>
            </w:r>
          </w:p>
        </w:tc>
        <w:tc>
          <w:tcPr>
            <w:tcW w:w="1004" w:type="dxa"/>
            <w:noWrap/>
            <w:vAlign w:val="center"/>
            <w:hideMark/>
          </w:tcPr>
          <w:p w14:paraId="69DEB884" w14:textId="77777777" w:rsidR="00474935" w:rsidRPr="00EC1346" w:rsidRDefault="00474935" w:rsidP="008C671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2019</w:t>
            </w:r>
          </w:p>
        </w:tc>
        <w:tc>
          <w:tcPr>
            <w:tcW w:w="1003" w:type="dxa"/>
            <w:noWrap/>
            <w:vAlign w:val="center"/>
            <w:hideMark/>
          </w:tcPr>
          <w:p w14:paraId="20598CE7" w14:textId="77777777" w:rsidR="00474935" w:rsidRPr="00EC1346" w:rsidRDefault="00474935" w:rsidP="008C671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2020</w:t>
            </w:r>
          </w:p>
        </w:tc>
        <w:tc>
          <w:tcPr>
            <w:tcW w:w="1004" w:type="dxa"/>
            <w:noWrap/>
            <w:vAlign w:val="center"/>
            <w:hideMark/>
          </w:tcPr>
          <w:p w14:paraId="267F3171" w14:textId="77777777" w:rsidR="00474935" w:rsidRPr="00EC1346" w:rsidRDefault="00474935" w:rsidP="008C671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2021</w:t>
            </w:r>
          </w:p>
        </w:tc>
        <w:tc>
          <w:tcPr>
            <w:tcW w:w="1004" w:type="dxa"/>
            <w:noWrap/>
            <w:vAlign w:val="center"/>
            <w:hideMark/>
          </w:tcPr>
          <w:p w14:paraId="78988660" w14:textId="77777777" w:rsidR="00474935" w:rsidRPr="00EC1346" w:rsidRDefault="00474935" w:rsidP="008C671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Итого</w:t>
            </w:r>
          </w:p>
        </w:tc>
      </w:tr>
      <w:tr w:rsidR="00234A05" w:rsidRPr="00EC1346" w14:paraId="1C63F2C2" w14:textId="77777777" w:rsidTr="00234A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A77F199" w14:textId="77777777" w:rsidR="00234A05" w:rsidRPr="00EC1346" w:rsidRDefault="00234A05" w:rsidP="008C6717">
            <w:pPr>
              <w:rPr>
                <w:rFonts w:ascii="Calibri" w:eastAsia="Times New Roman" w:hAnsi="Calibri"/>
                <w:color w:val="000000"/>
                <w:sz w:val="20"/>
                <w:szCs w:val="20"/>
              </w:rPr>
            </w:pPr>
            <w:r w:rsidRPr="00EC1346">
              <w:rPr>
                <w:rFonts w:ascii="Calibri" w:eastAsia="Times New Roman" w:hAnsi="Calibri"/>
                <w:color w:val="000000"/>
                <w:sz w:val="20"/>
                <w:szCs w:val="20"/>
              </w:rPr>
              <w:t>Размер компенсационного фонда на начало года, млрд. руб.</w:t>
            </w:r>
          </w:p>
        </w:tc>
        <w:tc>
          <w:tcPr>
            <w:tcW w:w="1003" w:type="dxa"/>
            <w:noWrap/>
            <w:vAlign w:val="center"/>
            <w:hideMark/>
          </w:tcPr>
          <w:p w14:paraId="767C4EF3" w14:textId="6B7E2B76"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35</w:t>
            </w:r>
          </w:p>
        </w:tc>
        <w:tc>
          <w:tcPr>
            <w:tcW w:w="1004" w:type="dxa"/>
            <w:noWrap/>
            <w:vAlign w:val="center"/>
            <w:hideMark/>
          </w:tcPr>
          <w:p w14:paraId="19EDAE5A" w14:textId="1F6ECECB"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35</w:t>
            </w:r>
          </w:p>
        </w:tc>
        <w:tc>
          <w:tcPr>
            <w:tcW w:w="1004" w:type="dxa"/>
            <w:noWrap/>
            <w:vAlign w:val="center"/>
            <w:hideMark/>
          </w:tcPr>
          <w:p w14:paraId="4E465FBA" w14:textId="12F00986"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6</w:t>
            </w:r>
          </w:p>
        </w:tc>
        <w:tc>
          <w:tcPr>
            <w:tcW w:w="1003" w:type="dxa"/>
            <w:noWrap/>
            <w:vAlign w:val="center"/>
            <w:hideMark/>
          </w:tcPr>
          <w:p w14:paraId="7CD342C6" w14:textId="1F490EE5"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w:t>
            </w:r>
          </w:p>
        </w:tc>
        <w:tc>
          <w:tcPr>
            <w:tcW w:w="1004" w:type="dxa"/>
            <w:noWrap/>
            <w:vAlign w:val="center"/>
            <w:hideMark/>
          </w:tcPr>
          <w:p w14:paraId="4FB5AED3" w14:textId="6BA0F475"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13</w:t>
            </w:r>
          </w:p>
        </w:tc>
        <w:tc>
          <w:tcPr>
            <w:tcW w:w="1004" w:type="dxa"/>
            <w:noWrap/>
            <w:vAlign w:val="center"/>
            <w:hideMark/>
          </w:tcPr>
          <w:p w14:paraId="0800A91A" w14:textId="18CF201F"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p>
        </w:tc>
      </w:tr>
      <w:tr w:rsidR="00234A05" w:rsidRPr="00EC1346" w14:paraId="5C7A2275" w14:textId="77777777" w:rsidTr="00234A05">
        <w:trPr>
          <w:trHeight w:val="32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164CBAD" w14:textId="77777777" w:rsidR="00234A05" w:rsidRPr="00EC1346" w:rsidRDefault="00234A05" w:rsidP="008C6717">
            <w:pPr>
              <w:rPr>
                <w:rFonts w:ascii="Calibri" w:eastAsia="Times New Roman" w:hAnsi="Calibri"/>
                <w:color w:val="000000"/>
                <w:sz w:val="20"/>
                <w:szCs w:val="20"/>
              </w:rPr>
            </w:pPr>
            <w:r w:rsidRPr="00EC1346">
              <w:rPr>
                <w:rFonts w:ascii="Calibri" w:eastAsia="Times New Roman" w:hAnsi="Calibri"/>
                <w:color w:val="000000"/>
                <w:sz w:val="20"/>
                <w:szCs w:val="20"/>
              </w:rPr>
              <w:t>Отчисления в фонд, млрд. руб.</w:t>
            </w:r>
          </w:p>
        </w:tc>
        <w:tc>
          <w:tcPr>
            <w:tcW w:w="1003" w:type="dxa"/>
            <w:noWrap/>
            <w:vAlign w:val="center"/>
            <w:hideMark/>
          </w:tcPr>
          <w:p w14:paraId="52E68576" w14:textId="4A58AA3A"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16</w:t>
            </w:r>
          </w:p>
        </w:tc>
        <w:tc>
          <w:tcPr>
            <w:tcW w:w="1004" w:type="dxa"/>
            <w:noWrap/>
            <w:vAlign w:val="center"/>
            <w:hideMark/>
          </w:tcPr>
          <w:p w14:paraId="709AE2FF" w14:textId="4F539BAE"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14</w:t>
            </w:r>
          </w:p>
        </w:tc>
        <w:tc>
          <w:tcPr>
            <w:tcW w:w="1004" w:type="dxa"/>
            <w:noWrap/>
            <w:vAlign w:val="center"/>
            <w:hideMark/>
          </w:tcPr>
          <w:p w14:paraId="01033665" w14:textId="65329EE1"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14</w:t>
            </w:r>
          </w:p>
        </w:tc>
        <w:tc>
          <w:tcPr>
            <w:tcW w:w="1003" w:type="dxa"/>
            <w:noWrap/>
            <w:vAlign w:val="center"/>
            <w:hideMark/>
          </w:tcPr>
          <w:p w14:paraId="734A6794" w14:textId="1A147926"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14</w:t>
            </w:r>
          </w:p>
        </w:tc>
        <w:tc>
          <w:tcPr>
            <w:tcW w:w="1004" w:type="dxa"/>
            <w:noWrap/>
            <w:vAlign w:val="center"/>
            <w:hideMark/>
          </w:tcPr>
          <w:p w14:paraId="08747D06" w14:textId="09ADD386"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14</w:t>
            </w:r>
          </w:p>
        </w:tc>
        <w:tc>
          <w:tcPr>
            <w:tcW w:w="1004" w:type="dxa"/>
            <w:noWrap/>
            <w:vAlign w:val="center"/>
            <w:hideMark/>
          </w:tcPr>
          <w:p w14:paraId="77ED0F8A" w14:textId="2D497616"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b/>
                <w:color w:val="000000"/>
                <w:sz w:val="20"/>
                <w:szCs w:val="20"/>
              </w:rPr>
              <w:t>72</w:t>
            </w:r>
          </w:p>
        </w:tc>
      </w:tr>
      <w:tr w:rsidR="00234A05" w:rsidRPr="00EC1346" w14:paraId="2776DC11" w14:textId="77777777" w:rsidTr="00234A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5488D020" w14:textId="77777777" w:rsidR="00234A05" w:rsidRPr="00EC1346" w:rsidRDefault="00234A05" w:rsidP="008C6717">
            <w:pPr>
              <w:rPr>
                <w:rFonts w:ascii="Calibri" w:eastAsia="Times New Roman" w:hAnsi="Calibri"/>
                <w:color w:val="000000"/>
                <w:sz w:val="20"/>
                <w:szCs w:val="20"/>
              </w:rPr>
            </w:pPr>
            <w:r w:rsidRPr="00EC1346">
              <w:rPr>
                <w:rFonts w:ascii="Calibri" w:eastAsia="Times New Roman" w:hAnsi="Calibri"/>
                <w:color w:val="000000"/>
                <w:sz w:val="20"/>
                <w:szCs w:val="20"/>
              </w:rPr>
              <w:t>Выплаты на достройку объектов, млрд. руб.</w:t>
            </w:r>
          </w:p>
        </w:tc>
        <w:tc>
          <w:tcPr>
            <w:tcW w:w="1003" w:type="dxa"/>
            <w:noWrap/>
            <w:vAlign w:val="center"/>
            <w:hideMark/>
          </w:tcPr>
          <w:p w14:paraId="1FA52B80" w14:textId="2870E9C7"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16</w:t>
            </w:r>
          </w:p>
        </w:tc>
        <w:tc>
          <w:tcPr>
            <w:tcW w:w="1004" w:type="dxa"/>
            <w:noWrap/>
            <w:vAlign w:val="center"/>
            <w:hideMark/>
          </w:tcPr>
          <w:p w14:paraId="1E82991B" w14:textId="42FFD470"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43</w:t>
            </w:r>
          </w:p>
        </w:tc>
        <w:tc>
          <w:tcPr>
            <w:tcW w:w="1004" w:type="dxa"/>
            <w:noWrap/>
            <w:vAlign w:val="center"/>
            <w:hideMark/>
          </w:tcPr>
          <w:p w14:paraId="13385EDA" w14:textId="0066A553"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0</w:t>
            </w:r>
          </w:p>
        </w:tc>
        <w:tc>
          <w:tcPr>
            <w:tcW w:w="1003" w:type="dxa"/>
            <w:noWrap/>
            <w:vAlign w:val="center"/>
            <w:hideMark/>
          </w:tcPr>
          <w:p w14:paraId="749B93F4" w14:textId="60B6439C"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21</w:t>
            </w:r>
          </w:p>
        </w:tc>
        <w:tc>
          <w:tcPr>
            <w:tcW w:w="1004" w:type="dxa"/>
            <w:noWrap/>
            <w:vAlign w:val="center"/>
            <w:hideMark/>
          </w:tcPr>
          <w:p w14:paraId="0F87F1C7" w14:textId="568ABCD3"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45</w:t>
            </w:r>
          </w:p>
        </w:tc>
        <w:tc>
          <w:tcPr>
            <w:tcW w:w="1004" w:type="dxa"/>
            <w:noWrap/>
            <w:vAlign w:val="center"/>
            <w:hideMark/>
          </w:tcPr>
          <w:p w14:paraId="6D5315C3" w14:textId="3B0142B8"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b/>
                <w:color w:val="000000"/>
                <w:sz w:val="20"/>
                <w:szCs w:val="20"/>
              </w:rPr>
              <w:t>125</w:t>
            </w:r>
          </w:p>
        </w:tc>
      </w:tr>
      <w:tr w:rsidR="00234A05" w:rsidRPr="00EC1346" w14:paraId="5281C3BB" w14:textId="77777777" w:rsidTr="00234A05">
        <w:trPr>
          <w:trHeight w:val="487"/>
        </w:trPr>
        <w:tc>
          <w:tcPr>
            <w:cnfStyle w:val="001000000000" w:firstRow="0" w:lastRow="0" w:firstColumn="1" w:lastColumn="0" w:oddVBand="0" w:evenVBand="0" w:oddHBand="0" w:evenHBand="0" w:firstRowFirstColumn="0" w:firstRowLastColumn="0" w:lastRowFirstColumn="0" w:lastRowLastColumn="0"/>
            <w:tcW w:w="3261" w:type="dxa"/>
            <w:noWrap/>
            <w:hideMark/>
          </w:tcPr>
          <w:p w14:paraId="15E54654" w14:textId="77777777" w:rsidR="00234A05" w:rsidRPr="00EC1346" w:rsidRDefault="00234A05" w:rsidP="008C6717">
            <w:pPr>
              <w:rPr>
                <w:rFonts w:ascii="Calibri" w:eastAsia="Times New Roman" w:hAnsi="Calibri"/>
                <w:color w:val="000000"/>
                <w:sz w:val="20"/>
                <w:szCs w:val="20"/>
              </w:rPr>
            </w:pPr>
            <w:r w:rsidRPr="00EC1346">
              <w:rPr>
                <w:rFonts w:ascii="Calibri" w:eastAsia="Times New Roman" w:hAnsi="Calibri"/>
                <w:color w:val="000000"/>
                <w:sz w:val="20"/>
                <w:szCs w:val="20"/>
              </w:rPr>
              <w:t>Финансирование из бюджета РФ, млрд. руб.</w:t>
            </w:r>
          </w:p>
        </w:tc>
        <w:tc>
          <w:tcPr>
            <w:tcW w:w="1003" w:type="dxa"/>
            <w:noWrap/>
            <w:vAlign w:val="center"/>
            <w:hideMark/>
          </w:tcPr>
          <w:p w14:paraId="17C7C94D" w14:textId="75987BA5"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w:t>
            </w:r>
          </w:p>
        </w:tc>
        <w:tc>
          <w:tcPr>
            <w:tcW w:w="1004" w:type="dxa"/>
            <w:noWrap/>
            <w:vAlign w:val="center"/>
            <w:hideMark/>
          </w:tcPr>
          <w:p w14:paraId="66825F12" w14:textId="3B669F28"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w:t>
            </w:r>
          </w:p>
        </w:tc>
        <w:tc>
          <w:tcPr>
            <w:tcW w:w="1004" w:type="dxa"/>
            <w:noWrap/>
            <w:vAlign w:val="center"/>
            <w:hideMark/>
          </w:tcPr>
          <w:p w14:paraId="3286160C" w14:textId="46524DAA"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w:t>
            </w:r>
          </w:p>
        </w:tc>
        <w:tc>
          <w:tcPr>
            <w:tcW w:w="1003" w:type="dxa"/>
            <w:noWrap/>
            <w:vAlign w:val="center"/>
            <w:hideMark/>
          </w:tcPr>
          <w:p w14:paraId="5D08A266" w14:textId="156ED488"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w:t>
            </w:r>
          </w:p>
        </w:tc>
        <w:tc>
          <w:tcPr>
            <w:tcW w:w="1004" w:type="dxa"/>
            <w:noWrap/>
            <w:vAlign w:val="center"/>
            <w:hideMark/>
          </w:tcPr>
          <w:p w14:paraId="2F4B0D4E" w14:textId="34038D22"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19</w:t>
            </w:r>
          </w:p>
        </w:tc>
        <w:tc>
          <w:tcPr>
            <w:tcW w:w="1004" w:type="dxa"/>
            <w:noWrap/>
            <w:vAlign w:val="center"/>
            <w:hideMark/>
          </w:tcPr>
          <w:p w14:paraId="6D4A328A" w14:textId="4298D1C9" w:rsidR="00234A05" w:rsidRPr="00EC1346" w:rsidRDefault="00234A05" w:rsidP="00234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b/>
                <w:color w:val="000000"/>
                <w:sz w:val="20"/>
                <w:szCs w:val="20"/>
              </w:rPr>
              <w:t>19</w:t>
            </w:r>
          </w:p>
        </w:tc>
      </w:tr>
      <w:tr w:rsidR="00234A05" w:rsidRPr="00EC1346" w14:paraId="5457882E" w14:textId="77777777" w:rsidTr="00234A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573EB07A" w14:textId="77777777" w:rsidR="00234A05" w:rsidRPr="00EC1346" w:rsidRDefault="00234A05" w:rsidP="008C6717">
            <w:pPr>
              <w:rPr>
                <w:rFonts w:ascii="Calibri" w:eastAsia="Times New Roman" w:hAnsi="Calibri"/>
                <w:color w:val="000000"/>
                <w:sz w:val="20"/>
                <w:szCs w:val="20"/>
              </w:rPr>
            </w:pPr>
            <w:r w:rsidRPr="00EC1346">
              <w:rPr>
                <w:rFonts w:ascii="Calibri" w:eastAsia="Times New Roman" w:hAnsi="Calibri"/>
                <w:color w:val="000000"/>
                <w:sz w:val="20"/>
                <w:szCs w:val="20"/>
              </w:rPr>
              <w:t>Доля фонда в объеме выплат, %</w:t>
            </w:r>
          </w:p>
        </w:tc>
        <w:tc>
          <w:tcPr>
            <w:tcW w:w="1003" w:type="dxa"/>
            <w:noWrap/>
            <w:vAlign w:val="center"/>
            <w:hideMark/>
          </w:tcPr>
          <w:p w14:paraId="1B052678" w14:textId="3D550719"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100%</w:t>
            </w:r>
          </w:p>
        </w:tc>
        <w:tc>
          <w:tcPr>
            <w:tcW w:w="1004" w:type="dxa"/>
            <w:noWrap/>
            <w:vAlign w:val="center"/>
            <w:hideMark/>
          </w:tcPr>
          <w:p w14:paraId="2FA17D85" w14:textId="0D6D09A5"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100%</w:t>
            </w:r>
          </w:p>
        </w:tc>
        <w:tc>
          <w:tcPr>
            <w:tcW w:w="1004" w:type="dxa"/>
            <w:noWrap/>
            <w:vAlign w:val="center"/>
            <w:hideMark/>
          </w:tcPr>
          <w:p w14:paraId="61592C6F" w14:textId="45449125"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100%</w:t>
            </w:r>
          </w:p>
        </w:tc>
        <w:tc>
          <w:tcPr>
            <w:tcW w:w="1003" w:type="dxa"/>
            <w:noWrap/>
            <w:vAlign w:val="center"/>
            <w:hideMark/>
          </w:tcPr>
          <w:p w14:paraId="350A855A" w14:textId="5AE0FA43"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100%</w:t>
            </w:r>
          </w:p>
        </w:tc>
        <w:tc>
          <w:tcPr>
            <w:tcW w:w="1004" w:type="dxa"/>
            <w:noWrap/>
            <w:vAlign w:val="center"/>
            <w:hideMark/>
          </w:tcPr>
          <w:p w14:paraId="6FAA9E2A" w14:textId="513956F8"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59%</w:t>
            </w:r>
          </w:p>
        </w:tc>
        <w:tc>
          <w:tcPr>
            <w:tcW w:w="1004" w:type="dxa"/>
            <w:noWrap/>
            <w:vAlign w:val="center"/>
            <w:hideMark/>
          </w:tcPr>
          <w:p w14:paraId="7F82B49B" w14:textId="2E197672" w:rsidR="00234A05" w:rsidRPr="00EC1346" w:rsidRDefault="00234A05" w:rsidP="00234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b/>
                <w:color w:val="000000"/>
                <w:sz w:val="20"/>
                <w:szCs w:val="20"/>
              </w:rPr>
              <w:t>85%</w:t>
            </w:r>
          </w:p>
        </w:tc>
      </w:tr>
    </w:tbl>
    <w:p w14:paraId="02D5362A" w14:textId="77777777" w:rsidR="00474935" w:rsidRPr="00EC1346" w:rsidRDefault="00474935" w:rsidP="00474935">
      <w:pPr>
        <w:spacing w:after="120" w:line="360" w:lineRule="auto"/>
      </w:pPr>
    </w:p>
    <w:p w14:paraId="3B688FD5" w14:textId="02FF7DD3" w:rsidR="00B60780" w:rsidRPr="00EC1346" w:rsidRDefault="00EE314E" w:rsidP="00B60780">
      <w:pPr>
        <w:spacing w:after="120" w:line="360" w:lineRule="auto"/>
        <w:jc w:val="both"/>
        <w:rPr>
          <w:b/>
          <w:i/>
        </w:rPr>
      </w:pPr>
      <w:r w:rsidRPr="00EC1346">
        <w:rPr>
          <w:rFonts w:asciiTheme="minorHAnsi" w:hAnsiTheme="minorHAnsi"/>
          <w:b/>
          <w:i/>
        </w:rPr>
        <w:br w:type="page"/>
      </w:r>
      <w:r w:rsidR="00B60780" w:rsidRPr="00EC1346">
        <w:rPr>
          <w:rFonts w:asciiTheme="minorHAnsi" w:hAnsiTheme="minorHAnsi"/>
          <w:b/>
          <w:i/>
        </w:rPr>
        <w:lastRenderedPageBreak/>
        <w:t>Сценарий №4, результаты.</w:t>
      </w:r>
    </w:p>
    <w:p w14:paraId="3562AC28" w14:textId="7DE89C68" w:rsidR="00B60780" w:rsidRPr="00EC1346" w:rsidRDefault="00B60780" w:rsidP="00B60780">
      <w:pPr>
        <w:spacing w:after="120" w:line="360" w:lineRule="auto"/>
        <w:jc w:val="both"/>
        <w:rPr>
          <w:rFonts w:asciiTheme="minorHAnsi" w:hAnsiTheme="minorHAnsi"/>
        </w:rPr>
      </w:pPr>
      <w:r w:rsidRPr="00EC1346">
        <w:rPr>
          <w:rFonts w:asciiTheme="minorHAnsi" w:hAnsiTheme="minorHAnsi"/>
        </w:rPr>
        <w:t xml:space="preserve">Моделирование работы Компенсационного Фонда без допущения о первоначальном </w:t>
      </w:r>
      <w:r w:rsidR="00642BF8" w:rsidRPr="00EC1346">
        <w:rPr>
          <w:rFonts w:asciiTheme="minorHAnsi" w:hAnsiTheme="minorHAnsi"/>
        </w:rPr>
        <w:t>финансировании</w:t>
      </w:r>
      <w:r w:rsidRPr="00EC1346">
        <w:rPr>
          <w:rFonts w:asciiTheme="minorHAnsi" w:hAnsiTheme="minorHAnsi"/>
        </w:rPr>
        <w:t xml:space="preserve"> со стороны государства в размере 35 млрд. рублей показало несостоятельность это</w:t>
      </w:r>
      <w:r w:rsidR="00BD55B6" w:rsidRPr="00EC1346">
        <w:rPr>
          <w:rFonts w:asciiTheme="minorHAnsi" w:hAnsiTheme="minorHAnsi"/>
        </w:rPr>
        <w:t>го</w:t>
      </w:r>
      <w:r w:rsidR="005F3F2F" w:rsidRPr="00EC1346">
        <w:rPr>
          <w:rFonts w:asciiTheme="minorHAnsi" w:hAnsiTheme="minorHAnsi"/>
        </w:rPr>
        <w:t xml:space="preserve"> </w:t>
      </w:r>
      <w:r w:rsidR="00BD55B6" w:rsidRPr="00EC1346">
        <w:rPr>
          <w:rFonts w:asciiTheme="minorHAnsi" w:hAnsiTheme="minorHAnsi"/>
        </w:rPr>
        <w:t>сценария</w:t>
      </w:r>
      <w:r w:rsidR="005F3F2F" w:rsidRPr="00EC1346">
        <w:rPr>
          <w:rFonts w:asciiTheme="minorHAnsi" w:hAnsiTheme="minorHAnsi"/>
        </w:rPr>
        <w:t xml:space="preserve"> (как и прочих)</w:t>
      </w:r>
      <w:r w:rsidRPr="00EC1346">
        <w:rPr>
          <w:rFonts w:asciiTheme="minorHAnsi" w:hAnsiTheme="minorHAnsi"/>
        </w:rPr>
        <w:t>.</w:t>
      </w:r>
    </w:p>
    <w:p w14:paraId="257342D7" w14:textId="54EA2441" w:rsidR="00B60780" w:rsidRPr="00EC1346" w:rsidRDefault="00B60780" w:rsidP="00B60780">
      <w:pPr>
        <w:spacing w:after="120" w:line="360" w:lineRule="auto"/>
        <w:jc w:val="both"/>
        <w:rPr>
          <w:rFonts w:asciiTheme="minorHAnsi" w:hAnsiTheme="minorHAnsi"/>
        </w:rPr>
      </w:pPr>
      <w:r w:rsidRPr="00EC1346">
        <w:rPr>
          <w:rFonts w:asciiTheme="minorHAnsi" w:hAnsiTheme="minorHAnsi"/>
        </w:rPr>
        <w:t xml:space="preserve">Отсутствие первоначального капитала на </w:t>
      </w:r>
      <w:proofErr w:type="spellStart"/>
      <w:r w:rsidRPr="00EC1346">
        <w:rPr>
          <w:rFonts w:asciiTheme="minorHAnsi" w:hAnsiTheme="minorHAnsi"/>
        </w:rPr>
        <w:t>дофинансирование</w:t>
      </w:r>
      <w:proofErr w:type="spellEnd"/>
      <w:r w:rsidRPr="00EC1346">
        <w:rPr>
          <w:rFonts w:asciiTheme="minorHAnsi" w:hAnsiTheme="minorHAnsi"/>
        </w:rPr>
        <w:t xml:space="preserve"> строительства объектов приводит к необходимости бюджетных пополнений Компенсационного </w:t>
      </w:r>
      <w:proofErr w:type="gramStart"/>
      <w:r w:rsidRPr="00EC1346">
        <w:rPr>
          <w:rFonts w:asciiTheme="minorHAnsi" w:hAnsiTheme="minorHAnsi"/>
        </w:rPr>
        <w:t>Фонда</w:t>
      </w:r>
      <w:proofErr w:type="gramEnd"/>
      <w:r w:rsidRPr="00EC1346">
        <w:rPr>
          <w:rFonts w:asciiTheme="minorHAnsi" w:hAnsiTheme="minorHAnsi"/>
        </w:rPr>
        <w:t xml:space="preserve"> уже начиная с 2017 г. В последующие годы увеличение финансирования со стороны государства принимает лавинообразный характер, приводя к фактической </w:t>
      </w:r>
      <w:r w:rsidR="00642BF8" w:rsidRPr="00EC1346">
        <w:rPr>
          <w:rFonts w:asciiTheme="minorHAnsi" w:hAnsiTheme="minorHAnsi"/>
        </w:rPr>
        <w:t>дискредитации идеи</w:t>
      </w:r>
      <w:r w:rsidRPr="00EC1346">
        <w:rPr>
          <w:rFonts w:asciiTheme="minorHAnsi" w:hAnsiTheme="minorHAnsi"/>
        </w:rPr>
        <w:t xml:space="preserve"> Фонда как механизма обеспечения выплат.</w:t>
      </w:r>
    </w:p>
    <w:tbl>
      <w:tblPr>
        <w:tblW w:w="9214" w:type="dxa"/>
        <w:tblLook w:val="04A0" w:firstRow="1" w:lastRow="0" w:firstColumn="1" w:lastColumn="0" w:noHBand="0" w:noVBand="1"/>
      </w:tblPr>
      <w:tblGrid>
        <w:gridCol w:w="3261"/>
        <w:gridCol w:w="992"/>
        <w:gridCol w:w="992"/>
        <w:gridCol w:w="992"/>
        <w:gridCol w:w="993"/>
        <w:gridCol w:w="1080"/>
        <w:gridCol w:w="904"/>
      </w:tblGrid>
      <w:tr w:rsidR="00B60780" w:rsidRPr="00EC1346" w14:paraId="5BDFEF7A" w14:textId="77777777" w:rsidTr="00642BF8">
        <w:trPr>
          <w:trHeight w:val="315"/>
        </w:trPr>
        <w:tc>
          <w:tcPr>
            <w:tcW w:w="3261" w:type="dxa"/>
            <w:tcBorders>
              <w:top w:val="single" w:sz="8" w:space="0" w:color="70AD47"/>
              <w:left w:val="nil"/>
              <w:bottom w:val="single" w:sz="8" w:space="0" w:color="70AD47"/>
              <w:right w:val="nil"/>
            </w:tcBorders>
            <w:shd w:val="clear" w:color="auto" w:fill="auto"/>
            <w:noWrap/>
            <w:vAlign w:val="center"/>
            <w:hideMark/>
          </w:tcPr>
          <w:p w14:paraId="51D7F072" w14:textId="77777777" w:rsidR="00B60780" w:rsidRPr="00EC1346" w:rsidRDefault="00B60780" w:rsidP="00642BF8">
            <w:pP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Показатель</w:t>
            </w:r>
          </w:p>
        </w:tc>
        <w:tc>
          <w:tcPr>
            <w:tcW w:w="992" w:type="dxa"/>
            <w:tcBorders>
              <w:top w:val="single" w:sz="8" w:space="0" w:color="70AD47"/>
              <w:left w:val="nil"/>
              <w:bottom w:val="single" w:sz="8" w:space="0" w:color="70AD47"/>
              <w:right w:val="nil"/>
            </w:tcBorders>
            <w:shd w:val="clear" w:color="auto" w:fill="auto"/>
            <w:noWrap/>
            <w:vAlign w:val="center"/>
            <w:hideMark/>
          </w:tcPr>
          <w:p w14:paraId="6430240C" w14:textId="77777777" w:rsidR="00B60780" w:rsidRPr="00EC1346" w:rsidRDefault="00B60780" w:rsidP="00642BF8">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2017</w:t>
            </w:r>
          </w:p>
        </w:tc>
        <w:tc>
          <w:tcPr>
            <w:tcW w:w="992" w:type="dxa"/>
            <w:tcBorders>
              <w:top w:val="single" w:sz="8" w:space="0" w:color="70AD47"/>
              <w:left w:val="nil"/>
              <w:bottom w:val="single" w:sz="8" w:space="0" w:color="70AD47"/>
              <w:right w:val="nil"/>
            </w:tcBorders>
            <w:shd w:val="clear" w:color="auto" w:fill="auto"/>
            <w:noWrap/>
            <w:vAlign w:val="center"/>
            <w:hideMark/>
          </w:tcPr>
          <w:p w14:paraId="25E3CA03" w14:textId="77777777" w:rsidR="00B60780" w:rsidRPr="00EC1346" w:rsidRDefault="00B60780" w:rsidP="00642BF8">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2018</w:t>
            </w:r>
          </w:p>
        </w:tc>
        <w:tc>
          <w:tcPr>
            <w:tcW w:w="992" w:type="dxa"/>
            <w:tcBorders>
              <w:top w:val="single" w:sz="8" w:space="0" w:color="70AD47"/>
              <w:left w:val="nil"/>
              <w:bottom w:val="single" w:sz="8" w:space="0" w:color="70AD47"/>
              <w:right w:val="nil"/>
            </w:tcBorders>
            <w:shd w:val="clear" w:color="auto" w:fill="auto"/>
            <w:noWrap/>
            <w:vAlign w:val="center"/>
            <w:hideMark/>
          </w:tcPr>
          <w:p w14:paraId="2EC98CEA" w14:textId="77777777" w:rsidR="00B60780" w:rsidRPr="00EC1346" w:rsidRDefault="00B60780" w:rsidP="00642BF8">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2019</w:t>
            </w:r>
          </w:p>
        </w:tc>
        <w:tc>
          <w:tcPr>
            <w:tcW w:w="993" w:type="dxa"/>
            <w:tcBorders>
              <w:top w:val="single" w:sz="8" w:space="0" w:color="70AD47"/>
              <w:left w:val="nil"/>
              <w:bottom w:val="single" w:sz="8" w:space="0" w:color="70AD47"/>
              <w:right w:val="nil"/>
            </w:tcBorders>
            <w:shd w:val="clear" w:color="auto" w:fill="auto"/>
            <w:noWrap/>
            <w:vAlign w:val="center"/>
            <w:hideMark/>
          </w:tcPr>
          <w:p w14:paraId="052FACDA" w14:textId="77777777" w:rsidR="00B60780" w:rsidRPr="00EC1346" w:rsidRDefault="00B60780" w:rsidP="00642BF8">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2020</w:t>
            </w:r>
          </w:p>
        </w:tc>
        <w:tc>
          <w:tcPr>
            <w:tcW w:w="1080" w:type="dxa"/>
            <w:tcBorders>
              <w:top w:val="single" w:sz="8" w:space="0" w:color="70AD47"/>
              <w:left w:val="nil"/>
              <w:bottom w:val="single" w:sz="8" w:space="0" w:color="70AD47"/>
              <w:right w:val="nil"/>
            </w:tcBorders>
            <w:shd w:val="clear" w:color="auto" w:fill="auto"/>
            <w:noWrap/>
            <w:vAlign w:val="center"/>
            <w:hideMark/>
          </w:tcPr>
          <w:p w14:paraId="1106D162" w14:textId="77777777" w:rsidR="00B60780" w:rsidRPr="00EC1346" w:rsidRDefault="00B60780" w:rsidP="00642BF8">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2021</w:t>
            </w:r>
          </w:p>
        </w:tc>
        <w:tc>
          <w:tcPr>
            <w:tcW w:w="904" w:type="dxa"/>
            <w:tcBorders>
              <w:top w:val="single" w:sz="8" w:space="0" w:color="70AD47"/>
              <w:left w:val="nil"/>
              <w:bottom w:val="single" w:sz="8" w:space="0" w:color="70AD47"/>
              <w:right w:val="nil"/>
            </w:tcBorders>
            <w:shd w:val="clear" w:color="auto" w:fill="auto"/>
            <w:noWrap/>
            <w:vAlign w:val="center"/>
            <w:hideMark/>
          </w:tcPr>
          <w:p w14:paraId="4D9B5A31" w14:textId="77777777" w:rsidR="00B60780" w:rsidRPr="00EC1346" w:rsidRDefault="00B60780" w:rsidP="00642BF8">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Итого</w:t>
            </w:r>
          </w:p>
        </w:tc>
      </w:tr>
      <w:tr w:rsidR="00B60780" w:rsidRPr="00EC1346" w14:paraId="274522C6" w14:textId="77777777" w:rsidTr="00642BF8">
        <w:trPr>
          <w:trHeight w:val="315"/>
        </w:trPr>
        <w:tc>
          <w:tcPr>
            <w:tcW w:w="3261" w:type="dxa"/>
            <w:tcBorders>
              <w:top w:val="nil"/>
              <w:left w:val="nil"/>
              <w:bottom w:val="nil"/>
              <w:right w:val="nil"/>
            </w:tcBorders>
            <w:shd w:val="clear" w:color="000000" w:fill="E2EFD9"/>
            <w:noWrap/>
            <w:vAlign w:val="center"/>
            <w:hideMark/>
          </w:tcPr>
          <w:p w14:paraId="38F307D1" w14:textId="77777777" w:rsidR="00B60780" w:rsidRPr="00EC1346" w:rsidRDefault="00B60780" w:rsidP="00642BF8">
            <w:pP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Размер компенсационного фонда на начало года, млрд. руб.</w:t>
            </w:r>
          </w:p>
        </w:tc>
        <w:tc>
          <w:tcPr>
            <w:tcW w:w="992" w:type="dxa"/>
            <w:tcBorders>
              <w:top w:val="nil"/>
              <w:left w:val="nil"/>
              <w:bottom w:val="nil"/>
              <w:right w:val="nil"/>
            </w:tcBorders>
            <w:shd w:val="clear" w:color="000000" w:fill="E2EFD9"/>
            <w:noWrap/>
            <w:vAlign w:val="center"/>
            <w:hideMark/>
          </w:tcPr>
          <w:p w14:paraId="5E7FB75D"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0</w:t>
            </w:r>
          </w:p>
        </w:tc>
        <w:tc>
          <w:tcPr>
            <w:tcW w:w="992" w:type="dxa"/>
            <w:tcBorders>
              <w:top w:val="nil"/>
              <w:left w:val="nil"/>
              <w:bottom w:val="nil"/>
              <w:right w:val="nil"/>
            </w:tcBorders>
            <w:shd w:val="clear" w:color="000000" w:fill="E2EFD9"/>
            <w:noWrap/>
            <w:vAlign w:val="center"/>
            <w:hideMark/>
          </w:tcPr>
          <w:p w14:paraId="64AA4DD7"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w:t>
            </w:r>
          </w:p>
        </w:tc>
        <w:tc>
          <w:tcPr>
            <w:tcW w:w="992" w:type="dxa"/>
            <w:tcBorders>
              <w:top w:val="nil"/>
              <w:left w:val="nil"/>
              <w:bottom w:val="nil"/>
              <w:right w:val="nil"/>
            </w:tcBorders>
            <w:shd w:val="clear" w:color="000000" w:fill="E2EFD9"/>
            <w:noWrap/>
            <w:vAlign w:val="center"/>
            <w:hideMark/>
          </w:tcPr>
          <w:p w14:paraId="74790FE3"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w:t>
            </w:r>
          </w:p>
        </w:tc>
        <w:tc>
          <w:tcPr>
            <w:tcW w:w="993" w:type="dxa"/>
            <w:tcBorders>
              <w:top w:val="nil"/>
              <w:left w:val="nil"/>
              <w:bottom w:val="nil"/>
              <w:right w:val="nil"/>
            </w:tcBorders>
            <w:shd w:val="clear" w:color="000000" w:fill="E2EFD9"/>
            <w:noWrap/>
            <w:vAlign w:val="center"/>
            <w:hideMark/>
          </w:tcPr>
          <w:p w14:paraId="63636F0C"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w:t>
            </w:r>
          </w:p>
        </w:tc>
        <w:tc>
          <w:tcPr>
            <w:tcW w:w="1080" w:type="dxa"/>
            <w:tcBorders>
              <w:top w:val="nil"/>
              <w:left w:val="nil"/>
              <w:bottom w:val="nil"/>
              <w:right w:val="nil"/>
            </w:tcBorders>
            <w:shd w:val="clear" w:color="000000" w:fill="E2EFD9"/>
            <w:noWrap/>
            <w:vAlign w:val="center"/>
            <w:hideMark/>
          </w:tcPr>
          <w:p w14:paraId="78A81BAA"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w:t>
            </w:r>
          </w:p>
        </w:tc>
        <w:tc>
          <w:tcPr>
            <w:tcW w:w="904" w:type="dxa"/>
            <w:tcBorders>
              <w:top w:val="nil"/>
              <w:left w:val="nil"/>
              <w:bottom w:val="nil"/>
              <w:right w:val="nil"/>
            </w:tcBorders>
            <w:shd w:val="clear" w:color="000000" w:fill="E2EFD9"/>
            <w:noWrap/>
            <w:vAlign w:val="center"/>
            <w:hideMark/>
          </w:tcPr>
          <w:p w14:paraId="643A2FB5" w14:textId="77777777" w:rsidR="00B60780" w:rsidRPr="00EC1346" w:rsidRDefault="00B60780" w:rsidP="00642BF8">
            <w:pPr>
              <w:rPr>
                <w:rFonts w:ascii="Calibri" w:eastAsia="Times New Roman" w:hAnsi="Calibri" w:cs="Calibri"/>
                <w:color w:val="538135"/>
                <w:lang w:eastAsia="ru-RU"/>
              </w:rPr>
            </w:pPr>
            <w:r w:rsidRPr="00EC1346">
              <w:rPr>
                <w:rFonts w:ascii="Calibri" w:eastAsia="Times New Roman" w:hAnsi="Calibri" w:cs="Calibri"/>
                <w:color w:val="538135"/>
                <w:lang w:eastAsia="ru-RU"/>
              </w:rPr>
              <w:t> </w:t>
            </w:r>
          </w:p>
        </w:tc>
      </w:tr>
      <w:tr w:rsidR="00B60780" w:rsidRPr="00EC1346" w14:paraId="5759A42D" w14:textId="77777777" w:rsidTr="00642BF8">
        <w:trPr>
          <w:trHeight w:val="300"/>
        </w:trPr>
        <w:tc>
          <w:tcPr>
            <w:tcW w:w="3261" w:type="dxa"/>
            <w:tcBorders>
              <w:top w:val="nil"/>
              <w:left w:val="nil"/>
              <w:bottom w:val="nil"/>
              <w:right w:val="nil"/>
            </w:tcBorders>
            <w:shd w:val="clear" w:color="auto" w:fill="auto"/>
            <w:noWrap/>
            <w:vAlign w:val="center"/>
            <w:hideMark/>
          </w:tcPr>
          <w:p w14:paraId="2253CE9D" w14:textId="77777777" w:rsidR="00B60780" w:rsidRPr="00EC1346" w:rsidRDefault="00B60780" w:rsidP="00642BF8">
            <w:pP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Отчисления в фонд, млрд. руб.</w:t>
            </w:r>
          </w:p>
        </w:tc>
        <w:tc>
          <w:tcPr>
            <w:tcW w:w="992" w:type="dxa"/>
            <w:tcBorders>
              <w:top w:val="nil"/>
              <w:left w:val="nil"/>
              <w:bottom w:val="nil"/>
              <w:right w:val="nil"/>
            </w:tcBorders>
            <w:shd w:val="clear" w:color="auto" w:fill="auto"/>
            <w:noWrap/>
            <w:vAlign w:val="center"/>
            <w:hideMark/>
          </w:tcPr>
          <w:p w14:paraId="042A17DC"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16</w:t>
            </w:r>
          </w:p>
        </w:tc>
        <w:tc>
          <w:tcPr>
            <w:tcW w:w="992" w:type="dxa"/>
            <w:tcBorders>
              <w:top w:val="nil"/>
              <w:left w:val="nil"/>
              <w:bottom w:val="nil"/>
              <w:right w:val="nil"/>
            </w:tcBorders>
            <w:shd w:val="clear" w:color="auto" w:fill="auto"/>
            <w:noWrap/>
            <w:vAlign w:val="center"/>
            <w:hideMark/>
          </w:tcPr>
          <w:p w14:paraId="5DE1F696"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14</w:t>
            </w:r>
          </w:p>
        </w:tc>
        <w:tc>
          <w:tcPr>
            <w:tcW w:w="992" w:type="dxa"/>
            <w:tcBorders>
              <w:top w:val="nil"/>
              <w:left w:val="nil"/>
              <w:bottom w:val="nil"/>
              <w:right w:val="nil"/>
            </w:tcBorders>
            <w:shd w:val="clear" w:color="auto" w:fill="auto"/>
            <w:noWrap/>
            <w:vAlign w:val="center"/>
            <w:hideMark/>
          </w:tcPr>
          <w:p w14:paraId="40BDC404"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14</w:t>
            </w:r>
          </w:p>
        </w:tc>
        <w:tc>
          <w:tcPr>
            <w:tcW w:w="993" w:type="dxa"/>
            <w:tcBorders>
              <w:top w:val="nil"/>
              <w:left w:val="nil"/>
              <w:bottom w:val="nil"/>
              <w:right w:val="nil"/>
            </w:tcBorders>
            <w:shd w:val="clear" w:color="auto" w:fill="auto"/>
            <w:noWrap/>
            <w:vAlign w:val="center"/>
            <w:hideMark/>
          </w:tcPr>
          <w:p w14:paraId="4B159A08"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14</w:t>
            </w:r>
          </w:p>
        </w:tc>
        <w:tc>
          <w:tcPr>
            <w:tcW w:w="1080" w:type="dxa"/>
            <w:tcBorders>
              <w:top w:val="nil"/>
              <w:left w:val="nil"/>
              <w:bottom w:val="nil"/>
              <w:right w:val="nil"/>
            </w:tcBorders>
            <w:shd w:val="clear" w:color="auto" w:fill="auto"/>
            <w:noWrap/>
            <w:vAlign w:val="center"/>
            <w:hideMark/>
          </w:tcPr>
          <w:p w14:paraId="16C2F0D0"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14</w:t>
            </w:r>
          </w:p>
        </w:tc>
        <w:tc>
          <w:tcPr>
            <w:tcW w:w="904" w:type="dxa"/>
            <w:tcBorders>
              <w:top w:val="nil"/>
              <w:left w:val="nil"/>
              <w:bottom w:val="nil"/>
              <w:right w:val="nil"/>
            </w:tcBorders>
            <w:shd w:val="clear" w:color="auto" w:fill="auto"/>
            <w:noWrap/>
            <w:vAlign w:val="center"/>
            <w:hideMark/>
          </w:tcPr>
          <w:p w14:paraId="4F9D0F1D" w14:textId="77777777" w:rsidR="00B60780" w:rsidRPr="00EC1346" w:rsidRDefault="00B60780" w:rsidP="00642BF8">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72</w:t>
            </w:r>
          </w:p>
        </w:tc>
      </w:tr>
      <w:tr w:rsidR="00B60780" w:rsidRPr="00EC1346" w14:paraId="76133CD0" w14:textId="77777777" w:rsidTr="00642BF8">
        <w:trPr>
          <w:trHeight w:val="300"/>
        </w:trPr>
        <w:tc>
          <w:tcPr>
            <w:tcW w:w="3261" w:type="dxa"/>
            <w:tcBorders>
              <w:top w:val="nil"/>
              <w:left w:val="nil"/>
              <w:bottom w:val="nil"/>
              <w:right w:val="nil"/>
            </w:tcBorders>
            <w:shd w:val="clear" w:color="000000" w:fill="E2EFD9"/>
            <w:noWrap/>
            <w:vAlign w:val="center"/>
            <w:hideMark/>
          </w:tcPr>
          <w:p w14:paraId="24FC279E" w14:textId="77777777" w:rsidR="00B60780" w:rsidRPr="00EC1346" w:rsidRDefault="00B60780" w:rsidP="00642BF8">
            <w:pP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Выплаты на достройку объектов, млрд. руб.</w:t>
            </w:r>
          </w:p>
        </w:tc>
        <w:tc>
          <w:tcPr>
            <w:tcW w:w="992" w:type="dxa"/>
            <w:tcBorders>
              <w:top w:val="nil"/>
              <w:left w:val="nil"/>
              <w:bottom w:val="nil"/>
              <w:right w:val="nil"/>
            </w:tcBorders>
            <w:shd w:val="clear" w:color="000000" w:fill="E2EFD9"/>
            <w:noWrap/>
            <w:vAlign w:val="center"/>
            <w:hideMark/>
          </w:tcPr>
          <w:p w14:paraId="7888A6FF"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18</w:t>
            </w:r>
          </w:p>
        </w:tc>
        <w:tc>
          <w:tcPr>
            <w:tcW w:w="992" w:type="dxa"/>
            <w:tcBorders>
              <w:top w:val="nil"/>
              <w:left w:val="nil"/>
              <w:bottom w:val="nil"/>
              <w:right w:val="nil"/>
            </w:tcBorders>
            <w:shd w:val="clear" w:color="000000" w:fill="E2EFD9"/>
            <w:noWrap/>
            <w:vAlign w:val="center"/>
            <w:hideMark/>
          </w:tcPr>
          <w:p w14:paraId="2D7B733B"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54</w:t>
            </w:r>
          </w:p>
        </w:tc>
        <w:tc>
          <w:tcPr>
            <w:tcW w:w="992" w:type="dxa"/>
            <w:tcBorders>
              <w:top w:val="nil"/>
              <w:left w:val="nil"/>
              <w:bottom w:val="nil"/>
              <w:right w:val="nil"/>
            </w:tcBorders>
            <w:shd w:val="clear" w:color="000000" w:fill="E2EFD9"/>
            <w:noWrap/>
            <w:vAlign w:val="center"/>
            <w:hideMark/>
          </w:tcPr>
          <w:p w14:paraId="74007C2B"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132</w:t>
            </w:r>
          </w:p>
        </w:tc>
        <w:tc>
          <w:tcPr>
            <w:tcW w:w="993" w:type="dxa"/>
            <w:tcBorders>
              <w:top w:val="nil"/>
              <w:left w:val="nil"/>
              <w:bottom w:val="nil"/>
              <w:right w:val="nil"/>
            </w:tcBorders>
            <w:shd w:val="clear" w:color="000000" w:fill="E2EFD9"/>
            <w:noWrap/>
            <w:vAlign w:val="center"/>
            <w:hideMark/>
          </w:tcPr>
          <w:p w14:paraId="51A86060"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248</w:t>
            </w:r>
          </w:p>
        </w:tc>
        <w:tc>
          <w:tcPr>
            <w:tcW w:w="1080" w:type="dxa"/>
            <w:tcBorders>
              <w:top w:val="nil"/>
              <w:left w:val="nil"/>
              <w:bottom w:val="nil"/>
              <w:right w:val="nil"/>
            </w:tcBorders>
            <w:shd w:val="clear" w:color="000000" w:fill="E2EFD9"/>
            <w:noWrap/>
            <w:vAlign w:val="center"/>
            <w:hideMark/>
          </w:tcPr>
          <w:p w14:paraId="43862C4D"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357</w:t>
            </w:r>
          </w:p>
        </w:tc>
        <w:tc>
          <w:tcPr>
            <w:tcW w:w="904" w:type="dxa"/>
            <w:tcBorders>
              <w:top w:val="nil"/>
              <w:left w:val="nil"/>
              <w:bottom w:val="nil"/>
              <w:right w:val="nil"/>
            </w:tcBorders>
            <w:shd w:val="clear" w:color="000000" w:fill="E2EFD9"/>
            <w:noWrap/>
            <w:vAlign w:val="center"/>
            <w:hideMark/>
          </w:tcPr>
          <w:p w14:paraId="0D5E4F42" w14:textId="77777777" w:rsidR="00B60780" w:rsidRPr="00EC1346" w:rsidRDefault="00B60780" w:rsidP="00642BF8">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809</w:t>
            </w:r>
          </w:p>
        </w:tc>
      </w:tr>
      <w:tr w:rsidR="00B60780" w:rsidRPr="00EC1346" w14:paraId="1349F81F" w14:textId="77777777" w:rsidTr="00642BF8">
        <w:trPr>
          <w:trHeight w:val="300"/>
        </w:trPr>
        <w:tc>
          <w:tcPr>
            <w:tcW w:w="3261" w:type="dxa"/>
            <w:tcBorders>
              <w:top w:val="nil"/>
              <w:left w:val="nil"/>
              <w:bottom w:val="nil"/>
              <w:right w:val="nil"/>
            </w:tcBorders>
            <w:shd w:val="clear" w:color="auto" w:fill="auto"/>
            <w:noWrap/>
            <w:vAlign w:val="center"/>
            <w:hideMark/>
          </w:tcPr>
          <w:p w14:paraId="5B10ED59" w14:textId="77777777" w:rsidR="00B60780" w:rsidRPr="00EC1346" w:rsidRDefault="00B60780" w:rsidP="00642BF8">
            <w:pP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Финансирование из бюджета РФ, млрд. руб.</w:t>
            </w:r>
          </w:p>
        </w:tc>
        <w:tc>
          <w:tcPr>
            <w:tcW w:w="992" w:type="dxa"/>
            <w:tcBorders>
              <w:top w:val="nil"/>
              <w:left w:val="nil"/>
              <w:bottom w:val="nil"/>
              <w:right w:val="nil"/>
            </w:tcBorders>
            <w:shd w:val="clear" w:color="auto" w:fill="auto"/>
            <w:noWrap/>
            <w:vAlign w:val="center"/>
            <w:hideMark/>
          </w:tcPr>
          <w:p w14:paraId="336E5DDA"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2</w:t>
            </w:r>
          </w:p>
        </w:tc>
        <w:tc>
          <w:tcPr>
            <w:tcW w:w="992" w:type="dxa"/>
            <w:tcBorders>
              <w:top w:val="nil"/>
              <w:left w:val="nil"/>
              <w:bottom w:val="nil"/>
              <w:right w:val="nil"/>
            </w:tcBorders>
            <w:shd w:val="clear" w:color="auto" w:fill="auto"/>
            <w:noWrap/>
            <w:vAlign w:val="center"/>
            <w:hideMark/>
          </w:tcPr>
          <w:p w14:paraId="2C134AF7"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40</w:t>
            </w:r>
          </w:p>
        </w:tc>
        <w:tc>
          <w:tcPr>
            <w:tcW w:w="992" w:type="dxa"/>
            <w:tcBorders>
              <w:top w:val="nil"/>
              <w:left w:val="nil"/>
              <w:bottom w:val="nil"/>
              <w:right w:val="nil"/>
            </w:tcBorders>
            <w:shd w:val="clear" w:color="auto" w:fill="auto"/>
            <w:noWrap/>
            <w:vAlign w:val="center"/>
            <w:hideMark/>
          </w:tcPr>
          <w:p w14:paraId="7B2FA63E"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118</w:t>
            </w:r>
          </w:p>
        </w:tc>
        <w:tc>
          <w:tcPr>
            <w:tcW w:w="993" w:type="dxa"/>
            <w:tcBorders>
              <w:top w:val="nil"/>
              <w:left w:val="nil"/>
              <w:bottom w:val="nil"/>
              <w:right w:val="nil"/>
            </w:tcBorders>
            <w:shd w:val="clear" w:color="auto" w:fill="auto"/>
            <w:noWrap/>
            <w:vAlign w:val="center"/>
            <w:hideMark/>
          </w:tcPr>
          <w:p w14:paraId="6E09816C"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234</w:t>
            </w:r>
          </w:p>
        </w:tc>
        <w:tc>
          <w:tcPr>
            <w:tcW w:w="1080" w:type="dxa"/>
            <w:tcBorders>
              <w:top w:val="nil"/>
              <w:left w:val="nil"/>
              <w:bottom w:val="nil"/>
              <w:right w:val="nil"/>
            </w:tcBorders>
            <w:shd w:val="clear" w:color="auto" w:fill="auto"/>
            <w:noWrap/>
            <w:vAlign w:val="center"/>
            <w:hideMark/>
          </w:tcPr>
          <w:p w14:paraId="7DB6F176" w14:textId="77777777" w:rsidR="00B60780" w:rsidRPr="00EC1346" w:rsidRDefault="00B60780" w:rsidP="00642BF8">
            <w:pPr>
              <w:jc w:val="center"/>
              <w:rPr>
                <w:rFonts w:ascii="Calibri" w:eastAsia="Times New Roman" w:hAnsi="Calibri" w:cs="Calibri"/>
                <w:color w:val="000000"/>
                <w:sz w:val="20"/>
                <w:szCs w:val="20"/>
                <w:lang w:eastAsia="ru-RU"/>
              </w:rPr>
            </w:pPr>
            <w:r w:rsidRPr="00EC1346">
              <w:rPr>
                <w:rFonts w:ascii="Calibri" w:eastAsia="Times New Roman" w:hAnsi="Calibri" w:cs="Calibri"/>
                <w:color w:val="000000"/>
                <w:sz w:val="20"/>
                <w:szCs w:val="20"/>
                <w:lang w:eastAsia="ru-RU"/>
              </w:rPr>
              <w:t>343</w:t>
            </w:r>
          </w:p>
        </w:tc>
        <w:tc>
          <w:tcPr>
            <w:tcW w:w="904" w:type="dxa"/>
            <w:tcBorders>
              <w:top w:val="nil"/>
              <w:left w:val="nil"/>
              <w:bottom w:val="nil"/>
              <w:right w:val="nil"/>
            </w:tcBorders>
            <w:shd w:val="clear" w:color="auto" w:fill="auto"/>
            <w:noWrap/>
            <w:vAlign w:val="center"/>
            <w:hideMark/>
          </w:tcPr>
          <w:p w14:paraId="6E5A24FD" w14:textId="77777777" w:rsidR="00B60780" w:rsidRPr="00EC1346" w:rsidRDefault="00B60780" w:rsidP="00642BF8">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737</w:t>
            </w:r>
          </w:p>
        </w:tc>
      </w:tr>
      <w:tr w:rsidR="00933FB1" w:rsidRPr="00EC1346" w14:paraId="0718E9C3" w14:textId="77777777" w:rsidTr="00642BF8">
        <w:trPr>
          <w:trHeight w:val="300"/>
        </w:trPr>
        <w:tc>
          <w:tcPr>
            <w:tcW w:w="3261" w:type="dxa"/>
            <w:tcBorders>
              <w:top w:val="nil"/>
              <w:left w:val="nil"/>
              <w:bottom w:val="nil"/>
              <w:right w:val="nil"/>
            </w:tcBorders>
            <w:shd w:val="clear" w:color="000000" w:fill="E2EFD9"/>
            <w:noWrap/>
            <w:vAlign w:val="center"/>
            <w:hideMark/>
          </w:tcPr>
          <w:p w14:paraId="17C07AA1" w14:textId="77777777" w:rsidR="00933FB1" w:rsidRPr="00EC1346" w:rsidRDefault="00933FB1" w:rsidP="00933FB1">
            <w:pP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Доля фонда в объеме выплат, %</w:t>
            </w:r>
          </w:p>
        </w:tc>
        <w:tc>
          <w:tcPr>
            <w:tcW w:w="992" w:type="dxa"/>
            <w:tcBorders>
              <w:top w:val="nil"/>
              <w:left w:val="nil"/>
              <w:bottom w:val="nil"/>
              <w:right w:val="nil"/>
            </w:tcBorders>
            <w:shd w:val="clear" w:color="000000" w:fill="E2EFD9"/>
            <w:noWrap/>
            <w:vAlign w:val="center"/>
            <w:hideMark/>
          </w:tcPr>
          <w:p w14:paraId="4E2D4343" w14:textId="7BE4EE88" w:rsidR="00933FB1" w:rsidRPr="00EC1346" w:rsidRDefault="00933FB1" w:rsidP="00933FB1">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89%</w:t>
            </w:r>
          </w:p>
        </w:tc>
        <w:tc>
          <w:tcPr>
            <w:tcW w:w="992" w:type="dxa"/>
            <w:tcBorders>
              <w:top w:val="nil"/>
              <w:left w:val="nil"/>
              <w:bottom w:val="nil"/>
              <w:right w:val="nil"/>
            </w:tcBorders>
            <w:shd w:val="clear" w:color="000000" w:fill="E2EFD9"/>
            <w:noWrap/>
            <w:vAlign w:val="center"/>
            <w:hideMark/>
          </w:tcPr>
          <w:p w14:paraId="397A33D6" w14:textId="44BB090A" w:rsidR="00933FB1" w:rsidRPr="00EC1346" w:rsidRDefault="00933FB1" w:rsidP="00933FB1">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26%</w:t>
            </w:r>
          </w:p>
        </w:tc>
        <w:tc>
          <w:tcPr>
            <w:tcW w:w="992" w:type="dxa"/>
            <w:tcBorders>
              <w:top w:val="nil"/>
              <w:left w:val="nil"/>
              <w:bottom w:val="nil"/>
              <w:right w:val="nil"/>
            </w:tcBorders>
            <w:shd w:val="clear" w:color="000000" w:fill="E2EFD9"/>
            <w:noWrap/>
            <w:vAlign w:val="center"/>
            <w:hideMark/>
          </w:tcPr>
          <w:p w14:paraId="2023720F" w14:textId="55606A3D" w:rsidR="00933FB1" w:rsidRPr="00EC1346" w:rsidRDefault="00933FB1" w:rsidP="00933FB1">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11%</w:t>
            </w:r>
          </w:p>
        </w:tc>
        <w:tc>
          <w:tcPr>
            <w:tcW w:w="993" w:type="dxa"/>
            <w:tcBorders>
              <w:top w:val="nil"/>
              <w:left w:val="nil"/>
              <w:bottom w:val="nil"/>
              <w:right w:val="nil"/>
            </w:tcBorders>
            <w:shd w:val="clear" w:color="000000" w:fill="E2EFD9"/>
            <w:noWrap/>
            <w:vAlign w:val="center"/>
            <w:hideMark/>
          </w:tcPr>
          <w:p w14:paraId="0ADB70B6" w14:textId="03E12419" w:rsidR="00933FB1" w:rsidRPr="00EC1346" w:rsidRDefault="00933FB1" w:rsidP="00933FB1">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6%</w:t>
            </w:r>
          </w:p>
        </w:tc>
        <w:tc>
          <w:tcPr>
            <w:tcW w:w="1080" w:type="dxa"/>
            <w:tcBorders>
              <w:top w:val="nil"/>
              <w:left w:val="nil"/>
              <w:bottom w:val="nil"/>
              <w:right w:val="nil"/>
            </w:tcBorders>
            <w:shd w:val="clear" w:color="000000" w:fill="E2EFD9"/>
            <w:noWrap/>
            <w:vAlign w:val="center"/>
            <w:hideMark/>
          </w:tcPr>
          <w:p w14:paraId="1F7F9FA1" w14:textId="7EB780C2" w:rsidR="00933FB1" w:rsidRPr="00EC1346" w:rsidRDefault="00933FB1" w:rsidP="00933FB1">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4%</w:t>
            </w:r>
          </w:p>
        </w:tc>
        <w:tc>
          <w:tcPr>
            <w:tcW w:w="904" w:type="dxa"/>
            <w:tcBorders>
              <w:top w:val="nil"/>
              <w:left w:val="nil"/>
              <w:bottom w:val="nil"/>
              <w:right w:val="nil"/>
            </w:tcBorders>
            <w:shd w:val="clear" w:color="000000" w:fill="E2EFD9"/>
            <w:noWrap/>
            <w:vAlign w:val="center"/>
            <w:hideMark/>
          </w:tcPr>
          <w:p w14:paraId="7E1BAF16" w14:textId="2F0DF634" w:rsidR="00933FB1" w:rsidRPr="00EC1346" w:rsidRDefault="00933FB1" w:rsidP="00933FB1">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9%</w:t>
            </w:r>
          </w:p>
        </w:tc>
      </w:tr>
      <w:tr w:rsidR="00933FB1" w:rsidRPr="00EC1346" w14:paraId="6D5100BF" w14:textId="77777777" w:rsidTr="00642BF8">
        <w:trPr>
          <w:trHeight w:val="315"/>
        </w:trPr>
        <w:tc>
          <w:tcPr>
            <w:tcW w:w="3261" w:type="dxa"/>
            <w:tcBorders>
              <w:top w:val="nil"/>
              <w:left w:val="nil"/>
              <w:bottom w:val="single" w:sz="8" w:space="0" w:color="70AD47"/>
              <w:right w:val="nil"/>
            </w:tcBorders>
            <w:shd w:val="clear" w:color="auto" w:fill="auto"/>
            <w:noWrap/>
            <w:vAlign w:val="center"/>
            <w:hideMark/>
          </w:tcPr>
          <w:p w14:paraId="61CCA099" w14:textId="77777777" w:rsidR="00933FB1" w:rsidRPr="00EC1346" w:rsidRDefault="00933FB1" w:rsidP="00933FB1">
            <w:pP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Доля бюджетных средств в объёме выплат, %</w:t>
            </w:r>
          </w:p>
        </w:tc>
        <w:tc>
          <w:tcPr>
            <w:tcW w:w="992" w:type="dxa"/>
            <w:tcBorders>
              <w:top w:val="nil"/>
              <w:left w:val="nil"/>
              <w:bottom w:val="single" w:sz="8" w:space="0" w:color="70AD47"/>
              <w:right w:val="nil"/>
            </w:tcBorders>
            <w:shd w:val="clear" w:color="auto" w:fill="auto"/>
            <w:noWrap/>
            <w:vAlign w:val="center"/>
            <w:hideMark/>
          </w:tcPr>
          <w:p w14:paraId="023A07B8" w14:textId="47E5E789" w:rsidR="00933FB1" w:rsidRPr="00EC1346" w:rsidRDefault="00933FB1" w:rsidP="00933FB1">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11%</w:t>
            </w:r>
          </w:p>
        </w:tc>
        <w:tc>
          <w:tcPr>
            <w:tcW w:w="992" w:type="dxa"/>
            <w:tcBorders>
              <w:top w:val="nil"/>
              <w:left w:val="nil"/>
              <w:bottom w:val="single" w:sz="8" w:space="0" w:color="70AD47"/>
              <w:right w:val="nil"/>
            </w:tcBorders>
            <w:shd w:val="clear" w:color="auto" w:fill="auto"/>
            <w:noWrap/>
            <w:vAlign w:val="center"/>
            <w:hideMark/>
          </w:tcPr>
          <w:p w14:paraId="0746D42C" w14:textId="7178BCB2" w:rsidR="00933FB1" w:rsidRPr="00EC1346" w:rsidRDefault="00933FB1" w:rsidP="00933FB1">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74%</w:t>
            </w:r>
          </w:p>
        </w:tc>
        <w:tc>
          <w:tcPr>
            <w:tcW w:w="992" w:type="dxa"/>
            <w:tcBorders>
              <w:top w:val="nil"/>
              <w:left w:val="nil"/>
              <w:bottom w:val="single" w:sz="8" w:space="0" w:color="70AD47"/>
              <w:right w:val="nil"/>
            </w:tcBorders>
            <w:shd w:val="clear" w:color="auto" w:fill="auto"/>
            <w:noWrap/>
            <w:vAlign w:val="center"/>
            <w:hideMark/>
          </w:tcPr>
          <w:p w14:paraId="4346438D" w14:textId="5A35D44A" w:rsidR="00933FB1" w:rsidRPr="00EC1346" w:rsidRDefault="00933FB1" w:rsidP="00933FB1">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89%</w:t>
            </w:r>
          </w:p>
        </w:tc>
        <w:tc>
          <w:tcPr>
            <w:tcW w:w="993" w:type="dxa"/>
            <w:tcBorders>
              <w:top w:val="nil"/>
              <w:left w:val="nil"/>
              <w:bottom w:val="single" w:sz="8" w:space="0" w:color="70AD47"/>
              <w:right w:val="nil"/>
            </w:tcBorders>
            <w:shd w:val="clear" w:color="auto" w:fill="auto"/>
            <w:noWrap/>
            <w:vAlign w:val="center"/>
            <w:hideMark/>
          </w:tcPr>
          <w:p w14:paraId="799A3F18" w14:textId="3F534298" w:rsidR="00933FB1" w:rsidRPr="00EC1346" w:rsidRDefault="00933FB1" w:rsidP="00933FB1">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94%</w:t>
            </w:r>
          </w:p>
        </w:tc>
        <w:tc>
          <w:tcPr>
            <w:tcW w:w="1080" w:type="dxa"/>
            <w:tcBorders>
              <w:top w:val="nil"/>
              <w:left w:val="nil"/>
              <w:bottom w:val="single" w:sz="8" w:space="0" w:color="70AD47"/>
              <w:right w:val="nil"/>
            </w:tcBorders>
            <w:shd w:val="clear" w:color="auto" w:fill="auto"/>
            <w:noWrap/>
            <w:vAlign w:val="center"/>
            <w:hideMark/>
          </w:tcPr>
          <w:p w14:paraId="2D736631" w14:textId="2DC04E7A" w:rsidR="00933FB1" w:rsidRPr="00EC1346" w:rsidRDefault="00933FB1" w:rsidP="00933FB1">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96%</w:t>
            </w:r>
          </w:p>
        </w:tc>
        <w:tc>
          <w:tcPr>
            <w:tcW w:w="904" w:type="dxa"/>
            <w:tcBorders>
              <w:top w:val="nil"/>
              <w:left w:val="nil"/>
              <w:bottom w:val="single" w:sz="8" w:space="0" w:color="70AD47"/>
              <w:right w:val="nil"/>
            </w:tcBorders>
            <w:shd w:val="clear" w:color="auto" w:fill="auto"/>
            <w:noWrap/>
            <w:vAlign w:val="center"/>
            <w:hideMark/>
          </w:tcPr>
          <w:p w14:paraId="3F2443FC" w14:textId="5EACF6E0" w:rsidR="00933FB1" w:rsidRPr="00EC1346" w:rsidRDefault="00933FB1" w:rsidP="00933FB1">
            <w:pPr>
              <w:jc w:val="center"/>
              <w:rPr>
                <w:rFonts w:ascii="Calibri" w:eastAsia="Times New Roman" w:hAnsi="Calibri" w:cs="Calibri"/>
                <w:b/>
                <w:bCs/>
                <w:color w:val="000000"/>
                <w:sz w:val="20"/>
                <w:szCs w:val="20"/>
                <w:lang w:eastAsia="ru-RU"/>
              </w:rPr>
            </w:pPr>
            <w:r w:rsidRPr="00EC1346">
              <w:rPr>
                <w:rFonts w:ascii="Calibri" w:eastAsia="Times New Roman" w:hAnsi="Calibri" w:cs="Calibri"/>
                <w:b/>
                <w:bCs/>
                <w:color w:val="000000"/>
                <w:sz w:val="20"/>
                <w:szCs w:val="20"/>
                <w:lang w:eastAsia="ru-RU"/>
              </w:rPr>
              <w:t>91%</w:t>
            </w:r>
          </w:p>
        </w:tc>
      </w:tr>
    </w:tbl>
    <w:p w14:paraId="5796964C" w14:textId="77777777" w:rsidR="00B60780" w:rsidRPr="00EC1346" w:rsidRDefault="00B60780" w:rsidP="00B60780">
      <w:pPr>
        <w:spacing w:after="120" w:line="360" w:lineRule="auto"/>
        <w:jc w:val="both"/>
      </w:pPr>
    </w:p>
    <w:p w14:paraId="571E24EB" w14:textId="209E7758" w:rsidR="00F46B9B" w:rsidRPr="00EC1346" w:rsidRDefault="00B60780" w:rsidP="00B60780">
      <w:pPr>
        <w:spacing w:after="120" w:line="360" w:lineRule="auto"/>
        <w:jc w:val="both"/>
        <w:rPr>
          <w:rFonts w:asciiTheme="minorHAnsi" w:hAnsiTheme="minorHAnsi"/>
        </w:rPr>
      </w:pPr>
      <w:r w:rsidRPr="00EC1346">
        <w:rPr>
          <w:rFonts w:asciiTheme="minorHAnsi" w:hAnsiTheme="minorHAnsi"/>
        </w:rPr>
        <w:t>Реализация Сценария №4 приводит к прямому участию государства в финансировании достройки проблемных строительных объектов.</w:t>
      </w:r>
      <w:r w:rsidR="00642BF8" w:rsidRPr="00EC1346">
        <w:rPr>
          <w:rFonts w:asciiTheme="minorHAnsi" w:hAnsiTheme="minorHAnsi"/>
        </w:rPr>
        <w:t xml:space="preserve"> Потенциально это может привести к усилению позиций недобросовестных застройщиков, так как государство фактически гарантирует получение дольщиком жилья, за сч</w:t>
      </w:r>
      <w:r w:rsidR="00621E19" w:rsidRPr="00EC1346">
        <w:rPr>
          <w:rFonts w:asciiTheme="minorHAnsi" w:hAnsiTheme="minorHAnsi"/>
        </w:rPr>
        <w:t>ёт средств федерального бюджета, даже если девелопер не способен или не собирается выполнять свои обязательства.</w:t>
      </w:r>
    </w:p>
    <w:p w14:paraId="38C1D4B0" w14:textId="77777777" w:rsidR="00621E19" w:rsidRPr="00EC1346" w:rsidRDefault="00621E19" w:rsidP="00B60780">
      <w:pPr>
        <w:spacing w:after="120" w:line="360" w:lineRule="auto"/>
        <w:jc w:val="both"/>
        <w:rPr>
          <w:rFonts w:asciiTheme="minorHAnsi" w:hAnsiTheme="minorHAnsi"/>
        </w:rPr>
      </w:pPr>
    </w:p>
    <w:p w14:paraId="5D5B04F5" w14:textId="48C35683" w:rsidR="00F46B9B" w:rsidRPr="00EC1346" w:rsidRDefault="00F46B9B" w:rsidP="00B60780">
      <w:pPr>
        <w:spacing w:after="120" w:line="360" w:lineRule="auto"/>
        <w:jc w:val="both"/>
        <w:rPr>
          <w:rFonts w:asciiTheme="minorHAnsi" w:hAnsiTheme="minorHAnsi"/>
        </w:rPr>
      </w:pPr>
      <w:r w:rsidRPr="00EC1346">
        <w:rPr>
          <w:rFonts w:asciiTheme="minorHAnsi" w:hAnsiTheme="minorHAnsi"/>
        </w:rPr>
        <w:t>Исключение допущения о первоначальном финансировании Фонда в размере 35 млрд. рублей из Сценариев №1, 2 и 3 приводит к следующим результатам</w:t>
      </w:r>
      <w:r w:rsidR="00933FB1" w:rsidRPr="00EC1346">
        <w:rPr>
          <w:rFonts w:asciiTheme="minorHAnsi" w:hAnsiTheme="minorHAnsi"/>
        </w:rPr>
        <w:t xml:space="preserve"> моделирования</w:t>
      </w:r>
      <w:r w:rsidRPr="00EC1346">
        <w:rPr>
          <w:rFonts w:asciiTheme="minorHAnsi" w:hAnsiTheme="minorHAnsi"/>
        </w:rPr>
        <w:t>:</w:t>
      </w:r>
    </w:p>
    <w:p w14:paraId="4F3D148E" w14:textId="76D74B10" w:rsidR="00933FB1" w:rsidRPr="00EC1346" w:rsidRDefault="00933FB1" w:rsidP="00B60780">
      <w:pPr>
        <w:spacing w:after="120" w:line="360" w:lineRule="auto"/>
        <w:jc w:val="both"/>
        <w:rPr>
          <w:rFonts w:asciiTheme="minorHAnsi" w:hAnsiTheme="minorHAnsi"/>
        </w:rPr>
      </w:pPr>
      <w:r w:rsidRPr="00EC1346">
        <w:rPr>
          <w:rFonts w:asciiTheme="minorHAnsi" w:hAnsiTheme="minorHAnsi"/>
        </w:rPr>
        <w:t xml:space="preserve">Сценарий №1 – </w:t>
      </w:r>
      <w:r w:rsidR="00621E19" w:rsidRPr="00EC1346">
        <w:rPr>
          <w:rFonts w:asciiTheme="minorHAnsi" w:hAnsiTheme="minorHAnsi"/>
        </w:rPr>
        <w:t xml:space="preserve">полностью </w:t>
      </w:r>
      <w:r w:rsidRPr="00EC1346">
        <w:rPr>
          <w:rFonts w:asciiTheme="minorHAnsi" w:hAnsiTheme="minorHAnsi"/>
        </w:rPr>
        <w:t>аналогичен Сценарию №4</w:t>
      </w:r>
      <w:r w:rsidR="00621E19" w:rsidRPr="00EC1346">
        <w:rPr>
          <w:rFonts w:asciiTheme="minorHAnsi" w:hAnsiTheme="minorHAnsi"/>
        </w:rPr>
        <w:t>.</w:t>
      </w:r>
    </w:p>
    <w:tbl>
      <w:tblPr>
        <w:tblStyle w:val="ListTable6ColorfulAccent6"/>
        <w:tblW w:w="9283" w:type="dxa"/>
        <w:tblLayout w:type="fixed"/>
        <w:tblLook w:val="04A0" w:firstRow="1" w:lastRow="0" w:firstColumn="1" w:lastColumn="0" w:noHBand="0" w:noVBand="1"/>
      </w:tblPr>
      <w:tblGrid>
        <w:gridCol w:w="3261"/>
        <w:gridCol w:w="1003"/>
        <w:gridCol w:w="1004"/>
        <w:gridCol w:w="1004"/>
        <w:gridCol w:w="1003"/>
        <w:gridCol w:w="1004"/>
        <w:gridCol w:w="1004"/>
      </w:tblGrid>
      <w:tr w:rsidR="00933FB1" w:rsidRPr="00EC1346" w14:paraId="435A9483" w14:textId="77777777" w:rsidTr="00F158C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1455115A" w14:textId="77777777" w:rsidR="00933FB1" w:rsidRPr="00EC1346" w:rsidRDefault="00933FB1" w:rsidP="00F158C0">
            <w:pPr>
              <w:rPr>
                <w:rFonts w:ascii="Calibri" w:eastAsia="Times New Roman" w:hAnsi="Calibri"/>
                <w:color w:val="000000"/>
                <w:sz w:val="20"/>
                <w:szCs w:val="20"/>
                <w:lang w:val="en-US"/>
              </w:rPr>
            </w:pPr>
            <w:r w:rsidRPr="00EC1346">
              <w:rPr>
                <w:rFonts w:ascii="Calibri" w:eastAsia="Times New Roman" w:hAnsi="Calibri"/>
                <w:color w:val="000000"/>
                <w:sz w:val="20"/>
                <w:szCs w:val="20"/>
              </w:rPr>
              <w:t>Показатель</w:t>
            </w:r>
          </w:p>
        </w:tc>
        <w:tc>
          <w:tcPr>
            <w:tcW w:w="1003" w:type="dxa"/>
            <w:noWrap/>
            <w:vAlign w:val="center"/>
            <w:hideMark/>
          </w:tcPr>
          <w:p w14:paraId="1E8775E6" w14:textId="77777777" w:rsidR="00933FB1" w:rsidRPr="00EC1346" w:rsidRDefault="00933FB1" w:rsidP="00F158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2017</w:t>
            </w:r>
          </w:p>
        </w:tc>
        <w:tc>
          <w:tcPr>
            <w:tcW w:w="1004" w:type="dxa"/>
            <w:noWrap/>
            <w:vAlign w:val="center"/>
            <w:hideMark/>
          </w:tcPr>
          <w:p w14:paraId="4DC2C7FA" w14:textId="77777777" w:rsidR="00933FB1" w:rsidRPr="00EC1346" w:rsidRDefault="00933FB1" w:rsidP="00F158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2018</w:t>
            </w:r>
          </w:p>
        </w:tc>
        <w:tc>
          <w:tcPr>
            <w:tcW w:w="1004" w:type="dxa"/>
            <w:noWrap/>
            <w:vAlign w:val="center"/>
            <w:hideMark/>
          </w:tcPr>
          <w:p w14:paraId="447EB057" w14:textId="77777777" w:rsidR="00933FB1" w:rsidRPr="00EC1346" w:rsidRDefault="00933FB1" w:rsidP="00F158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2019</w:t>
            </w:r>
          </w:p>
        </w:tc>
        <w:tc>
          <w:tcPr>
            <w:tcW w:w="1003" w:type="dxa"/>
            <w:noWrap/>
            <w:vAlign w:val="center"/>
            <w:hideMark/>
          </w:tcPr>
          <w:p w14:paraId="4B3FD05F" w14:textId="77777777" w:rsidR="00933FB1" w:rsidRPr="00EC1346" w:rsidRDefault="00933FB1" w:rsidP="00F158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2020</w:t>
            </w:r>
          </w:p>
        </w:tc>
        <w:tc>
          <w:tcPr>
            <w:tcW w:w="1004" w:type="dxa"/>
            <w:noWrap/>
            <w:vAlign w:val="center"/>
            <w:hideMark/>
          </w:tcPr>
          <w:p w14:paraId="6A29B363" w14:textId="77777777" w:rsidR="00933FB1" w:rsidRPr="00EC1346" w:rsidRDefault="00933FB1" w:rsidP="00F158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2021</w:t>
            </w:r>
          </w:p>
        </w:tc>
        <w:tc>
          <w:tcPr>
            <w:tcW w:w="1004" w:type="dxa"/>
            <w:noWrap/>
            <w:vAlign w:val="center"/>
            <w:hideMark/>
          </w:tcPr>
          <w:p w14:paraId="5CD3C5DD" w14:textId="77777777" w:rsidR="00933FB1" w:rsidRPr="00EC1346" w:rsidRDefault="00933FB1" w:rsidP="00F158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Итого</w:t>
            </w:r>
          </w:p>
        </w:tc>
      </w:tr>
      <w:tr w:rsidR="00933FB1" w:rsidRPr="00EC1346" w14:paraId="30F672D2" w14:textId="77777777" w:rsidTr="00F158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noWrap/>
            <w:vAlign w:val="center"/>
            <w:hideMark/>
          </w:tcPr>
          <w:p w14:paraId="05004EA5" w14:textId="51116C3C" w:rsidR="00933FB1" w:rsidRPr="00EC1346" w:rsidRDefault="00933FB1" w:rsidP="00933FB1">
            <w:pPr>
              <w:rPr>
                <w:rFonts w:ascii="Calibri" w:eastAsia="Times New Roman" w:hAnsi="Calibri"/>
                <w:color w:val="000000"/>
                <w:sz w:val="20"/>
                <w:szCs w:val="20"/>
              </w:rPr>
            </w:pPr>
            <w:r w:rsidRPr="00EC1346">
              <w:rPr>
                <w:rFonts w:ascii="Calibri" w:eastAsia="Times New Roman" w:hAnsi="Calibri" w:cs="Calibri"/>
                <w:bCs w:val="0"/>
                <w:color w:val="000000"/>
                <w:sz w:val="20"/>
                <w:szCs w:val="20"/>
                <w:lang w:eastAsia="ru-RU"/>
              </w:rPr>
              <w:t>Размер компенсационного фонда на начало года, млрд. руб.</w:t>
            </w:r>
          </w:p>
        </w:tc>
        <w:tc>
          <w:tcPr>
            <w:tcW w:w="1003" w:type="dxa"/>
            <w:noWrap/>
            <w:vAlign w:val="center"/>
            <w:hideMark/>
          </w:tcPr>
          <w:p w14:paraId="77D5B660" w14:textId="47F21FAE"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0</w:t>
            </w:r>
          </w:p>
        </w:tc>
        <w:tc>
          <w:tcPr>
            <w:tcW w:w="1004" w:type="dxa"/>
            <w:noWrap/>
            <w:vAlign w:val="center"/>
            <w:hideMark/>
          </w:tcPr>
          <w:p w14:paraId="5CC2880B" w14:textId="1D66FF85"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w:t>
            </w:r>
          </w:p>
        </w:tc>
        <w:tc>
          <w:tcPr>
            <w:tcW w:w="1004" w:type="dxa"/>
            <w:noWrap/>
            <w:vAlign w:val="center"/>
            <w:hideMark/>
          </w:tcPr>
          <w:p w14:paraId="2DEA01E9" w14:textId="305A626B"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w:t>
            </w:r>
          </w:p>
        </w:tc>
        <w:tc>
          <w:tcPr>
            <w:tcW w:w="1003" w:type="dxa"/>
            <w:noWrap/>
            <w:vAlign w:val="center"/>
            <w:hideMark/>
          </w:tcPr>
          <w:p w14:paraId="0558216A" w14:textId="0ACB8317"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w:t>
            </w:r>
          </w:p>
        </w:tc>
        <w:tc>
          <w:tcPr>
            <w:tcW w:w="1004" w:type="dxa"/>
            <w:noWrap/>
            <w:vAlign w:val="center"/>
            <w:hideMark/>
          </w:tcPr>
          <w:p w14:paraId="210683DA" w14:textId="4BF20A16"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w:t>
            </w:r>
          </w:p>
        </w:tc>
        <w:tc>
          <w:tcPr>
            <w:tcW w:w="1004" w:type="dxa"/>
            <w:noWrap/>
            <w:vAlign w:val="center"/>
            <w:hideMark/>
          </w:tcPr>
          <w:p w14:paraId="11FCF958" w14:textId="1F79C1FD"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cs="Calibri"/>
                <w:color w:val="538135"/>
                <w:lang w:eastAsia="ru-RU"/>
              </w:rPr>
              <w:t> </w:t>
            </w:r>
          </w:p>
        </w:tc>
      </w:tr>
      <w:tr w:rsidR="00933FB1" w:rsidRPr="00EC1346" w14:paraId="6FFDA73A" w14:textId="77777777" w:rsidTr="00F158C0">
        <w:trPr>
          <w:trHeight w:val="320"/>
        </w:trPr>
        <w:tc>
          <w:tcPr>
            <w:cnfStyle w:val="001000000000" w:firstRow="0" w:lastRow="0" w:firstColumn="1" w:lastColumn="0" w:oddVBand="0" w:evenVBand="0" w:oddHBand="0" w:evenHBand="0" w:firstRowFirstColumn="0" w:firstRowLastColumn="0" w:lastRowFirstColumn="0" w:lastRowLastColumn="0"/>
            <w:tcW w:w="3261" w:type="dxa"/>
            <w:noWrap/>
            <w:vAlign w:val="center"/>
            <w:hideMark/>
          </w:tcPr>
          <w:p w14:paraId="799FB18F" w14:textId="1C7170A5" w:rsidR="00933FB1" w:rsidRPr="00EC1346" w:rsidRDefault="00933FB1" w:rsidP="00933FB1">
            <w:pPr>
              <w:rPr>
                <w:rFonts w:ascii="Calibri" w:eastAsia="Times New Roman" w:hAnsi="Calibri"/>
                <w:color w:val="000000"/>
                <w:sz w:val="20"/>
                <w:szCs w:val="20"/>
              </w:rPr>
            </w:pPr>
            <w:r w:rsidRPr="00EC1346">
              <w:rPr>
                <w:rFonts w:ascii="Calibri" w:eastAsia="Times New Roman" w:hAnsi="Calibri" w:cs="Calibri"/>
                <w:bCs w:val="0"/>
                <w:color w:val="000000"/>
                <w:sz w:val="20"/>
                <w:szCs w:val="20"/>
                <w:lang w:eastAsia="ru-RU"/>
              </w:rPr>
              <w:t>Отчисления в фонд, млрд. руб.</w:t>
            </w:r>
          </w:p>
        </w:tc>
        <w:tc>
          <w:tcPr>
            <w:tcW w:w="1003" w:type="dxa"/>
            <w:noWrap/>
            <w:vAlign w:val="center"/>
            <w:hideMark/>
          </w:tcPr>
          <w:p w14:paraId="7E6BC1E4" w14:textId="2A4587D0"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16</w:t>
            </w:r>
          </w:p>
        </w:tc>
        <w:tc>
          <w:tcPr>
            <w:tcW w:w="1004" w:type="dxa"/>
            <w:noWrap/>
            <w:vAlign w:val="center"/>
            <w:hideMark/>
          </w:tcPr>
          <w:p w14:paraId="06FA4D47" w14:textId="3E6B1000"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14</w:t>
            </w:r>
          </w:p>
        </w:tc>
        <w:tc>
          <w:tcPr>
            <w:tcW w:w="1004" w:type="dxa"/>
            <w:noWrap/>
            <w:vAlign w:val="center"/>
            <w:hideMark/>
          </w:tcPr>
          <w:p w14:paraId="4B73639A" w14:textId="51FC2526"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14</w:t>
            </w:r>
          </w:p>
        </w:tc>
        <w:tc>
          <w:tcPr>
            <w:tcW w:w="1003" w:type="dxa"/>
            <w:noWrap/>
            <w:vAlign w:val="center"/>
            <w:hideMark/>
          </w:tcPr>
          <w:p w14:paraId="24C0D760" w14:textId="561851B8"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14</w:t>
            </w:r>
          </w:p>
        </w:tc>
        <w:tc>
          <w:tcPr>
            <w:tcW w:w="1004" w:type="dxa"/>
            <w:noWrap/>
            <w:vAlign w:val="center"/>
            <w:hideMark/>
          </w:tcPr>
          <w:p w14:paraId="15133BD8" w14:textId="77B6DE3B"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14</w:t>
            </w:r>
          </w:p>
        </w:tc>
        <w:tc>
          <w:tcPr>
            <w:tcW w:w="1004" w:type="dxa"/>
            <w:noWrap/>
            <w:vAlign w:val="center"/>
            <w:hideMark/>
          </w:tcPr>
          <w:p w14:paraId="1DEB8944" w14:textId="50F7794A"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cs="Calibri"/>
                <w:b/>
                <w:bCs/>
                <w:color w:val="000000"/>
                <w:sz w:val="20"/>
                <w:szCs w:val="20"/>
                <w:lang w:eastAsia="ru-RU"/>
              </w:rPr>
              <w:t>72</w:t>
            </w:r>
          </w:p>
        </w:tc>
      </w:tr>
      <w:tr w:rsidR="00933FB1" w:rsidRPr="00EC1346" w14:paraId="0D7977FC" w14:textId="77777777" w:rsidTr="00F158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noWrap/>
            <w:vAlign w:val="center"/>
            <w:hideMark/>
          </w:tcPr>
          <w:p w14:paraId="71055EBE" w14:textId="115C7682" w:rsidR="00933FB1" w:rsidRPr="00EC1346" w:rsidRDefault="00933FB1" w:rsidP="00933FB1">
            <w:pPr>
              <w:rPr>
                <w:rFonts w:ascii="Calibri" w:eastAsia="Times New Roman" w:hAnsi="Calibri"/>
                <w:color w:val="000000"/>
                <w:sz w:val="20"/>
                <w:szCs w:val="20"/>
              </w:rPr>
            </w:pPr>
            <w:r w:rsidRPr="00EC1346">
              <w:rPr>
                <w:rFonts w:ascii="Calibri" w:eastAsia="Times New Roman" w:hAnsi="Calibri" w:cs="Calibri"/>
                <w:bCs w:val="0"/>
                <w:color w:val="000000"/>
                <w:sz w:val="20"/>
                <w:szCs w:val="20"/>
                <w:lang w:eastAsia="ru-RU"/>
              </w:rPr>
              <w:lastRenderedPageBreak/>
              <w:t>Выплаты на достройку объектов, млрд. руб.</w:t>
            </w:r>
          </w:p>
        </w:tc>
        <w:tc>
          <w:tcPr>
            <w:tcW w:w="1003" w:type="dxa"/>
            <w:noWrap/>
            <w:vAlign w:val="center"/>
            <w:hideMark/>
          </w:tcPr>
          <w:p w14:paraId="761096D5" w14:textId="2B0FCAD1"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18</w:t>
            </w:r>
          </w:p>
        </w:tc>
        <w:tc>
          <w:tcPr>
            <w:tcW w:w="1004" w:type="dxa"/>
            <w:noWrap/>
            <w:vAlign w:val="center"/>
            <w:hideMark/>
          </w:tcPr>
          <w:p w14:paraId="7577544C" w14:textId="30F8053D"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54</w:t>
            </w:r>
          </w:p>
        </w:tc>
        <w:tc>
          <w:tcPr>
            <w:tcW w:w="1004" w:type="dxa"/>
            <w:noWrap/>
            <w:vAlign w:val="center"/>
            <w:hideMark/>
          </w:tcPr>
          <w:p w14:paraId="7DE9EF9A" w14:textId="7B1D535B"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132</w:t>
            </w:r>
          </w:p>
        </w:tc>
        <w:tc>
          <w:tcPr>
            <w:tcW w:w="1003" w:type="dxa"/>
            <w:noWrap/>
            <w:vAlign w:val="center"/>
            <w:hideMark/>
          </w:tcPr>
          <w:p w14:paraId="1299DADD" w14:textId="23ED2D67"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248</w:t>
            </w:r>
          </w:p>
        </w:tc>
        <w:tc>
          <w:tcPr>
            <w:tcW w:w="1004" w:type="dxa"/>
            <w:noWrap/>
            <w:vAlign w:val="center"/>
            <w:hideMark/>
          </w:tcPr>
          <w:p w14:paraId="336E03C3" w14:textId="08543EC9"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357</w:t>
            </w:r>
          </w:p>
        </w:tc>
        <w:tc>
          <w:tcPr>
            <w:tcW w:w="1004" w:type="dxa"/>
            <w:noWrap/>
            <w:vAlign w:val="center"/>
            <w:hideMark/>
          </w:tcPr>
          <w:p w14:paraId="1E932184" w14:textId="50384F2A"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cs="Calibri"/>
                <w:b/>
                <w:bCs/>
                <w:color w:val="000000"/>
                <w:sz w:val="20"/>
                <w:szCs w:val="20"/>
                <w:lang w:eastAsia="ru-RU"/>
              </w:rPr>
              <w:t>809</w:t>
            </w:r>
          </w:p>
        </w:tc>
      </w:tr>
      <w:tr w:rsidR="00933FB1" w:rsidRPr="00EC1346" w14:paraId="65E786F4" w14:textId="77777777" w:rsidTr="00F158C0">
        <w:trPr>
          <w:trHeight w:val="320"/>
        </w:trPr>
        <w:tc>
          <w:tcPr>
            <w:cnfStyle w:val="001000000000" w:firstRow="0" w:lastRow="0" w:firstColumn="1" w:lastColumn="0" w:oddVBand="0" w:evenVBand="0" w:oddHBand="0" w:evenHBand="0" w:firstRowFirstColumn="0" w:firstRowLastColumn="0" w:lastRowFirstColumn="0" w:lastRowLastColumn="0"/>
            <w:tcW w:w="3261" w:type="dxa"/>
            <w:noWrap/>
            <w:vAlign w:val="center"/>
            <w:hideMark/>
          </w:tcPr>
          <w:p w14:paraId="07FCA66A" w14:textId="4A31100D" w:rsidR="00933FB1" w:rsidRPr="00EC1346" w:rsidRDefault="00933FB1" w:rsidP="00933FB1">
            <w:pPr>
              <w:rPr>
                <w:rFonts w:ascii="Calibri" w:eastAsia="Times New Roman" w:hAnsi="Calibri"/>
                <w:color w:val="000000"/>
                <w:sz w:val="20"/>
                <w:szCs w:val="20"/>
              </w:rPr>
            </w:pPr>
            <w:r w:rsidRPr="00EC1346">
              <w:rPr>
                <w:rFonts w:ascii="Calibri" w:eastAsia="Times New Roman" w:hAnsi="Calibri" w:cs="Calibri"/>
                <w:bCs w:val="0"/>
                <w:color w:val="000000"/>
                <w:sz w:val="20"/>
                <w:szCs w:val="20"/>
                <w:lang w:eastAsia="ru-RU"/>
              </w:rPr>
              <w:t>Финансирование из бюджета РФ, млрд. руб.</w:t>
            </w:r>
          </w:p>
        </w:tc>
        <w:tc>
          <w:tcPr>
            <w:tcW w:w="1003" w:type="dxa"/>
            <w:noWrap/>
            <w:vAlign w:val="center"/>
            <w:hideMark/>
          </w:tcPr>
          <w:p w14:paraId="0288D5E7" w14:textId="0DD4D2D2"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2</w:t>
            </w:r>
          </w:p>
        </w:tc>
        <w:tc>
          <w:tcPr>
            <w:tcW w:w="1004" w:type="dxa"/>
            <w:noWrap/>
            <w:vAlign w:val="center"/>
            <w:hideMark/>
          </w:tcPr>
          <w:p w14:paraId="5682A488" w14:textId="324D4B48"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40</w:t>
            </w:r>
          </w:p>
        </w:tc>
        <w:tc>
          <w:tcPr>
            <w:tcW w:w="1004" w:type="dxa"/>
            <w:noWrap/>
            <w:vAlign w:val="center"/>
            <w:hideMark/>
          </w:tcPr>
          <w:p w14:paraId="6CEED64A" w14:textId="7638A2C4"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118</w:t>
            </w:r>
          </w:p>
        </w:tc>
        <w:tc>
          <w:tcPr>
            <w:tcW w:w="1003" w:type="dxa"/>
            <w:noWrap/>
            <w:vAlign w:val="center"/>
            <w:hideMark/>
          </w:tcPr>
          <w:p w14:paraId="219FC068" w14:textId="43643FD6"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234</w:t>
            </w:r>
          </w:p>
        </w:tc>
        <w:tc>
          <w:tcPr>
            <w:tcW w:w="1004" w:type="dxa"/>
            <w:noWrap/>
            <w:vAlign w:val="center"/>
            <w:hideMark/>
          </w:tcPr>
          <w:p w14:paraId="08A52270" w14:textId="12C87938"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color w:val="000000"/>
                <w:sz w:val="20"/>
                <w:szCs w:val="20"/>
                <w:lang w:eastAsia="ru-RU"/>
              </w:rPr>
              <w:t>343</w:t>
            </w:r>
          </w:p>
        </w:tc>
        <w:tc>
          <w:tcPr>
            <w:tcW w:w="1004" w:type="dxa"/>
            <w:noWrap/>
            <w:vAlign w:val="center"/>
            <w:hideMark/>
          </w:tcPr>
          <w:p w14:paraId="4226CF32" w14:textId="1A15B04F"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cs="Calibri"/>
                <w:b/>
                <w:bCs/>
                <w:color w:val="000000"/>
                <w:sz w:val="20"/>
                <w:szCs w:val="20"/>
                <w:lang w:eastAsia="ru-RU"/>
              </w:rPr>
              <w:t>737</w:t>
            </w:r>
          </w:p>
        </w:tc>
      </w:tr>
      <w:tr w:rsidR="00933FB1" w:rsidRPr="00EC1346" w14:paraId="7918D1E0" w14:textId="77777777" w:rsidTr="00F158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noWrap/>
            <w:vAlign w:val="center"/>
            <w:hideMark/>
          </w:tcPr>
          <w:p w14:paraId="7E313E04" w14:textId="68C97B7A" w:rsidR="00933FB1" w:rsidRPr="00EC1346" w:rsidRDefault="00933FB1" w:rsidP="00933FB1">
            <w:pPr>
              <w:rPr>
                <w:rFonts w:ascii="Calibri" w:eastAsia="Times New Roman" w:hAnsi="Calibri"/>
                <w:color w:val="000000"/>
                <w:sz w:val="20"/>
                <w:szCs w:val="20"/>
              </w:rPr>
            </w:pPr>
            <w:r w:rsidRPr="00EC1346">
              <w:rPr>
                <w:rFonts w:ascii="Calibri" w:eastAsia="Times New Roman" w:hAnsi="Calibri" w:cs="Calibri"/>
                <w:bCs w:val="0"/>
                <w:color w:val="000000"/>
                <w:sz w:val="20"/>
                <w:szCs w:val="20"/>
                <w:lang w:eastAsia="ru-RU"/>
              </w:rPr>
              <w:t>Доля фонда в объеме выплат, %</w:t>
            </w:r>
          </w:p>
        </w:tc>
        <w:tc>
          <w:tcPr>
            <w:tcW w:w="1003" w:type="dxa"/>
            <w:noWrap/>
            <w:vAlign w:val="center"/>
            <w:hideMark/>
          </w:tcPr>
          <w:p w14:paraId="42251790" w14:textId="71C8E2EF"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b/>
                <w:bCs/>
                <w:color w:val="000000"/>
                <w:sz w:val="20"/>
                <w:szCs w:val="20"/>
                <w:lang w:eastAsia="ru-RU"/>
              </w:rPr>
              <w:t>89%</w:t>
            </w:r>
          </w:p>
        </w:tc>
        <w:tc>
          <w:tcPr>
            <w:tcW w:w="1004" w:type="dxa"/>
            <w:noWrap/>
            <w:vAlign w:val="center"/>
            <w:hideMark/>
          </w:tcPr>
          <w:p w14:paraId="2405CFBF" w14:textId="42B6CF14"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b/>
                <w:bCs/>
                <w:color w:val="000000"/>
                <w:sz w:val="20"/>
                <w:szCs w:val="20"/>
                <w:lang w:eastAsia="ru-RU"/>
              </w:rPr>
              <w:t>26%</w:t>
            </w:r>
          </w:p>
        </w:tc>
        <w:tc>
          <w:tcPr>
            <w:tcW w:w="1004" w:type="dxa"/>
            <w:noWrap/>
            <w:vAlign w:val="center"/>
            <w:hideMark/>
          </w:tcPr>
          <w:p w14:paraId="0DFFA376" w14:textId="7A330D9A"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b/>
                <w:bCs/>
                <w:color w:val="000000"/>
                <w:sz w:val="20"/>
                <w:szCs w:val="20"/>
                <w:lang w:eastAsia="ru-RU"/>
              </w:rPr>
              <w:t>11%</w:t>
            </w:r>
          </w:p>
        </w:tc>
        <w:tc>
          <w:tcPr>
            <w:tcW w:w="1003" w:type="dxa"/>
            <w:noWrap/>
            <w:vAlign w:val="center"/>
            <w:hideMark/>
          </w:tcPr>
          <w:p w14:paraId="232EADE0" w14:textId="139DB6E6"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b/>
                <w:bCs/>
                <w:color w:val="000000"/>
                <w:sz w:val="20"/>
                <w:szCs w:val="20"/>
                <w:lang w:eastAsia="ru-RU"/>
              </w:rPr>
              <w:t>6%</w:t>
            </w:r>
          </w:p>
        </w:tc>
        <w:tc>
          <w:tcPr>
            <w:tcW w:w="1004" w:type="dxa"/>
            <w:noWrap/>
            <w:vAlign w:val="center"/>
            <w:hideMark/>
          </w:tcPr>
          <w:p w14:paraId="50D13334" w14:textId="247E430A"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s="Calibri"/>
                <w:b/>
                <w:bCs/>
                <w:color w:val="000000"/>
                <w:sz w:val="20"/>
                <w:szCs w:val="20"/>
                <w:lang w:eastAsia="ru-RU"/>
              </w:rPr>
              <w:t>4%</w:t>
            </w:r>
          </w:p>
        </w:tc>
        <w:tc>
          <w:tcPr>
            <w:tcW w:w="1004" w:type="dxa"/>
            <w:noWrap/>
            <w:vAlign w:val="center"/>
            <w:hideMark/>
          </w:tcPr>
          <w:p w14:paraId="04A64103" w14:textId="1ADE93ED"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r w:rsidRPr="00EC1346">
              <w:rPr>
                <w:rFonts w:ascii="Calibri" w:eastAsia="Times New Roman" w:hAnsi="Calibri" w:cs="Calibri"/>
                <w:b/>
                <w:bCs/>
                <w:color w:val="000000"/>
                <w:sz w:val="20"/>
                <w:szCs w:val="20"/>
                <w:lang w:eastAsia="ru-RU"/>
              </w:rPr>
              <w:t>9%</w:t>
            </w:r>
          </w:p>
        </w:tc>
      </w:tr>
    </w:tbl>
    <w:p w14:paraId="00744896" w14:textId="77777777" w:rsidR="00933FB1" w:rsidRPr="00EC1346" w:rsidRDefault="00933FB1" w:rsidP="00B60780">
      <w:pPr>
        <w:spacing w:after="120" w:line="360" w:lineRule="auto"/>
        <w:jc w:val="both"/>
        <w:rPr>
          <w:rFonts w:asciiTheme="minorHAnsi" w:hAnsiTheme="minorHAnsi"/>
          <w:b/>
          <w:i/>
        </w:rPr>
      </w:pPr>
    </w:p>
    <w:p w14:paraId="5AC13673" w14:textId="49585CA9" w:rsidR="00933FB1" w:rsidRPr="00EC1346" w:rsidRDefault="00933FB1" w:rsidP="00B60780">
      <w:pPr>
        <w:spacing w:after="120" w:line="360" w:lineRule="auto"/>
        <w:jc w:val="both"/>
        <w:rPr>
          <w:rFonts w:asciiTheme="minorHAnsi" w:hAnsiTheme="minorHAnsi"/>
        </w:rPr>
      </w:pPr>
      <w:r w:rsidRPr="00EC1346">
        <w:rPr>
          <w:rFonts w:asciiTheme="minorHAnsi" w:hAnsiTheme="minorHAnsi"/>
        </w:rPr>
        <w:t xml:space="preserve">Сценарий </w:t>
      </w:r>
      <w:r w:rsidR="00621E19" w:rsidRPr="00EC1346">
        <w:rPr>
          <w:rFonts w:asciiTheme="minorHAnsi" w:hAnsiTheme="minorHAnsi"/>
        </w:rPr>
        <w:t>№2 в этих условиях также сопряжен со значительными затратами бюджетных средств на пополнение Фонда уже с 2017 г. Дополнительные взносы не играют существенной роли в финансовых показателях деятельности Компенсационного Фонда.</w:t>
      </w:r>
    </w:p>
    <w:tbl>
      <w:tblPr>
        <w:tblStyle w:val="ListTable6ColorfulAccent6"/>
        <w:tblW w:w="9639" w:type="dxa"/>
        <w:tblLayout w:type="fixed"/>
        <w:tblLook w:val="04A0" w:firstRow="1" w:lastRow="0" w:firstColumn="1" w:lastColumn="0" w:noHBand="0" w:noVBand="1"/>
      </w:tblPr>
      <w:tblGrid>
        <w:gridCol w:w="3544"/>
        <w:gridCol w:w="1015"/>
        <w:gridCol w:w="1016"/>
        <w:gridCol w:w="1016"/>
        <w:gridCol w:w="1016"/>
        <w:gridCol w:w="1016"/>
        <w:gridCol w:w="1016"/>
      </w:tblGrid>
      <w:tr w:rsidR="00933FB1" w:rsidRPr="00EC1346" w14:paraId="33C2B231" w14:textId="77777777" w:rsidTr="00F158C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44" w:type="dxa"/>
            <w:noWrap/>
            <w:vAlign w:val="bottom"/>
            <w:hideMark/>
          </w:tcPr>
          <w:p w14:paraId="20EBF618" w14:textId="77777777" w:rsidR="00933FB1" w:rsidRPr="00EC1346" w:rsidRDefault="00933FB1" w:rsidP="00F158C0">
            <w:pPr>
              <w:rPr>
                <w:rFonts w:ascii="Calibri" w:eastAsia="Times New Roman" w:hAnsi="Calibri"/>
                <w:color w:val="000000"/>
                <w:sz w:val="20"/>
                <w:szCs w:val="20"/>
                <w:lang w:val="en-US"/>
              </w:rPr>
            </w:pPr>
            <w:r w:rsidRPr="00EC1346">
              <w:rPr>
                <w:rFonts w:ascii="Calibri" w:eastAsia="Times New Roman" w:hAnsi="Calibri"/>
                <w:color w:val="000000"/>
                <w:sz w:val="20"/>
                <w:szCs w:val="20"/>
              </w:rPr>
              <w:t>Показатель</w:t>
            </w:r>
          </w:p>
        </w:tc>
        <w:tc>
          <w:tcPr>
            <w:tcW w:w="1015" w:type="dxa"/>
            <w:noWrap/>
            <w:vAlign w:val="center"/>
            <w:hideMark/>
          </w:tcPr>
          <w:p w14:paraId="174CAF5E" w14:textId="77777777" w:rsidR="00933FB1" w:rsidRPr="00EC1346" w:rsidRDefault="00933FB1" w:rsidP="00F158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2017</w:t>
            </w:r>
          </w:p>
        </w:tc>
        <w:tc>
          <w:tcPr>
            <w:tcW w:w="1016" w:type="dxa"/>
            <w:noWrap/>
            <w:vAlign w:val="center"/>
            <w:hideMark/>
          </w:tcPr>
          <w:p w14:paraId="73F068E9" w14:textId="77777777" w:rsidR="00933FB1" w:rsidRPr="00EC1346" w:rsidRDefault="00933FB1" w:rsidP="00F158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2018</w:t>
            </w:r>
          </w:p>
        </w:tc>
        <w:tc>
          <w:tcPr>
            <w:tcW w:w="1016" w:type="dxa"/>
            <w:noWrap/>
            <w:vAlign w:val="center"/>
            <w:hideMark/>
          </w:tcPr>
          <w:p w14:paraId="68F5A296" w14:textId="77777777" w:rsidR="00933FB1" w:rsidRPr="00EC1346" w:rsidRDefault="00933FB1" w:rsidP="00F158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2019</w:t>
            </w:r>
          </w:p>
        </w:tc>
        <w:tc>
          <w:tcPr>
            <w:tcW w:w="1016" w:type="dxa"/>
            <w:noWrap/>
            <w:vAlign w:val="center"/>
            <w:hideMark/>
          </w:tcPr>
          <w:p w14:paraId="326B3CB8" w14:textId="77777777" w:rsidR="00933FB1" w:rsidRPr="00EC1346" w:rsidRDefault="00933FB1" w:rsidP="00F158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2020</w:t>
            </w:r>
          </w:p>
        </w:tc>
        <w:tc>
          <w:tcPr>
            <w:tcW w:w="1016" w:type="dxa"/>
            <w:noWrap/>
            <w:vAlign w:val="center"/>
            <w:hideMark/>
          </w:tcPr>
          <w:p w14:paraId="57052BB8" w14:textId="77777777" w:rsidR="00933FB1" w:rsidRPr="00EC1346" w:rsidRDefault="00933FB1" w:rsidP="00F158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2021</w:t>
            </w:r>
          </w:p>
        </w:tc>
        <w:tc>
          <w:tcPr>
            <w:tcW w:w="1016" w:type="dxa"/>
            <w:noWrap/>
            <w:vAlign w:val="center"/>
            <w:hideMark/>
          </w:tcPr>
          <w:p w14:paraId="7C6B199E" w14:textId="77777777" w:rsidR="00933FB1" w:rsidRPr="00EC1346" w:rsidRDefault="00933FB1" w:rsidP="00F158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Итого</w:t>
            </w:r>
          </w:p>
        </w:tc>
      </w:tr>
      <w:tr w:rsidR="00933FB1" w:rsidRPr="00EC1346" w14:paraId="45CA81A0" w14:textId="77777777" w:rsidTr="00F158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44" w:type="dxa"/>
            <w:noWrap/>
            <w:vAlign w:val="center"/>
            <w:hideMark/>
          </w:tcPr>
          <w:p w14:paraId="4F3ADBF0" w14:textId="431A3EA9" w:rsidR="00933FB1" w:rsidRPr="00EC1346" w:rsidRDefault="00933FB1" w:rsidP="00933FB1">
            <w:pPr>
              <w:rPr>
                <w:rFonts w:ascii="Calibri" w:eastAsia="Times New Roman" w:hAnsi="Calibri"/>
                <w:color w:val="000000"/>
                <w:sz w:val="20"/>
                <w:szCs w:val="20"/>
              </w:rPr>
            </w:pPr>
            <w:r w:rsidRPr="00EC1346">
              <w:rPr>
                <w:rFonts w:ascii="Calibri" w:hAnsi="Calibri" w:cs="Calibri"/>
                <w:bCs w:val="0"/>
                <w:color w:val="000000"/>
                <w:sz w:val="20"/>
                <w:szCs w:val="20"/>
              </w:rPr>
              <w:t>Размер компенсационного фонда на начало года, млрд. руб.</w:t>
            </w:r>
          </w:p>
        </w:tc>
        <w:tc>
          <w:tcPr>
            <w:tcW w:w="1015" w:type="dxa"/>
            <w:noWrap/>
            <w:vAlign w:val="center"/>
            <w:hideMark/>
          </w:tcPr>
          <w:p w14:paraId="201473BC" w14:textId="7592647D"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0</w:t>
            </w:r>
          </w:p>
        </w:tc>
        <w:tc>
          <w:tcPr>
            <w:tcW w:w="1016" w:type="dxa"/>
            <w:noWrap/>
            <w:vAlign w:val="center"/>
            <w:hideMark/>
          </w:tcPr>
          <w:p w14:paraId="4BA8BC34" w14:textId="2B8527F5"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w:t>
            </w:r>
          </w:p>
        </w:tc>
        <w:tc>
          <w:tcPr>
            <w:tcW w:w="1016" w:type="dxa"/>
            <w:noWrap/>
            <w:vAlign w:val="center"/>
            <w:hideMark/>
          </w:tcPr>
          <w:p w14:paraId="2348E69E" w14:textId="692A478B"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w:t>
            </w:r>
          </w:p>
        </w:tc>
        <w:tc>
          <w:tcPr>
            <w:tcW w:w="1016" w:type="dxa"/>
            <w:noWrap/>
            <w:vAlign w:val="center"/>
            <w:hideMark/>
          </w:tcPr>
          <w:p w14:paraId="3EC3F911" w14:textId="3D5B49A4"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w:t>
            </w:r>
          </w:p>
        </w:tc>
        <w:tc>
          <w:tcPr>
            <w:tcW w:w="1016" w:type="dxa"/>
            <w:noWrap/>
            <w:vAlign w:val="center"/>
            <w:hideMark/>
          </w:tcPr>
          <w:p w14:paraId="7F36C774" w14:textId="0C277F0F"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w:t>
            </w:r>
          </w:p>
        </w:tc>
        <w:tc>
          <w:tcPr>
            <w:tcW w:w="1016" w:type="dxa"/>
            <w:noWrap/>
            <w:vAlign w:val="center"/>
            <w:hideMark/>
          </w:tcPr>
          <w:p w14:paraId="738EBBE0" w14:textId="6242165F"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r w:rsidRPr="00EC1346">
              <w:rPr>
                <w:rFonts w:ascii="Calibri" w:hAnsi="Calibri" w:cs="Calibri"/>
                <w:color w:val="538135"/>
              </w:rPr>
              <w:t> </w:t>
            </w:r>
          </w:p>
        </w:tc>
      </w:tr>
      <w:tr w:rsidR="00933FB1" w:rsidRPr="00EC1346" w14:paraId="7867E72A" w14:textId="77777777" w:rsidTr="00F158C0">
        <w:trPr>
          <w:trHeight w:val="320"/>
        </w:trPr>
        <w:tc>
          <w:tcPr>
            <w:cnfStyle w:val="001000000000" w:firstRow="0" w:lastRow="0" w:firstColumn="1" w:lastColumn="0" w:oddVBand="0" w:evenVBand="0" w:oddHBand="0" w:evenHBand="0" w:firstRowFirstColumn="0" w:firstRowLastColumn="0" w:lastRowFirstColumn="0" w:lastRowLastColumn="0"/>
            <w:tcW w:w="3544" w:type="dxa"/>
            <w:noWrap/>
            <w:vAlign w:val="center"/>
          </w:tcPr>
          <w:p w14:paraId="04DBBDB5" w14:textId="5861384C" w:rsidR="00933FB1" w:rsidRPr="00EC1346" w:rsidRDefault="00933FB1" w:rsidP="00933FB1">
            <w:pPr>
              <w:rPr>
                <w:rFonts w:ascii="Calibri" w:eastAsia="Times New Roman" w:hAnsi="Calibri"/>
                <w:color w:val="000000"/>
                <w:sz w:val="20"/>
                <w:szCs w:val="20"/>
              </w:rPr>
            </w:pPr>
            <w:r w:rsidRPr="00EC1346">
              <w:rPr>
                <w:rFonts w:ascii="Calibri" w:hAnsi="Calibri" w:cs="Calibri"/>
                <w:bCs w:val="0"/>
                <w:color w:val="000000"/>
                <w:sz w:val="20"/>
                <w:szCs w:val="20"/>
              </w:rPr>
              <w:t>Дополнительные взносы (на примере "ОВС застройщиков"), млрд. руб.</w:t>
            </w:r>
          </w:p>
        </w:tc>
        <w:tc>
          <w:tcPr>
            <w:tcW w:w="1015" w:type="dxa"/>
            <w:noWrap/>
            <w:vAlign w:val="center"/>
          </w:tcPr>
          <w:p w14:paraId="7D096F6A" w14:textId="02FF9C67"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4</w:t>
            </w:r>
          </w:p>
        </w:tc>
        <w:tc>
          <w:tcPr>
            <w:tcW w:w="1016" w:type="dxa"/>
            <w:noWrap/>
            <w:vAlign w:val="center"/>
          </w:tcPr>
          <w:p w14:paraId="6E042B38" w14:textId="18B53D52"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w:t>
            </w:r>
          </w:p>
        </w:tc>
        <w:tc>
          <w:tcPr>
            <w:tcW w:w="1016" w:type="dxa"/>
            <w:noWrap/>
            <w:vAlign w:val="center"/>
          </w:tcPr>
          <w:p w14:paraId="30FAEAF9" w14:textId="641F618F"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w:t>
            </w:r>
          </w:p>
        </w:tc>
        <w:tc>
          <w:tcPr>
            <w:tcW w:w="1016" w:type="dxa"/>
            <w:noWrap/>
            <w:vAlign w:val="center"/>
          </w:tcPr>
          <w:p w14:paraId="25150E07" w14:textId="33FE8455"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w:t>
            </w:r>
          </w:p>
        </w:tc>
        <w:tc>
          <w:tcPr>
            <w:tcW w:w="1016" w:type="dxa"/>
            <w:noWrap/>
            <w:vAlign w:val="center"/>
          </w:tcPr>
          <w:p w14:paraId="33C7E588" w14:textId="7291EE16"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w:t>
            </w:r>
          </w:p>
        </w:tc>
        <w:tc>
          <w:tcPr>
            <w:tcW w:w="1016" w:type="dxa"/>
            <w:noWrap/>
            <w:vAlign w:val="center"/>
          </w:tcPr>
          <w:p w14:paraId="16BD54B8" w14:textId="1DC2D33A"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hAnsi="Calibri" w:cs="Calibri"/>
                <w:b/>
                <w:bCs/>
                <w:color w:val="000000"/>
                <w:sz w:val="20"/>
                <w:szCs w:val="20"/>
              </w:rPr>
              <w:t>4</w:t>
            </w:r>
          </w:p>
        </w:tc>
      </w:tr>
      <w:tr w:rsidR="00933FB1" w:rsidRPr="00EC1346" w14:paraId="1D528A51" w14:textId="77777777" w:rsidTr="00F158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44" w:type="dxa"/>
            <w:noWrap/>
            <w:vAlign w:val="center"/>
            <w:hideMark/>
          </w:tcPr>
          <w:p w14:paraId="451C2BAC" w14:textId="3EF0F1DE" w:rsidR="00933FB1" w:rsidRPr="00EC1346" w:rsidRDefault="00933FB1" w:rsidP="00933FB1">
            <w:pPr>
              <w:rPr>
                <w:rFonts w:ascii="Calibri" w:eastAsia="Times New Roman" w:hAnsi="Calibri"/>
                <w:color w:val="000000"/>
                <w:sz w:val="20"/>
                <w:szCs w:val="20"/>
              </w:rPr>
            </w:pPr>
            <w:r w:rsidRPr="00EC1346">
              <w:rPr>
                <w:rFonts w:ascii="Calibri" w:hAnsi="Calibri" w:cs="Calibri"/>
                <w:bCs w:val="0"/>
                <w:color w:val="000000"/>
                <w:sz w:val="20"/>
                <w:szCs w:val="20"/>
              </w:rPr>
              <w:t>Отчисления в фонд, млрд. руб.</w:t>
            </w:r>
          </w:p>
        </w:tc>
        <w:tc>
          <w:tcPr>
            <w:tcW w:w="1015" w:type="dxa"/>
            <w:noWrap/>
            <w:vAlign w:val="center"/>
            <w:hideMark/>
          </w:tcPr>
          <w:p w14:paraId="64C4313C" w14:textId="70E17B65"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16</w:t>
            </w:r>
          </w:p>
        </w:tc>
        <w:tc>
          <w:tcPr>
            <w:tcW w:w="1016" w:type="dxa"/>
            <w:noWrap/>
            <w:vAlign w:val="center"/>
            <w:hideMark/>
          </w:tcPr>
          <w:p w14:paraId="55A1BD23" w14:textId="000CA75A"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14</w:t>
            </w:r>
          </w:p>
        </w:tc>
        <w:tc>
          <w:tcPr>
            <w:tcW w:w="1016" w:type="dxa"/>
            <w:noWrap/>
            <w:vAlign w:val="center"/>
            <w:hideMark/>
          </w:tcPr>
          <w:p w14:paraId="38E1C899" w14:textId="51D40E71"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14</w:t>
            </w:r>
          </w:p>
        </w:tc>
        <w:tc>
          <w:tcPr>
            <w:tcW w:w="1016" w:type="dxa"/>
            <w:noWrap/>
            <w:vAlign w:val="center"/>
            <w:hideMark/>
          </w:tcPr>
          <w:p w14:paraId="48D96A1A" w14:textId="1FB47E33"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14</w:t>
            </w:r>
          </w:p>
        </w:tc>
        <w:tc>
          <w:tcPr>
            <w:tcW w:w="1016" w:type="dxa"/>
            <w:noWrap/>
            <w:vAlign w:val="center"/>
            <w:hideMark/>
          </w:tcPr>
          <w:p w14:paraId="57C83D16" w14:textId="1DF8E124"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14</w:t>
            </w:r>
          </w:p>
        </w:tc>
        <w:tc>
          <w:tcPr>
            <w:tcW w:w="1016" w:type="dxa"/>
            <w:noWrap/>
            <w:vAlign w:val="center"/>
            <w:hideMark/>
          </w:tcPr>
          <w:p w14:paraId="37DC666F" w14:textId="6FE1EB48"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r w:rsidRPr="00EC1346">
              <w:rPr>
                <w:rFonts w:ascii="Calibri" w:hAnsi="Calibri" w:cs="Calibri"/>
                <w:b/>
                <w:bCs/>
                <w:color w:val="000000"/>
                <w:sz w:val="20"/>
                <w:szCs w:val="20"/>
              </w:rPr>
              <w:t>72</w:t>
            </w:r>
          </w:p>
        </w:tc>
      </w:tr>
      <w:tr w:rsidR="00933FB1" w:rsidRPr="00EC1346" w14:paraId="45BD2AB7" w14:textId="77777777" w:rsidTr="00F158C0">
        <w:trPr>
          <w:trHeight w:val="320"/>
        </w:trPr>
        <w:tc>
          <w:tcPr>
            <w:cnfStyle w:val="001000000000" w:firstRow="0" w:lastRow="0" w:firstColumn="1" w:lastColumn="0" w:oddVBand="0" w:evenVBand="0" w:oddHBand="0" w:evenHBand="0" w:firstRowFirstColumn="0" w:firstRowLastColumn="0" w:lastRowFirstColumn="0" w:lastRowLastColumn="0"/>
            <w:tcW w:w="3544" w:type="dxa"/>
            <w:noWrap/>
            <w:vAlign w:val="center"/>
            <w:hideMark/>
          </w:tcPr>
          <w:p w14:paraId="0290FEAD" w14:textId="6F8503A8" w:rsidR="00933FB1" w:rsidRPr="00EC1346" w:rsidRDefault="00933FB1" w:rsidP="00933FB1">
            <w:pPr>
              <w:rPr>
                <w:rFonts w:ascii="Calibri" w:eastAsia="Times New Roman" w:hAnsi="Calibri"/>
                <w:color w:val="000000"/>
                <w:sz w:val="20"/>
                <w:szCs w:val="20"/>
              </w:rPr>
            </w:pPr>
            <w:r w:rsidRPr="00EC1346">
              <w:rPr>
                <w:rFonts w:ascii="Calibri" w:hAnsi="Calibri" w:cs="Calibri"/>
                <w:bCs w:val="0"/>
                <w:color w:val="000000"/>
                <w:sz w:val="20"/>
                <w:szCs w:val="20"/>
              </w:rPr>
              <w:t>Выплаты на достройку объектов, млрд. руб.</w:t>
            </w:r>
          </w:p>
        </w:tc>
        <w:tc>
          <w:tcPr>
            <w:tcW w:w="1015" w:type="dxa"/>
            <w:noWrap/>
            <w:vAlign w:val="center"/>
            <w:hideMark/>
          </w:tcPr>
          <w:p w14:paraId="0F86DDA3" w14:textId="1F93C2CA"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67</w:t>
            </w:r>
          </w:p>
        </w:tc>
        <w:tc>
          <w:tcPr>
            <w:tcW w:w="1016" w:type="dxa"/>
            <w:noWrap/>
            <w:vAlign w:val="center"/>
            <w:hideMark/>
          </w:tcPr>
          <w:p w14:paraId="43F15ED4" w14:textId="7B38C3AF"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54</w:t>
            </w:r>
          </w:p>
        </w:tc>
        <w:tc>
          <w:tcPr>
            <w:tcW w:w="1016" w:type="dxa"/>
            <w:noWrap/>
            <w:vAlign w:val="center"/>
            <w:hideMark/>
          </w:tcPr>
          <w:p w14:paraId="1DCFC6BB" w14:textId="6E1DF9EA"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132</w:t>
            </w:r>
          </w:p>
        </w:tc>
        <w:tc>
          <w:tcPr>
            <w:tcW w:w="1016" w:type="dxa"/>
            <w:noWrap/>
            <w:vAlign w:val="center"/>
            <w:hideMark/>
          </w:tcPr>
          <w:p w14:paraId="4707B3FF" w14:textId="775566A4"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248</w:t>
            </w:r>
          </w:p>
        </w:tc>
        <w:tc>
          <w:tcPr>
            <w:tcW w:w="1016" w:type="dxa"/>
            <w:noWrap/>
            <w:vAlign w:val="center"/>
            <w:hideMark/>
          </w:tcPr>
          <w:p w14:paraId="0D912318" w14:textId="61778493"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357</w:t>
            </w:r>
          </w:p>
        </w:tc>
        <w:tc>
          <w:tcPr>
            <w:tcW w:w="1016" w:type="dxa"/>
            <w:noWrap/>
            <w:vAlign w:val="center"/>
            <w:hideMark/>
          </w:tcPr>
          <w:p w14:paraId="13FC00F3" w14:textId="6671FAAA"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hAnsi="Calibri" w:cs="Calibri"/>
                <w:b/>
                <w:bCs/>
                <w:color w:val="000000"/>
                <w:sz w:val="20"/>
                <w:szCs w:val="20"/>
              </w:rPr>
              <w:t>858</w:t>
            </w:r>
          </w:p>
        </w:tc>
      </w:tr>
      <w:tr w:rsidR="00933FB1" w:rsidRPr="00EC1346" w14:paraId="08FB5D93" w14:textId="77777777" w:rsidTr="00F158C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544" w:type="dxa"/>
            <w:noWrap/>
            <w:vAlign w:val="center"/>
            <w:hideMark/>
          </w:tcPr>
          <w:p w14:paraId="051C906A" w14:textId="45347BF3" w:rsidR="00933FB1" w:rsidRPr="00EC1346" w:rsidRDefault="00933FB1" w:rsidP="00933FB1">
            <w:pPr>
              <w:rPr>
                <w:rFonts w:ascii="Calibri" w:eastAsia="Times New Roman" w:hAnsi="Calibri"/>
                <w:color w:val="000000"/>
                <w:sz w:val="20"/>
                <w:szCs w:val="20"/>
              </w:rPr>
            </w:pPr>
            <w:r w:rsidRPr="00EC1346">
              <w:rPr>
                <w:rFonts w:ascii="Calibri" w:hAnsi="Calibri" w:cs="Calibri"/>
                <w:bCs w:val="0"/>
                <w:color w:val="000000"/>
                <w:sz w:val="20"/>
                <w:szCs w:val="20"/>
              </w:rPr>
              <w:t>Финансирование из бюджета, млрд. руб.</w:t>
            </w:r>
          </w:p>
        </w:tc>
        <w:tc>
          <w:tcPr>
            <w:tcW w:w="1015" w:type="dxa"/>
            <w:noWrap/>
            <w:vAlign w:val="center"/>
            <w:hideMark/>
          </w:tcPr>
          <w:p w14:paraId="33DCF57F" w14:textId="26C7AF6D"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47</w:t>
            </w:r>
          </w:p>
        </w:tc>
        <w:tc>
          <w:tcPr>
            <w:tcW w:w="1016" w:type="dxa"/>
            <w:noWrap/>
            <w:vAlign w:val="center"/>
            <w:hideMark/>
          </w:tcPr>
          <w:p w14:paraId="3EC2CB73" w14:textId="353227F6"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40</w:t>
            </w:r>
          </w:p>
        </w:tc>
        <w:tc>
          <w:tcPr>
            <w:tcW w:w="1016" w:type="dxa"/>
            <w:noWrap/>
            <w:vAlign w:val="center"/>
            <w:hideMark/>
          </w:tcPr>
          <w:p w14:paraId="5203CB1A" w14:textId="409C86E2"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118</w:t>
            </w:r>
          </w:p>
        </w:tc>
        <w:tc>
          <w:tcPr>
            <w:tcW w:w="1016" w:type="dxa"/>
            <w:noWrap/>
            <w:vAlign w:val="center"/>
            <w:hideMark/>
          </w:tcPr>
          <w:p w14:paraId="7693737E" w14:textId="2FA4EF06"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234</w:t>
            </w:r>
          </w:p>
        </w:tc>
        <w:tc>
          <w:tcPr>
            <w:tcW w:w="1016" w:type="dxa"/>
            <w:noWrap/>
            <w:vAlign w:val="center"/>
            <w:hideMark/>
          </w:tcPr>
          <w:p w14:paraId="11C29AD1" w14:textId="75C72C46"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343</w:t>
            </w:r>
          </w:p>
        </w:tc>
        <w:tc>
          <w:tcPr>
            <w:tcW w:w="1016" w:type="dxa"/>
            <w:noWrap/>
            <w:vAlign w:val="center"/>
            <w:hideMark/>
          </w:tcPr>
          <w:p w14:paraId="71BA0915" w14:textId="44C913AD" w:rsidR="00933FB1" w:rsidRPr="00EC1346" w:rsidRDefault="00933FB1" w:rsidP="00933F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r w:rsidRPr="00EC1346">
              <w:rPr>
                <w:rFonts w:ascii="Calibri" w:hAnsi="Calibri" w:cs="Calibri"/>
                <w:b/>
                <w:bCs/>
                <w:color w:val="000000"/>
                <w:sz w:val="20"/>
                <w:szCs w:val="20"/>
              </w:rPr>
              <w:t>782</w:t>
            </w:r>
          </w:p>
        </w:tc>
      </w:tr>
      <w:tr w:rsidR="00933FB1" w:rsidRPr="00EC1346" w14:paraId="633E2F83" w14:textId="77777777" w:rsidTr="00F158C0">
        <w:trPr>
          <w:trHeight w:val="320"/>
        </w:trPr>
        <w:tc>
          <w:tcPr>
            <w:cnfStyle w:val="001000000000" w:firstRow="0" w:lastRow="0" w:firstColumn="1" w:lastColumn="0" w:oddVBand="0" w:evenVBand="0" w:oddHBand="0" w:evenHBand="0" w:firstRowFirstColumn="0" w:firstRowLastColumn="0" w:lastRowFirstColumn="0" w:lastRowLastColumn="0"/>
            <w:tcW w:w="3544" w:type="dxa"/>
            <w:noWrap/>
            <w:vAlign w:val="center"/>
            <w:hideMark/>
          </w:tcPr>
          <w:p w14:paraId="2E417618" w14:textId="59B09FD1" w:rsidR="00933FB1" w:rsidRPr="00EC1346" w:rsidRDefault="00933FB1" w:rsidP="00933FB1">
            <w:pPr>
              <w:rPr>
                <w:rFonts w:ascii="Calibri" w:eastAsia="Times New Roman" w:hAnsi="Calibri"/>
                <w:color w:val="000000"/>
                <w:sz w:val="20"/>
                <w:szCs w:val="20"/>
              </w:rPr>
            </w:pPr>
            <w:r w:rsidRPr="00EC1346">
              <w:rPr>
                <w:rFonts w:ascii="Calibri" w:hAnsi="Calibri" w:cs="Calibri"/>
                <w:bCs w:val="0"/>
                <w:color w:val="000000"/>
                <w:sz w:val="20"/>
                <w:szCs w:val="20"/>
              </w:rPr>
              <w:t>Доля фонда в объеме выплат, %</w:t>
            </w:r>
          </w:p>
        </w:tc>
        <w:tc>
          <w:tcPr>
            <w:tcW w:w="1015" w:type="dxa"/>
            <w:noWrap/>
            <w:vAlign w:val="center"/>
            <w:hideMark/>
          </w:tcPr>
          <w:p w14:paraId="205C3835" w14:textId="7E287E86"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hAnsi="Calibri" w:cs="Calibri"/>
                <w:b/>
                <w:color w:val="000000"/>
                <w:sz w:val="20"/>
                <w:szCs w:val="20"/>
              </w:rPr>
              <w:t>30%</w:t>
            </w:r>
          </w:p>
        </w:tc>
        <w:tc>
          <w:tcPr>
            <w:tcW w:w="1016" w:type="dxa"/>
            <w:noWrap/>
            <w:vAlign w:val="center"/>
            <w:hideMark/>
          </w:tcPr>
          <w:p w14:paraId="0CE519A8" w14:textId="50F3C4C4"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hAnsi="Calibri" w:cs="Calibri"/>
                <w:b/>
                <w:color w:val="000000"/>
                <w:sz w:val="20"/>
                <w:szCs w:val="20"/>
              </w:rPr>
              <w:t>26%</w:t>
            </w:r>
          </w:p>
        </w:tc>
        <w:tc>
          <w:tcPr>
            <w:tcW w:w="1016" w:type="dxa"/>
            <w:noWrap/>
            <w:vAlign w:val="center"/>
            <w:hideMark/>
          </w:tcPr>
          <w:p w14:paraId="4C15F1AF" w14:textId="01F6C508"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hAnsi="Calibri" w:cs="Calibri"/>
                <w:b/>
                <w:color w:val="000000"/>
                <w:sz w:val="20"/>
                <w:szCs w:val="20"/>
              </w:rPr>
              <w:t>11%</w:t>
            </w:r>
          </w:p>
        </w:tc>
        <w:tc>
          <w:tcPr>
            <w:tcW w:w="1016" w:type="dxa"/>
            <w:noWrap/>
            <w:vAlign w:val="center"/>
            <w:hideMark/>
          </w:tcPr>
          <w:p w14:paraId="00E5B480" w14:textId="36552711"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hAnsi="Calibri" w:cs="Calibri"/>
                <w:b/>
                <w:color w:val="000000"/>
                <w:sz w:val="20"/>
                <w:szCs w:val="20"/>
              </w:rPr>
              <w:t>6%</w:t>
            </w:r>
          </w:p>
        </w:tc>
        <w:tc>
          <w:tcPr>
            <w:tcW w:w="1016" w:type="dxa"/>
            <w:noWrap/>
            <w:vAlign w:val="center"/>
            <w:hideMark/>
          </w:tcPr>
          <w:p w14:paraId="074A3186" w14:textId="5847D9EF"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hAnsi="Calibri" w:cs="Calibri"/>
                <w:b/>
                <w:color w:val="000000"/>
                <w:sz w:val="20"/>
                <w:szCs w:val="20"/>
              </w:rPr>
              <w:t>4%</w:t>
            </w:r>
          </w:p>
        </w:tc>
        <w:tc>
          <w:tcPr>
            <w:tcW w:w="1016" w:type="dxa"/>
            <w:noWrap/>
            <w:vAlign w:val="center"/>
            <w:hideMark/>
          </w:tcPr>
          <w:p w14:paraId="445A9CCD" w14:textId="7A82CDD6" w:rsidR="00933FB1" w:rsidRPr="00EC1346" w:rsidRDefault="00933FB1" w:rsidP="00933F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hAnsi="Calibri" w:cs="Calibri"/>
                <w:b/>
                <w:bCs/>
                <w:color w:val="000000"/>
                <w:sz w:val="20"/>
                <w:szCs w:val="20"/>
              </w:rPr>
              <w:t>9%</w:t>
            </w:r>
          </w:p>
        </w:tc>
      </w:tr>
    </w:tbl>
    <w:p w14:paraId="5DE79230" w14:textId="77777777" w:rsidR="00621E19" w:rsidRPr="00EC1346" w:rsidRDefault="00621E19" w:rsidP="00B60780">
      <w:pPr>
        <w:spacing w:after="120" w:line="360" w:lineRule="auto"/>
        <w:jc w:val="both"/>
        <w:rPr>
          <w:rFonts w:asciiTheme="minorHAnsi" w:hAnsiTheme="minorHAnsi"/>
          <w:b/>
          <w:i/>
        </w:rPr>
      </w:pPr>
    </w:p>
    <w:p w14:paraId="11020E1B" w14:textId="77777777" w:rsidR="00621E19" w:rsidRPr="00EC1346" w:rsidRDefault="00621E19" w:rsidP="00B60780">
      <w:pPr>
        <w:spacing w:after="120" w:line="360" w:lineRule="auto"/>
        <w:jc w:val="both"/>
        <w:rPr>
          <w:rFonts w:asciiTheme="minorHAnsi" w:hAnsiTheme="minorHAnsi"/>
        </w:rPr>
      </w:pPr>
      <w:r w:rsidRPr="00EC1346">
        <w:rPr>
          <w:rFonts w:asciiTheme="minorHAnsi" w:hAnsiTheme="minorHAnsi"/>
        </w:rPr>
        <w:t>Сценарий №3 при условии отсутствия первоначального финансирования выглядит следующим образом:</w:t>
      </w:r>
    </w:p>
    <w:tbl>
      <w:tblPr>
        <w:tblStyle w:val="ListTable6ColorfulAccent6"/>
        <w:tblW w:w="9283" w:type="dxa"/>
        <w:tblLayout w:type="fixed"/>
        <w:tblLook w:val="04A0" w:firstRow="1" w:lastRow="0" w:firstColumn="1" w:lastColumn="0" w:noHBand="0" w:noVBand="1"/>
      </w:tblPr>
      <w:tblGrid>
        <w:gridCol w:w="3261"/>
        <w:gridCol w:w="1003"/>
        <w:gridCol w:w="1004"/>
        <w:gridCol w:w="1004"/>
        <w:gridCol w:w="1003"/>
        <w:gridCol w:w="1004"/>
        <w:gridCol w:w="1004"/>
      </w:tblGrid>
      <w:tr w:rsidR="00621E19" w:rsidRPr="00EC1346" w14:paraId="2A571602" w14:textId="77777777" w:rsidTr="00F158C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3C0818D2" w14:textId="77777777" w:rsidR="00621E19" w:rsidRPr="00EC1346" w:rsidRDefault="00621E19" w:rsidP="00F158C0">
            <w:pPr>
              <w:rPr>
                <w:rFonts w:ascii="Calibri" w:eastAsia="Times New Roman" w:hAnsi="Calibri"/>
                <w:color w:val="000000"/>
                <w:sz w:val="20"/>
                <w:szCs w:val="20"/>
                <w:lang w:val="en-US"/>
              </w:rPr>
            </w:pPr>
            <w:r w:rsidRPr="00EC1346">
              <w:rPr>
                <w:rFonts w:ascii="Calibri" w:eastAsia="Times New Roman" w:hAnsi="Calibri"/>
                <w:color w:val="000000"/>
                <w:sz w:val="20"/>
                <w:szCs w:val="20"/>
              </w:rPr>
              <w:t>Показатель</w:t>
            </w:r>
          </w:p>
        </w:tc>
        <w:tc>
          <w:tcPr>
            <w:tcW w:w="1003" w:type="dxa"/>
            <w:noWrap/>
            <w:vAlign w:val="center"/>
            <w:hideMark/>
          </w:tcPr>
          <w:p w14:paraId="1DAD0A5B" w14:textId="77777777" w:rsidR="00621E19" w:rsidRPr="00EC1346" w:rsidRDefault="00621E19" w:rsidP="00F158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2017</w:t>
            </w:r>
          </w:p>
        </w:tc>
        <w:tc>
          <w:tcPr>
            <w:tcW w:w="1004" w:type="dxa"/>
            <w:noWrap/>
            <w:vAlign w:val="center"/>
            <w:hideMark/>
          </w:tcPr>
          <w:p w14:paraId="12730546" w14:textId="77777777" w:rsidR="00621E19" w:rsidRPr="00EC1346" w:rsidRDefault="00621E19" w:rsidP="00F158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2018</w:t>
            </w:r>
          </w:p>
        </w:tc>
        <w:tc>
          <w:tcPr>
            <w:tcW w:w="1004" w:type="dxa"/>
            <w:noWrap/>
            <w:vAlign w:val="center"/>
            <w:hideMark/>
          </w:tcPr>
          <w:p w14:paraId="619E1B74" w14:textId="77777777" w:rsidR="00621E19" w:rsidRPr="00EC1346" w:rsidRDefault="00621E19" w:rsidP="00F158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2019</w:t>
            </w:r>
          </w:p>
        </w:tc>
        <w:tc>
          <w:tcPr>
            <w:tcW w:w="1003" w:type="dxa"/>
            <w:noWrap/>
            <w:vAlign w:val="center"/>
            <w:hideMark/>
          </w:tcPr>
          <w:p w14:paraId="099026DB" w14:textId="77777777" w:rsidR="00621E19" w:rsidRPr="00EC1346" w:rsidRDefault="00621E19" w:rsidP="00F158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2020</w:t>
            </w:r>
          </w:p>
        </w:tc>
        <w:tc>
          <w:tcPr>
            <w:tcW w:w="1004" w:type="dxa"/>
            <w:noWrap/>
            <w:vAlign w:val="center"/>
            <w:hideMark/>
          </w:tcPr>
          <w:p w14:paraId="7A2F60BE" w14:textId="77777777" w:rsidR="00621E19" w:rsidRPr="00EC1346" w:rsidRDefault="00621E19" w:rsidP="00F158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2021</w:t>
            </w:r>
          </w:p>
        </w:tc>
        <w:tc>
          <w:tcPr>
            <w:tcW w:w="1004" w:type="dxa"/>
            <w:noWrap/>
            <w:vAlign w:val="center"/>
            <w:hideMark/>
          </w:tcPr>
          <w:p w14:paraId="069F5A47" w14:textId="77777777" w:rsidR="00621E19" w:rsidRPr="00EC1346" w:rsidRDefault="00621E19" w:rsidP="00F158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eastAsia="Times New Roman" w:hAnsi="Calibri"/>
                <w:color w:val="000000"/>
                <w:sz w:val="20"/>
                <w:szCs w:val="20"/>
              </w:rPr>
              <w:t>Итого</w:t>
            </w:r>
          </w:p>
        </w:tc>
      </w:tr>
      <w:tr w:rsidR="00621E19" w:rsidRPr="00EC1346" w14:paraId="40476A73" w14:textId="77777777" w:rsidTr="00F158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noWrap/>
            <w:vAlign w:val="center"/>
            <w:hideMark/>
          </w:tcPr>
          <w:p w14:paraId="69F417C0" w14:textId="66CA9676" w:rsidR="00621E19" w:rsidRPr="00EC1346" w:rsidRDefault="00621E19" w:rsidP="00621E19">
            <w:pPr>
              <w:rPr>
                <w:rFonts w:ascii="Calibri" w:eastAsia="Times New Roman" w:hAnsi="Calibri"/>
                <w:color w:val="000000"/>
                <w:sz w:val="20"/>
                <w:szCs w:val="20"/>
              </w:rPr>
            </w:pPr>
            <w:r w:rsidRPr="00EC1346">
              <w:rPr>
                <w:rFonts w:ascii="Calibri" w:hAnsi="Calibri" w:cs="Calibri"/>
                <w:bCs w:val="0"/>
                <w:color w:val="000000"/>
                <w:sz w:val="20"/>
                <w:szCs w:val="20"/>
              </w:rPr>
              <w:t>Размер компенсационного фонда на начало года, млрд. руб.</w:t>
            </w:r>
          </w:p>
        </w:tc>
        <w:tc>
          <w:tcPr>
            <w:tcW w:w="1003" w:type="dxa"/>
            <w:noWrap/>
            <w:vAlign w:val="center"/>
            <w:hideMark/>
          </w:tcPr>
          <w:p w14:paraId="54401676" w14:textId="32F71D78" w:rsidR="00621E19" w:rsidRPr="00EC1346" w:rsidRDefault="00621E19" w:rsidP="00621E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0</w:t>
            </w:r>
          </w:p>
        </w:tc>
        <w:tc>
          <w:tcPr>
            <w:tcW w:w="1004" w:type="dxa"/>
            <w:noWrap/>
            <w:vAlign w:val="center"/>
            <w:hideMark/>
          </w:tcPr>
          <w:p w14:paraId="39AA946B" w14:textId="21888C8C" w:rsidR="00621E19" w:rsidRPr="00EC1346" w:rsidRDefault="00621E19" w:rsidP="00621E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w:t>
            </w:r>
          </w:p>
        </w:tc>
        <w:tc>
          <w:tcPr>
            <w:tcW w:w="1004" w:type="dxa"/>
            <w:noWrap/>
            <w:vAlign w:val="center"/>
            <w:hideMark/>
          </w:tcPr>
          <w:p w14:paraId="600CA7C2" w14:textId="126D60DC" w:rsidR="00621E19" w:rsidRPr="00EC1346" w:rsidRDefault="00621E19" w:rsidP="00621E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w:t>
            </w:r>
          </w:p>
        </w:tc>
        <w:tc>
          <w:tcPr>
            <w:tcW w:w="1003" w:type="dxa"/>
            <w:noWrap/>
            <w:vAlign w:val="center"/>
            <w:hideMark/>
          </w:tcPr>
          <w:p w14:paraId="608CA3FA" w14:textId="1A54140A" w:rsidR="00621E19" w:rsidRPr="00EC1346" w:rsidRDefault="00621E19" w:rsidP="00621E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14</w:t>
            </w:r>
          </w:p>
        </w:tc>
        <w:tc>
          <w:tcPr>
            <w:tcW w:w="1004" w:type="dxa"/>
            <w:noWrap/>
            <w:vAlign w:val="center"/>
            <w:hideMark/>
          </w:tcPr>
          <w:p w14:paraId="0E7B9A3F" w14:textId="37146D84" w:rsidR="00621E19" w:rsidRPr="00EC1346" w:rsidRDefault="00621E19" w:rsidP="00621E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7</w:t>
            </w:r>
          </w:p>
        </w:tc>
        <w:tc>
          <w:tcPr>
            <w:tcW w:w="1004" w:type="dxa"/>
            <w:noWrap/>
            <w:vAlign w:val="center"/>
            <w:hideMark/>
          </w:tcPr>
          <w:p w14:paraId="36D90FFF" w14:textId="25BA2B36" w:rsidR="00621E19" w:rsidRPr="00EC1346" w:rsidRDefault="00621E19" w:rsidP="00621E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r w:rsidRPr="00EC1346">
              <w:rPr>
                <w:rFonts w:ascii="Calibri" w:hAnsi="Calibri" w:cs="Calibri"/>
                <w:color w:val="538135"/>
              </w:rPr>
              <w:t> </w:t>
            </w:r>
          </w:p>
        </w:tc>
      </w:tr>
      <w:tr w:rsidR="00621E19" w:rsidRPr="00EC1346" w14:paraId="642993D3" w14:textId="77777777" w:rsidTr="00F158C0">
        <w:trPr>
          <w:trHeight w:val="320"/>
        </w:trPr>
        <w:tc>
          <w:tcPr>
            <w:cnfStyle w:val="001000000000" w:firstRow="0" w:lastRow="0" w:firstColumn="1" w:lastColumn="0" w:oddVBand="0" w:evenVBand="0" w:oddHBand="0" w:evenHBand="0" w:firstRowFirstColumn="0" w:firstRowLastColumn="0" w:lastRowFirstColumn="0" w:lastRowLastColumn="0"/>
            <w:tcW w:w="3261" w:type="dxa"/>
            <w:noWrap/>
            <w:vAlign w:val="center"/>
            <w:hideMark/>
          </w:tcPr>
          <w:p w14:paraId="0ECB9C31" w14:textId="2DB38C01" w:rsidR="00621E19" w:rsidRPr="00EC1346" w:rsidRDefault="00621E19" w:rsidP="00621E19">
            <w:pPr>
              <w:rPr>
                <w:rFonts w:ascii="Calibri" w:eastAsia="Times New Roman" w:hAnsi="Calibri"/>
                <w:color w:val="000000"/>
                <w:sz w:val="20"/>
                <w:szCs w:val="20"/>
              </w:rPr>
            </w:pPr>
            <w:r w:rsidRPr="00EC1346">
              <w:rPr>
                <w:rFonts w:ascii="Calibri" w:hAnsi="Calibri" w:cs="Calibri"/>
                <w:bCs w:val="0"/>
                <w:color w:val="000000"/>
                <w:sz w:val="20"/>
                <w:szCs w:val="20"/>
              </w:rPr>
              <w:t>Отчисления в фонд, млрд. руб.</w:t>
            </w:r>
          </w:p>
        </w:tc>
        <w:tc>
          <w:tcPr>
            <w:tcW w:w="1003" w:type="dxa"/>
            <w:noWrap/>
            <w:vAlign w:val="center"/>
            <w:hideMark/>
          </w:tcPr>
          <w:p w14:paraId="3433B22F" w14:textId="3F39DE8C" w:rsidR="00621E19" w:rsidRPr="00EC1346" w:rsidRDefault="00621E19" w:rsidP="00621E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16</w:t>
            </w:r>
          </w:p>
        </w:tc>
        <w:tc>
          <w:tcPr>
            <w:tcW w:w="1004" w:type="dxa"/>
            <w:noWrap/>
            <w:vAlign w:val="center"/>
            <w:hideMark/>
          </w:tcPr>
          <w:p w14:paraId="3E477942" w14:textId="7CAEE624" w:rsidR="00621E19" w:rsidRPr="00EC1346" w:rsidRDefault="00621E19" w:rsidP="00621E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14</w:t>
            </w:r>
          </w:p>
        </w:tc>
        <w:tc>
          <w:tcPr>
            <w:tcW w:w="1004" w:type="dxa"/>
            <w:noWrap/>
            <w:vAlign w:val="center"/>
            <w:hideMark/>
          </w:tcPr>
          <w:p w14:paraId="5703BE0E" w14:textId="4C439320" w:rsidR="00621E19" w:rsidRPr="00EC1346" w:rsidRDefault="00621E19" w:rsidP="00621E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14</w:t>
            </w:r>
          </w:p>
        </w:tc>
        <w:tc>
          <w:tcPr>
            <w:tcW w:w="1003" w:type="dxa"/>
            <w:noWrap/>
            <w:vAlign w:val="center"/>
            <w:hideMark/>
          </w:tcPr>
          <w:p w14:paraId="459EFA33" w14:textId="00F9DEA4" w:rsidR="00621E19" w:rsidRPr="00EC1346" w:rsidRDefault="00621E19" w:rsidP="00621E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14</w:t>
            </w:r>
          </w:p>
        </w:tc>
        <w:tc>
          <w:tcPr>
            <w:tcW w:w="1004" w:type="dxa"/>
            <w:noWrap/>
            <w:vAlign w:val="center"/>
            <w:hideMark/>
          </w:tcPr>
          <w:p w14:paraId="7EF14B91" w14:textId="5C05C89E" w:rsidR="00621E19" w:rsidRPr="00EC1346" w:rsidRDefault="00621E19" w:rsidP="00621E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14</w:t>
            </w:r>
          </w:p>
        </w:tc>
        <w:tc>
          <w:tcPr>
            <w:tcW w:w="1004" w:type="dxa"/>
            <w:noWrap/>
            <w:vAlign w:val="center"/>
            <w:hideMark/>
          </w:tcPr>
          <w:p w14:paraId="09ED001A" w14:textId="2008BF33" w:rsidR="00621E19" w:rsidRPr="00EC1346" w:rsidRDefault="00621E19" w:rsidP="00621E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hAnsi="Calibri" w:cs="Calibri"/>
                <w:b/>
                <w:bCs/>
                <w:color w:val="000000"/>
                <w:sz w:val="20"/>
                <w:szCs w:val="20"/>
              </w:rPr>
              <w:t>72</w:t>
            </w:r>
          </w:p>
        </w:tc>
      </w:tr>
      <w:tr w:rsidR="00621E19" w:rsidRPr="00EC1346" w14:paraId="4A9A0698" w14:textId="77777777" w:rsidTr="00F158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noWrap/>
            <w:vAlign w:val="center"/>
            <w:hideMark/>
          </w:tcPr>
          <w:p w14:paraId="2A18F034" w14:textId="149E18D0" w:rsidR="00621E19" w:rsidRPr="00EC1346" w:rsidRDefault="00621E19" w:rsidP="00621E19">
            <w:pPr>
              <w:rPr>
                <w:rFonts w:ascii="Calibri" w:eastAsia="Times New Roman" w:hAnsi="Calibri"/>
                <w:color w:val="000000"/>
                <w:sz w:val="20"/>
                <w:szCs w:val="20"/>
              </w:rPr>
            </w:pPr>
            <w:r w:rsidRPr="00EC1346">
              <w:rPr>
                <w:rFonts w:ascii="Calibri" w:hAnsi="Calibri" w:cs="Calibri"/>
                <w:bCs w:val="0"/>
                <w:color w:val="000000"/>
                <w:sz w:val="20"/>
                <w:szCs w:val="20"/>
              </w:rPr>
              <w:t>Выплаты на достройку объектов, млрд. руб.</w:t>
            </w:r>
          </w:p>
        </w:tc>
        <w:tc>
          <w:tcPr>
            <w:tcW w:w="1003" w:type="dxa"/>
            <w:noWrap/>
            <w:vAlign w:val="center"/>
            <w:hideMark/>
          </w:tcPr>
          <w:p w14:paraId="19C3B99C" w14:textId="4DEE20EC" w:rsidR="00621E19" w:rsidRPr="00EC1346" w:rsidRDefault="00621E19" w:rsidP="00621E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16</w:t>
            </w:r>
          </w:p>
        </w:tc>
        <w:tc>
          <w:tcPr>
            <w:tcW w:w="1004" w:type="dxa"/>
            <w:noWrap/>
            <w:vAlign w:val="center"/>
            <w:hideMark/>
          </w:tcPr>
          <w:p w14:paraId="04B44A6D" w14:textId="047B90A5" w:rsidR="00621E19" w:rsidRPr="00EC1346" w:rsidRDefault="00621E19" w:rsidP="00621E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43</w:t>
            </w:r>
          </w:p>
        </w:tc>
        <w:tc>
          <w:tcPr>
            <w:tcW w:w="1004" w:type="dxa"/>
            <w:noWrap/>
            <w:vAlign w:val="center"/>
            <w:hideMark/>
          </w:tcPr>
          <w:p w14:paraId="1397E648" w14:textId="31A82108" w:rsidR="00621E19" w:rsidRPr="00EC1346" w:rsidRDefault="00621E19" w:rsidP="00621E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0</w:t>
            </w:r>
          </w:p>
        </w:tc>
        <w:tc>
          <w:tcPr>
            <w:tcW w:w="1003" w:type="dxa"/>
            <w:noWrap/>
            <w:vAlign w:val="center"/>
            <w:hideMark/>
          </w:tcPr>
          <w:p w14:paraId="456A11DA" w14:textId="3E6E1876" w:rsidR="00621E19" w:rsidRPr="00EC1346" w:rsidRDefault="00621E19" w:rsidP="00621E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21</w:t>
            </w:r>
          </w:p>
        </w:tc>
        <w:tc>
          <w:tcPr>
            <w:tcW w:w="1004" w:type="dxa"/>
            <w:noWrap/>
            <w:vAlign w:val="center"/>
            <w:hideMark/>
          </w:tcPr>
          <w:p w14:paraId="113BACCB" w14:textId="2F144E65" w:rsidR="00621E19" w:rsidRPr="00EC1346" w:rsidRDefault="00621E19" w:rsidP="00621E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45</w:t>
            </w:r>
          </w:p>
        </w:tc>
        <w:tc>
          <w:tcPr>
            <w:tcW w:w="1004" w:type="dxa"/>
            <w:noWrap/>
            <w:vAlign w:val="center"/>
            <w:hideMark/>
          </w:tcPr>
          <w:p w14:paraId="39609DFF" w14:textId="4285B9B7" w:rsidR="00621E19" w:rsidRPr="00EC1346" w:rsidRDefault="00621E19" w:rsidP="00621E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r w:rsidRPr="00EC1346">
              <w:rPr>
                <w:rFonts w:ascii="Calibri" w:hAnsi="Calibri" w:cs="Calibri"/>
                <w:b/>
                <w:bCs/>
                <w:color w:val="000000"/>
                <w:sz w:val="20"/>
                <w:szCs w:val="20"/>
              </w:rPr>
              <w:t>125</w:t>
            </w:r>
          </w:p>
        </w:tc>
      </w:tr>
      <w:tr w:rsidR="00621E19" w:rsidRPr="00EC1346" w14:paraId="046B851A" w14:textId="77777777" w:rsidTr="00F158C0">
        <w:trPr>
          <w:trHeight w:val="487"/>
        </w:trPr>
        <w:tc>
          <w:tcPr>
            <w:cnfStyle w:val="001000000000" w:firstRow="0" w:lastRow="0" w:firstColumn="1" w:lastColumn="0" w:oddVBand="0" w:evenVBand="0" w:oddHBand="0" w:evenHBand="0" w:firstRowFirstColumn="0" w:firstRowLastColumn="0" w:lastRowFirstColumn="0" w:lastRowLastColumn="0"/>
            <w:tcW w:w="3261" w:type="dxa"/>
            <w:noWrap/>
            <w:vAlign w:val="center"/>
            <w:hideMark/>
          </w:tcPr>
          <w:p w14:paraId="11FBCF96" w14:textId="6FD13D87" w:rsidR="00621E19" w:rsidRPr="00EC1346" w:rsidRDefault="00621E19" w:rsidP="00621E19">
            <w:pPr>
              <w:rPr>
                <w:rFonts w:ascii="Calibri" w:eastAsia="Times New Roman" w:hAnsi="Calibri"/>
                <w:color w:val="000000"/>
                <w:sz w:val="20"/>
                <w:szCs w:val="20"/>
              </w:rPr>
            </w:pPr>
            <w:r w:rsidRPr="00EC1346">
              <w:rPr>
                <w:rFonts w:ascii="Calibri" w:hAnsi="Calibri" w:cs="Calibri"/>
                <w:bCs w:val="0"/>
                <w:color w:val="000000"/>
                <w:sz w:val="20"/>
                <w:szCs w:val="20"/>
              </w:rPr>
              <w:t>Финансирование из бюджета РФ, млрд. руб.</w:t>
            </w:r>
          </w:p>
        </w:tc>
        <w:tc>
          <w:tcPr>
            <w:tcW w:w="1003" w:type="dxa"/>
            <w:noWrap/>
            <w:vAlign w:val="center"/>
            <w:hideMark/>
          </w:tcPr>
          <w:p w14:paraId="04576338" w14:textId="28E7088E" w:rsidR="00621E19" w:rsidRPr="00EC1346" w:rsidRDefault="00621E19" w:rsidP="00621E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0</w:t>
            </w:r>
          </w:p>
        </w:tc>
        <w:tc>
          <w:tcPr>
            <w:tcW w:w="1004" w:type="dxa"/>
            <w:noWrap/>
            <w:vAlign w:val="center"/>
            <w:hideMark/>
          </w:tcPr>
          <w:p w14:paraId="278617E3" w14:textId="2B9CE474" w:rsidR="00621E19" w:rsidRPr="00EC1346" w:rsidRDefault="00621E19" w:rsidP="00621E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29</w:t>
            </w:r>
          </w:p>
        </w:tc>
        <w:tc>
          <w:tcPr>
            <w:tcW w:w="1004" w:type="dxa"/>
            <w:noWrap/>
            <w:vAlign w:val="center"/>
            <w:hideMark/>
          </w:tcPr>
          <w:p w14:paraId="5E4F3050" w14:textId="20E2FCD0" w:rsidR="00621E19" w:rsidRPr="00EC1346" w:rsidRDefault="00621E19" w:rsidP="00621E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0</w:t>
            </w:r>
          </w:p>
        </w:tc>
        <w:tc>
          <w:tcPr>
            <w:tcW w:w="1003" w:type="dxa"/>
            <w:noWrap/>
            <w:vAlign w:val="center"/>
            <w:hideMark/>
          </w:tcPr>
          <w:p w14:paraId="1EFD4687" w14:textId="6BF3DB68" w:rsidR="00621E19" w:rsidRPr="00EC1346" w:rsidRDefault="00621E19" w:rsidP="00621E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0</w:t>
            </w:r>
          </w:p>
        </w:tc>
        <w:tc>
          <w:tcPr>
            <w:tcW w:w="1004" w:type="dxa"/>
            <w:noWrap/>
            <w:vAlign w:val="center"/>
            <w:hideMark/>
          </w:tcPr>
          <w:p w14:paraId="75877E3C" w14:textId="632645E0" w:rsidR="00621E19" w:rsidRPr="00EC1346" w:rsidRDefault="00621E19" w:rsidP="00621E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color w:val="000000"/>
                <w:sz w:val="20"/>
                <w:szCs w:val="20"/>
              </w:rPr>
              <w:t>24</w:t>
            </w:r>
          </w:p>
        </w:tc>
        <w:tc>
          <w:tcPr>
            <w:tcW w:w="1004" w:type="dxa"/>
            <w:noWrap/>
            <w:vAlign w:val="center"/>
            <w:hideMark/>
          </w:tcPr>
          <w:p w14:paraId="6A02B1CA" w14:textId="76691DC6" w:rsidR="00621E19" w:rsidRPr="00EC1346" w:rsidRDefault="00621E19" w:rsidP="00621E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rPr>
            </w:pPr>
            <w:r w:rsidRPr="00EC1346">
              <w:rPr>
                <w:rFonts w:ascii="Calibri" w:hAnsi="Calibri" w:cs="Calibri"/>
                <w:b/>
                <w:bCs/>
                <w:color w:val="000000"/>
                <w:sz w:val="20"/>
                <w:szCs w:val="20"/>
              </w:rPr>
              <w:t>53</w:t>
            </w:r>
          </w:p>
        </w:tc>
      </w:tr>
      <w:tr w:rsidR="00621E19" w:rsidRPr="00EC1346" w14:paraId="7B81415A" w14:textId="77777777" w:rsidTr="00F158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noWrap/>
            <w:vAlign w:val="center"/>
            <w:hideMark/>
          </w:tcPr>
          <w:p w14:paraId="2BDDED72" w14:textId="060AFF84" w:rsidR="00621E19" w:rsidRPr="00EC1346" w:rsidRDefault="00621E19" w:rsidP="00621E19">
            <w:pPr>
              <w:rPr>
                <w:rFonts w:ascii="Calibri" w:eastAsia="Times New Roman" w:hAnsi="Calibri"/>
                <w:color w:val="000000"/>
                <w:sz w:val="20"/>
                <w:szCs w:val="20"/>
              </w:rPr>
            </w:pPr>
            <w:r w:rsidRPr="00EC1346">
              <w:rPr>
                <w:rFonts w:ascii="Calibri" w:hAnsi="Calibri" w:cs="Calibri"/>
                <w:bCs w:val="0"/>
                <w:color w:val="000000"/>
                <w:sz w:val="20"/>
                <w:szCs w:val="20"/>
              </w:rPr>
              <w:t>Доля фонда в объеме выплат, %</w:t>
            </w:r>
          </w:p>
        </w:tc>
        <w:tc>
          <w:tcPr>
            <w:tcW w:w="1003" w:type="dxa"/>
            <w:noWrap/>
            <w:vAlign w:val="center"/>
            <w:hideMark/>
          </w:tcPr>
          <w:p w14:paraId="7BEAEE53" w14:textId="6886B74F" w:rsidR="00621E19" w:rsidRPr="00EC1346" w:rsidRDefault="00621E19" w:rsidP="00621E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b/>
                <w:bCs/>
                <w:color w:val="000000"/>
                <w:sz w:val="20"/>
                <w:szCs w:val="20"/>
              </w:rPr>
              <w:t>100%</w:t>
            </w:r>
          </w:p>
        </w:tc>
        <w:tc>
          <w:tcPr>
            <w:tcW w:w="1004" w:type="dxa"/>
            <w:noWrap/>
            <w:vAlign w:val="center"/>
            <w:hideMark/>
          </w:tcPr>
          <w:p w14:paraId="7EC5E407" w14:textId="2FC64007" w:rsidR="00621E19" w:rsidRPr="00EC1346" w:rsidRDefault="00621E19" w:rsidP="00621E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b/>
                <w:bCs/>
                <w:color w:val="000000"/>
                <w:sz w:val="20"/>
                <w:szCs w:val="20"/>
              </w:rPr>
              <w:t>33%</w:t>
            </w:r>
          </w:p>
        </w:tc>
        <w:tc>
          <w:tcPr>
            <w:tcW w:w="1004" w:type="dxa"/>
            <w:noWrap/>
            <w:vAlign w:val="center"/>
            <w:hideMark/>
          </w:tcPr>
          <w:p w14:paraId="08C9E6BE" w14:textId="1BE1758E" w:rsidR="00621E19" w:rsidRPr="00EC1346" w:rsidRDefault="00621E19" w:rsidP="00621E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b/>
                <w:bCs/>
                <w:color w:val="000000"/>
                <w:sz w:val="20"/>
                <w:szCs w:val="20"/>
              </w:rPr>
              <w:t>100%</w:t>
            </w:r>
          </w:p>
        </w:tc>
        <w:tc>
          <w:tcPr>
            <w:tcW w:w="1003" w:type="dxa"/>
            <w:noWrap/>
            <w:vAlign w:val="center"/>
            <w:hideMark/>
          </w:tcPr>
          <w:p w14:paraId="44A5C6CA" w14:textId="2892CF7F" w:rsidR="00621E19" w:rsidRPr="00EC1346" w:rsidRDefault="00621E19" w:rsidP="00621E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b/>
                <w:bCs/>
                <w:color w:val="000000"/>
                <w:sz w:val="20"/>
                <w:szCs w:val="20"/>
              </w:rPr>
              <w:t>100%</w:t>
            </w:r>
          </w:p>
        </w:tc>
        <w:tc>
          <w:tcPr>
            <w:tcW w:w="1004" w:type="dxa"/>
            <w:noWrap/>
            <w:vAlign w:val="center"/>
            <w:hideMark/>
          </w:tcPr>
          <w:p w14:paraId="26C7FCF7" w14:textId="5F25196C" w:rsidR="00621E19" w:rsidRPr="00EC1346" w:rsidRDefault="00621E19" w:rsidP="00621E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EC1346">
              <w:rPr>
                <w:rFonts w:ascii="Calibri" w:hAnsi="Calibri" w:cs="Calibri"/>
                <w:b/>
                <w:bCs/>
                <w:color w:val="000000"/>
                <w:sz w:val="20"/>
                <w:szCs w:val="20"/>
              </w:rPr>
              <w:t>47%</w:t>
            </w:r>
          </w:p>
        </w:tc>
        <w:tc>
          <w:tcPr>
            <w:tcW w:w="1004" w:type="dxa"/>
            <w:noWrap/>
            <w:vAlign w:val="center"/>
            <w:hideMark/>
          </w:tcPr>
          <w:p w14:paraId="61405171" w14:textId="06BAA036" w:rsidR="00621E19" w:rsidRPr="00EC1346" w:rsidRDefault="00621E19" w:rsidP="00621E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rPr>
            </w:pPr>
            <w:r w:rsidRPr="00EC1346">
              <w:rPr>
                <w:rFonts w:ascii="Calibri" w:hAnsi="Calibri" w:cs="Calibri"/>
                <w:b/>
                <w:bCs/>
                <w:color w:val="000000"/>
                <w:sz w:val="20"/>
                <w:szCs w:val="20"/>
              </w:rPr>
              <w:t>58%</w:t>
            </w:r>
          </w:p>
        </w:tc>
      </w:tr>
    </w:tbl>
    <w:p w14:paraId="40A0E3E6" w14:textId="77777777" w:rsidR="00621E19" w:rsidRPr="00EC1346" w:rsidRDefault="00621E19" w:rsidP="00B60780">
      <w:pPr>
        <w:spacing w:after="120" w:line="360" w:lineRule="auto"/>
        <w:jc w:val="both"/>
        <w:rPr>
          <w:rFonts w:asciiTheme="minorHAnsi" w:hAnsiTheme="minorHAnsi"/>
          <w:b/>
          <w:i/>
        </w:rPr>
      </w:pPr>
    </w:p>
    <w:p w14:paraId="295EB926" w14:textId="4611ED1A" w:rsidR="00B60780" w:rsidRPr="00EC1346" w:rsidRDefault="00621E19" w:rsidP="00B60780">
      <w:pPr>
        <w:spacing w:after="120" w:line="360" w:lineRule="auto"/>
        <w:jc w:val="both"/>
        <w:rPr>
          <w:rFonts w:asciiTheme="minorHAnsi" w:hAnsiTheme="minorHAnsi"/>
          <w:b/>
          <w:i/>
        </w:rPr>
      </w:pPr>
      <w:r w:rsidRPr="00EC1346">
        <w:rPr>
          <w:rFonts w:asciiTheme="minorHAnsi" w:hAnsiTheme="minorHAnsi"/>
        </w:rPr>
        <w:t>Таким образом, любой из сценариев показывает необходимость бюджетного финансирования деятельности Компенсационного фонда, в виде первоначального финансирования или регулярного пополнения для осуществления выплат дольщикам.</w:t>
      </w:r>
      <w:r w:rsidR="00B60780" w:rsidRPr="00EC1346">
        <w:rPr>
          <w:rFonts w:asciiTheme="minorHAnsi" w:hAnsiTheme="minorHAnsi"/>
          <w:b/>
          <w:i/>
        </w:rPr>
        <w:br w:type="page"/>
      </w:r>
    </w:p>
    <w:p w14:paraId="4D9A818B" w14:textId="77777777" w:rsidR="00EE314E" w:rsidRPr="00EC1346" w:rsidRDefault="00EE314E">
      <w:pPr>
        <w:rPr>
          <w:rFonts w:asciiTheme="minorHAnsi" w:hAnsiTheme="minorHAnsi"/>
          <w:b/>
          <w:i/>
        </w:rPr>
      </w:pPr>
    </w:p>
    <w:p w14:paraId="01667DA1" w14:textId="0A2ADCA1" w:rsidR="00F26CB0" w:rsidRPr="00EC1346" w:rsidRDefault="00F26CB0" w:rsidP="00474935">
      <w:pPr>
        <w:spacing w:after="120" w:line="360" w:lineRule="auto"/>
        <w:jc w:val="both"/>
        <w:rPr>
          <w:rFonts w:asciiTheme="minorHAnsi" w:hAnsiTheme="minorHAnsi"/>
          <w:b/>
          <w:i/>
        </w:rPr>
      </w:pPr>
      <w:r w:rsidRPr="00EC1346">
        <w:rPr>
          <w:rFonts w:asciiTheme="minorHAnsi" w:hAnsiTheme="minorHAnsi"/>
          <w:b/>
          <w:i/>
        </w:rPr>
        <w:t>Выводы</w:t>
      </w:r>
    </w:p>
    <w:p w14:paraId="29C567D9" w14:textId="2C1FA221" w:rsidR="00F8418B" w:rsidRPr="00EC1346" w:rsidRDefault="00F8418B" w:rsidP="00F8418B">
      <w:pPr>
        <w:spacing w:after="120" w:line="360" w:lineRule="auto"/>
        <w:jc w:val="both"/>
        <w:rPr>
          <w:rFonts w:asciiTheme="minorHAnsi" w:hAnsiTheme="minorHAnsi"/>
        </w:rPr>
      </w:pPr>
      <w:r w:rsidRPr="00EC1346">
        <w:rPr>
          <w:rFonts w:asciiTheme="minorHAnsi" w:hAnsiTheme="minorHAnsi"/>
        </w:rPr>
        <w:t>Создание Компенсационного Фонда для обеспечения обязатель</w:t>
      </w:r>
      <w:proofErr w:type="gramStart"/>
      <w:r w:rsidRPr="00EC1346">
        <w:rPr>
          <w:rFonts w:asciiTheme="minorHAnsi" w:hAnsiTheme="minorHAnsi"/>
        </w:rPr>
        <w:t>ств вс</w:t>
      </w:r>
      <w:proofErr w:type="gramEnd"/>
      <w:r w:rsidRPr="00EC1346">
        <w:rPr>
          <w:rFonts w:asciiTheme="minorHAnsi" w:hAnsiTheme="minorHAnsi"/>
        </w:rPr>
        <w:t xml:space="preserve">ех застройщиков в условиях кризисной ситуации в </w:t>
      </w:r>
      <w:r w:rsidR="00557D58" w:rsidRPr="00EC1346">
        <w:rPr>
          <w:rFonts w:asciiTheme="minorHAnsi" w:hAnsiTheme="minorHAnsi"/>
        </w:rPr>
        <w:t>жилищном строительстве и падения</w:t>
      </w:r>
      <w:r w:rsidRPr="00EC1346">
        <w:rPr>
          <w:rFonts w:asciiTheme="minorHAnsi" w:hAnsiTheme="minorHAnsi"/>
        </w:rPr>
        <w:t xml:space="preserve"> объемов рынка долевого строительства может привести к быстрому исчерпанию его ресурсов и необходимости </w:t>
      </w:r>
      <w:proofErr w:type="spellStart"/>
      <w:r w:rsidRPr="00EC1346">
        <w:rPr>
          <w:rFonts w:asciiTheme="minorHAnsi" w:hAnsiTheme="minorHAnsi"/>
        </w:rPr>
        <w:t>докапитализации</w:t>
      </w:r>
      <w:proofErr w:type="spellEnd"/>
      <w:r w:rsidRPr="00EC1346">
        <w:rPr>
          <w:rFonts w:asciiTheme="minorHAnsi" w:hAnsiTheme="minorHAnsi"/>
        </w:rPr>
        <w:t xml:space="preserve"> за счет бюджета.</w:t>
      </w:r>
      <w:r w:rsidR="0068688E" w:rsidRPr="00EC1346">
        <w:rPr>
          <w:rFonts w:asciiTheme="minorHAnsi" w:hAnsiTheme="minorHAnsi"/>
        </w:rPr>
        <w:t xml:space="preserve"> Банкротство крупного девелопера на старте работы Фонда приведёт к одномоментному исчерпанию средств Фонда.</w:t>
      </w:r>
      <w:r w:rsidRPr="00EC1346">
        <w:rPr>
          <w:rFonts w:asciiTheme="minorHAnsi" w:hAnsiTheme="minorHAnsi"/>
        </w:rPr>
        <w:t xml:space="preserve"> Серьезным недостатком идеи Фонда является «выравнивание» надежности застройщиков и </w:t>
      </w:r>
      <w:proofErr w:type="gramStart"/>
      <w:r w:rsidRPr="00EC1346">
        <w:rPr>
          <w:rFonts w:asciiTheme="minorHAnsi" w:hAnsiTheme="minorHAnsi"/>
        </w:rPr>
        <w:t>потенциальный</w:t>
      </w:r>
      <w:proofErr w:type="gramEnd"/>
      <w:r w:rsidRPr="00EC1346">
        <w:rPr>
          <w:rFonts w:asciiTheme="minorHAnsi" w:hAnsiTheme="minorHAnsi"/>
        </w:rPr>
        <w:t xml:space="preserve"> </w:t>
      </w:r>
      <w:r w:rsidR="00234A05" w:rsidRPr="00EC1346">
        <w:rPr>
          <w:rFonts w:asciiTheme="minorHAnsi" w:hAnsiTheme="minorHAnsi"/>
        </w:rPr>
        <w:t>трансфер</w:t>
      </w:r>
      <w:r w:rsidRPr="00EC1346">
        <w:rPr>
          <w:rFonts w:asciiTheme="minorHAnsi" w:hAnsiTheme="minorHAnsi"/>
        </w:rPr>
        <w:t xml:space="preserve"> </w:t>
      </w:r>
      <w:r w:rsidR="0068688E" w:rsidRPr="00EC1346">
        <w:rPr>
          <w:rFonts w:asciiTheme="minorHAnsi" w:hAnsiTheme="minorHAnsi"/>
        </w:rPr>
        <w:t>экономических выгод</w:t>
      </w:r>
      <w:r w:rsidRPr="00EC1346">
        <w:rPr>
          <w:rFonts w:asciiTheme="minorHAnsi" w:hAnsiTheme="minorHAnsi"/>
        </w:rPr>
        <w:t xml:space="preserve"> от эффективных и добросовестных застройщиков к неэффективным и недобросовестным. </w:t>
      </w:r>
    </w:p>
    <w:p w14:paraId="24A5B623" w14:textId="4F3FC823" w:rsidR="00234A05" w:rsidRPr="00EC1346" w:rsidRDefault="00234A05" w:rsidP="00F8418B">
      <w:pPr>
        <w:spacing w:after="120" w:line="360" w:lineRule="auto"/>
        <w:jc w:val="both"/>
        <w:rPr>
          <w:rFonts w:asciiTheme="minorHAnsi" w:hAnsiTheme="minorHAnsi"/>
        </w:rPr>
      </w:pPr>
      <w:r w:rsidRPr="00EC1346">
        <w:rPr>
          <w:rFonts w:asciiTheme="minorHAnsi" w:hAnsiTheme="minorHAnsi"/>
        </w:rPr>
        <w:t xml:space="preserve">При проведении экономического моделирования в рамках заданных сценарных условий, вероятность наступления которых с учетом текущих трендов представляется довольно высокой, </w:t>
      </w:r>
      <w:r w:rsidR="0042349D" w:rsidRPr="00EC1346">
        <w:rPr>
          <w:rFonts w:asciiTheme="minorHAnsi" w:hAnsiTheme="minorHAnsi"/>
        </w:rPr>
        <w:t xml:space="preserve">было выявлено, что </w:t>
      </w:r>
      <w:r w:rsidRPr="00EC1346">
        <w:rPr>
          <w:rFonts w:asciiTheme="minorHAnsi" w:hAnsiTheme="minorHAnsi"/>
        </w:rPr>
        <w:t xml:space="preserve">средства Компенсационного Фонда </w:t>
      </w:r>
      <w:r w:rsidR="0042349D" w:rsidRPr="00EC1346">
        <w:rPr>
          <w:rFonts w:asciiTheme="minorHAnsi" w:hAnsiTheme="minorHAnsi"/>
        </w:rPr>
        <w:t>будут исчерпаны уже в 2018 </w:t>
      </w:r>
      <w:r w:rsidRPr="00EC1346">
        <w:rPr>
          <w:rFonts w:asciiTheme="minorHAnsi" w:hAnsiTheme="minorHAnsi"/>
        </w:rPr>
        <w:t>г.</w:t>
      </w:r>
      <w:r w:rsidR="00EB11D5" w:rsidRPr="00EC1346">
        <w:rPr>
          <w:rFonts w:asciiTheme="minorHAnsi" w:hAnsiTheme="minorHAnsi"/>
        </w:rPr>
        <w:t xml:space="preserve"> (и даже в 2017 г. - при </w:t>
      </w:r>
      <w:r w:rsidR="00B60780" w:rsidRPr="00EC1346">
        <w:rPr>
          <w:rFonts w:asciiTheme="minorHAnsi" w:hAnsiTheme="minorHAnsi"/>
        </w:rPr>
        <w:t>отсутствии первоначального капитала</w:t>
      </w:r>
      <w:r w:rsidR="00EB11D5" w:rsidRPr="00EC1346">
        <w:rPr>
          <w:rFonts w:asciiTheme="minorHAnsi" w:hAnsiTheme="minorHAnsi"/>
        </w:rPr>
        <w:t>)</w:t>
      </w:r>
      <w:r w:rsidR="0042349D" w:rsidRPr="00EC1346">
        <w:rPr>
          <w:rFonts w:asciiTheme="minorHAnsi" w:hAnsiTheme="minorHAnsi"/>
        </w:rPr>
        <w:t>, что приводит</w:t>
      </w:r>
      <w:r w:rsidRPr="00EC1346">
        <w:rPr>
          <w:rFonts w:asciiTheme="minorHAnsi" w:hAnsiTheme="minorHAnsi"/>
        </w:rPr>
        <w:t xml:space="preserve"> к необходимости его </w:t>
      </w:r>
      <w:proofErr w:type="spellStart"/>
      <w:r w:rsidRPr="00EC1346">
        <w:rPr>
          <w:rFonts w:asciiTheme="minorHAnsi" w:hAnsiTheme="minorHAnsi"/>
        </w:rPr>
        <w:t>докапитализации</w:t>
      </w:r>
      <w:proofErr w:type="spellEnd"/>
      <w:r w:rsidRPr="00EC1346">
        <w:rPr>
          <w:rFonts w:asciiTheme="minorHAnsi" w:hAnsiTheme="minorHAnsi"/>
        </w:rPr>
        <w:t xml:space="preserve"> из бюджета. Прогнозируемый объем бюджетного финансирования до 2021 г. составил более 700 млрд. руб., что с учетом численности экономически занятого населения РФ в размере 72 млн. чел., сопоставимо с тем, что каждый </w:t>
      </w:r>
      <w:r w:rsidR="0042349D" w:rsidRPr="00EC1346">
        <w:rPr>
          <w:rFonts w:asciiTheme="minorHAnsi" w:hAnsiTheme="minorHAnsi"/>
        </w:rPr>
        <w:t>работающий</w:t>
      </w:r>
      <w:r w:rsidRPr="00EC1346">
        <w:rPr>
          <w:rFonts w:asciiTheme="minorHAnsi" w:hAnsiTheme="minorHAnsi"/>
        </w:rPr>
        <w:t xml:space="preserve"> гражданин в течение пяти лет должен обеспечить 9,7 тыс. руб. налоговых выплат для решения проблемы обманутых дольщиков. Обоснованность подобного трансфера от налогоплательщиков обманутым дольщикам (</w:t>
      </w:r>
      <w:r w:rsidR="0042349D" w:rsidRPr="00EC1346">
        <w:rPr>
          <w:rFonts w:asciiTheme="minorHAnsi" w:hAnsiTheme="minorHAnsi"/>
        </w:rPr>
        <w:t xml:space="preserve">как и </w:t>
      </w:r>
      <w:r w:rsidRPr="00EC1346">
        <w:rPr>
          <w:rFonts w:asciiTheme="minorHAnsi" w:hAnsiTheme="minorHAnsi"/>
        </w:rPr>
        <w:t>трансфера экономических выгод от эффективных застройщиков в пользу неэффективных) вызывает вопросы. Фактически, одним из последствий создания компенсационного фонда в рассматриваемой конструкции может стать снижение эффективности работы строительной отрасли, оплаченное налогоплательщиками.</w:t>
      </w:r>
    </w:p>
    <w:p w14:paraId="10FD62C2" w14:textId="6C98214E" w:rsidR="00EB11D5" w:rsidRPr="00EC1346" w:rsidRDefault="00EB11D5" w:rsidP="00F8418B">
      <w:pPr>
        <w:spacing w:after="120" w:line="360" w:lineRule="auto"/>
        <w:jc w:val="both"/>
        <w:rPr>
          <w:rFonts w:asciiTheme="minorHAnsi" w:hAnsiTheme="minorHAnsi"/>
        </w:rPr>
      </w:pPr>
      <w:proofErr w:type="gramStart"/>
      <w:r w:rsidRPr="00EC1346">
        <w:rPr>
          <w:rFonts w:asciiTheme="minorHAnsi" w:hAnsiTheme="minorHAnsi"/>
        </w:rPr>
        <w:t xml:space="preserve">Сценарий, предполагающий внесение активов и обязательств существующих участников страхового рынка в Компенсационный Фонд, существенно увеличивает объем потенциальных выплат и вероятность исчерпания средств Фонда уже в 2017 г. Представляется, что реализация подобного сценария может быть интересна страховым организациям с «проблемным» портфелем застройщиков и объектов, так как позволит обеспечить завершение строительства за счет распределения рисков через </w:t>
      </w:r>
      <w:r w:rsidRPr="00EC1346">
        <w:rPr>
          <w:rFonts w:asciiTheme="minorHAnsi" w:hAnsiTheme="minorHAnsi"/>
        </w:rPr>
        <w:lastRenderedPageBreak/>
        <w:t>Компенсационный Фонд на других застройщиков и</w:t>
      </w:r>
      <w:proofErr w:type="gramEnd"/>
      <w:r w:rsidRPr="00EC1346">
        <w:rPr>
          <w:rFonts w:asciiTheme="minorHAnsi" w:hAnsiTheme="minorHAnsi"/>
        </w:rPr>
        <w:t xml:space="preserve"> (при </w:t>
      </w:r>
      <w:proofErr w:type="spellStart"/>
      <w:proofErr w:type="gramStart"/>
      <w:r w:rsidRPr="00EC1346">
        <w:rPr>
          <w:rFonts w:asciiTheme="minorHAnsi" w:hAnsiTheme="minorHAnsi"/>
        </w:rPr>
        <w:t>при</w:t>
      </w:r>
      <w:proofErr w:type="spellEnd"/>
      <w:proofErr w:type="gramEnd"/>
      <w:r w:rsidRPr="00EC1346">
        <w:rPr>
          <w:rFonts w:asciiTheme="minorHAnsi" w:hAnsiTheme="minorHAnsi"/>
        </w:rPr>
        <w:t xml:space="preserve"> исчерпании средств Фонда) на бюджет РФ.</w:t>
      </w:r>
    </w:p>
    <w:p w14:paraId="43F64DA9" w14:textId="16D91E89" w:rsidR="003441D8" w:rsidRPr="00EC1346" w:rsidRDefault="00EB11D5" w:rsidP="00F8418B">
      <w:pPr>
        <w:spacing w:after="120" w:line="360" w:lineRule="auto"/>
        <w:jc w:val="both"/>
        <w:rPr>
          <w:rFonts w:asciiTheme="minorHAnsi" w:hAnsiTheme="minorHAnsi"/>
        </w:rPr>
      </w:pPr>
      <w:r w:rsidRPr="00EC1346">
        <w:rPr>
          <w:rFonts w:asciiTheme="minorHAnsi" w:hAnsiTheme="minorHAnsi"/>
        </w:rPr>
        <w:t>П</w:t>
      </w:r>
      <w:r w:rsidR="003441D8" w:rsidRPr="00EC1346">
        <w:rPr>
          <w:rFonts w:asciiTheme="minorHAnsi" w:hAnsiTheme="minorHAnsi"/>
        </w:rPr>
        <w:t>отенциальн</w:t>
      </w:r>
      <w:r w:rsidRPr="00EC1346">
        <w:rPr>
          <w:rFonts w:asciiTheme="minorHAnsi" w:hAnsiTheme="minorHAnsi"/>
        </w:rPr>
        <w:t>о негативным эффектом создания Компенсационного Ф</w:t>
      </w:r>
      <w:r w:rsidR="003441D8" w:rsidRPr="00EC1346">
        <w:rPr>
          <w:rFonts w:asciiTheme="minorHAnsi" w:hAnsiTheme="minorHAnsi"/>
        </w:rPr>
        <w:t>онда может стать искусственное увеличение доли сделок по долевому строительству в общем объеме сделок по приобретению жилой недвижимости. С учетом роста объемов ввода жилья в 2014-2015 гг. и сокращения количества заключенных договоров долевого участия в 2016 г., одной из тенденций на рынке в ближайшем будущем может стать увеличение доли продаж готового жилья. Эта тенденция может снизить остроту проблемы обманутых дольщиков только за счет снижения количества заключаемых договоров. Компенсационный фонд, фактически гарантируя дольщику получение квартиры, с одной стороны будет способствовать привлечению застройщиками денежных средств от дольщиков именно на этапе строительства, а с другой стороны уменьшит привлекательность опции приобретения готового жилья для покупателей. В данном случае, этот механизм можно назвать самовоспроизводящимся, когда Компенсационный Фонд будет стимулировать дольщиков приобретать жилье на этапе строительства, а объем заключенных дольщиками договоров будет подкреплять необходимость Фонда как гаранта обязательств.</w:t>
      </w:r>
    </w:p>
    <w:p w14:paraId="79C72ED1" w14:textId="096F4E97" w:rsidR="00F8418B" w:rsidRPr="00F8418B" w:rsidRDefault="00F8418B" w:rsidP="00F8418B">
      <w:pPr>
        <w:spacing w:after="120" w:line="360" w:lineRule="auto"/>
        <w:jc w:val="both"/>
        <w:rPr>
          <w:rFonts w:asciiTheme="minorHAnsi" w:hAnsiTheme="minorHAnsi"/>
        </w:rPr>
      </w:pPr>
      <w:r w:rsidRPr="00EC1346">
        <w:rPr>
          <w:rFonts w:asciiTheme="minorHAnsi" w:hAnsiTheme="minorHAnsi"/>
        </w:rPr>
        <w:t xml:space="preserve">С точки зрения минимизации расходов Фонда и потенциальных вливаний из бюджета, наиболее предпочтительным является вариант </w:t>
      </w:r>
      <w:r w:rsidR="00557D58" w:rsidRPr="00EC1346">
        <w:rPr>
          <w:rFonts w:asciiTheme="minorHAnsi" w:hAnsiTheme="minorHAnsi"/>
        </w:rPr>
        <w:t>его работы,</w:t>
      </w:r>
      <w:r w:rsidRPr="00EC1346">
        <w:rPr>
          <w:rFonts w:asciiTheme="minorHAnsi" w:hAnsiTheme="minorHAnsi"/>
        </w:rPr>
        <w:t xml:space="preserve"> при котором будет востребована как компетенци</w:t>
      </w:r>
      <w:r w:rsidR="00557D58" w:rsidRPr="00EC1346">
        <w:rPr>
          <w:rFonts w:asciiTheme="minorHAnsi" w:hAnsiTheme="minorHAnsi"/>
        </w:rPr>
        <w:t>я страховых компаний по отбору застройщиков и их объектов</w:t>
      </w:r>
      <w:r w:rsidRPr="00EC1346">
        <w:rPr>
          <w:rFonts w:asciiTheme="minorHAnsi" w:hAnsiTheme="minorHAnsi"/>
        </w:rPr>
        <w:t>, так и финансовая емкость страховых и перестраховочных компаний.</w:t>
      </w:r>
    </w:p>
    <w:p w14:paraId="3A3EC1A7" w14:textId="77777777" w:rsidR="00F26CB0" w:rsidRPr="00965EAA" w:rsidRDefault="00F26CB0" w:rsidP="00F26CB0">
      <w:pPr>
        <w:pStyle w:val="a3"/>
        <w:spacing w:after="120" w:line="360" w:lineRule="auto"/>
        <w:rPr>
          <w:sz w:val="24"/>
          <w:szCs w:val="24"/>
        </w:rPr>
      </w:pPr>
    </w:p>
    <w:p w14:paraId="72AE7C38" w14:textId="77777777" w:rsidR="00F26CB0" w:rsidRPr="00965EAA" w:rsidRDefault="00F26CB0" w:rsidP="00F26CB0">
      <w:pPr>
        <w:rPr>
          <w:rFonts w:asciiTheme="minorHAnsi" w:hAnsiTheme="minorHAnsi"/>
        </w:rPr>
      </w:pPr>
    </w:p>
    <w:sectPr w:rsidR="00F26CB0" w:rsidRPr="00965EAA" w:rsidSect="002F65E5">
      <w:footerReference w:type="even" r:id="rId19"/>
      <w:footerReference w:type="default" r:id="rId20"/>
      <w:pgSz w:w="12240" w:h="15840"/>
      <w:pgMar w:top="1134" w:right="900" w:bottom="1135"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C75C3" w14:textId="77777777" w:rsidR="00903D90" w:rsidRDefault="00903D90" w:rsidP="003A7B1E">
      <w:r>
        <w:separator/>
      </w:r>
    </w:p>
  </w:endnote>
  <w:endnote w:type="continuationSeparator" w:id="0">
    <w:p w14:paraId="2AEF48FD" w14:textId="77777777" w:rsidR="00903D90" w:rsidRDefault="00903D90" w:rsidP="003A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ourier New"/>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21340" w14:textId="77777777" w:rsidR="00FB20EA" w:rsidRDefault="00FB20EA" w:rsidP="008C6717">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end"/>
    </w:r>
  </w:p>
  <w:p w14:paraId="19EE131D" w14:textId="77777777" w:rsidR="00FB20EA" w:rsidRDefault="00FB20EA" w:rsidP="002F65E5">
    <w:pPr>
      <w:pStyle w:val="ac"/>
      <w:framePr w:wrap="none" w:vAnchor="text" w:hAnchor="margin" w:xAlign="right" w:y="1"/>
      <w:ind w:right="360"/>
      <w:rPr>
        <w:rStyle w:val="ae"/>
      </w:rPr>
    </w:pPr>
    <w:r>
      <w:rPr>
        <w:rStyle w:val="ae"/>
      </w:rPr>
      <w:fldChar w:fldCharType="begin"/>
    </w:r>
    <w:r>
      <w:rPr>
        <w:rStyle w:val="ae"/>
      </w:rPr>
      <w:instrText xml:space="preserve">PAGE  </w:instrText>
    </w:r>
    <w:r>
      <w:rPr>
        <w:rStyle w:val="ae"/>
      </w:rPr>
      <w:fldChar w:fldCharType="end"/>
    </w:r>
  </w:p>
  <w:p w14:paraId="45338AB7" w14:textId="77777777" w:rsidR="00FB20EA" w:rsidRDefault="00FB20EA" w:rsidP="002F65E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92E81" w14:textId="77777777" w:rsidR="00FB20EA" w:rsidRPr="002F65E5" w:rsidRDefault="00FB20EA" w:rsidP="008C6717">
    <w:pPr>
      <w:pStyle w:val="ac"/>
      <w:framePr w:wrap="none" w:vAnchor="text" w:hAnchor="margin" w:xAlign="right" w:y="1"/>
      <w:rPr>
        <w:rStyle w:val="ae"/>
        <w:rFonts w:asciiTheme="minorHAnsi" w:hAnsiTheme="minorHAnsi"/>
      </w:rPr>
    </w:pPr>
    <w:r w:rsidRPr="002F65E5">
      <w:rPr>
        <w:rStyle w:val="ae"/>
        <w:rFonts w:asciiTheme="minorHAnsi" w:hAnsiTheme="minorHAnsi"/>
      </w:rPr>
      <w:fldChar w:fldCharType="begin"/>
    </w:r>
    <w:r w:rsidRPr="002F65E5">
      <w:rPr>
        <w:rStyle w:val="ae"/>
        <w:rFonts w:asciiTheme="minorHAnsi" w:hAnsiTheme="minorHAnsi"/>
      </w:rPr>
      <w:instrText xml:space="preserve">PAGE  </w:instrText>
    </w:r>
    <w:r w:rsidRPr="002F65E5">
      <w:rPr>
        <w:rStyle w:val="ae"/>
        <w:rFonts w:asciiTheme="minorHAnsi" w:hAnsiTheme="minorHAnsi"/>
      </w:rPr>
      <w:fldChar w:fldCharType="separate"/>
    </w:r>
    <w:r w:rsidR="00ED529B">
      <w:rPr>
        <w:rStyle w:val="ae"/>
        <w:rFonts w:asciiTheme="minorHAnsi" w:hAnsiTheme="minorHAnsi"/>
        <w:noProof/>
      </w:rPr>
      <w:t>3</w:t>
    </w:r>
    <w:r w:rsidRPr="002F65E5">
      <w:rPr>
        <w:rStyle w:val="ae"/>
        <w:rFonts w:asciiTheme="minorHAnsi" w:hAnsiTheme="minorHAnsi"/>
      </w:rPr>
      <w:fldChar w:fldCharType="end"/>
    </w:r>
  </w:p>
  <w:p w14:paraId="4E15A554" w14:textId="77777777" w:rsidR="00FB20EA" w:rsidRPr="002F65E5" w:rsidRDefault="00FB20EA" w:rsidP="002F65E5">
    <w:pPr>
      <w:pStyle w:val="ac"/>
      <w:ind w:right="36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88D70" w14:textId="77777777" w:rsidR="00903D90" w:rsidRDefault="00903D90" w:rsidP="003A7B1E">
      <w:r>
        <w:separator/>
      </w:r>
    </w:p>
  </w:footnote>
  <w:footnote w:type="continuationSeparator" w:id="0">
    <w:p w14:paraId="5775BE0B" w14:textId="77777777" w:rsidR="00903D90" w:rsidRDefault="00903D90" w:rsidP="003A7B1E">
      <w:r>
        <w:continuationSeparator/>
      </w:r>
    </w:p>
  </w:footnote>
  <w:footnote w:id="1">
    <w:p w14:paraId="09FA82DC" w14:textId="4B248DC4" w:rsidR="00FB20EA" w:rsidRPr="006057E3" w:rsidRDefault="00FB20EA">
      <w:pPr>
        <w:pStyle w:val="a5"/>
        <w:rPr>
          <w:sz w:val="16"/>
          <w:szCs w:val="16"/>
        </w:rPr>
      </w:pPr>
      <w:r>
        <w:rPr>
          <w:rStyle w:val="a7"/>
        </w:rPr>
        <w:footnoteRef/>
      </w:r>
      <w:r>
        <w:t xml:space="preserve"> </w:t>
      </w:r>
      <w:r w:rsidRPr="006057E3">
        <w:rPr>
          <w:sz w:val="16"/>
          <w:szCs w:val="16"/>
        </w:rPr>
        <w:t>http://kommersant.ru/doc/2416453</w:t>
      </w:r>
    </w:p>
  </w:footnote>
  <w:footnote w:id="2">
    <w:p w14:paraId="6BCA7FB3" w14:textId="77777777" w:rsidR="00FB20EA" w:rsidRDefault="00FB20EA" w:rsidP="006057E3">
      <w:pPr>
        <w:pStyle w:val="a5"/>
      </w:pPr>
      <w:r>
        <w:rPr>
          <w:rStyle w:val="a7"/>
        </w:rPr>
        <w:footnoteRef/>
      </w:r>
      <w:r>
        <w:t xml:space="preserve"> </w:t>
      </w:r>
      <w:r w:rsidRPr="006057E3">
        <w:rPr>
          <w:sz w:val="16"/>
          <w:szCs w:val="16"/>
        </w:rPr>
        <w:t>http://www.novostroy-m.ru/intervyu/blitsopros_reshit_li_problemu</w:t>
      </w:r>
    </w:p>
  </w:footnote>
  <w:footnote w:id="3">
    <w:p w14:paraId="3EC20B5A" w14:textId="2F76E3F6" w:rsidR="00FB20EA" w:rsidRDefault="00FB20EA">
      <w:pPr>
        <w:pStyle w:val="a5"/>
      </w:pPr>
      <w:r>
        <w:rPr>
          <w:rStyle w:val="a7"/>
        </w:rPr>
        <w:footnoteRef/>
      </w:r>
      <w:r>
        <w:t xml:space="preserve"> </w:t>
      </w:r>
      <w:r w:rsidRPr="003A7B1E">
        <w:rPr>
          <w:sz w:val="16"/>
          <w:szCs w:val="16"/>
        </w:rPr>
        <w:t>http://www.minstroyrf.ru/press/popravki-v-214-fz-dopolneny-normoy-o-sozdanii-kompensatsionnogo-fonda-dolevogo-stroitelstva/</w:t>
      </w:r>
    </w:p>
  </w:footnote>
  <w:footnote w:id="4">
    <w:p w14:paraId="63D61871" w14:textId="225CA0E7" w:rsidR="00FB20EA" w:rsidRDefault="00FB20EA">
      <w:pPr>
        <w:pStyle w:val="a5"/>
      </w:pPr>
      <w:r>
        <w:rPr>
          <w:rStyle w:val="a7"/>
        </w:rPr>
        <w:footnoteRef/>
      </w:r>
      <w:r>
        <w:t xml:space="preserve"> </w:t>
      </w:r>
      <w:r w:rsidRPr="003A7B1E">
        <w:rPr>
          <w:sz w:val="16"/>
          <w:szCs w:val="16"/>
        </w:rPr>
        <w:t>https://rg.ru/2016/08/11/fond-dolevogo-stroitelstva-pomozhet-dolshchikam-vernut-zhile.html</w:t>
      </w:r>
    </w:p>
  </w:footnote>
  <w:footnote w:id="5">
    <w:p w14:paraId="2CD3345C" w14:textId="20BD2AEF" w:rsidR="00FB20EA" w:rsidRDefault="00FB20EA">
      <w:pPr>
        <w:pStyle w:val="a5"/>
      </w:pPr>
      <w:r>
        <w:rPr>
          <w:rStyle w:val="a7"/>
        </w:rPr>
        <w:footnoteRef/>
      </w:r>
      <w:r w:rsidRPr="006057E3">
        <w:rPr>
          <w:sz w:val="16"/>
          <w:szCs w:val="16"/>
        </w:rPr>
        <w:t xml:space="preserve"> https://rg.ru/2016/08/11/fond-dolevogo-stroitelstva-pomozhet-dolshchikam-vernut-zhile.html</w:t>
      </w:r>
    </w:p>
  </w:footnote>
  <w:footnote w:id="6">
    <w:p w14:paraId="5D157AFB" w14:textId="495482D3" w:rsidR="00FB20EA" w:rsidRPr="006057E3" w:rsidRDefault="00FB20EA">
      <w:pPr>
        <w:pStyle w:val="a5"/>
        <w:rPr>
          <w:sz w:val="16"/>
          <w:szCs w:val="16"/>
        </w:rPr>
      </w:pPr>
      <w:r>
        <w:rPr>
          <w:rStyle w:val="a7"/>
        </w:rPr>
        <w:footnoteRef/>
      </w:r>
      <w:r>
        <w:t xml:space="preserve"> </w:t>
      </w:r>
      <w:r w:rsidRPr="006057E3">
        <w:rPr>
          <w:sz w:val="16"/>
          <w:szCs w:val="16"/>
        </w:rPr>
        <w:t>http://realty.rbc.ru/company_news/24/06/2016/562950000888587.shtml</w:t>
      </w:r>
    </w:p>
  </w:footnote>
  <w:footnote w:id="7">
    <w:p w14:paraId="3DC489B9" w14:textId="72980C6D" w:rsidR="00FB20EA" w:rsidRDefault="00FB20EA">
      <w:pPr>
        <w:pStyle w:val="a5"/>
      </w:pPr>
      <w:r>
        <w:rPr>
          <w:rStyle w:val="a7"/>
        </w:rPr>
        <w:footnoteRef/>
      </w:r>
      <w:r>
        <w:t xml:space="preserve"> </w:t>
      </w:r>
      <w:r>
        <w:rPr>
          <w:sz w:val="16"/>
          <w:szCs w:val="16"/>
        </w:rPr>
        <w:t>Продажи по ДДУ рассчитаны на основании данных по 2014 г., 6 мес. 2015 г., 6 мес. 2016 г. и на основании данных Росстата о средней площади квартиры в РФ в размере 56 кв. м. Новые проекты в жилищном строительстве рассчитаны на основании данных Росстата по вводам и незавершенному строительству. Данные по индивидуальному жилищному строительству исключались из анализа.</w:t>
      </w:r>
    </w:p>
  </w:footnote>
  <w:footnote w:id="8">
    <w:p w14:paraId="1B018D0B" w14:textId="05480AF4" w:rsidR="00FB20EA" w:rsidRDefault="00FB20EA">
      <w:pPr>
        <w:pStyle w:val="a5"/>
      </w:pPr>
      <w:r>
        <w:rPr>
          <w:rStyle w:val="a7"/>
        </w:rPr>
        <w:footnoteRef/>
      </w:r>
      <w:r>
        <w:t xml:space="preserve"> </w:t>
      </w:r>
      <w:r w:rsidRPr="00FF121B">
        <w:rPr>
          <w:sz w:val="16"/>
          <w:szCs w:val="16"/>
        </w:rPr>
        <w:t>http://www.bpn.ru/publications/75495/</w:t>
      </w:r>
    </w:p>
  </w:footnote>
  <w:footnote w:id="9">
    <w:p w14:paraId="4CC02D64" w14:textId="77777777" w:rsidR="00FB20EA" w:rsidRDefault="00FB20EA" w:rsidP="00440C62">
      <w:pPr>
        <w:pStyle w:val="a5"/>
      </w:pPr>
      <w:r>
        <w:rPr>
          <w:rStyle w:val="a7"/>
        </w:rPr>
        <w:footnoteRef/>
      </w:r>
      <w:r>
        <w:t xml:space="preserve"> </w:t>
      </w:r>
      <w:r w:rsidRPr="00440C62">
        <w:rPr>
          <w:sz w:val="16"/>
          <w:szCs w:val="16"/>
        </w:rPr>
        <w:t>http://kommersant.ru/doc/3069868</w:t>
      </w:r>
    </w:p>
  </w:footnote>
  <w:footnote w:id="10">
    <w:p w14:paraId="2ACA6B74" w14:textId="363DA76D" w:rsidR="00FB20EA" w:rsidRPr="008F3C14" w:rsidRDefault="00FB20EA">
      <w:pPr>
        <w:pStyle w:val="a5"/>
        <w:rPr>
          <w:sz w:val="16"/>
          <w:szCs w:val="16"/>
        </w:rPr>
      </w:pPr>
      <w:r>
        <w:rPr>
          <w:rStyle w:val="a7"/>
        </w:rPr>
        <w:footnoteRef/>
      </w:r>
      <w:r>
        <w:t xml:space="preserve"> </w:t>
      </w:r>
      <w:r w:rsidRPr="008F3C14">
        <w:rPr>
          <w:sz w:val="16"/>
          <w:szCs w:val="16"/>
        </w:rPr>
        <w:t>* - в списке ЦБ РФ по страховщикам, соответствующим требованиям ФЗ-214 на 24.06.2016</w:t>
      </w:r>
    </w:p>
  </w:footnote>
  <w:footnote w:id="11">
    <w:p w14:paraId="5F8BFB1A" w14:textId="541B2495" w:rsidR="00FB20EA" w:rsidRDefault="00FB20EA">
      <w:pPr>
        <w:pStyle w:val="a5"/>
      </w:pPr>
      <w:r>
        <w:rPr>
          <w:rStyle w:val="a7"/>
        </w:rPr>
        <w:footnoteRef/>
      </w:r>
      <w:r>
        <w:t xml:space="preserve"> </w:t>
      </w:r>
      <w:r w:rsidRPr="00965EAA">
        <w:rPr>
          <w:sz w:val="16"/>
          <w:szCs w:val="16"/>
        </w:rPr>
        <w:t>http://kommersant.ru/doc/2416453</w:t>
      </w:r>
    </w:p>
  </w:footnote>
  <w:footnote w:id="12">
    <w:p w14:paraId="730FFF2A" w14:textId="442A7AC4" w:rsidR="00FB20EA" w:rsidRDefault="00FB20EA">
      <w:pPr>
        <w:pStyle w:val="a5"/>
      </w:pPr>
      <w:r>
        <w:rPr>
          <w:rStyle w:val="a7"/>
        </w:rPr>
        <w:footnoteRef/>
      </w:r>
      <w:r>
        <w:t xml:space="preserve"> </w:t>
      </w:r>
      <w:r w:rsidRPr="00AD0633">
        <w:rPr>
          <w:sz w:val="16"/>
          <w:szCs w:val="16"/>
        </w:rPr>
        <w:t>https://rg.ru/2016/08/11/fond-dolevogo-stroitelstva-pomozhet-dolshchikam-vernut-zhile.html</w:t>
      </w:r>
    </w:p>
  </w:footnote>
  <w:footnote w:id="13">
    <w:p w14:paraId="72C04E50" w14:textId="4311815F" w:rsidR="00FB20EA" w:rsidRDefault="00FB20EA">
      <w:pPr>
        <w:pStyle w:val="a5"/>
      </w:pPr>
      <w:r>
        <w:rPr>
          <w:rStyle w:val="a7"/>
        </w:rPr>
        <w:footnoteRef/>
      </w:r>
      <w:r>
        <w:t xml:space="preserve"> </w:t>
      </w:r>
      <w:r w:rsidRPr="0033562D">
        <w:rPr>
          <w:sz w:val="16"/>
          <w:szCs w:val="16"/>
        </w:rPr>
        <w:t>https://www.vedomosti.ru/realty/articles/2015/04/20/banki-predlagayut-zastroischikam-krediti-na-proekti-pod-25-godovih</w:t>
      </w:r>
    </w:p>
  </w:footnote>
  <w:footnote w:id="14">
    <w:p w14:paraId="30B7F2ED" w14:textId="0DFEC9CC" w:rsidR="00FB20EA" w:rsidRPr="00A15B2C" w:rsidRDefault="00FB20EA">
      <w:pPr>
        <w:pStyle w:val="a5"/>
        <w:rPr>
          <w:sz w:val="16"/>
          <w:szCs w:val="16"/>
        </w:rPr>
      </w:pPr>
      <w:r>
        <w:rPr>
          <w:rStyle w:val="a7"/>
        </w:rPr>
        <w:footnoteRef/>
      </w:r>
      <w:r>
        <w:t xml:space="preserve"> </w:t>
      </w:r>
      <w:r w:rsidRPr="00A15B2C">
        <w:rPr>
          <w:sz w:val="16"/>
          <w:szCs w:val="16"/>
        </w:rPr>
        <w:t>В соответствии с прогнозом МЭР по индексам-дефляторам капитальных вложений до 2019 г.</w:t>
      </w:r>
    </w:p>
  </w:footnote>
  <w:footnote w:id="15">
    <w:p w14:paraId="72A743E3" w14:textId="1DC8AF78" w:rsidR="00FB20EA" w:rsidRPr="00A15B2C" w:rsidRDefault="00FB20EA">
      <w:pPr>
        <w:pStyle w:val="a5"/>
        <w:rPr>
          <w:sz w:val="16"/>
          <w:szCs w:val="16"/>
        </w:rPr>
      </w:pPr>
      <w:r>
        <w:rPr>
          <w:rStyle w:val="a7"/>
        </w:rPr>
        <w:footnoteRef/>
      </w:r>
      <w:r>
        <w:t xml:space="preserve"> </w:t>
      </w:r>
      <w:r w:rsidRPr="00A15B2C">
        <w:rPr>
          <w:sz w:val="16"/>
          <w:szCs w:val="16"/>
        </w:rPr>
        <w:t xml:space="preserve">Значение показателя в 2015-2016 гг. </w:t>
      </w:r>
      <w:proofErr w:type="gramStart"/>
      <w:r w:rsidRPr="00A15B2C">
        <w:rPr>
          <w:sz w:val="16"/>
          <w:szCs w:val="16"/>
        </w:rPr>
        <w:t>оценены</w:t>
      </w:r>
      <w:proofErr w:type="gramEnd"/>
      <w:r w:rsidRPr="00A15B2C">
        <w:rPr>
          <w:sz w:val="16"/>
          <w:szCs w:val="16"/>
        </w:rPr>
        <w:t xml:space="preserve"> на основании данных </w:t>
      </w:r>
      <w:proofErr w:type="spellStart"/>
      <w:r w:rsidRPr="00A15B2C">
        <w:rPr>
          <w:sz w:val="16"/>
          <w:szCs w:val="16"/>
        </w:rPr>
        <w:t>Росреестра</w:t>
      </w:r>
      <w:proofErr w:type="spellEnd"/>
    </w:p>
  </w:footnote>
  <w:footnote w:id="16">
    <w:p w14:paraId="77AA17E6" w14:textId="43A5A007" w:rsidR="00FB20EA" w:rsidRPr="00EE314E" w:rsidRDefault="00FB20EA">
      <w:pPr>
        <w:pStyle w:val="a5"/>
      </w:pPr>
      <w:r>
        <w:rPr>
          <w:rStyle w:val="a7"/>
        </w:rPr>
        <w:footnoteRef/>
      </w:r>
      <w:r>
        <w:t xml:space="preserve"> </w:t>
      </w:r>
      <w:r w:rsidRPr="00701D79">
        <w:rPr>
          <w:sz w:val="16"/>
          <w:szCs w:val="16"/>
        </w:rPr>
        <w:t xml:space="preserve">Оценка </w:t>
      </w:r>
      <w:r>
        <w:rPr>
          <w:sz w:val="16"/>
          <w:szCs w:val="16"/>
        </w:rPr>
        <w:t>н</w:t>
      </w:r>
      <w:r w:rsidRPr="00701D79">
        <w:rPr>
          <w:sz w:val="16"/>
          <w:szCs w:val="16"/>
        </w:rPr>
        <w:t>а основании</w:t>
      </w:r>
      <w:r>
        <w:rPr>
          <w:sz w:val="16"/>
          <w:szCs w:val="16"/>
        </w:rPr>
        <w:t xml:space="preserve"> экстраполяции данных первого полугодия 2016 г.</w:t>
      </w:r>
    </w:p>
  </w:footnote>
  <w:footnote w:id="17">
    <w:p w14:paraId="4732152D" w14:textId="117261E6" w:rsidR="00FB20EA" w:rsidRDefault="00FB20EA">
      <w:pPr>
        <w:pStyle w:val="a5"/>
      </w:pPr>
      <w:r>
        <w:rPr>
          <w:rStyle w:val="a7"/>
        </w:rPr>
        <w:footnoteRef/>
      </w:r>
      <w:r>
        <w:t xml:space="preserve"> </w:t>
      </w:r>
      <w:proofErr w:type="gramStart"/>
      <w:r w:rsidRPr="00701D79">
        <w:rPr>
          <w:sz w:val="16"/>
          <w:szCs w:val="16"/>
        </w:rPr>
        <w:t xml:space="preserve">Предположение основано на том, что 1) обязательства по страховым суммам 2014-2016 гг. будут актуальны на конец 2016 г. </w:t>
      </w:r>
      <w:r>
        <w:rPr>
          <w:sz w:val="16"/>
          <w:szCs w:val="16"/>
        </w:rPr>
        <w:t xml:space="preserve">(в </w:t>
      </w:r>
      <w:r w:rsidRPr="00701D79">
        <w:rPr>
          <w:sz w:val="16"/>
          <w:szCs w:val="16"/>
        </w:rPr>
        <w:t>реальности обязательства могут быть ниже) и 2) размер страховых сумм во втором полугодии 2016 г. будут аналогичен первому полугодию 2016 г., несмотря на публикацию списка «согласованных» ЦБ страховщиков в июне 2016 г. (в реальности обязательства могут быть выше, т.к. «ОСВ</w:t>
      </w:r>
      <w:proofErr w:type="gramEnd"/>
      <w:r w:rsidRPr="00701D79">
        <w:rPr>
          <w:sz w:val="16"/>
          <w:szCs w:val="16"/>
        </w:rPr>
        <w:t xml:space="preserve"> </w:t>
      </w:r>
      <w:proofErr w:type="gramStart"/>
      <w:r w:rsidRPr="00701D79">
        <w:rPr>
          <w:sz w:val="16"/>
          <w:szCs w:val="16"/>
        </w:rPr>
        <w:t>Застройщиков» вошла в список</w:t>
      </w:r>
      <w:r>
        <w:rPr>
          <w:sz w:val="16"/>
          <w:szCs w:val="16"/>
        </w:rPr>
        <w:t>)</w:t>
      </w:r>
      <w:r w:rsidRPr="00701D79">
        <w:rPr>
          <w:sz w:val="16"/>
          <w:szCs w:val="16"/>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F65"/>
    <w:multiLevelType w:val="hybridMultilevel"/>
    <w:tmpl w:val="70643C76"/>
    <w:lvl w:ilvl="0" w:tplc="9452A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F6E9E"/>
    <w:multiLevelType w:val="hybridMultilevel"/>
    <w:tmpl w:val="EF3EC1B2"/>
    <w:lvl w:ilvl="0" w:tplc="9452A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B04DD"/>
    <w:multiLevelType w:val="hybridMultilevel"/>
    <w:tmpl w:val="63A2D038"/>
    <w:lvl w:ilvl="0" w:tplc="9452A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555DD"/>
    <w:multiLevelType w:val="hybridMultilevel"/>
    <w:tmpl w:val="7644919A"/>
    <w:lvl w:ilvl="0" w:tplc="9452A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363C1"/>
    <w:multiLevelType w:val="hybridMultilevel"/>
    <w:tmpl w:val="735CFCBE"/>
    <w:lvl w:ilvl="0" w:tplc="9452A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C418B"/>
    <w:multiLevelType w:val="multilevel"/>
    <w:tmpl w:val="40429AA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99F0665"/>
    <w:multiLevelType w:val="hybridMultilevel"/>
    <w:tmpl w:val="F1F26EE6"/>
    <w:lvl w:ilvl="0" w:tplc="9452A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A4A50"/>
    <w:multiLevelType w:val="hybridMultilevel"/>
    <w:tmpl w:val="33AC9832"/>
    <w:lvl w:ilvl="0" w:tplc="9452A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4497E"/>
    <w:multiLevelType w:val="multilevel"/>
    <w:tmpl w:val="086EDD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A6C0139"/>
    <w:multiLevelType w:val="hybridMultilevel"/>
    <w:tmpl w:val="3190EC94"/>
    <w:lvl w:ilvl="0" w:tplc="9452A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14271"/>
    <w:multiLevelType w:val="hybridMultilevel"/>
    <w:tmpl w:val="46DCC910"/>
    <w:lvl w:ilvl="0" w:tplc="9452A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F1C48"/>
    <w:multiLevelType w:val="hybridMultilevel"/>
    <w:tmpl w:val="614C330A"/>
    <w:lvl w:ilvl="0" w:tplc="9452A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3020B"/>
    <w:multiLevelType w:val="hybridMultilevel"/>
    <w:tmpl w:val="288853F0"/>
    <w:lvl w:ilvl="0" w:tplc="9452A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F45C0F"/>
    <w:multiLevelType w:val="hybridMultilevel"/>
    <w:tmpl w:val="0B1A5AC8"/>
    <w:lvl w:ilvl="0" w:tplc="9452A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E20C97"/>
    <w:multiLevelType w:val="hybridMultilevel"/>
    <w:tmpl w:val="6B6EB9C6"/>
    <w:lvl w:ilvl="0" w:tplc="9452A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62702E"/>
    <w:multiLevelType w:val="hybridMultilevel"/>
    <w:tmpl w:val="B1AC80A4"/>
    <w:lvl w:ilvl="0" w:tplc="9452A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
  </w:num>
  <w:num w:numId="5">
    <w:abstractNumId w:val="3"/>
  </w:num>
  <w:num w:numId="6">
    <w:abstractNumId w:val="11"/>
  </w:num>
  <w:num w:numId="7">
    <w:abstractNumId w:val="13"/>
  </w:num>
  <w:num w:numId="8">
    <w:abstractNumId w:val="15"/>
  </w:num>
  <w:num w:numId="9">
    <w:abstractNumId w:val="9"/>
  </w:num>
  <w:num w:numId="10">
    <w:abstractNumId w:val="2"/>
  </w:num>
  <w:num w:numId="11">
    <w:abstractNumId w:val="6"/>
  </w:num>
  <w:num w:numId="12">
    <w:abstractNumId w:val="4"/>
  </w:num>
  <w:num w:numId="13">
    <w:abstractNumId w:val="12"/>
  </w:num>
  <w:num w:numId="14">
    <w:abstractNumId w:val="7"/>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0"/>
  <w:activeWritingStyle w:appName="MSWord" w:lang="ru-RU"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7B"/>
    <w:rsid w:val="000151B1"/>
    <w:rsid w:val="00024D3D"/>
    <w:rsid w:val="00027146"/>
    <w:rsid w:val="00035973"/>
    <w:rsid w:val="00080DCD"/>
    <w:rsid w:val="000D3F93"/>
    <w:rsid w:val="000E4B42"/>
    <w:rsid w:val="00106AAA"/>
    <w:rsid w:val="00162D0F"/>
    <w:rsid w:val="00234A05"/>
    <w:rsid w:val="0026166B"/>
    <w:rsid w:val="00272531"/>
    <w:rsid w:val="002F65E5"/>
    <w:rsid w:val="0033562D"/>
    <w:rsid w:val="00343FD0"/>
    <w:rsid w:val="003441D8"/>
    <w:rsid w:val="00383D69"/>
    <w:rsid w:val="003A7B1E"/>
    <w:rsid w:val="003B0932"/>
    <w:rsid w:val="003E5F4C"/>
    <w:rsid w:val="0042349D"/>
    <w:rsid w:val="00440C62"/>
    <w:rsid w:val="00463182"/>
    <w:rsid w:val="00474935"/>
    <w:rsid w:val="004C189E"/>
    <w:rsid w:val="004C504F"/>
    <w:rsid w:val="0052260F"/>
    <w:rsid w:val="00556186"/>
    <w:rsid w:val="00557D58"/>
    <w:rsid w:val="00583225"/>
    <w:rsid w:val="005F3F2F"/>
    <w:rsid w:val="006057E3"/>
    <w:rsid w:val="0062102E"/>
    <w:rsid w:val="00621E19"/>
    <w:rsid w:val="00642BF8"/>
    <w:rsid w:val="00647265"/>
    <w:rsid w:val="0065056E"/>
    <w:rsid w:val="00681FC8"/>
    <w:rsid w:val="0068688E"/>
    <w:rsid w:val="006C1E78"/>
    <w:rsid w:val="00701D79"/>
    <w:rsid w:val="007872A7"/>
    <w:rsid w:val="00832DCC"/>
    <w:rsid w:val="008C6717"/>
    <w:rsid w:val="008D0136"/>
    <w:rsid w:val="008E654A"/>
    <w:rsid w:val="008F3C14"/>
    <w:rsid w:val="00903D90"/>
    <w:rsid w:val="00924374"/>
    <w:rsid w:val="00933FB1"/>
    <w:rsid w:val="00956FC4"/>
    <w:rsid w:val="00965EAA"/>
    <w:rsid w:val="00967C37"/>
    <w:rsid w:val="00987264"/>
    <w:rsid w:val="009963F2"/>
    <w:rsid w:val="009B43D7"/>
    <w:rsid w:val="009F23F7"/>
    <w:rsid w:val="00A026F4"/>
    <w:rsid w:val="00A15B2C"/>
    <w:rsid w:val="00A228F3"/>
    <w:rsid w:val="00A533FD"/>
    <w:rsid w:val="00AA0F92"/>
    <w:rsid w:val="00AB07AB"/>
    <w:rsid w:val="00AD0633"/>
    <w:rsid w:val="00AF12F4"/>
    <w:rsid w:val="00B47B26"/>
    <w:rsid w:val="00B60780"/>
    <w:rsid w:val="00BC4193"/>
    <w:rsid w:val="00BD55B6"/>
    <w:rsid w:val="00C30026"/>
    <w:rsid w:val="00C37F2E"/>
    <w:rsid w:val="00C50F61"/>
    <w:rsid w:val="00C6403D"/>
    <w:rsid w:val="00CF7619"/>
    <w:rsid w:val="00D1304D"/>
    <w:rsid w:val="00D33DE4"/>
    <w:rsid w:val="00D7164D"/>
    <w:rsid w:val="00D86FDE"/>
    <w:rsid w:val="00DA01F9"/>
    <w:rsid w:val="00DE39EC"/>
    <w:rsid w:val="00E1457B"/>
    <w:rsid w:val="00E914C7"/>
    <w:rsid w:val="00EB11D5"/>
    <w:rsid w:val="00EC1346"/>
    <w:rsid w:val="00ED529B"/>
    <w:rsid w:val="00EE314E"/>
    <w:rsid w:val="00EE6609"/>
    <w:rsid w:val="00F158C0"/>
    <w:rsid w:val="00F26CB0"/>
    <w:rsid w:val="00F43AD8"/>
    <w:rsid w:val="00F46B9B"/>
    <w:rsid w:val="00F536CA"/>
    <w:rsid w:val="00F8418B"/>
    <w:rsid w:val="00F8605F"/>
    <w:rsid w:val="00FB20EA"/>
    <w:rsid w:val="00FC1265"/>
    <w:rsid w:val="00FF1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B1"/>
    <w:rPr>
      <w:rFonts w:ascii="Times New Roman" w:hAnsi="Times New Roman" w:cs="Times New Roman"/>
      <w:lang w:val="ru-RU"/>
    </w:rPr>
  </w:style>
  <w:style w:type="paragraph" w:styleId="1">
    <w:name w:val="heading 1"/>
    <w:basedOn w:val="a"/>
    <w:next w:val="a"/>
    <w:link w:val="10"/>
    <w:uiPriority w:val="9"/>
    <w:qFormat/>
    <w:rsid w:val="00E914C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CB0"/>
    <w:pPr>
      <w:spacing w:after="200" w:line="276" w:lineRule="auto"/>
      <w:ind w:left="720"/>
      <w:contextualSpacing/>
    </w:pPr>
    <w:rPr>
      <w:rFonts w:asciiTheme="minorHAnsi" w:hAnsiTheme="minorHAnsi" w:cstheme="minorBidi"/>
      <w:sz w:val="22"/>
      <w:szCs w:val="22"/>
    </w:rPr>
  </w:style>
  <w:style w:type="character" w:customStyle="1" w:styleId="10">
    <w:name w:val="Заголовок 1 Знак"/>
    <w:basedOn w:val="a0"/>
    <w:link w:val="1"/>
    <w:uiPriority w:val="9"/>
    <w:rsid w:val="00E914C7"/>
    <w:rPr>
      <w:rFonts w:asciiTheme="majorHAnsi" w:eastAsiaTheme="majorEastAsia" w:hAnsiTheme="majorHAnsi" w:cstheme="majorBidi"/>
      <w:color w:val="2E74B5" w:themeColor="accent1" w:themeShade="BF"/>
      <w:sz w:val="32"/>
      <w:szCs w:val="32"/>
      <w:lang w:val="ru-RU"/>
    </w:rPr>
  </w:style>
  <w:style w:type="paragraph" w:styleId="a4">
    <w:name w:val="TOC Heading"/>
    <w:basedOn w:val="1"/>
    <w:next w:val="a"/>
    <w:uiPriority w:val="39"/>
    <w:unhideWhenUsed/>
    <w:qFormat/>
    <w:rsid w:val="00E914C7"/>
    <w:pPr>
      <w:spacing w:before="480"/>
      <w:outlineLvl w:val="9"/>
    </w:pPr>
    <w:rPr>
      <w:b/>
      <w:bCs/>
      <w:sz w:val="28"/>
      <w:szCs w:val="28"/>
      <w:lang w:val="en-US"/>
    </w:rPr>
  </w:style>
  <w:style w:type="paragraph" w:styleId="11">
    <w:name w:val="toc 1"/>
    <w:basedOn w:val="a"/>
    <w:next w:val="a"/>
    <w:autoRedefine/>
    <w:uiPriority w:val="39"/>
    <w:unhideWhenUsed/>
    <w:rsid w:val="00E914C7"/>
    <w:pPr>
      <w:spacing w:before="120" w:line="276" w:lineRule="auto"/>
    </w:pPr>
    <w:rPr>
      <w:rFonts w:asciiTheme="minorHAnsi" w:hAnsiTheme="minorHAnsi" w:cstheme="minorBidi"/>
      <w:b/>
    </w:rPr>
  </w:style>
  <w:style w:type="paragraph" w:styleId="2">
    <w:name w:val="toc 2"/>
    <w:basedOn w:val="a"/>
    <w:next w:val="a"/>
    <w:autoRedefine/>
    <w:uiPriority w:val="39"/>
    <w:unhideWhenUsed/>
    <w:rsid w:val="00E914C7"/>
    <w:pPr>
      <w:spacing w:line="276" w:lineRule="auto"/>
      <w:ind w:left="220"/>
    </w:pPr>
    <w:rPr>
      <w:rFonts w:asciiTheme="minorHAnsi" w:hAnsiTheme="minorHAnsi" w:cstheme="minorBidi"/>
      <w:b/>
      <w:sz w:val="22"/>
      <w:szCs w:val="22"/>
    </w:rPr>
  </w:style>
  <w:style w:type="paragraph" w:styleId="3">
    <w:name w:val="toc 3"/>
    <w:basedOn w:val="a"/>
    <w:next w:val="a"/>
    <w:autoRedefine/>
    <w:uiPriority w:val="39"/>
    <w:unhideWhenUsed/>
    <w:rsid w:val="00E914C7"/>
    <w:pPr>
      <w:spacing w:line="276" w:lineRule="auto"/>
      <w:ind w:left="440"/>
    </w:pPr>
    <w:rPr>
      <w:rFonts w:asciiTheme="minorHAnsi" w:hAnsiTheme="minorHAnsi" w:cstheme="minorBidi"/>
      <w:sz w:val="22"/>
      <w:szCs w:val="22"/>
    </w:rPr>
  </w:style>
  <w:style w:type="paragraph" w:styleId="4">
    <w:name w:val="toc 4"/>
    <w:basedOn w:val="a"/>
    <w:next w:val="a"/>
    <w:autoRedefine/>
    <w:uiPriority w:val="39"/>
    <w:unhideWhenUsed/>
    <w:rsid w:val="00E914C7"/>
    <w:pPr>
      <w:spacing w:line="276" w:lineRule="auto"/>
      <w:ind w:left="660"/>
    </w:pPr>
    <w:rPr>
      <w:rFonts w:asciiTheme="minorHAnsi" w:hAnsiTheme="minorHAnsi" w:cstheme="minorBidi"/>
      <w:sz w:val="20"/>
      <w:szCs w:val="20"/>
    </w:rPr>
  </w:style>
  <w:style w:type="paragraph" w:styleId="5">
    <w:name w:val="toc 5"/>
    <w:basedOn w:val="a"/>
    <w:next w:val="a"/>
    <w:autoRedefine/>
    <w:uiPriority w:val="39"/>
    <w:unhideWhenUsed/>
    <w:rsid w:val="00E914C7"/>
    <w:pPr>
      <w:spacing w:line="276" w:lineRule="auto"/>
      <w:ind w:left="880"/>
    </w:pPr>
    <w:rPr>
      <w:rFonts w:asciiTheme="minorHAnsi" w:hAnsiTheme="minorHAnsi" w:cstheme="minorBidi"/>
      <w:sz w:val="20"/>
      <w:szCs w:val="20"/>
    </w:rPr>
  </w:style>
  <w:style w:type="paragraph" w:styleId="6">
    <w:name w:val="toc 6"/>
    <w:basedOn w:val="a"/>
    <w:next w:val="a"/>
    <w:autoRedefine/>
    <w:uiPriority w:val="39"/>
    <w:unhideWhenUsed/>
    <w:rsid w:val="00E914C7"/>
    <w:pPr>
      <w:spacing w:line="276" w:lineRule="auto"/>
      <w:ind w:left="1100"/>
    </w:pPr>
    <w:rPr>
      <w:rFonts w:asciiTheme="minorHAnsi" w:hAnsiTheme="minorHAnsi" w:cstheme="minorBidi"/>
      <w:sz w:val="20"/>
      <w:szCs w:val="20"/>
    </w:rPr>
  </w:style>
  <w:style w:type="paragraph" w:styleId="7">
    <w:name w:val="toc 7"/>
    <w:basedOn w:val="a"/>
    <w:next w:val="a"/>
    <w:autoRedefine/>
    <w:uiPriority w:val="39"/>
    <w:unhideWhenUsed/>
    <w:rsid w:val="00E914C7"/>
    <w:pPr>
      <w:spacing w:line="276" w:lineRule="auto"/>
      <w:ind w:left="1320"/>
    </w:pPr>
    <w:rPr>
      <w:rFonts w:asciiTheme="minorHAnsi" w:hAnsiTheme="minorHAnsi" w:cstheme="minorBidi"/>
      <w:sz w:val="20"/>
      <w:szCs w:val="20"/>
    </w:rPr>
  </w:style>
  <w:style w:type="paragraph" w:styleId="8">
    <w:name w:val="toc 8"/>
    <w:basedOn w:val="a"/>
    <w:next w:val="a"/>
    <w:autoRedefine/>
    <w:uiPriority w:val="39"/>
    <w:unhideWhenUsed/>
    <w:rsid w:val="00E914C7"/>
    <w:pPr>
      <w:spacing w:line="276" w:lineRule="auto"/>
      <w:ind w:left="1540"/>
    </w:pPr>
    <w:rPr>
      <w:rFonts w:asciiTheme="minorHAnsi" w:hAnsiTheme="minorHAnsi" w:cstheme="minorBidi"/>
      <w:sz w:val="20"/>
      <w:szCs w:val="20"/>
    </w:rPr>
  </w:style>
  <w:style w:type="paragraph" w:styleId="9">
    <w:name w:val="toc 9"/>
    <w:basedOn w:val="a"/>
    <w:next w:val="a"/>
    <w:autoRedefine/>
    <w:uiPriority w:val="39"/>
    <w:unhideWhenUsed/>
    <w:rsid w:val="00E914C7"/>
    <w:pPr>
      <w:spacing w:line="276" w:lineRule="auto"/>
      <w:ind w:left="1760"/>
    </w:pPr>
    <w:rPr>
      <w:rFonts w:asciiTheme="minorHAnsi" w:hAnsiTheme="minorHAnsi" w:cstheme="minorBidi"/>
      <w:sz w:val="20"/>
      <w:szCs w:val="20"/>
    </w:rPr>
  </w:style>
  <w:style w:type="paragraph" w:styleId="a5">
    <w:name w:val="footnote text"/>
    <w:basedOn w:val="a"/>
    <w:link w:val="a6"/>
    <w:uiPriority w:val="99"/>
    <w:unhideWhenUsed/>
    <w:rsid w:val="003A7B1E"/>
    <w:rPr>
      <w:rFonts w:asciiTheme="minorHAnsi" w:hAnsiTheme="minorHAnsi" w:cstheme="minorBidi"/>
    </w:rPr>
  </w:style>
  <w:style w:type="character" w:customStyle="1" w:styleId="a6">
    <w:name w:val="Текст сноски Знак"/>
    <w:basedOn w:val="a0"/>
    <w:link w:val="a5"/>
    <w:uiPriority w:val="99"/>
    <w:rsid w:val="003A7B1E"/>
    <w:rPr>
      <w:lang w:val="ru-RU"/>
    </w:rPr>
  </w:style>
  <w:style w:type="character" w:styleId="a7">
    <w:name w:val="footnote reference"/>
    <w:basedOn w:val="a0"/>
    <w:uiPriority w:val="99"/>
    <w:unhideWhenUsed/>
    <w:rsid w:val="003A7B1E"/>
    <w:rPr>
      <w:vertAlign w:val="superscript"/>
    </w:rPr>
  </w:style>
  <w:style w:type="character" w:styleId="a8">
    <w:name w:val="Hyperlink"/>
    <w:basedOn w:val="a0"/>
    <w:uiPriority w:val="99"/>
    <w:unhideWhenUsed/>
    <w:rsid w:val="006057E3"/>
    <w:rPr>
      <w:color w:val="0563C1" w:themeColor="hyperlink"/>
      <w:u w:val="single"/>
    </w:rPr>
  </w:style>
  <w:style w:type="table" w:customStyle="1" w:styleId="PlainTable3">
    <w:name w:val="Plain Table 3"/>
    <w:basedOn w:val="a1"/>
    <w:uiPriority w:val="43"/>
    <w:rsid w:val="008F3C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9">
    <w:name w:val="Table Grid"/>
    <w:basedOn w:val="a1"/>
    <w:uiPriority w:val="39"/>
    <w:rsid w:val="008F3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8F3C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8F3C1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8F3C1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5">
    <w:name w:val="Plain Table 5"/>
    <w:basedOn w:val="a1"/>
    <w:uiPriority w:val="45"/>
    <w:rsid w:val="008F3C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8F3C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
    <w:name w:val="Grid Table 2"/>
    <w:basedOn w:val="a1"/>
    <w:uiPriority w:val="47"/>
    <w:rsid w:val="008F3C1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
    <w:name w:val="Grid Table 4"/>
    <w:basedOn w:val="a1"/>
    <w:uiPriority w:val="49"/>
    <w:rsid w:val="008F3C1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a1"/>
    <w:uiPriority w:val="50"/>
    <w:rsid w:val="008F3C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1"/>
    <w:uiPriority w:val="50"/>
    <w:rsid w:val="008F3C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3">
    <w:name w:val="Grid Table 5 Dark Accent 3"/>
    <w:basedOn w:val="a1"/>
    <w:uiPriority w:val="50"/>
    <w:rsid w:val="008F3C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2Accent6">
    <w:name w:val="List Table 2 Accent 6"/>
    <w:basedOn w:val="a1"/>
    <w:uiPriority w:val="47"/>
    <w:rsid w:val="008F3C1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
    <w:name w:val="Grid Table 4 Accent 6"/>
    <w:basedOn w:val="a1"/>
    <w:uiPriority w:val="49"/>
    <w:rsid w:val="00A15B2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6">
    <w:name w:val="Grid Table 2 Accent 6"/>
    <w:basedOn w:val="a1"/>
    <w:uiPriority w:val="47"/>
    <w:rsid w:val="00A15B2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Accent6">
    <w:name w:val="List Table 7 Colorful Accent 6"/>
    <w:basedOn w:val="a1"/>
    <w:uiPriority w:val="52"/>
    <w:rsid w:val="00A15B2C"/>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6">
    <w:name w:val="List Table 6 Colorful Accent 6"/>
    <w:basedOn w:val="a1"/>
    <w:uiPriority w:val="51"/>
    <w:rsid w:val="00A15B2C"/>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a">
    <w:name w:val="header"/>
    <w:basedOn w:val="a"/>
    <w:link w:val="ab"/>
    <w:uiPriority w:val="99"/>
    <w:unhideWhenUsed/>
    <w:rsid w:val="002F65E5"/>
    <w:pPr>
      <w:tabs>
        <w:tab w:val="center" w:pos="4677"/>
        <w:tab w:val="right" w:pos="9355"/>
      </w:tabs>
    </w:pPr>
  </w:style>
  <w:style w:type="character" w:customStyle="1" w:styleId="ab">
    <w:name w:val="Верхний колонтитул Знак"/>
    <w:basedOn w:val="a0"/>
    <w:link w:val="aa"/>
    <w:uiPriority w:val="99"/>
    <w:rsid w:val="002F65E5"/>
    <w:rPr>
      <w:rFonts w:ascii="Times New Roman" w:hAnsi="Times New Roman" w:cs="Times New Roman"/>
      <w:lang w:val="ru-RU"/>
    </w:rPr>
  </w:style>
  <w:style w:type="paragraph" w:styleId="ac">
    <w:name w:val="footer"/>
    <w:basedOn w:val="a"/>
    <w:link w:val="ad"/>
    <w:uiPriority w:val="99"/>
    <w:unhideWhenUsed/>
    <w:rsid w:val="002F65E5"/>
    <w:pPr>
      <w:tabs>
        <w:tab w:val="center" w:pos="4677"/>
        <w:tab w:val="right" w:pos="9355"/>
      </w:tabs>
    </w:pPr>
  </w:style>
  <w:style w:type="character" w:customStyle="1" w:styleId="ad">
    <w:name w:val="Нижний колонтитул Знак"/>
    <w:basedOn w:val="a0"/>
    <w:link w:val="ac"/>
    <w:uiPriority w:val="99"/>
    <w:rsid w:val="002F65E5"/>
    <w:rPr>
      <w:rFonts w:ascii="Times New Roman" w:hAnsi="Times New Roman" w:cs="Times New Roman"/>
      <w:lang w:val="ru-RU"/>
    </w:rPr>
  </w:style>
  <w:style w:type="character" w:styleId="ae">
    <w:name w:val="page number"/>
    <w:basedOn w:val="a0"/>
    <w:uiPriority w:val="99"/>
    <w:semiHidden/>
    <w:unhideWhenUsed/>
    <w:rsid w:val="002F65E5"/>
  </w:style>
  <w:style w:type="character" w:styleId="af">
    <w:name w:val="annotation reference"/>
    <w:basedOn w:val="a0"/>
    <w:uiPriority w:val="99"/>
    <w:semiHidden/>
    <w:unhideWhenUsed/>
    <w:rsid w:val="00933FB1"/>
    <w:rPr>
      <w:sz w:val="18"/>
      <w:szCs w:val="18"/>
    </w:rPr>
  </w:style>
  <w:style w:type="paragraph" w:styleId="af0">
    <w:name w:val="annotation text"/>
    <w:basedOn w:val="a"/>
    <w:link w:val="af1"/>
    <w:uiPriority w:val="99"/>
    <w:semiHidden/>
    <w:unhideWhenUsed/>
    <w:rsid w:val="00933FB1"/>
  </w:style>
  <w:style w:type="character" w:customStyle="1" w:styleId="af1">
    <w:name w:val="Текст примечания Знак"/>
    <w:basedOn w:val="a0"/>
    <w:link w:val="af0"/>
    <w:uiPriority w:val="99"/>
    <w:semiHidden/>
    <w:rsid w:val="00933FB1"/>
    <w:rPr>
      <w:rFonts w:ascii="Times New Roman" w:hAnsi="Times New Roman" w:cs="Times New Roman"/>
      <w:lang w:val="ru-RU"/>
    </w:rPr>
  </w:style>
  <w:style w:type="paragraph" w:styleId="af2">
    <w:name w:val="Balloon Text"/>
    <w:basedOn w:val="a"/>
    <w:link w:val="af3"/>
    <w:uiPriority w:val="99"/>
    <w:semiHidden/>
    <w:unhideWhenUsed/>
    <w:rsid w:val="00933FB1"/>
    <w:rPr>
      <w:rFonts w:ascii="Segoe UI" w:hAnsi="Segoe UI" w:cs="Segoe UI"/>
      <w:sz w:val="18"/>
      <w:szCs w:val="18"/>
    </w:rPr>
  </w:style>
  <w:style w:type="character" w:customStyle="1" w:styleId="af3">
    <w:name w:val="Текст выноски Знак"/>
    <w:basedOn w:val="a0"/>
    <w:link w:val="af2"/>
    <w:uiPriority w:val="99"/>
    <w:semiHidden/>
    <w:rsid w:val="00933FB1"/>
    <w:rPr>
      <w:rFonts w:ascii="Segoe U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B1"/>
    <w:rPr>
      <w:rFonts w:ascii="Times New Roman" w:hAnsi="Times New Roman" w:cs="Times New Roman"/>
      <w:lang w:val="ru-RU"/>
    </w:rPr>
  </w:style>
  <w:style w:type="paragraph" w:styleId="1">
    <w:name w:val="heading 1"/>
    <w:basedOn w:val="a"/>
    <w:next w:val="a"/>
    <w:link w:val="10"/>
    <w:uiPriority w:val="9"/>
    <w:qFormat/>
    <w:rsid w:val="00E914C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CB0"/>
    <w:pPr>
      <w:spacing w:after="200" w:line="276" w:lineRule="auto"/>
      <w:ind w:left="720"/>
      <w:contextualSpacing/>
    </w:pPr>
    <w:rPr>
      <w:rFonts w:asciiTheme="minorHAnsi" w:hAnsiTheme="minorHAnsi" w:cstheme="minorBidi"/>
      <w:sz w:val="22"/>
      <w:szCs w:val="22"/>
    </w:rPr>
  </w:style>
  <w:style w:type="character" w:customStyle="1" w:styleId="10">
    <w:name w:val="Заголовок 1 Знак"/>
    <w:basedOn w:val="a0"/>
    <w:link w:val="1"/>
    <w:uiPriority w:val="9"/>
    <w:rsid w:val="00E914C7"/>
    <w:rPr>
      <w:rFonts w:asciiTheme="majorHAnsi" w:eastAsiaTheme="majorEastAsia" w:hAnsiTheme="majorHAnsi" w:cstheme="majorBidi"/>
      <w:color w:val="2E74B5" w:themeColor="accent1" w:themeShade="BF"/>
      <w:sz w:val="32"/>
      <w:szCs w:val="32"/>
      <w:lang w:val="ru-RU"/>
    </w:rPr>
  </w:style>
  <w:style w:type="paragraph" w:styleId="a4">
    <w:name w:val="TOC Heading"/>
    <w:basedOn w:val="1"/>
    <w:next w:val="a"/>
    <w:uiPriority w:val="39"/>
    <w:unhideWhenUsed/>
    <w:qFormat/>
    <w:rsid w:val="00E914C7"/>
    <w:pPr>
      <w:spacing w:before="480"/>
      <w:outlineLvl w:val="9"/>
    </w:pPr>
    <w:rPr>
      <w:b/>
      <w:bCs/>
      <w:sz w:val="28"/>
      <w:szCs w:val="28"/>
      <w:lang w:val="en-US"/>
    </w:rPr>
  </w:style>
  <w:style w:type="paragraph" w:styleId="11">
    <w:name w:val="toc 1"/>
    <w:basedOn w:val="a"/>
    <w:next w:val="a"/>
    <w:autoRedefine/>
    <w:uiPriority w:val="39"/>
    <w:unhideWhenUsed/>
    <w:rsid w:val="00E914C7"/>
    <w:pPr>
      <w:spacing w:before="120" w:line="276" w:lineRule="auto"/>
    </w:pPr>
    <w:rPr>
      <w:rFonts w:asciiTheme="minorHAnsi" w:hAnsiTheme="minorHAnsi" w:cstheme="minorBidi"/>
      <w:b/>
    </w:rPr>
  </w:style>
  <w:style w:type="paragraph" w:styleId="2">
    <w:name w:val="toc 2"/>
    <w:basedOn w:val="a"/>
    <w:next w:val="a"/>
    <w:autoRedefine/>
    <w:uiPriority w:val="39"/>
    <w:unhideWhenUsed/>
    <w:rsid w:val="00E914C7"/>
    <w:pPr>
      <w:spacing w:line="276" w:lineRule="auto"/>
      <w:ind w:left="220"/>
    </w:pPr>
    <w:rPr>
      <w:rFonts w:asciiTheme="minorHAnsi" w:hAnsiTheme="minorHAnsi" w:cstheme="minorBidi"/>
      <w:b/>
      <w:sz w:val="22"/>
      <w:szCs w:val="22"/>
    </w:rPr>
  </w:style>
  <w:style w:type="paragraph" w:styleId="3">
    <w:name w:val="toc 3"/>
    <w:basedOn w:val="a"/>
    <w:next w:val="a"/>
    <w:autoRedefine/>
    <w:uiPriority w:val="39"/>
    <w:unhideWhenUsed/>
    <w:rsid w:val="00E914C7"/>
    <w:pPr>
      <w:spacing w:line="276" w:lineRule="auto"/>
      <w:ind w:left="440"/>
    </w:pPr>
    <w:rPr>
      <w:rFonts w:asciiTheme="minorHAnsi" w:hAnsiTheme="minorHAnsi" w:cstheme="minorBidi"/>
      <w:sz w:val="22"/>
      <w:szCs w:val="22"/>
    </w:rPr>
  </w:style>
  <w:style w:type="paragraph" w:styleId="4">
    <w:name w:val="toc 4"/>
    <w:basedOn w:val="a"/>
    <w:next w:val="a"/>
    <w:autoRedefine/>
    <w:uiPriority w:val="39"/>
    <w:unhideWhenUsed/>
    <w:rsid w:val="00E914C7"/>
    <w:pPr>
      <w:spacing w:line="276" w:lineRule="auto"/>
      <w:ind w:left="660"/>
    </w:pPr>
    <w:rPr>
      <w:rFonts w:asciiTheme="minorHAnsi" w:hAnsiTheme="minorHAnsi" w:cstheme="minorBidi"/>
      <w:sz w:val="20"/>
      <w:szCs w:val="20"/>
    </w:rPr>
  </w:style>
  <w:style w:type="paragraph" w:styleId="5">
    <w:name w:val="toc 5"/>
    <w:basedOn w:val="a"/>
    <w:next w:val="a"/>
    <w:autoRedefine/>
    <w:uiPriority w:val="39"/>
    <w:unhideWhenUsed/>
    <w:rsid w:val="00E914C7"/>
    <w:pPr>
      <w:spacing w:line="276" w:lineRule="auto"/>
      <w:ind w:left="880"/>
    </w:pPr>
    <w:rPr>
      <w:rFonts w:asciiTheme="minorHAnsi" w:hAnsiTheme="minorHAnsi" w:cstheme="minorBidi"/>
      <w:sz w:val="20"/>
      <w:szCs w:val="20"/>
    </w:rPr>
  </w:style>
  <w:style w:type="paragraph" w:styleId="6">
    <w:name w:val="toc 6"/>
    <w:basedOn w:val="a"/>
    <w:next w:val="a"/>
    <w:autoRedefine/>
    <w:uiPriority w:val="39"/>
    <w:unhideWhenUsed/>
    <w:rsid w:val="00E914C7"/>
    <w:pPr>
      <w:spacing w:line="276" w:lineRule="auto"/>
      <w:ind w:left="1100"/>
    </w:pPr>
    <w:rPr>
      <w:rFonts w:asciiTheme="minorHAnsi" w:hAnsiTheme="minorHAnsi" w:cstheme="minorBidi"/>
      <w:sz w:val="20"/>
      <w:szCs w:val="20"/>
    </w:rPr>
  </w:style>
  <w:style w:type="paragraph" w:styleId="7">
    <w:name w:val="toc 7"/>
    <w:basedOn w:val="a"/>
    <w:next w:val="a"/>
    <w:autoRedefine/>
    <w:uiPriority w:val="39"/>
    <w:unhideWhenUsed/>
    <w:rsid w:val="00E914C7"/>
    <w:pPr>
      <w:spacing w:line="276" w:lineRule="auto"/>
      <w:ind w:left="1320"/>
    </w:pPr>
    <w:rPr>
      <w:rFonts w:asciiTheme="minorHAnsi" w:hAnsiTheme="minorHAnsi" w:cstheme="minorBidi"/>
      <w:sz w:val="20"/>
      <w:szCs w:val="20"/>
    </w:rPr>
  </w:style>
  <w:style w:type="paragraph" w:styleId="8">
    <w:name w:val="toc 8"/>
    <w:basedOn w:val="a"/>
    <w:next w:val="a"/>
    <w:autoRedefine/>
    <w:uiPriority w:val="39"/>
    <w:unhideWhenUsed/>
    <w:rsid w:val="00E914C7"/>
    <w:pPr>
      <w:spacing w:line="276" w:lineRule="auto"/>
      <w:ind w:left="1540"/>
    </w:pPr>
    <w:rPr>
      <w:rFonts w:asciiTheme="minorHAnsi" w:hAnsiTheme="minorHAnsi" w:cstheme="minorBidi"/>
      <w:sz w:val="20"/>
      <w:szCs w:val="20"/>
    </w:rPr>
  </w:style>
  <w:style w:type="paragraph" w:styleId="9">
    <w:name w:val="toc 9"/>
    <w:basedOn w:val="a"/>
    <w:next w:val="a"/>
    <w:autoRedefine/>
    <w:uiPriority w:val="39"/>
    <w:unhideWhenUsed/>
    <w:rsid w:val="00E914C7"/>
    <w:pPr>
      <w:spacing w:line="276" w:lineRule="auto"/>
      <w:ind w:left="1760"/>
    </w:pPr>
    <w:rPr>
      <w:rFonts w:asciiTheme="minorHAnsi" w:hAnsiTheme="minorHAnsi" w:cstheme="minorBidi"/>
      <w:sz w:val="20"/>
      <w:szCs w:val="20"/>
    </w:rPr>
  </w:style>
  <w:style w:type="paragraph" w:styleId="a5">
    <w:name w:val="footnote text"/>
    <w:basedOn w:val="a"/>
    <w:link w:val="a6"/>
    <w:uiPriority w:val="99"/>
    <w:unhideWhenUsed/>
    <w:rsid w:val="003A7B1E"/>
    <w:rPr>
      <w:rFonts w:asciiTheme="minorHAnsi" w:hAnsiTheme="minorHAnsi" w:cstheme="minorBidi"/>
    </w:rPr>
  </w:style>
  <w:style w:type="character" w:customStyle="1" w:styleId="a6">
    <w:name w:val="Текст сноски Знак"/>
    <w:basedOn w:val="a0"/>
    <w:link w:val="a5"/>
    <w:uiPriority w:val="99"/>
    <w:rsid w:val="003A7B1E"/>
    <w:rPr>
      <w:lang w:val="ru-RU"/>
    </w:rPr>
  </w:style>
  <w:style w:type="character" w:styleId="a7">
    <w:name w:val="footnote reference"/>
    <w:basedOn w:val="a0"/>
    <w:uiPriority w:val="99"/>
    <w:unhideWhenUsed/>
    <w:rsid w:val="003A7B1E"/>
    <w:rPr>
      <w:vertAlign w:val="superscript"/>
    </w:rPr>
  </w:style>
  <w:style w:type="character" w:styleId="a8">
    <w:name w:val="Hyperlink"/>
    <w:basedOn w:val="a0"/>
    <w:uiPriority w:val="99"/>
    <w:unhideWhenUsed/>
    <w:rsid w:val="006057E3"/>
    <w:rPr>
      <w:color w:val="0563C1" w:themeColor="hyperlink"/>
      <w:u w:val="single"/>
    </w:rPr>
  </w:style>
  <w:style w:type="table" w:customStyle="1" w:styleId="PlainTable3">
    <w:name w:val="Plain Table 3"/>
    <w:basedOn w:val="a1"/>
    <w:uiPriority w:val="43"/>
    <w:rsid w:val="008F3C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9">
    <w:name w:val="Table Grid"/>
    <w:basedOn w:val="a1"/>
    <w:uiPriority w:val="39"/>
    <w:rsid w:val="008F3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8F3C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8F3C1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8F3C1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5">
    <w:name w:val="Plain Table 5"/>
    <w:basedOn w:val="a1"/>
    <w:uiPriority w:val="45"/>
    <w:rsid w:val="008F3C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8F3C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
    <w:name w:val="Grid Table 2"/>
    <w:basedOn w:val="a1"/>
    <w:uiPriority w:val="47"/>
    <w:rsid w:val="008F3C1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
    <w:name w:val="Grid Table 4"/>
    <w:basedOn w:val="a1"/>
    <w:uiPriority w:val="49"/>
    <w:rsid w:val="008F3C1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a1"/>
    <w:uiPriority w:val="50"/>
    <w:rsid w:val="008F3C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1"/>
    <w:uiPriority w:val="50"/>
    <w:rsid w:val="008F3C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3">
    <w:name w:val="Grid Table 5 Dark Accent 3"/>
    <w:basedOn w:val="a1"/>
    <w:uiPriority w:val="50"/>
    <w:rsid w:val="008F3C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2Accent6">
    <w:name w:val="List Table 2 Accent 6"/>
    <w:basedOn w:val="a1"/>
    <w:uiPriority w:val="47"/>
    <w:rsid w:val="008F3C1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
    <w:name w:val="Grid Table 4 Accent 6"/>
    <w:basedOn w:val="a1"/>
    <w:uiPriority w:val="49"/>
    <w:rsid w:val="00A15B2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6">
    <w:name w:val="Grid Table 2 Accent 6"/>
    <w:basedOn w:val="a1"/>
    <w:uiPriority w:val="47"/>
    <w:rsid w:val="00A15B2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Accent6">
    <w:name w:val="List Table 7 Colorful Accent 6"/>
    <w:basedOn w:val="a1"/>
    <w:uiPriority w:val="52"/>
    <w:rsid w:val="00A15B2C"/>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6">
    <w:name w:val="List Table 6 Colorful Accent 6"/>
    <w:basedOn w:val="a1"/>
    <w:uiPriority w:val="51"/>
    <w:rsid w:val="00A15B2C"/>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a">
    <w:name w:val="header"/>
    <w:basedOn w:val="a"/>
    <w:link w:val="ab"/>
    <w:uiPriority w:val="99"/>
    <w:unhideWhenUsed/>
    <w:rsid w:val="002F65E5"/>
    <w:pPr>
      <w:tabs>
        <w:tab w:val="center" w:pos="4677"/>
        <w:tab w:val="right" w:pos="9355"/>
      </w:tabs>
    </w:pPr>
  </w:style>
  <w:style w:type="character" w:customStyle="1" w:styleId="ab">
    <w:name w:val="Верхний колонтитул Знак"/>
    <w:basedOn w:val="a0"/>
    <w:link w:val="aa"/>
    <w:uiPriority w:val="99"/>
    <w:rsid w:val="002F65E5"/>
    <w:rPr>
      <w:rFonts w:ascii="Times New Roman" w:hAnsi="Times New Roman" w:cs="Times New Roman"/>
      <w:lang w:val="ru-RU"/>
    </w:rPr>
  </w:style>
  <w:style w:type="paragraph" w:styleId="ac">
    <w:name w:val="footer"/>
    <w:basedOn w:val="a"/>
    <w:link w:val="ad"/>
    <w:uiPriority w:val="99"/>
    <w:unhideWhenUsed/>
    <w:rsid w:val="002F65E5"/>
    <w:pPr>
      <w:tabs>
        <w:tab w:val="center" w:pos="4677"/>
        <w:tab w:val="right" w:pos="9355"/>
      </w:tabs>
    </w:pPr>
  </w:style>
  <w:style w:type="character" w:customStyle="1" w:styleId="ad">
    <w:name w:val="Нижний колонтитул Знак"/>
    <w:basedOn w:val="a0"/>
    <w:link w:val="ac"/>
    <w:uiPriority w:val="99"/>
    <w:rsid w:val="002F65E5"/>
    <w:rPr>
      <w:rFonts w:ascii="Times New Roman" w:hAnsi="Times New Roman" w:cs="Times New Roman"/>
      <w:lang w:val="ru-RU"/>
    </w:rPr>
  </w:style>
  <w:style w:type="character" w:styleId="ae">
    <w:name w:val="page number"/>
    <w:basedOn w:val="a0"/>
    <w:uiPriority w:val="99"/>
    <w:semiHidden/>
    <w:unhideWhenUsed/>
    <w:rsid w:val="002F65E5"/>
  </w:style>
  <w:style w:type="character" w:styleId="af">
    <w:name w:val="annotation reference"/>
    <w:basedOn w:val="a0"/>
    <w:uiPriority w:val="99"/>
    <w:semiHidden/>
    <w:unhideWhenUsed/>
    <w:rsid w:val="00933FB1"/>
    <w:rPr>
      <w:sz w:val="18"/>
      <w:szCs w:val="18"/>
    </w:rPr>
  </w:style>
  <w:style w:type="paragraph" w:styleId="af0">
    <w:name w:val="annotation text"/>
    <w:basedOn w:val="a"/>
    <w:link w:val="af1"/>
    <w:uiPriority w:val="99"/>
    <w:semiHidden/>
    <w:unhideWhenUsed/>
    <w:rsid w:val="00933FB1"/>
  </w:style>
  <w:style w:type="character" w:customStyle="1" w:styleId="af1">
    <w:name w:val="Текст примечания Знак"/>
    <w:basedOn w:val="a0"/>
    <w:link w:val="af0"/>
    <w:uiPriority w:val="99"/>
    <w:semiHidden/>
    <w:rsid w:val="00933FB1"/>
    <w:rPr>
      <w:rFonts w:ascii="Times New Roman" w:hAnsi="Times New Roman" w:cs="Times New Roman"/>
      <w:lang w:val="ru-RU"/>
    </w:rPr>
  </w:style>
  <w:style w:type="paragraph" w:styleId="af2">
    <w:name w:val="Balloon Text"/>
    <w:basedOn w:val="a"/>
    <w:link w:val="af3"/>
    <w:uiPriority w:val="99"/>
    <w:semiHidden/>
    <w:unhideWhenUsed/>
    <w:rsid w:val="00933FB1"/>
    <w:rPr>
      <w:rFonts w:ascii="Segoe UI" w:hAnsi="Segoe UI" w:cs="Segoe UI"/>
      <w:sz w:val="18"/>
      <w:szCs w:val="18"/>
    </w:rPr>
  </w:style>
  <w:style w:type="character" w:customStyle="1" w:styleId="af3">
    <w:name w:val="Текст выноски Знак"/>
    <w:basedOn w:val="a0"/>
    <w:link w:val="af2"/>
    <w:uiPriority w:val="99"/>
    <w:semiHidden/>
    <w:rsid w:val="00933FB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751">
      <w:bodyDiv w:val="1"/>
      <w:marLeft w:val="0"/>
      <w:marRight w:val="0"/>
      <w:marTop w:val="0"/>
      <w:marBottom w:val="0"/>
      <w:divBdr>
        <w:top w:val="none" w:sz="0" w:space="0" w:color="auto"/>
        <w:left w:val="none" w:sz="0" w:space="0" w:color="auto"/>
        <w:bottom w:val="none" w:sz="0" w:space="0" w:color="auto"/>
        <w:right w:val="none" w:sz="0" w:space="0" w:color="auto"/>
      </w:divBdr>
    </w:div>
    <w:div w:id="133564590">
      <w:bodyDiv w:val="1"/>
      <w:marLeft w:val="0"/>
      <w:marRight w:val="0"/>
      <w:marTop w:val="0"/>
      <w:marBottom w:val="0"/>
      <w:divBdr>
        <w:top w:val="none" w:sz="0" w:space="0" w:color="auto"/>
        <w:left w:val="none" w:sz="0" w:space="0" w:color="auto"/>
        <w:bottom w:val="none" w:sz="0" w:space="0" w:color="auto"/>
        <w:right w:val="none" w:sz="0" w:space="0" w:color="auto"/>
      </w:divBdr>
    </w:div>
    <w:div w:id="148375137">
      <w:bodyDiv w:val="1"/>
      <w:marLeft w:val="0"/>
      <w:marRight w:val="0"/>
      <w:marTop w:val="0"/>
      <w:marBottom w:val="0"/>
      <w:divBdr>
        <w:top w:val="none" w:sz="0" w:space="0" w:color="auto"/>
        <w:left w:val="none" w:sz="0" w:space="0" w:color="auto"/>
        <w:bottom w:val="none" w:sz="0" w:space="0" w:color="auto"/>
        <w:right w:val="none" w:sz="0" w:space="0" w:color="auto"/>
      </w:divBdr>
    </w:div>
    <w:div w:id="196701926">
      <w:bodyDiv w:val="1"/>
      <w:marLeft w:val="0"/>
      <w:marRight w:val="0"/>
      <w:marTop w:val="0"/>
      <w:marBottom w:val="0"/>
      <w:divBdr>
        <w:top w:val="none" w:sz="0" w:space="0" w:color="auto"/>
        <w:left w:val="none" w:sz="0" w:space="0" w:color="auto"/>
        <w:bottom w:val="none" w:sz="0" w:space="0" w:color="auto"/>
        <w:right w:val="none" w:sz="0" w:space="0" w:color="auto"/>
      </w:divBdr>
    </w:div>
    <w:div w:id="246422000">
      <w:bodyDiv w:val="1"/>
      <w:marLeft w:val="0"/>
      <w:marRight w:val="0"/>
      <w:marTop w:val="0"/>
      <w:marBottom w:val="0"/>
      <w:divBdr>
        <w:top w:val="none" w:sz="0" w:space="0" w:color="auto"/>
        <w:left w:val="none" w:sz="0" w:space="0" w:color="auto"/>
        <w:bottom w:val="none" w:sz="0" w:space="0" w:color="auto"/>
        <w:right w:val="none" w:sz="0" w:space="0" w:color="auto"/>
      </w:divBdr>
    </w:div>
    <w:div w:id="257982077">
      <w:bodyDiv w:val="1"/>
      <w:marLeft w:val="0"/>
      <w:marRight w:val="0"/>
      <w:marTop w:val="0"/>
      <w:marBottom w:val="0"/>
      <w:divBdr>
        <w:top w:val="none" w:sz="0" w:space="0" w:color="auto"/>
        <w:left w:val="none" w:sz="0" w:space="0" w:color="auto"/>
        <w:bottom w:val="none" w:sz="0" w:space="0" w:color="auto"/>
        <w:right w:val="none" w:sz="0" w:space="0" w:color="auto"/>
      </w:divBdr>
    </w:div>
    <w:div w:id="340353792">
      <w:bodyDiv w:val="1"/>
      <w:marLeft w:val="0"/>
      <w:marRight w:val="0"/>
      <w:marTop w:val="0"/>
      <w:marBottom w:val="0"/>
      <w:divBdr>
        <w:top w:val="none" w:sz="0" w:space="0" w:color="auto"/>
        <w:left w:val="none" w:sz="0" w:space="0" w:color="auto"/>
        <w:bottom w:val="none" w:sz="0" w:space="0" w:color="auto"/>
        <w:right w:val="none" w:sz="0" w:space="0" w:color="auto"/>
      </w:divBdr>
    </w:div>
    <w:div w:id="367797614">
      <w:bodyDiv w:val="1"/>
      <w:marLeft w:val="0"/>
      <w:marRight w:val="0"/>
      <w:marTop w:val="0"/>
      <w:marBottom w:val="0"/>
      <w:divBdr>
        <w:top w:val="none" w:sz="0" w:space="0" w:color="auto"/>
        <w:left w:val="none" w:sz="0" w:space="0" w:color="auto"/>
        <w:bottom w:val="none" w:sz="0" w:space="0" w:color="auto"/>
        <w:right w:val="none" w:sz="0" w:space="0" w:color="auto"/>
      </w:divBdr>
    </w:div>
    <w:div w:id="393241633">
      <w:bodyDiv w:val="1"/>
      <w:marLeft w:val="0"/>
      <w:marRight w:val="0"/>
      <w:marTop w:val="0"/>
      <w:marBottom w:val="0"/>
      <w:divBdr>
        <w:top w:val="none" w:sz="0" w:space="0" w:color="auto"/>
        <w:left w:val="none" w:sz="0" w:space="0" w:color="auto"/>
        <w:bottom w:val="none" w:sz="0" w:space="0" w:color="auto"/>
        <w:right w:val="none" w:sz="0" w:space="0" w:color="auto"/>
      </w:divBdr>
    </w:div>
    <w:div w:id="527376966">
      <w:bodyDiv w:val="1"/>
      <w:marLeft w:val="0"/>
      <w:marRight w:val="0"/>
      <w:marTop w:val="0"/>
      <w:marBottom w:val="0"/>
      <w:divBdr>
        <w:top w:val="none" w:sz="0" w:space="0" w:color="auto"/>
        <w:left w:val="none" w:sz="0" w:space="0" w:color="auto"/>
        <w:bottom w:val="none" w:sz="0" w:space="0" w:color="auto"/>
        <w:right w:val="none" w:sz="0" w:space="0" w:color="auto"/>
      </w:divBdr>
    </w:div>
    <w:div w:id="576136218">
      <w:bodyDiv w:val="1"/>
      <w:marLeft w:val="0"/>
      <w:marRight w:val="0"/>
      <w:marTop w:val="0"/>
      <w:marBottom w:val="0"/>
      <w:divBdr>
        <w:top w:val="none" w:sz="0" w:space="0" w:color="auto"/>
        <w:left w:val="none" w:sz="0" w:space="0" w:color="auto"/>
        <w:bottom w:val="none" w:sz="0" w:space="0" w:color="auto"/>
        <w:right w:val="none" w:sz="0" w:space="0" w:color="auto"/>
      </w:divBdr>
    </w:div>
    <w:div w:id="584454477">
      <w:bodyDiv w:val="1"/>
      <w:marLeft w:val="0"/>
      <w:marRight w:val="0"/>
      <w:marTop w:val="0"/>
      <w:marBottom w:val="0"/>
      <w:divBdr>
        <w:top w:val="none" w:sz="0" w:space="0" w:color="auto"/>
        <w:left w:val="none" w:sz="0" w:space="0" w:color="auto"/>
        <w:bottom w:val="none" w:sz="0" w:space="0" w:color="auto"/>
        <w:right w:val="none" w:sz="0" w:space="0" w:color="auto"/>
      </w:divBdr>
    </w:div>
    <w:div w:id="666520817">
      <w:bodyDiv w:val="1"/>
      <w:marLeft w:val="0"/>
      <w:marRight w:val="0"/>
      <w:marTop w:val="0"/>
      <w:marBottom w:val="0"/>
      <w:divBdr>
        <w:top w:val="none" w:sz="0" w:space="0" w:color="auto"/>
        <w:left w:val="none" w:sz="0" w:space="0" w:color="auto"/>
        <w:bottom w:val="none" w:sz="0" w:space="0" w:color="auto"/>
        <w:right w:val="none" w:sz="0" w:space="0" w:color="auto"/>
      </w:divBdr>
    </w:div>
    <w:div w:id="717750309">
      <w:bodyDiv w:val="1"/>
      <w:marLeft w:val="0"/>
      <w:marRight w:val="0"/>
      <w:marTop w:val="0"/>
      <w:marBottom w:val="0"/>
      <w:divBdr>
        <w:top w:val="none" w:sz="0" w:space="0" w:color="auto"/>
        <w:left w:val="none" w:sz="0" w:space="0" w:color="auto"/>
        <w:bottom w:val="none" w:sz="0" w:space="0" w:color="auto"/>
        <w:right w:val="none" w:sz="0" w:space="0" w:color="auto"/>
      </w:divBdr>
    </w:div>
    <w:div w:id="718896389">
      <w:bodyDiv w:val="1"/>
      <w:marLeft w:val="0"/>
      <w:marRight w:val="0"/>
      <w:marTop w:val="0"/>
      <w:marBottom w:val="0"/>
      <w:divBdr>
        <w:top w:val="none" w:sz="0" w:space="0" w:color="auto"/>
        <w:left w:val="none" w:sz="0" w:space="0" w:color="auto"/>
        <w:bottom w:val="none" w:sz="0" w:space="0" w:color="auto"/>
        <w:right w:val="none" w:sz="0" w:space="0" w:color="auto"/>
      </w:divBdr>
    </w:div>
    <w:div w:id="758213958">
      <w:bodyDiv w:val="1"/>
      <w:marLeft w:val="0"/>
      <w:marRight w:val="0"/>
      <w:marTop w:val="0"/>
      <w:marBottom w:val="0"/>
      <w:divBdr>
        <w:top w:val="none" w:sz="0" w:space="0" w:color="auto"/>
        <w:left w:val="none" w:sz="0" w:space="0" w:color="auto"/>
        <w:bottom w:val="none" w:sz="0" w:space="0" w:color="auto"/>
        <w:right w:val="none" w:sz="0" w:space="0" w:color="auto"/>
      </w:divBdr>
      <w:divsChild>
        <w:div w:id="181209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566555">
              <w:marLeft w:val="0"/>
              <w:marRight w:val="0"/>
              <w:marTop w:val="0"/>
              <w:marBottom w:val="0"/>
              <w:divBdr>
                <w:top w:val="none" w:sz="0" w:space="0" w:color="auto"/>
                <w:left w:val="none" w:sz="0" w:space="0" w:color="auto"/>
                <w:bottom w:val="none" w:sz="0" w:space="0" w:color="auto"/>
                <w:right w:val="none" w:sz="0" w:space="0" w:color="auto"/>
              </w:divBdr>
              <w:divsChild>
                <w:div w:id="1973241514">
                  <w:marLeft w:val="0"/>
                  <w:marRight w:val="0"/>
                  <w:marTop w:val="0"/>
                  <w:marBottom w:val="0"/>
                  <w:divBdr>
                    <w:top w:val="none" w:sz="0" w:space="0" w:color="auto"/>
                    <w:left w:val="none" w:sz="0" w:space="0" w:color="auto"/>
                    <w:bottom w:val="none" w:sz="0" w:space="0" w:color="auto"/>
                    <w:right w:val="none" w:sz="0" w:space="0" w:color="auto"/>
                  </w:divBdr>
                  <w:divsChild>
                    <w:div w:id="149716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2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153075">
      <w:bodyDiv w:val="1"/>
      <w:marLeft w:val="0"/>
      <w:marRight w:val="0"/>
      <w:marTop w:val="0"/>
      <w:marBottom w:val="0"/>
      <w:divBdr>
        <w:top w:val="none" w:sz="0" w:space="0" w:color="auto"/>
        <w:left w:val="none" w:sz="0" w:space="0" w:color="auto"/>
        <w:bottom w:val="none" w:sz="0" w:space="0" w:color="auto"/>
        <w:right w:val="none" w:sz="0" w:space="0" w:color="auto"/>
      </w:divBdr>
    </w:div>
    <w:div w:id="874732911">
      <w:bodyDiv w:val="1"/>
      <w:marLeft w:val="0"/>
      <w:marRight w:val="0"/>
      <w:marTop w:val="0"/>
      <w:marBottom w:val="0"/>
      <w:divBdr>
        <w:top w:val="none" w:sz="0" w:space="0" w:color="auto"/>
        <w:left w:val="none" w:sz="0" w:space="0" w:color="auto"/>
        <w:bottom w:val="none" w:sz="0" w:space="0" w:color="auto"/>
        <w:right w:val="none" w:sz="0" w:space="0" w:color="auto"/>
      </w:divBdr>
    </w:div>
    <w:div w:id="962031970">
      <w:bodyDiv w:val="1"/>
      <w:marLeft w:val="0"/>
      <w:marRight w:val="0"/>
      <w:marTop w:val="0"/>
      <w:marBottom w:val="0"/>
      <w:divBdr>
        <w:top w:val="none" w:sz="0" w:space="0" w:color="auto"/>
        <w:left w:val="none" w:sz="0" w:space="0" w:color="auto"/>
        <w:bottom w:val="none" w:sz="0" w:space="0" w:color="auto"/>
        <w:right w:val="none" w:sz="0" w:space="0" w:color="auto"/>
      </w:divBdr>
    </w:div>
    <w:div w:id="988708167">
      <w:bodyDiv w:val="1"/>
      <w:marLeft w:val="0"/>
      <w:marRight w:val="0"/>
      <w:marTop w:val="0"/>
      <w:marBottom w:val="0"/>
      <w:divBdr>
        <w:top w:val="none" w:sz="0" w:space="0" w:color="auto"/>
        <w:left w:val="none" w:sz="0" w:space="0" w:color="auto"/>
        <w:bottom w:val="none" w:sz="0" w:space="0" w:color="auto"/>
        <w:right w:val="none" w:sz="0" w:space="0" w:color="auto"/>
      </w:divBdr>
    </w:div>
    <w:div w:id="1050693566">
      <w:bodyDiv w:val="1"/>
      <w:marLeft w:val="0"/>
      <w:marRight w:val="0"/>
      <w:marTop w:val="0"/>
      <w:marBottom w:val="0"/>
      <w:divBdr>
        <w:top w:val="none" w:sz="0" w:space="0" w:color="auto"/>
        <w:left w:val="none" w:sz="0" w:space="0" w:color="auto"/>
        <w:bottom w:val="none" w:sz="0" w:space="0" w:color="auto"/>
        <w:right w:val="none" w:sz="0" w:space="0" w:color="auto"/>
      </w:divBdr>
    </w:div>
    <w:div w:id="1050958260">
      <w:bodyDiv w:val="1"/>
      <w:marLeft w:val="0"/>
      <w:marRight w:val="0"/>
      <w:marTop w:val="0"/>
      <w:marBottom w:val="0"/>
      <w:divBdr>
        <w:top w:val="none" w:sz="0" w:space="0" w:color="auto"/>
        <w:left w:val="none" w:sz="0" w:space="0" w:color="auto"/>
        <w:bottom w:val="none" w:sz="0" w:space="0" w:color="auto"/>
        <w:right w:val="none" w:sz="0" w:space="0" w:color="auto"/>
      </w:divBdr>
    </w:div>
    <w:div w:id="1098407898">
      <w:bodyDiv w:val="1"/>
      <w:marLeft w:val="0"/>
      <w:marRight w:val="0"/>
      <w:marTop w:val="0"/>
      <w:marBottom w:val="0"/>
      <w:divBdr>
        <w:top w:val="none" w:sz="0" w:space="0" w:color="auto"/>
        <w:left w:val="none" w:sz="0" w:space="0" w:color="auto"/>
        <w:bottom w:val="none" w:sz="0" w:space="0" w:color="auto"/>
        <w:right w:val="none" w:sz="0" w:space="0" w:color="auto"/>
      </w:divBdr>
    </w:div>
    <w:div w:id="1134058826">
      <w:bodyDiv w:val="1"/>
      <w:marLeft w:val="0"/>
      <w:marRight w:val="0"/>
      <w:marTop w:val="0"/>
      <w:marBottom w:val="0"/>
      <w:divBdr>
        <w:top w:val="none" w:sz="0" w:space="0" w:color="auto"/>
        <w:left w:val="none" w:sz="0" w:space="0" w:color="auto"/>
        <w:bottom w:val="none" w:sz="0" w:space="0" w:color="auto"/>
        <w:right w:val="none" w:sz="0" w:space="0" w:color="auto"/>
      </w:divBdr>
    </w:div>
    <w:div w:id="1145901678">
      <w:bodyDiv w:val="1"/>
      <w:marLeft w:val="0"/>
      <w:marRight w:val="0"/>
      <w:marTop w:val="0"/>
      <w:marBottom w:val="0"/>
      <w:divBdr>
        <w:top w:val="none" w:sz="0" w:space="0" w:color="auto"/>
        <w:left w:val="none" w:sz="0" w:space="0" w:color="auto"/>
        <w:bottom w:val="none" w:sz="0" w:space="0" w:color="auto"/>
        <w:right w:val="none" w:sz="0" w:space="0" w:color="auto"/>
      </w:divBdr>
    </w:div>
    <w:div w:id="1197423310">
      <w:bodyDiv w:val="1"/>
      <w:marLeft w:val="0"/>
      <w:marRight w:val="0"/>
      <w:marTop w:val="0"/>
      <w:marBottom w:val="0"/>
      <w:divBdr>
        <w:top w:val="none" w:sz="0" w:space="0" w:color="auto"/>
        <w:left w:val="none" w:sz="0" w:space="0" w:color="auto"/>
        <w:bottom w:val="none" w:sz="0" w:space="0" w:color="auto"/>
        <w:right w:val="none" w:sz="0" w:space="0" w:color="auto"/>
      </w:divBdr>
    </w:div>
    <w:div w:id="1217201501">
      <w:bodyDiv w:val="1"/>
      <w:marLeft w:val="0"/>
      <w:marRight w:val="0"/>
      <w:marTop w:val="0"/>
      <w:marBottom w:val="0"/>
      <w:divBdr>
        <w:top w:val="none" w:sz="0" w:space="0" w:color="auto"/>
        <w:left w:val="none" w:sz="0" w:space="0" w:color="auto"/>
        <w:bottom w:val="none" w:sz="0" w:space="0" w:color="auto"/>
        <w:right w:val="none" w:sz="0" w:space="0" w:color="auto"/>
      </w:divBdr>
    </w:div>
    <w:div w:id="1228148834">
      <w:bodyDiv w:val="1"/>
      <w:marLeft w:val="0"/>
      <w:marRight w:val="0"/>
      <w:marTop w:val="0"/>
      <w:marBottom w:val="0"/>
      <w:divBdr>
        <w:top w:val="none" w:sz="0" w:space="0" w:color="auto"/>
        <w:left w:val="none" w:sz="0" w:space="0" w:color="auto"/>
        <w:bottom w:val="none" w:sz="0" w:space="0" w:color="auto"/>
        <w:right w:val="none" w:sz="0" w:space="0" w:color="auto"/>
      </w:divBdr>
    </w:div>
    <w:div w:id="1321886477">
      <w:bodyDiv w:val="1"/>
      <w:marLeft w:val="0"/>
      <w:marRight w:val="0"/>
      <w:marTop w:val="0"/>
      <w:marBottom w:val="0"/>
      <w:divBdr>
        <w:top w:val="none" w:sz="0" w:space="0" w:color="auto"/>
        <w:left w:val="none" w:sz="0" w:space="0" w:color="auto"/>
        <w:bottom w:val="none" w:sz="0" w:space="0" w:color="auto"/>
        <w:right w:val="none" w:sz="0" w:space="0" w:color="auto"/>
      </w:divBdr>
    </w:div>
    <w:div w:id="1342467029">
      <w:bodyDiv w:val="1"/>
      <w:marLeft w:val="0"/>
      <w:marRight w:val="0"/>
      <w:marTop w:val="0"/>
      <w:marBottom w:val="0"/>
      <w:divBdr>
        <w:top w:val="none" w:sz="0" w:space="0" w:color="auto"/>
        <w:left w:val="none" w:sz="0" w:space="0" w:color="auto"/>
        <w:bottom w:val="none" w:sz="0" w:space="0" w:color="auto"/>
        <w:right w:val="none" w:sz="0" w:space="0" w:color="auto"/>
      </w:divBdr>
    </w:div>
    <w:div w:id="1391994992">
      <w:bodyDiv w:val="1"/>
      <w:marLeft w:val="0"/>
      <w:marRight w:val="0"/>
      <w:marTop w:val="0"/>
      <w:marBottom w:val="0"/>
      <w:divBdr>
        <w:top w:val="none" w:sz="0" w:space="0" w:color="auto"/>
        <w:left w:val="none" w:sz="0" w:space="0" w:color="auto"/>
        <w:bottom w:val="none" w:sz="0" w:space="0" w:color="auto"/>
        <w:right w:val="none" w:sz="0" w:space="0" w:color="auto"/>
      </w:divBdr>
    </w:div>
    <w:div w:id="1480226330">
      <w:bodyDiv w:val="1"/>
      <w:marLeft w:val="0"/>
      <w:marRight w:val="0"/>
      <w:marTop w:val="0"/>
      <w:marBottom w:val="0"/>
      <w:divBdr>
        <w:top w:val="none" w:sz="0" w:space="0" w:color="auto"/>
        <w:left w:val="none" w:sz="0" w:space="0" w:color="auto"/>
        <w:bottom w:val="none" w:sz="0" w:space="0" w:color="auto"/>
        <w:right w:val="none" w:sz="0" w:space="0" w:color="auto"/>
      </w:divBdr>
    </w:div>
    <w:div w:id="1701009869">
      <w:bodyDiv w:val="1"/>
      <w:marLeft w:val="0"/>
      <w:marRight w:val="0"/>
      <w:marTop w:val="0"/>
      <w:marBottom w:val="0"/>
      <w:divBdr>
        <w:top w:val="none" w:sz="0" w:space="0" w:color="auto"/>
        <w:left w:val="none" w:sz="0" w:space="0" w:color="auto"/>
        <w:bottom w:val="none" w:sz="0" w:space="0" w:color="auto"/>
        <w:right w:val="none" w:sz="0" w:space="0" w:color="auto"/>
      </w:divBdr>
    </w:div>
    <w:div w:id="1753433094">
      <w:bodyDiv w:val="1"/>
      <w:marLeft w:val="0"/>
      <w:marRight w:val="0"/>
      <w:marTop w:val="0"/>
      <w:marBottom w:val="0"/>
      <w:divBdr>
        <w:top w:val="none" w:sz="0" w:space="0" w:color="auto"/>
        <w:left w:val="none" w:sz="0" w:space="0" w:color="auto"/>
        <w:bottom w:val="none" w:sz="0" w:space="0" w:color="auto"/>
        <w:right w:val="none" w:sz="0" w:space="0" w:color="auto"/>
      </w:divBdr>
    </w:div>
    <w:div w:id="1787430052">
      <w:bodyDiv w:val="1"/>
      <w:marLeft w:val="0"/>
      <w:marRight w:val="0"/>
      <w:marTop w:val="0"/>
      <w:marBottom w:val="0"/>
      <w:divBdr>
        <w:top w:val="none" w:sz="0" w:space="0" w:color="auto"/>
        <w:left w:val="none" w:sz="0" w:space="0" w:color="auto"/>
        <w:bottom w:val="none" w:sz="0" w:space="0" w:color="auto"/>
        <w:right w:val="none" w:sz="0" w:space="0" w:color="auto"/>
      </w:divBdr>
    </w:div>
    <w:div w:id="1797992576">
      <w:bodyDiv w:val="1"/>
      <w:marLeft w:val="0"/>
      <w:marRight w:val="0"/>
      <w:marTop w:val="0"/>
      <w:marBottom w:val="0"/>
      <w:divBdr>
        <w:top w:val="none" w:sz="0" w:space="0" w:color="auto"/>
        <w:left w:val="none" w:sz="0" w:space="0" w:color="auto"/>
        <w:bottom w:val="none" w:sz="0" w:space="0" w:color="auto"/>
        <w:right w:val="none" w:sz="0" w:space="0" w:color="auto"/>
      </w:divBdr>
    </w:div>
    <w:div w:id="1938950172">
      <w:bodyDiv w:val="1"/>
      <w:marLeft w:val="0"/>
      <w:marRight w:val="0"/>
      <w:marTop w:val="0"/>
      <w:marBottom w:val="0"/>
      <w:divBdr>
        <w:top w:val="none" w:sz="0" w:space="0" w:color="auto"/>
        <w:left w:val="none" w:sz="0" w:space="0" w:color="auto"/>
        <w:bottom w:val="none" w:sz="0" w:space="0" w:color="auto"/>
        <w:right w:val="none" w:sz="0" w:space="0" w:color="auto"/>
      </w:divBdr>
      <w:divsChild>
        <w:div w:id="1788233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02886">
              <w:marLeft w:val="0"/>
              <w:marRight w:val="0"/>
              <w:marTop w:val="0"/>
              <w:marBottom w:val="0"/>
              <w:divBdr>
                <w:top w:val="none" w:sz="0" w:space="0" w:color="auto"/>
                <w:left w:val="none" w:sz="0" w:space="0" w:color="auto"/>
                <w:bottom w:val="none" w:sz="0" w:space="0" w:color="auto"/>
                <w:right w:val="none" w:sz="0" w:space="0" w:color="auto"/>
              </w:divBdr>
              <w:divsChild>
                <w:div w:id="313336414">
                  <w:marLeft w:val="0"/>
                  <w:marRight w:val="0"/>
                  <w:marTop w:val="0"/>
                  <w:marBottom w:val="0"/>
                  <w:divBdr>
                    <w:top w:val="none" w:sz="0" w:space="0" w:color="auto"/>
                    <w:left w:val="none" w:sz="0" w:space="0" w:color="auto"/>
                    <w:bottom w:val="none" w:sz="0" w:space="0" w:color="auto"/>
                    <w:right w:val="none" w:sz="0" w:space="0" w:color="auto"/>
                  </w:divBdr>
                  <w:divsChild>
                    <w:div w:id="146973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4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258290">
      <w:bodyDiv w:val="1"/>
      <w:marLeft w:val="0"/>
      <w:marRight w:val="0"/>
      <w:marTop w:val="0"/>
      <w:marBottom w:val="0"/>
      <w:divBdr>
        <w:top w:val="none" w:sz="0" w:space="0" w:color="auto"/>
        <w:left w:val="none" w:sz="0" w:space="0" w:color="auto"/>
        <w:bottom w:val="none" w:sz="0" w:space="0" w:color="auto"/>
        <w:right w:val="none" w:sz="0" w:space="0" w:color="auto"/>
      </w:divBdr>
    </w:div>
    <w:div w:id="2006666545">
      <w:bodyDiv w:val="1"/>
      <w:marLeft w:val="0"/>
      <w:marRight w:val="0"/>
      <w:marTop w:val="0"/>
      <w:marBottom w:val="0"/>
      <w:divBdr>
        <w:top w:val="none" w:sz="0" w:space="0" w:color="auto"/>
        <w:left w:val="none" w:sz="0" w:space="0" w:color="auto"/>
        <w:bottom w:val="none" w:sz="0" w:space="0" w:color="auto"/>
        <w:right w:val="none" w:sz="0" w:space="0" w:color="auto"/>
      </w:divBdr>
    </w:div>
    <w:div w:id="206243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sergeyefimenko\Desktop\&#1044;&#1072;&#1085;&#1085;&#1099;&#1077;\&#1043;&#1088;&#1072;&#1092;&#1080;&#1082;&#108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localhost\Users\sergeyefimenko\Desktop\&#1042;&#1064;&#1069;\&#1050;%20&#1060;&#1086;&#1085;&#1076;\&#1050;%20&#1092;&#1086;&#1085;&#1076;%20&#1084;&#1086;&#1076;&#1077;&#1083;&#1100;%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sergeyefimenko\Desktop\&#1044;&#1072;&#1085;&#1085;&#1099;&#1077;\&#1043;&#1088;&#1072;&#1092;&#1080;&#1082;&#1080;%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sergeyefimenko\Desktop\&#1044;&#1072;&#1085;&#1085;&#1099;&#1077;\&#1043;&#1088;&#1072;&#1092;&#1080;&#1082;&#1080;%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localhost\Users\sergeyefimenko\Desktop\&#1044;&#1072;&#1085;&#1085;&#1099;&#1077;\&#1043;&#1088;&#1072;&#1092;&#1080;&#1082;&#1080;%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localhost\Users\sergeyefimenko\Desktop\&#1044;&#1072;&#1085;&#1085;&#1099;&#1077;\&#1043;&#1088;&#1072;&#1092;&#1080;&#1082;&#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localhost\Users\sergeyefimenko\Desktop\&#1044;&#1072;&#1085;&#1085;&#1099;&#1077;\&#1043;&#1088;&#1072;&#1092;&#1080;&#1082;&#1080;%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localhost\Users\sergeyefimenko\Desktop\&#1044;&#1072;&#1085;&#1085;&#1099;&#1077;\&#1043;&#1088;&#1072;&#1092;&#1080;&#1082;&#108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localhost\Users\sergeyefimenko\Desktop\&#1044;&#1072;&#1085;&#1085;&#1099;&#1077;\&#1043;&#1088;&#1072;&#1092;&#1080;&#1082;&#108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localhost\Users\sergeyefimenko\Desktop\&#1042;&#1064;&#1069;\&#1050;%20&#1060;&#1086;&#1085;&#1076;\&#1050;%20&#1092;&#1086;&#1085;&#1076;%20&#1084;&#1086;&#1076;&#1077;&#1083;&#1100;%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t>Продажи</a:t>
            </a:r>
            <a:r>
              <a:rPr lang="ru-RU" sz="1200" b="1" baseline="0"/>
              <a:t> жилья по договорам долевого участия, объемы ввода и нового строительства</a:t>
            </a:r>
            <a:endParaRPr lang="en-US" sz="1200" b="1"/>
          </a:p>
        </c:rich>
      </c:tx>
      <c:overlay val="0"/>
      <c:spPr>
        <a:noFill/>
        <a:ln>
          <a:noFill/>
        </a:ln>
        <a:effectLst/>
      </c:spPr>
    </c:title>
    <c:autoTitleDeleted val="0"/>
    <c:plotArea>
      <c:layout/>
      <c:barChart>
        <c:barDir val="col"/>
        <c:grouping val="clustered"/>
        <c:varyColors val="0"/>
        <c:ser>
          <c:idx val="0"/>
          <c:order val="0"/>
          <c:tx>
            <c:strRef>
              <c:f>ДДУ!$A$10</c:f>
              <c:strCache>
                <c:ptCount val="1"/>
                <c:pt idx="0">
                  <c:v>Продажи по ДДУ, млн. кв. 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ДДУ!$B$9:$C$9</c:f>
              <c:numCache>
                <c:formatCode>General</c:formatCode>
                <c:ptCount val="2"/>
                <c:pt idx="0">
                  <c:v>2014</c:v>
                </c:pt>
                <c:pt idx="1">
                  <c:v>2015</c:v>
                </c:pt>
              </c:numCache>
            </c:numRef>
          </c:cat>
          <c:val>
            <c:numRef>
              <c:f>ДДУ!$B$10:$C$10</c:f>
              <c:numCache>
                <c:formatCode>_-* #,##0.0\ _R_U_B_-;\-* #,##0.0\ _R_U_B_-;_-* "-"??\ _R_U_B_-;_-@_-</c:formatCode>
                <c:ptCount val="2"/>
                <c:pt idx="0">
                  <c:v>47.418168000000009</c:v>
                </c:pt>
                <c:pt idx="1">
                  <c:v>35.925344000000003</c:v>
                </c:pt>
              </c:numCache>
            </c:numRef>
          </c:val>
        </c:ser>
        <c:ser>
          <c:idx val="1"/>
          <c:order val="1"/>
          <c:tx>
            <c:strRef>
              <c:f>ДДУ!$A$11</c:f>
              <c:strCache>
                <c:ptCount val="1"/>
                <c:pt idx="0">
                  <c:v>Новые проекты в жилищном строительстве, млн кв 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ДДУ!$B$9:$C$9</c:f>
              <c:numCache>
                <c:formatCode>General</c:formatCode>
                <c:ptCount val="2"/>
                <c:pt idx="0">
                  <c:v>2014</c:v>
                </c:pt>
                <c:pt idx="1">
                  <c:v>2015</c:v>
                </c:pt>
              </c:numCache>
            </c:numRef>
          </c:cat>
          <c:val>
            <c:numRef>
              <c:f>ДДУ!$B$11:$C$11</c:f>
              <c:numCache>
                <c:formatCode>_-* #,##0.0\ _R_U_B_-;\-* #,##0.0\ _R_U_B_-;_-* "-"??\ _R_U_B_-;_-@_-</c:formatCode>
                <c:ptCount val="2"/>
                <c:pt idx="0">
                  <c:v>50.449629211431272</c:v>
                </c:pt>
                <c:pt idx="1">
                  <c:v>48.701900000000002</c:v>
                </c:pt>
              </c:numCache>
            </c:numRef>
          </c:val>
        </c:ser>
        <c:ser>
          <c:idx val="2"/>
          <c:order val="2"/>
          <c:tx>
            <c:strRef>
              <c:f>ДДУ!$A$12</c:f>
              <c:strCache>
                <c:ptCount val="1"/>
                <c:pt idx="0">
                  <c:v>Ввод жилья, млн. кв. 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ДДУ!$B$9:$C$9</c:f>
              <c:numCache>
                <c:formatCode>General</c:formatCode>
                <c:ptCount val="2"/>
                <c:pt idx="0">
                  <c:v>2014</c:v>
                </c:pt>
                <c:pt idx="1">
                  <c:v>2015</c:v>
                </c:pt>
              </c:numCache>
            </c:numRef>
          </c:cat>
          <c:val>
            <c:numRef>
              <c:f>ДДУ!$B$12:$C$12</c:f>
              <c:numCache>
                <c:formatCode>_-* #,##0.0\ _R_U_B_-;\-* #,##0.0\ _R_U_B_-;_-* "-"??\ _R_U_B_-;_-@_-</c:formatCode>
                <c:ptCount val="2"/>
                <c:pt idx="0">
                  <c:v>47.916929211431302</c:v>
                </c:pt>
                <c:pt idx="1">
                  <c:v>50.146700000000003</c:v>
                </c:pt>
              </c:numCache>
            </c:numRef>
          </c:val>
        </c:ser>
        <c:dLbls>
          <c:dLblPos val="ctr"/>
          <c:showLegendKey val="0"/>
          <c:showVal val="1"/>
          <c:showCatName val="0"/>
          <c:showSerName val="0"/>
          <c:showPercent val="0"/>
          <c:showBubbleSize val="0"/>
        </c:dLbls>
        <c:gapWidth val="219"/>
        <c:overlap val="-27"/>
        <c:axId val="61460480"/>
        <c:axId val="135675904"/>
      </c:barChart>
      <c:lineChart>
        <c:grouping val="standard"/>
        <c:varyColors val="0"/>
        <c:ser>
          <c:idx val="3"/>
          <c:order val="3"/>
          <c:tx>
            <c:strRef>
              <c:f>ДДУ!$A$13</c:f>
              <c:strCache>
                <c:ptCount val="1"/>
                <c:pt idx="0">
                  <c:v>Доля продаж по ДДУ от новых проектов, %</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ДДУ!$B$9:$C$9</c:f>
              <c:numCache>
                <c:formatCode>General</c:formatCode>
                <c:ptCount val="2"/>
                <c:pt idx="0">
                  <c:v>2014</c:v>
                </c:pt>
                <c:pt idx="1">
                  <c:v>2015</c:v>
                </c:pt>
              </c:numCache>
            </c:numRef>
          </c:cat>
          <c:val>
            <c:numRef>
              <c:f>ДДУ!$B$13:$C$13</c:f>
              <c:numCache>
                <c:formatCode>0%</c:formatCode>
                <c:ptCount val="2"/>
                <c:pt idx="0">
                  <c:v>0.93991112999608695</c:v>
                </c:pt>
                <c:pt idx="1">
                  <c:v>0.73765795584977201</c:v>
                </c:pt>
              </c:numCache>
            </c:numRef>
          </c:val>
          <c:smooth val="0"/>
        </c:ser>
        <c:dLbls>
          <c:dLblPos val="ctr"/>
          <c:showLegendKey val="0"/>
          <c:showVal val="1"/>
          <c:showCatName val="0"/>
          <c:showSerName val="0"/>
          <c:showPercent val="0"/>
          <c:showBubbleSize val="0"/>
        </c:dLbls>
        <c:marker val="1"/>
        <c:smooth val="0"/>
        <c:axId val="78966272"/>
        <c:axId val="135676480"/>
      </c:lineChart>
      <c:catAx>
        <c:axId val="6146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675904"/>
        <c:crosses val="autoZero"/>
        <c:auto val="1"/>
        <c:lblAlgn val="ctr"/>
        <c:lblOffset val="100"/>
        <c:noMultiLvlLbl val="0"/>
      </c:catAx>
      <c:valAx>
        <c:axId val="135675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млн.</a:t>
                </a:r>
                <a:r>
                  <a:rPr lang="ru-RU" baseline="0"/>
                  <a:t> кв. м</a:t>
                </a:r>
                <a:endParaRPr lang="en-US"/>
              </a:p>
            </c:rich>
          </c:tx>
          <c:overlay val="0"/>
          <c:spPr>
            <a:noFill/>
            <a:ln>
              <a:noFill/>
            </a:ln>
            <a:effectLst/>
          </c:spPr>
        </c:title>
        <c:numFmt formatCode="_-* #,##0.0\ _R_U_B_-;\-* #,##0.0\ _R_U_B_-;_-* &quot;-&quot;??\ _R_U_B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460480"/>
        <c:crosses val="autoZero"/>
        <c:crossBetween val="between"/>
      </c:valAx>
      <c:valAx>
        <c:axId val="13567648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966272"/>
        <c:crosses val="max"/>
        <c:crossBetween val="between"/>
      </c:valAx>
      <c:catAx>
        <c:axId val="78966272"/>
        <c:scaling>
          <c:orientation val="minMax"/>
        </c:scaling>
        <c:delete val="1"/>
        <c:axPos val="b"/>
        <c:numFmt formatCode="General" sourceLinked="1"/>
        <c:majorTickMark val="none"/>
        <c:minorTickMark val="none"/>
        <c:tickLblPos val="nextTo"/>
        <c:crossAx val="1356764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t>Движение</a:t>
            </a:r>
            <a:r>
              <a:rPr lang="ru-RU" sz="1200" b="1" baseline="0"/>
              <a:t> денежных средств в компенсационном фонде: Сценарий №3</a:t>
            </a:r>
            <a:endParaRPr lang="en-US" sz="1200" b="1"/>
          </a:p>
        </c:rich>
      </c:tx>
      <c:layout>
        <c:manualLayout>
          <c:xMode val="edge"/>
          <c:yMode val="edge"/>
          <c:x val="0.161802701840778"/>
          <c:y val="3.59469782071445E-2"/>
        </c:manualLayout>
      </c:layout>
      <c:overlay val="0"/>
      <c:spPr>
        <a:noFill/>
        <a:ln>
          <a:noFill/>
        </a:ln>
        <a:effectLst/>
      </c:spPr>
    </c:title>
    <c:autoTitleDeleted val="0"/>
    <c:plotArea>
      <c:layout/>
      <c:barChart>
        <c:barDir val="col"/>
        <c:grouping val="clustered"/>
        <c:varyColors val="0"/>
        <c:ser>
          <c:idx val="0"/>
          <c:order val="0"/>
          <c:tx>
            <c:strRef>
              <c:f>Таблицы!$A$39</c:f>
              <c:strCache>
                <c:ptCount val="1"/>
                <c:pt idx="0">
                  <c:v>Размер компенсационного фонда на начало года</c:v>
                </c:pt>
              </c:strCache>
            </c:strRef>
          </c:tx>
          <c:spPr>
            <a:solidFill>
              <a:schemeClr val="accent1"/>
            </a:solidFill>
            <a:ln>
              <a:noFill/>
            </a:ln>
            <a:effectLst/>
          </c:spPr>
          <c:invertIfNegative val="0"/>
          <c:cat>
            <c:numRef>
              <c:f>Таблицы!$B$21:$F$21</c:f>
              <c:numCache>
                <c:formatCode>General</c:formatCode>
                <c:ptCount val="5"/>
                <c:pt idx="0">
                  <c:v>2017</c:v>
                </c:pt>
                <c:pt idx="1">
                  <c:v>2018</c:v>
                </c:pt>
                <c:pt idx="2">
                  <c:v>2019</c:v>
                </c:pt>
                <c:pt idx="3">
                  <c:v>2020</c:v>
                </c:pt>
                <c:pt idx="4">
                  <c:v>2021</c:v>
                </c:pt>
              </c:numCache>
            </c:numRef>
          </c:cat>
          <c:val>
            <c:numRef>
              <c:f>Таблицы!$B$39:$F$39</c:f>
              <c:numCache>
                <c:formatCode>_-* #,##0\ _₽_-;\-* #,##0\ _₽_-;_-* "-"??\ _₽_-;_-@_-</c:formatCode>
                <c:ptCount val="5"/>
                <c:pt idx="0">
                  <c:v>35</c:v>
                </c:pt>
                <c:pt idx="1">
                  <c:v>34.63887732327467</c:v>
                </c:pt>
                <c:pt idx="2">
                  <c:v>5.7556011303219696</c:v>
                </c:pt>
                <c:pt idx="3">
                  <c:v>19.5117109088295</c:v>
                </c:pt>
                <c:pt idx="4">
                  <c:v>12.84635446137648</c:v>
                </c:pt>
              </c:numCache>
            </c:numRef>
          </c:val>
        </c:ser>
        <c:ser>
          <c:idx val="1"/>
          <c:order val="1"/>
          <c:tx>
            <c:strRef>
              <c:f>Таблицы!$A$40</c:f>
              <c:strCache>
                <c:ptCount val="1"/>
                <c:pt idx="0">
                  <c:v>Отчисления в фонд</c:v>
                </c:pt>
              </c:strCache>
            </c:strRef>
          </c:tx>
          <c:spPr>
            <a:solidFill>
              <a:schemeClr val="accent2"/>
            </a:solidFill>
            <a:ln>
              <a:noFill/>
            </a:ln>
            <a:effectLst/>
          </c:spPr>
          <c:invertIfNegative val="0"/>
          <c:cat>
            <c:numRef>
              <c:f>Таблицы!$B$21:$F$21</c:f>
              <c:numCache>
                <c:formatCode>General</c:formatCode>
                <c:ptCount val="5"/>
                <c:pt idx="0">
                  <c:v>2017</c:v>
                </c:pt>
                <c:pt idx="1">
                  <c:v>2018</c:v>
                </c:pt>
                <c:pt idx="2">
                  <c:v>2019</c:v>
                </c:pt>
                <c:pt idx="3">
                  <c:v>2020</c:v>
                </c:pt>
                <c:pt idx="4">
                  <c:v>2021</c:v>
                </c:pt>
              </c:numCache>
            </c:numRef>
          </c:cat>
          <c:val>
            <c:numRef>
              <c:f>Таблицы!$B$40:$F$40</c:f>
              <c:numCache>
                <c:formatCode>_-* #,##0\ _₽_-;\-* #,##0\ _₽_-;_-* "-"??\ _₽_-;_-@_-</c:formatCode>
                <c:ptCount val="5"/>
                <c:pt idx="0">
                  <c:v>15.609090480563919</c:v>
                </c:pt>
                <c:pt idx="1">
                  <c:v>14.04818143250753</c:v>
                </c:pt>
                <c:pt idx="2">
                  <c:v>14.04818143250753</c:v>
                </c:pt>
                <c:pt idx="3">
                  <c:v>14.04818143250753</c:v>
                </c:pt>
                <c:pt idx="4">
                  <c:v>14.04818143250753</c:v>
                </c:pt>
              </c:numCache>
            </c:numRef>
          </c:val>
        </c:ser>
        <c:ser>
          <c:idx val="2"/>
          <c:order val="2"/>
          <c:tx>
            <c:strRef>
              <c:f>Таблицы!$A$41</c:f>
              <c:strCache>
                <c:ptCount val="1"/>
                <c:pt idx="0">
                  <c:v>Выплаты на достройку объектов</c:v>
                </c:pt>
              </c:strCache>
            </c:strRef>
          </c:tx>
          <c:spPr>
            <a:solidFill>
              <a:schemeClr val="accent3"/>
            </a:solidFill>
            <a:ln>
              <a:noFill/>
            </a:ln>
            <a:effectLst/>
          </c:spPr>
          <c:invertIfNegative val="0"/>
          <c:cat>
            <c:numRef>
              <c:f>Таблицы!$B$21:$F$21</c:f>
              <c:numCache>
                <c:formatCode>General</c:formatCode>
                <c:ptCount val="5"/>
                <c:pt idx="0">
                  <c:v>2017</c:v>
                </c:pt>
                <c:pt idx="1">
                  <c:v>2018</c:v>
                </c:pt>
                <c:pt idx="2">
                  <c:v>2019</c:v>
                </c:pt>
                <c:pt idx="3">
                  <c:v>2020</c:v>
                </c:pt>
                <c:pt idx="4">
                  <c:v>2021</c:v>
                </c:pt>
              </c:numCache>
            </c:numRef>
          </c:cat>
          <c:val>
            <c:numRef>
              <c:f>Таблицы!$B$41:$F$41</c:f>
              <c:numCache>
                <c:formatCode>_-* #,##0\ _₽_-;\-* #,##0\ _₽_-;_-* "-"??\ _₽_-;_-@_-</c:formatCode>
                <c:ptCount val="5"/>
                <c:pt idx="0">
                  <c:v>15.970213157289249</c:v>
                </c:pt>
                <c:pt idx="1">
                  <c:v>42.931457625460119</c:v>
                </c:pt>
                <c:pt idx="2">
                  <c:v>0.29207165400000001</c:v>
                </c:pt>
                <c:pt idx="3">
                  <c:v>20.713537879960519</c:v>
                </c:pt>
                <c:pt idx="4">
                  <c:v>45.479237921011332</c:v>
                </c:pt>
              </c:numCache>
            </c:numRef>
          </c:val>
        </c:ser>
        <c:ser>
          <c:idx val="3"/>
          <c:order val="3"/>
          <c:tx>
            <c:strRef>
              <c:f>Таблицы!$A$42</c:f>
              <c:strCache>
                <c:ptCount val="1"/>
                <c:pt idx="0">
                  <c:v>Финансирование из бюджета</c:v>
                </c:pt>
              </c:strCache>
            </c:strRef>
          </c:tx>
          <c:spPr>
            <a:solidFill>
              <a:schemeClr val="accent4"/>
            </a:solidFill>
            <a:ln>
              <a:noFill/>
            </a:ln>
            <a:effectLst/>
          </c:spPr>
          <c:invertIfNegative val="0"/>
          <c:cat>
            <c:numRef>
              <c:f>Таблицы!$B$21:$F$21</c:f>
              <c:numCache>
                <c:formatCode>General</c:formatCode>
                <c:ptCount val="5"/>
                <c:pt idx="0">
                  <c:v>2017</c:v>
                </c:pt>
                <c:pt idx="1">
                  <c:v>2018</c:v>
                </c:pt>
                <c:pt idx="2">
                  <c:v>2019</c:v>
                </c:pt>
                <c:pt idx="3">
                  <c:v>2020</c:v>
                </c:pt>
                <c:pt idx="4">
                  <c:v>2021</c:v>
                </c:pt>
              </c:numCache>
            </c:numRef>
          </c:cat>
          <c:val>
            <c:numRef>
              <c:f>Таблицы!$B$42:$F$42</c:f>
              <c:numCache>
                <c:formatCode>_-* #,##0\ _₽_-;\-* #,##0\ _₽_-;_-* "-"??\ _₽_-;_-@_-</c:formatCode>
                <c:ptCount val="5"/>
                <c:pt idx="0">
                  <c:v>0</c:v>
                </c:pt>
                <c:pt idx="1">
                  <c:v>0</c:v>
                </c:pt>
                <c:pt idx="2">
                  <c:v>0</c:v>
                </c:pt>
                <c:pt idx="3">
                  <c:v>0</c:v>
                </c:pt>
                <c:pt idx="4">
                  <c:v>18.584702027127211</c:v>
                </c:pt>
              </c:numCache>
            </c:numRef>
          </c:val>
        </c:ser>
        <c:dLbls>
          <c:showLegendKey val="0"/>
          <c:showVal val="0"/>
          <c:showCatName val="0"/>
          <c:showSerName val="0"/>
          <c:showPercent val="0"/>
          <c:showBubbleSize val="0"/>
        </c:dLbls>
        <c:gapWidth val="219"/>
        <c:overlap val="-27"/>
        <c:axId val="85113856"/>
        <c:axId val="141948544"/>
      </c:barChart>
      <c:catAx>
        <c:axId val="8511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948544"/>
        <c:crosses val="autoZero"/>
        <c:auto val="1"/>
        <c:lblAlgn val="ctr"/>
        <c:lblOffset val="100"/>
        <c:noMultiLvlLbl val="0"/>
      </c:catAx>
      <c:valAx>
        <c:axId val="141948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млрд. руб.</a:t>
                </a:r>
                <a:endParaRPr lang="en-US"/>
              </a:p>
            </c:rich>
          </c:tx>
          <c:overlay val="0"/>
          <c:spPr>
            <a:noFill/>
            <a:ln>
              <a:noFill/>
            </a:ln>
            <a:effectLst/>
          </c:spPr>
        </c:title>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1138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t>Ввод</a:t>
            </a:r>
            <a:r>
              <a:rPr lang="ru-RU" sz="1200" b="1" baseline="0"/>
              <a:t> жилья в РФ (без индивидуальной застройки)</a:t>
            </a:r>
            <a:endParaRPr lang="en-US" sz="1200" b="1"/>
          </a:p>
        </c:rich>
      </c:tx>
      <c:overlay val="0"/>
      <c:spPr>
        <a:noFill/>
        <a:ln>
          <a:noFill/>
        </a:ln>
        <a:effectLst/>
      </c:spPr>
    </c:title>
    <c:autoTitleDeleted val="0"/>
    <c:plotArea>
      <c:layout/>
      <c:lineChart>
        <c:grouping val="standard"/>
        <c:varyColors val="0"/>
        <c:ser>
          <c:idx val="0"/>
          <c:order val="0"/>
          <c:tx>
            <c:strRef>
              <c:f>Недострой!$A$7</c:f>
              <c:strCache>
                <c:ptCount val="1"/>
                <c:pt idx="0">
                  <c:v>Ввод жилья за год (без индивидуальной застройки), млн. кв. м</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Недострой!$B$6:$M$6</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Недострой!$B$7:$M$7</c:f>
              <c:numCache>
                <c:formatCode>_-* #,##0\ _R_U_B_-;\-* #,##0\ _R_U_B_-;_-* "-"??\ _R_U_B_-;_-@_-</c:formatCode>
                <c:ptCount val="12"/>
                <c:pt idx="0">
                  <c:v>24.93</c:v>
                </c:pt>
                <c:pt idx="1">
                  <c:v>26.017100371747219</c:v>
                </c:pt>
                <c:pt idx="2">
                  <c:v>30.585908319185059</c:v>
                </c:pt>
                <c:pt idx="3">
                  <c:v>34.86666666666639</c:v>
                </c:pt>
                <c:pt idx="4">
                  <c:v>36.6619312906221</c:v>
                </c:pt>
                <c:pt idx="5">
                  <c:v>31.319095940959411</c:v>
                </c:pt>
                <c:pt idx="6">
                  <c:v>32.907964601769763</c:v>
                </c:pt>
                <c:pt idx="7">
                  <c:v>35.462839506172841</c:v>
                </c:pt>
                <c:pt idx="8">
                  <c:v>37.343742098609347</c:v>
                </c:pt>
                <c:pt idx="9">
                  <c:v>39.825325443787001</c:v>
                </c:pt>
                <c:pt idx="10">
                  <c:v>47.92728476821177</c:v>
                </c:pt>
                <c:pt idx="11">
                  <c:v>50.058069164265042</c:v>
                </c:pt>
              </c:numCache>
            </c:numRef>
          </c:val>
          <c:smooth val="0"/>
        </c:ser>
        <c:ser>
          <c:idx val="1"/>
          <c:order val="1"/>
          <c:tx>
            <c:strRef>
              <c:f>Недострой!$A$8</c:f>
              <c:strCache>
                <c:ptCount val="1"/>
                <c:pt idx="0">
                  <c:v>Площадь квартир в незавершенном строительстве (без индивидуальной застройки) , млн. кв. м</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Недострой!$B$6:$M$6</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Недострой!$B$8:$M$8</c:f>
              <c:numCache>
                <c:formatCode>_-* #,##0\ _R_U_B_-;\-* #,##0\ _R_U_B_-;_-* "-"??\ _R_U_B_-;_-@_-</c:formatCode>
                <c:ptCount val="12"/>
                <c:pt idx="0">
                  <c:v>38.890800000000013</c:v>
                </c:pt>
                <c:pt idx="1">
                  <c:v>34.993000000000002</c:v>
                </c:pt>
                <c:pt idx="2">
                  <c:v>36.030200000000001</c:v>
                </c:pt>
                <c:pt idx="3">
                  <c:v>39.120400000000011</c:v>
                </c:pt>
                <c:pt idx="4">
                  <c:v>39.484900000000003</c:v>
                </c:pt>
                <c:pt idx="5">
                  <c:v>33.9499</c:v>
                </c:pt>
                <c:pt idx="6">
                  <c:v>29.748799999999981</c:v>
                </c:pt>
                <c:pt idx="7">
                  <c:v>28.724900000000009</c:v>
                </c:pt>
                <c:pt idx="8">
                  <c:v>29.538900000000009</c:v>
                </c:pt>
                <c:pt idx="9">
                  <c:v>33.6524</c:v>
                </c:pt>
                <c:pt idx="10">
                  <c:v>36.185099999999998</c:v>
                </c:pt>
                <c:pt idx="11">
                  <c:v>34.740299999999998</c:v>
                </c:pt>
              </c:numCache>
            </c:numRef>
          </c:val>
          <c:smooth val="0"/>
        </c:ser>
        <c:dLbls>
          <c:showLegendKey val="0"/>
          <c:showVal val="0"/>
          <c:showCatName val="0"/>
          <c:showSerName val="0"/>
          <c:showPercent val="0"/>
          <c:showBubbleSize val="0"/>
        </c:dLbls>
        <c:marker val="1"/>
        <c:smooth val="0"/>
        <c:axId val="44011008"/>
        <c:axId val="135678208"/>
      </c:lineChart>
      <c:lineChart>
        <c:grouping val="standard"/>
        <c:varyColors val="0"/>
        <c:ser>
          <c:idx val="2"/>
          <c:order val="2"/>
          <c:tx>
            <c:strRef>
              <c:f>Недострой!$A$9</c:f>
              <c:strCache>
                <c:ptCount val="1"/>
                <c:pt idx="0">
                  <c:v>Темп роста ввода жилья,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Недострой!$B$6:$M$6</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Недострой!$B$9:$M$9</c:f>
              <c:numCache>
                <c:formatCode>0.0%</c:formatCode>
                <c:ptCount val="12"/>
                <c:pt idx="1">
                  <c:v>4.3606111983442102E-2</c:v>
                </c:pt>
                <c:pt idx="2">
                  <c:v>0.175607884128365</c:v>
                </c:pt>
                <c:pt idx="3">
                  <c:v>0.13995851628171199</c:v>
                </c:pt>
                <c:pt idx="4">
                  <c:v>5.1489425161245703E-2</c:v>
                </c:pt>
                <c:pt idx="5">
                  <c:v>-0.145732512215726</c:v>
                </c:pt>
                <c:pt idx="6">
                  <c:v>5.0731625964099698E-2</c:v>
                </c:pt>
                <c:pt idx="7">
                  <c:v>7.7636977410189503E-2</c:v>
                </c:pt>
                <c:pt idx="8">
                  <c:v>5.3038691165977203E-2</c:v>
                </c:pt>
                <c:pt idx="9">
                  <c:v>6.6452455102779806E-2</c:v>
                </c:pt>
                <c:pt idx="10">
                  <c:v>0.203437366402963</c:v>
                </c:pt>
                <c:pt idx="11">
                  <c:v>4.4458692086526599E-2</c:v>
                </c:pt>
              </c:numCache>
            </c:numRef>
          </c:val>
          <c:smooth val="0"/>
        </c:ser>
        <c:dLbls>
          <c:showLegendKey val="0"/>
          <c:showVal val="0"/>
          <c:showCatName val="0"/>
          <c:showSerName val="0"/>
          <c:showPercent val="0"/>
          <c:showBubbleSize val="0"/>
        </c:dLbls>
        <c:marker val="1"/>
        <c:smooth val="0"/>
        <c:axId val="136851456"/>
        <c:axId val="135679360"/>
      </c:lineChart>
      <c:catAx>
        <c:axId val="4401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678208"/>
        <c:crosses val="autoZero"/>
        <c:auto val="1"/>
        <c:lblAlgn val="ctr"/>
        <c:lblOffset val="100"/>
        <c:noMultiLvlLbl val="0"/>
      </c:catAx>
      <c:valAx>
        <c:axId val="135678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млн. кв.</a:t>
                </a:r>
                <a:r>
                  <a:rPr lang="ru-RU" baseline="0"/>
                  <a:t> м</a:t>
                </a:r>
                <a:endParaRPr lang="en-US"/>
              </a:p>
            </c:rich>
          </c:tx>
          <c:overlay val="0"/>
          <c:spPr>
            <a:noFill/>
            <a:ln>
              <a:noFill/>
            </a:ln>
            <a:effectLst/>
          </c:spPr>
        </c:title>
        <c:numFmt formatCode="_-* #,##0\ _R_U_B_-;\-* #,##0\ _R_U_B_-;_-* &quot;-&quot;??\ _R_U_B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011008"/>
        <c:crosses val="autoZero"/>
        <c:crossBetween val="between"/>
      </c:valAx>
      <c:valAx>
        <c:axId val="13567936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851456"/>
        <c:crosses val="max"/>
        <c:crossBetween val="between"/>
      </c:valAx>
      <c:catAx>
        <c:axId val="136851456"/>
        <c:scaling>
          <c:orientation val="minMax"/>
        </c:scaling>
        <c:delete val="1"/>
        <c:axPos val="b"/>
        <c:numFmt formatCode="General" sourceLinked="1"/>
        <c:majorTickMark val="out"/>
        <c:minorTickMark val="none"/>
        <c:tickLblPos val="nextTo"/>
        <c:crossAx val="1356793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t>Площадь квартир в жилых зданиях, строительство которых приостановлено или законсервированно</a:t>
            </a:r>
          </a:p>
        </c:rich>
      </c:tx>
      <c:overlay val="0"/>
      <c:spPr>
        <a:noFill/>
        <a:ln>
          <a:noFill/>
        </a:ln>
        <a:effectLst/>
      </c:spPr>
    </c:title>
    <c:autoTitleDeleted val="0"/>
    <c:plotArea>
      <c:layout/>
      <c:lineChart>
        <c:grouping val="standard"/>
        <c:varyColors val="0"/>
        <c:ser>
          <c:idx val="0"/>
          <c:order val="0"/>
          <c:tx>
            <c:strRef>
              <c:f>Недострой!$A$3</c:f>
              <c:strCache>
                <c:ptCount val="1"/>
                <c:pt idx="0">
                  <c:v>Площадь приостановленного строительства тыс. кв. м</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trendline>
            <c:name>Линия тренда</c:name>
            <c:spPr>
              <a:ln w="19050" cap="rnd">
                <a:solidFill>
                  <a:schemeClr val="accent1"/>
                </a:solidFill>
                <a:prstDash val="sysDot"/>
              </a:ln>
              <a:effectLst/>
            </c:spPr>
            <c:trendlineType val="linear"/>
            <c:dispRSqr val="0"/>
            <c:dispEq val="0"/>
          </c:trendline>
          <c:cat>
            <c:numRef>
              <c:f>Недострой!$B$2:$M$2</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Недострой!$B$3:$M$3</c:f>
              <c:numCache>
                <c:formatCode>_-* #,##0\ _R_U_B_-;\-* #,##0\ _R_U_B_-;_-* "-"??\ _R_U_B_-;_-@_-</c:formatCode>
                <c:ptCount val="12"/>
                <c:pt idx="0">
                  <c:v>8526.4</c:v>
                </c:pt>
                <c:pt idx="1">
                  <c:v>6725</c:v>
                </c:pt>
                <c:pt idx="2">
                  <c:v>5269.9</c:v>
                </c:pt>
                <c:pt idx="3">
                  <c:v>4006.6</c:v>
                </c:pt>
                <c:pt idx="4">
                  <c:v>4878.2</c:v>
                </c:pt>
                <c:pt idx="5">
                  <c:v>6261.9</c:v>
                </c:pt>
                <c:pt idx="6">
                  <c:v>4814.5</c:v>
                </c:pt>
                <c:pt idx="7">
                  <c:v>3351.6</c:v>
                </c:pt>
                <c:pt idx="8">
                  <c:v>2914.1</c:v>
                </c:pt>
                <c:pt idx="9">
                  <c:v>2293.8000000000002</c:v>
                </c:pt>
                <c:pt idx="10">
                  <c:v>2141.4</c:v>
                </c:pt>
                <c:pt idx="11">
                  <c:v>2065.1999999999998</c:v>
                </c:pt>
              </c:numCache>
            </c:numRef>
          </c:val>
          <c:smooth val="0"/>
        </c:ser>
        <c:dLbls>
          <c:showLegendKey val="0"/>
          <c:showVal val="0"/>
          <c:showCatName val="0"/>
          <c:showSerName val="0"/>
          <c:showPercent val="0"/>
          <c:showBubbleSize val="0"/>
        </c:dLbls>
        <c:marker val="1"/>
        <c:smooth val="0"/>
        <c:axId val="136851968"/>
        <c:axId val="135681088"/>
      </c:lineChart>
      <c:lineChart>
        <c:grouping val="standard"/>
        <c:varyColors val="0"/>
        <c:ser>
          <c:idx val="1"/>
          <c:order val="1"/>
          <c:tx>
            <c:strRef>
              <c:f>Недострой!$A$4</c:f>
              <c:strCache>
                <c:ptCount val="1"/>
                <c:pt idx="0">
                  <c:v>Площадь приостановленного строительства от объема незавершенного строительства (НЗС), %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Недострой!$B$2:$M$2</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Недострой!$B$4:$M$4</c:f>
              <c:numCache>
                <c:formatCode>0.0%</c:formatCode>
                <c:ptCount val="12"/>
                <c:pt idx="0">
                  <c:v>0.21923951165828401</c:v>
                </c:pt>
                <c:pt idx="1">
                  <c:v>0.192181293401537</c:v>
                </c:pt>
                <c:pt idx="2">
                  <c:v>0.146263412359632</c:v>
                </c:pt>
                <c:pt idx="3">
                  <c:v>0.10241715319884299</c:v>
                </c:pt>
                <c:pt idx="4">
                  <c:v>0.12354596314034</c:v>
                </c:pt>
                <c:pt idx="5">
                  <c:v>0.184445315008292</c:v>
                </c:pt>
                <c:pt idx="6">
                  <c:v>0.16183846071102001</c:v>
                </c:pt>
                <c:pt idx="7">
                  <c:v>0.116679257369042</c:v>
                </c:pt>
                <c:pt idx="8">
                  <c:v>9.8652962703418196E-2</c:v>
                </c:pt>
                <c:pt idx="9">
                  <c:v>6.8161557570930995E-2</c:v>
                </c:pt>
                <c:pt idx="10">
                  <c:v>5.91790543621546E-2</c:v>
                </c:pt>
                <c:pt idx="11">
                  <c:v>5.9446809613043002E-2</c:v>
                </c:pt>
              </c:numCache>
            </c:numRef>
          </c:val>
          <c:smooth val="0"/>
        </c:ser>
        <c:dLbls>
          <c:showLegendKey val="0"/>
          <c:showVal val="0"/>
          <c:showCatName val="0"/>
          <c:showSerName val="0"/>
          <c:showPercent val="0"/>
          <c:showBubbleSize val="0"/>
        </c:dLbls>
        <c:marker val="1"/>
        <c:smooth val="0"/>
        <c:axId val="136853504"/>
        <c:axId val="135681664"/>
      </c:lineChart>
      <c:catAx>
        <c:axId val="13685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crossAx val="135681088"/>
        <c:crosses val="autoZero"/>
        <c:auto val="1"/>
        <c:lblAlgn val="ctr"/>
        <c:lblOffset val="100"/>
        <c:noMultiLvlLbl val="0"/>
      </c:catAx>
      <c:valAx>
        <c:axId val="135681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тыс.</a:t>
                </a:r>
                <a:r>
                  <a:rPr lang="ru-RU" baseline="0"/>
                  <a:t> кв. м</a:t>
                </a:r>
                <a:endParaRPr lang="en-US"/>
              </a:p>
            </c:rich>
          </c:tx>
          <c:overlay val="0"/>
          <c:spPr>
            <a:noFill/>
            <a:ln>
              <a:noFill/>
            </a:ln>
            <a:effectLst/>
          </c:spPr>
        </c:title>
        <c:numFmt formatCode="_-* #,##0\ _R_U_B_-;\-* #,##0\ _R_U_B_-;_-* &quot;-&quot;??\ _R_U_B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36851968"/>
        <c:crosses val="autoZero"/>
        <c:crossBetween val="between"/>
        <c:majorUnit val="2000"/>
      </c:valAx>
      <c:valAx>
        <c:axId val="13568166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a:t>
                </a:r>
                <a:r>
                  <a:rPr lang="ru-RU" baseline="0"/>
                  <a:t>от  НЗС</a:t>
                </a:r>
                <a:endParaRPr lang="en-US"/>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36853504"/>
        <c:crosses val="max"/>
        <c:crossBetween val="between"/>
      </c:valAx>
      <c:catAx>
        <c:axId val="136853504"/>
        <c:scaling>
          <c:orientation val="minMax"/>
        </c:scaling>
        <c:delete val="1"/>
        <c:axPos val="b"/>
        <c:numFmt formatCode="General" sourceLinked="1"/>
        <c:majorTickMark val="out"/>
        <c:minorTickMark val="none"/>
        <c:tickLblPos val="nextTo"/>
        <c:crossAx val="1356816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1"/>
              <a:t>Доходы населения и стоимость жилья</a:t>
            </a:r>
            <a:endParaRPr lang="en-US" sz="1200" b="1"/>
          </a:p>
        </c:rich>
      </c:tx>
      <c:overlay val="0"/>
      <c:spPr>
        <a:noFill/>
        <a:ln>
          <a:noFill/>
        </a:ln>
        <a:effectLst/>
      </c:spPr>
    </c:title>
    <c:autoTitleDeleted val="0"/>
    <c:plotArea>
      <c:layout/>
      <c:barChart>
        <c:barDir val="col"/>
        <c:grouping val="clustered"/>
        <c:varyColors val="0"/>
        <c:ser>
          <c:idx val="0"/>
          <c:order val="0"/>
          <c:tx>
            <c:strRef>
              <c:f>Цены!$A$5</c:f>
              <c:strCache>
                <c:ptCount val="1"/>
                <c:pt idx="0">
                  <c:v> Средневзвешенная цена 1 кв. м  на первичном рынке в РФ, тыс.руб/кв.м</c:v>
                </c:pt>
              </c:strCache>
            </c:strRef>
          </c:tx>
          <c:spPr>
            <a:solidFill>
              <a:schemeClr val="accent1"/>
            </a:solidFill>
            <a:ln>
              <a:noFill/>
            </a:ln>
            <a:effectLst/>
          </c:spPr>
          <c:invertIfNegative val="0"/>
          <c:cat>
            <c:strRef>
              <c:f>Цены!$B$4:$Q$4</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 кв 2016</c:v>
                </c:pt>
              </c:strCache>
            </c:strRef>
          </c:cat>
          <c:val>
            <c:numRef>
              <c:f>Цены!$B$5:$Q$5</c:f>
              <c:numCache>
                <c:formatCode>#,##0</c:formatCode>
                <c:ptCount val="13"/>
                <c:pt idx="0">
                  <c:v>20.809930000000001</c:v>
                </c:pt>
                <c:pt idx="1">
                  <c:v>25.393740000000001</c:v>
                </c:pt>
                <c:pt idx="2">
                  <c:v>36.221049999999998</c:v>
                </c:pt>
                <c:pt idx="3">
                  <c:v>47.481839999999998</c:v>
                </c:pt>
                <c:pt idx="4">
                  <c:v>52.503920000000001</c:v>
                </c:pt>
                <c:pt idx="5">
                  <c:v>47.714920000000014</c:v>
                </c:pt>
                <c:pt idx="6">
                  <c:v>48.143689999999999</c:v>
                </c:pt>
                <c:pt idx="7">
                  <c:v>43.686070000000001</c:v>
                </c:pt>
                <c:pt idx="8">
                  <c:v>48.162529999999997</c:v>
                </c:pt>
                <c:pt idx="9">
                  <c:v>50.208309999999997</c:v>
                </c:pt>
                <c:pt idx="10">
                  <c:v>51.714180000000013</c:v>
                </c:pt>
                <c:pt idx="11">
                  <c:v>51.530149999999999</c:v>
                </c:pt>
                <c:pt idx="12">
                  <c:v>53.558200000000006</c:v>
                </c:pt>
              </c:numCache>
            </c:numRef>
          </c:val>
        </c:ser>
        <c:ser>
          <c:idx val="1"/>
          <c:order val="1"/>
          <c:tx>
            <c:strRef>
              <c:f>Цены!$A$6</c:f>
              <c:strCache>
                <c:ptCount val="1"/>
                <c:pt idx="0">
                  <c:v>Средняя цена жилья на первичном рынке  г.Москва (справочно)</c:v>
                </c:pt>
              </c:strCache>
            </c:strRef>
          </c:tx>
          <c:spPr>
            <a:solidFill>
              <a:schemeClr val="accent2"/>
            </a:solidFill>
            <a:ln>
              <a:noFill/>
            </a:ln>
            <a:effectLst/>
          </c:spPr>
          <c:invertIfNegative val="0"/>
          <c:cat>
            <c:strRef>
              <c:f>Цены!$B$4:$Q$4</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 кв 2016</c:v>
                </c:pt>
              </c:strCache>
            </c:strRef>
          </c:cat>
          <c:val>
            <c:numRef>
              <c:f>Цены!$B$6:$Q$6</c:f>
              <c:numCache>
                <c:formatCode>#,##0</c:formatCode>
                <c:ptCount val="13"/>
                <c:pt idx="0">
                  <c:v>47.057560000000002</c:v>
                </c:pt>
                <c:pt idx="1">
                  <c:v>58.397880000000001</c:v>
                </c:pt>
                <c:pt idx="2">
                  <c:v>88.59038000000001</c:v>
                </c:pt>
                <c:pt idx="3">
                  <c:v>113.50105000000001</c:v>
                </c:pt>
                <c:pt idx="4">
                  <c:v>127.24594</c:v>
                </c:pt>
                <c:pt idx="5">
                  <c:v>131.21811</c:v>
                </c:pt>
                <c:pt idx="6">
                  <c:v>144.34159</c:v>
                </c:pt>
                <c:pt idx="7">
                  <c:v>129.52351999999999</c:v>
                </c:pt>
                <c:pt idx="8">
                  <c:v>129.96562</c:v>
                </c:pt>
                <c:pt idx="9">
                  <c:v>151.51716999999999</c:v>
                </c:pt>
                <c:pt idx="10">
                  <c:v>174.53814</c:v>
                </c:pt>
                <c:pt idx="11">
                  <c:v>182.29243</c:v>
                </c:pt>
                <c:pt idx="12">
                  <c:v>153.49624</c:v>
                </c:pt>
              </c:numCache>
            </c:numRef>
          </c:val>
        </c:ser>
        <c:dLbls>
          <c:showLegendKey val="0"/>
          <c:showVal val="0"/>
          <c:showCatName val="0"/>
          <c:showSerName val="0"/>
          <c:showPercent val="0"/>
          <c:showBubbleSize val="0"/>
        </c:dLbls>
        <c:gapWidth val="219"/>
        <c:overlap val="-27"/>
        <c:axId val="50556416"/>
        <c:axId val="135683392"/>
      </c:barChart>
      <c:lineChart>
        <c:grouping val="standard"/>
        <c:varyColors val="0"/>
        <c:ser>
          <c:idx val="2"/>
          <c:order val="2"/>
          <c:tx>
            <c:strRef>
              <c:f>Цены!$A$7</c:f>
              <c:strCache>
                <c:ptCount val="1"/>
                <c:pt idx="0">
                  <c:v>Реальные располагаемые доходы населения: темп роста, %</c:v>
                </c:pt>
              </c:strCache>
            </c:strRef>
          </c:tx>
          <c:spPr>
            <a:ln w="28575" cap="rnd">
              <a:solidFill>
                <a:schemeClr val="accent3"/>
              </a:solidFill>
              <a:round/>
            </a:ln>
            <a:effectLst/>
          </c:spPr>
          <c:marker>
            <c:symbol val="none"/>
          </c:marker>
          <c:cat>
            <c:strRef>
              <c:f>Цены!$B$4:$Q$4</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 кв 2016</c:v>
                </c:pt>
              </c:strCache>
            </c:strRef>
          </c:cat>
          <c:val>
            <c:numRef>
              <c:f>Цены!$B$7:$Q$7</c:f>
              <c:numCache>
                <c:formatCode>0.0%</c:formatCode>
                <c:ptCount val="13"/>
                <c:pt idx="0">
                  <c:v>9.9000000000000005E-2</c:v>
                </c:pt>
                <c:pt idx="1">
                  <c:v>0.124</c:v>
                </c:pt>
                <c:pt idx="2">
                  <c:v>0.13500000000000001</c:v>
                </c:pt>
                <c:pt idx="3">
                  <c:v>0.121</c:v>
                </c:pt>
                <c:pt idx="4">
                  <c:v>2.4E-2</c:v>
                </c:pt>
                <c:pt idx="5">
                  <c:v>0.03</c:v>
                </c:pt>
                <c:pt idx="6">
                  <c:v>5.9000000000000198E-2</c:v>
                </c:pt>
                <c:pt idx="7">
                  <c:v>4.9999999999998899E-3</c:v>
                </c:pt>
                <c:pt idx="8">
                  <c:v>4.5999999999999999E-2</c:v>
                </c:pt>
                <c:pt idx="9">
                  <c:v>0.04</c:v>
                </c:pt>
                <c:pt idx="10">
                  <c:v>-7.0000000000000001E-3</c:v>
                </c:pt>
                <c:pt idx="11">
                  <c:v>-0.04</c:v>
                </c:pt>
              </c:numCache>
            </c:numRef>
          </c:val>
          <c:smooth val="0"/>
        </c:ser>
        <c:dLbls>
          <c:showLegendKey val="0"/>
          <c:showVal val="0"/>
          <c:showCatName val="0"/>
          <c:showSerName val="0"/>
          <c:showPercent val="0"/>
          <c:showBubbleSize val="0"/>
        </c:dLbls>
        <c:marker val="1"/>
        <c:smooth val="0"/>
        <c:axId val="144801792"/>
        <c:axId val="135708672"/>
      </c:lineChart>
      <c:catAx>
        <c:axId val="505564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9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683392"/>
        <c:crosses val="autoZero"/>
        <c:auto val="1"/>
        <c:lblAlgn val="ctr"/>
        <c:lblOffset val="100"/>
        <c:noMultiLvlLbl val="0"/>
      </c:catAx>
      <c:valAx>
        <c:axId val="135683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тыс. руб. / кв. м</a:t>
                </a:r>
                <a:endParaRPr lang="en-US"/>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556416"/>
        <c:crosses val="autoZero"/>
        <c:crossBetween val="between"/>
      </c:valAx>
      <c:valAx>
        <c:axId val="13570867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801792"/>
        <c:crosses val="max"/>
        <c:crossBetween val="between"/>
      </c:valAx>
      <c:catAx>
        <c:axId val="144801792"/>
        <c:scaling>
          <c:orientation val="minMax"/>
        </c:scaling>
        <c:delete val="1"/>
        <c:axPos val="b"/>
        <c:numFmt formatCode="General" sourceLinked="1"/>
        <c:majorTickMark val="none"/>
        <c:minorTickMark val="none"/>
        <c:tickLblPos val="nextTo"/>
        <c:crossAx val="1357086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t>Сравнение параметров задолженности сектора</a:t>
            </a:r>
            <a:r>
              <a:rPr lang="ru-RU" sz="1200" b="1" baseline="0"/>
              <a:t> "Строительство зданий и сооружений"</a:t>
            </a:r>
            <a:r>
              <a:rPr lang="ru-RU" baseline="0"/>
              <a:t> </a:t>
            </a:r>
            <a:endParaRPr lang="en-US"/>
          </a:p>
        </c:rich>
      </c:tx>
      <c:overlay val="0"/>
      <c:spPr>
        <a:noFill/>
        <a:ln>
          <a:noFill/>
        </a:ln>
        <a:effectLst/>
      </c:spPr>
    </c:title>
    <c:autoTitleDeleted val="0"/>
    <c:plotArea>
      <c:layout/>
      <c:lineChart>
        <c:grouping val="standard"/>
        <c:varyColors val="0"/>
        <c:ser>
          <c:idx val="0"/>
          <c:order val="0"/>
          <c:tx>
            <c:strRef>
              <c:f>Просрочка!$B$29</c:f>
              <c:strCache>
                <c:ptCount val="1"/>
                <c:pt idx="0">
                  <c:v>Задолженность по сектору "Строительство зданий и сооружений", млрд руб</c:v>
                </c:pt>
              </c:strCache>
            </c:strRef>
          </c:tx>
          <c:spPr>
            <a:ln w="28575" cap="rnd">
              <a:solidFill>
                <a:schemeClr val="accent1"/>
              </a:solidFill>
              <a:round/>
            </a:ln>
            <a:effectLst/>
          </c:spPr>
          <c:marker>
            <c:symbol val="none"/>
          </c:marker>
          <c:cat>
            <c:numRef>
              <c:f>Просрочка!$A$30:$A$117</c:f>
              <c:numCache>
                <c:formatCode>m/d/yy</c:formatCode>
                <c:ptCount val="88"/>
                <c:pt idx="0">
                  <c:v>39904</c:v>
                </c:pt>
                <c:pt idx="1">
                  <c:v>39934</c:v>
                </c:pt>
                <c:pt idx="2">
                  <c:v>39965</c:v>
                </c:pt>
                <c:pt idx="3">
                  <c:v>39995</c:v>
                </c:pt>
                <c:pt idx="4">
                  <c:v>40026</c:v>
                </c:pt>
                <c:pt idx="5">
                  <c:v>40057</c:v>
                </c:pt>
                <c:pt idx="6">
                  <c:v>40087</c:v>
                </c:pt>
                <c:pt idx="7">
                  <c:v>40118</c:v>
                </c:pt>
                <c:pt idx="8">
                  <c:v>40148</c:v>
                </c:pt>
                <c:pt idx="9">
                  <c:v>40179</c:v>
                </c:pt>
                <c:pt idx="10">
                  <c:v>40210</c:v>
                </c:pt>
                <c:pt idx="11">
                  <c:v>40238</c:v>
                </c:pt>
                <c:pt idx="12">
                  <c:v>40269</c:v>
                </c:pt>
                <c:pt idx="13">
                  <c:v>40299</c:v>
                </c:pt>
                <c:pt idx="14">
                  <c:v>40330</c:v>
                </c:pt>
                <c:pt idx="15">
                  <c:v>40360</c:v>
                </c:pt>
                <c:pt idx="16">
                  <c:v>40391</c:v>
                </c:pt>
                <c:pt idx="17">
                  <c:v>40422</c:v>
                </c:pt>
                <c:pt idx="18">
                  <c:v>40452</c:v>
                </c:pt>
                <c:pt idx="19">
                  <c:v>40483</c:v>
                </c:pt>
                <c:pt idx="20">
                  <c:v>40513</c:v>
                </c:pt>
                <c:pt idx="21">
                  <c:v>40544</c:v>
                </c:pt>
                <c:pt idx="22">
                  <c:v>40575</c:v>
                </c:pt>
                <c:pt idx="23">
                  <c:v>40603</c:v>
                </c:pt>
                <c:pt idx="24">
                  <c:v>40634</c:v>
                </c:pt>
                <c:pt idx="25">
                  <c:v>40664</c:v>
                </c:pt>
                <c:pt idx="26">
                  <c:v>40695</c:v>
                </c:pt>
                <c:pt idx="27">
                  <c:v>40725</c:v>
                </c:pt>
                <c:pt idx="28">
                  <c:v>40756</c:v>
                </c:pt>
                <c:pt idx="29">
                  <c:v>40787</c:v>
                </c:pt>
                <c:pt idx="30">
                  <c:v>40817</c:v>
                </c:pt>
                <c:pt idx="31">
                  <c:v>40848</c:v>
                </c:pt>
                <c:pt idx="32">
                  <c:v>40878</c:v>
                </c:pt>
                <c:pt idx="33">
                  <c:v>40909</c:v>
                </c:pt>
                <c:pt idx="34">
                  <c:v>40940</c:v>
                </c:pt>
                <c:pt idx="35">
                  <c:v>40969</c:v>
                </c:pt>
                <c:pt idx="36">
                  <c:v>41000</c:v>
                </c:pt>
                <c:pt idx="37">
                  <c:v>41030</c:v>
                </c:pt>
                <c:pt idx="38">
                  <c:v>41061</c:v>
                </c:pt>
                <c:pt idx="39">
                  <c:v>41091</c:v>
                </c:pt>
                <c:pt idx="40">
                  <c:v>41122</c:v>
                </c:pt>
                <c:pt idx="41">
                  <c:v>41153</c:v>
                </c:pt>
                <c:pt idx="42">
                  <c:v>41183</c:v>
                </c:pt>
                <c:pt idx="43">
                  <c:v>41214</c:v>
                </c:pt>
                <c:pt idx="44">
                  <c:v>41244</c:v>
                </c:pt>
                <c:pt idx="45">
                  <c:v>41275</c:v>
                </c:pt>
                <c:pt idx="46">
                  <c:v>41306</c:v>
                </c:pt>
                <c:pt idx="47">
                  <c:v>41334</c:v>
                </c:pt>
                <c:pt idx="48">
                  <c:v>41365</c:v>
                </c:pt>
                <c:pt idx="49">
                  <c:v>41395</c:v>
                </c:pt>
                <c:pt idx="50">
                  <c:v>41426</c:v>
                </c:pt>
                <c:pt idx="51">
                  <c:v>41456</c:v>
                </c:pt>
                <c:pt idx="52">
                  <c:v>41487</c:v>
                </c:pt>
                <c:pt idx="53">
                  <c:v>41518</c:v>
                </c:pt>
                <c:pt idx="54">
                  <c:v>41548</c:v>
                </c:pt>
                <c:pt idx="55">
                  <c:v>41579</c:v>
                </c:pt>
                <c:pt idx="56">
                  <c:v>41609</c:v>
                </c:pt>
                <c:pt idx="57">
                  <c:v>41640</c:v>
                </c:pt>
                <c:pt idx="58">
                  <c:v>41671</c:v>
                </c:pt>
                <c:pt idx="59">
                  <c:v>41699</c:v>
                </c:pt>
                <c:pt idx="60">
                  <c:v>41730</c:v>
                </c:pt>
                <c:pt idx="61">
                  <c:v>41760</c:v>
                </c:pt>
                <c:pt idx="62">
                  <c:v>41791</c:v>
                </c:pt>
                <c:pt idx="63">
                  <c:v>41821</c:v>
                </c:pt>
                <c:pt idx="64">
                  <c:v>41852</c:v>
                </c:pt>
                <c:pt idx="65">
                  <c:v>41883</c:v>
                </c:pt>
                <c:pt idx="66">
                  <c:v>41913</c:v>
                </c:pt>
                <c:pt idx="67">
                  <c:v>41944</c:v>
                </c:pt>
                <c:pt idx="68">
                  <c:v>41974</c:v>
                </c:pt>
                <c:pt idx="69">
                  <c:v>42005</c:v>
                </c:pt>
                <c:pt idx="70">
                  <c:v>42036</c:v>
                </c:pt>
                <c:pt idx="71">
                  <c:v>42064</c:v>
                </c:pt>
                <c:pt idx="72">
                  <c:v>42095</c:v>
                </c:pt>
                <c:pt idx="73">
                  <c:v>42125</c:v>
                </c:pt>
                <c:pt idx="74">
                  <c:v>42156</c:v>
                </c:pt>
                <c:pt idx="75">
                  <c:v>42186</c:v>
                </c:pt>
                <c:pt idx="76">
                  <c:v>42217</c:v>
                </c:pt>
                <c:pt idx="77">
                  <c:v>42248</c:v>
                </c:pt>
                <c:pt idx="78">
                  <c:v>42278</c:v>
                </c:pt>
                <c:pt idx="79">
                  <c:v>42309</c:v>
                </c:pt>
                <c:pt idx="80">
                  <c:v>42339</c:v>
                </c:pt>
                <c:pt idx="81">
                  <c:v>42370</c:v>
                </c:pt>
                <c:pt idx="82">
                  <c:v>42401</c:v>
                </c:pt>
                <c:pt idx="83">
                  <c:v>42430</c:v>
                </c:pt>
                <c:pt idx="84">
                  <c:v>42461</c:v>
                </c:pt>
                <c:pt idx="85">
                  <c:v>42491</c:v>
                </c:pt>
                <c:pt idx="86">
                  <c:v>42522</c:v>
                </c:pt>
                <c:pt idx="87">
                  <c:v>42552</c:v>
                </c:pt>
              </c:numCache>
            </c:numRef>
          </c:cat>
          <c:val>
            <c:numRef>
              <c:f>Просрочка!$B$30:$B$117</c:f>
              <c:numCache>
                <c:formatCode>_-* #,##0\ _R_U_B_-;\-* #,##0\ _R_U_B_-;_-* "-"??\ _R_U_B_-;_-@_-</c:formatCode>
                <c:ptCount val="88"/>
                <c:pt idx="0">
                  <c:v>750.36099999999738</c:v>
                </c:pt>
                <c:pt idx="1">
                  <c:v>749.81999999999937</c:v>
                </c:pt>
                <c:pt idx="2">
                  <c:v>745.05999999999938</c:v>
                </c:pt>
                <c:pt idx="3">
                  <c:v>730.202</c:v>
                </c:pt>
                <c:pt idx="4">
                  <c:v>733.12199999999996</c:v>
                </c:pt>
                <c:pt idx="5">
                  <c:v>741.21</c:v>
                </c:pt>
                <c:pt idx="6">
                  <c:v>768.39400000000001</c:v>
                </c:pt>
                <c:pt idx="7">
                  <c:v>753.20699999999999</c:v>
                </c:pt>
                <c:pt idx="8">
                  <c:v>760.00800000000004</c:v>
                </c:pt>
                <c:pt idx="9">
                  <c:v>772.60699999999997</c:v>
                </c:pt>
                <c:pt idx="10">
                  <c:v>791.11700000000008</c:v>
                </c:pt>
                <c:pt idx="11">
                  <c:v>783.976</c:v>
                </c:pt>
                <c:pt idx="12">
                  <c:v>800.73900000000003</c:v>
                </c:pt>
                <c:pt idx="13">
                  <c:v>827.399</c:v>
                </c:pt>
                <c:pt idx="14">
                  <c:v>829.80500000000006</c:v>
                </c:pt>
                <c:pt idx="15">
                  <c:v>846.22900000000004</c:v>
                </c:pt>
                <c:pt idx="16">
                  <c:v>837.78899999999999</c:v>
                </c:pt>
                <c:pt idx="17">
                  <c:v>841.79499999999996</c:v>
                </c:pt>
                <c:pt idx="18">
                  <c:v>855.53800000000001</c:v>
                </c:pt>
                <c:pt idx="19">
                  <c:v>867.14599999999996</c:v>
                </c:pt>
                <c:pt idx="20">
                  <c:v>867.74</c:v>
                </c:pt>
                <c:pt idx="21">
                  <c:v>831.54500000000007</c:v>
                </c:pt>
                <c:pt idx="22">
                  <c:v>863.18100000000004</c:v>
                </c:pt>
                <c:pt idx="23">
                  <c:v>876.94299999999976</c:v>
                </c:pt>
                <c:pt idx="24">
                  <c:v>886.66899999999998</c:v>
                </c:pt>
                <c:pt idx="25">
                  <c:v>882.57799999999997</c:v>
                </c:pt>
                <c:pt idx="26">
                  <c:v>924.221</c:v>
                </c:pt>
                <c:pt idx="27">
                  <c:v>932.77200000000005</c:v>
                </c:pt>
                <c:pt idx="28">
                  <c:v>949.51300000000003</c:v>
                </c:pt>
                <c:pt idx="29">
                  <c:v>973.21299999999997</c:v>
                </c:pt>
                <c:pt idx="30">
                  <c:v>1007.577</c:v>
                </c:pt>
                <c:pt idx="31">
                  <c:v>1011.284</c:v>
                </c:pt>
                <c:pt idx="32">
                  <c:v>1034.3499999999999</c:v>
                </c:pt>
                <c:pt idx="33">
                  <c:v>1013.687</c:v>
                </c:pt>
                <c:pt idx="34">
                  <c:v>989.31099999999913</c:v>
                </c:pt>
                <c:pt idx="35">
                  <c:v>1003.346</c:v>
                </c:pt>
                <c:pt idx="36">
                  <c:v>1038.694</c:v>
                </c:pt>
                <c:pt idx="37">
                  <c:v>1055.6780000000001</c:v>
                </c:pt>
                <c:pt idx="38">
                  <c:v>1080.223</c:v>
                </c:pt>
                <c:pt idx="39">
                  <c:v>1105.9949999999999</c:v>
                </c:pt>
                <c:pt idx="40">
                  <c:v>1125.1479999999999</c:v>
                </c:pt>
                <c:pt idx="41">
                  <c:v>1155.798</c:v>
                </c:pt>
                <c:pt idx="42">
                  <c:v>1186.42</c:v>
                </c:pt>
                <c:pt idx="43">
                  <c:v>1216.501</c:v>
                </c:pt>
                <c:pt idx="44">
                  <c:v>1239.8</c:v>
                </c:pt>
                <c:pt idx="45">
                  <c:v>1192.2929999999999</c:v>
                </c:pt>
                <c:pt idx="46">
                  <c:v>1060.8409999999999</c:v>
                </c:pt>
                <c:pt idx="47">
                  <c:v>1079.6959999999999</c:v>
                </c:pt>
                <c:pt idx="48">
                  <c:v>1106.2560000000001</c:v>
                </c:pt>
                <c:pt idx="49">
                  <c:v>1154.8219999999999</c:v>
                </c:pt>
                <c:pt idx="50">
                  <c:v>1183.0060000000001</c:v>
                </c:pt>
                <c:pt idx="51">
                  <c:v>1211.567</c:v>
                </c:pt>
                <c:pt idx="52">
                  <c:v>1260.175</c:v>
                </c:pt>
                <c:pt idx="53">
                  <c:v>1294.049</c:v>
                </c:pt>
                <c:pt idx="54">
                  <c:v>1323.8969999999999</c:v>
                </c:pt>
                <c:pt idx="55">
                  <c:v>1347.9349999999999</c:v>
                </c:pt>
                <c:pt idx="56">
                  <c:v>1366.9290000000001</c:v>
                </c:pt>
                <c:pt idx="57">
                  <c:v>1286.0989999999999</c:v>
                </c:pt>
                <c:pt idx="58">
                  <c:v>1246.998</c:v>
                </c:pt>
                <c:pt idx="59">
                  <c:v>1275.8889999999999</c:v>
                </c:pt>
                <c:pt idx="60">
                  <c:v>1270.7570000000001</c:v>
                </c:pt>
                <c:pt idx="61">
                  <c:v>1301.2619999999999</c:v>
                </c:pt>
                <c:pt idx="62">
                  <c:v>1328.854</c:v>
                </c:pt>
                <c:pt idx="63">
                  <c:v>1340.972</c:v>
                </c:pt>
                <c:pt idx="64">
                  <c:v>1598.797</c:v>
                </c:pt>
                <c:pt idx="65">
                  <c:v>1643.431</c:v>
                </c:pt>
                <c:pt idx="66">
                  <c:v>1680.3779999999999</c:v>
                </c:pt>
                <c:pt idx="67">
                  <c:v>1717.0530000000001</c:v>
                </c:pt>
                <c:pt idx="68">
                  <c:v>1724.7809999999999</c:v>
                </c:pt>
                <c:pt idx="69">
                  <c:v>1708.0319999999999</c:v>
                </c:pt>
                <c:pt idx="70">
                  <c:v>1766.175</c:v>
                </c:pt>
                <c:pt idx="71">
                  <c:v>1700.7139999999999</c:v>
                </c:pt>
                <c:pt idx="72">
                  <c:v>1682.693</c:v>
                </c:pt>
                <c:pt idx="73">
                  <c:v>1663.0150000000001</c:v>
                </c:pt>
                <c:pt idx="74">
                  <c:v>1642.2080000000001</c:v>
                </c:pt>
                <c:pt idx="75">
                  <c:v>1667.9739999999999</c:v>
                </c:pt>
                <c:pt idx="76">
                  <c:v>1668.703</c:v>
                </c:pt>
                <c:pt idx="77">
                  <c:v>1704.4839999999999</c:v>
                </c:pt>
                <c:pt idx="78">
                  <c:v>1708.625</c:v>
                </c:pt>
                <c:pt idx="79">
                  <c:v>1674.3620000000001</c:v>
                </c:pt>
                <c:pt idx="80">
                  <c:v>1681.299</c:v>
                </c:pt>
                <c:pt idx="81">
                  <c:v>1692.7929999999999</c:v>
                </c:pt>
                <c:pt idx="82">
                  <c:v>1706.0340000000001</c:v>
                </c:pt>
                <c:pt idx="83">
                  <c:v>1711.3510000000001</c:v>
                </c:pt>
                <c:pt idx="84">
                  <c:v>1693.2370000000001</c:v>
                </c:pt>
                <c:pt idx="85">
                  <c:v>1710.8420000000001</c:v>
                </c:pt>
                <c:pt idx="86">
                  <c:v>1666.4179999999999</c:v>
                </c:pt>
                <c:pt idx="87">
                  <c:v>1673.057</c:v>
                </c:pt>
              </c:numCache>
            </c:numRef>
          </c:val>
          <c:smooth val="0"/>
        </c:ser>
        <c:dLbls>
          <c:showLegendKey val="0"/>
          <c:showVal val="0"/>
          <c:showCatName val="0"/>
          <c:showSerName val="0"/>
          <c:showPercent val="0"/>
          <c:showBubbleSize val="0"/>
        </c:dLbls>
        <c:marker val="1"/>
        <c:smooth val="0"/>
        <c:axId val="78963712"/>
        <c:axId val="141041664"/>
      </c:lineChart>
      <c:lineChart>
        <c:grouping val="standard"/>
        <c:varyColors val="0"/>
        <c:ser>
          <c:idx val="1"/>
          <c:order val="1"/>
          <c:tx>
            <c:strRef>
              <c:f>Просрочка!$C$29</c:f>
              <c:strCache>
                <c:ptCount val="1"/>
                <c:pt idx="0">
                  <c:v>Доля просроченной задолженности по сектору "Строительство зданий и сооружений"</c:v>
                </c:pt>
              </c:strCache>
            </c:strRef>
          </c:tx>
          <c:spPr>
            <a:ln w="28575" cap="rnd">
              <a:solidFill>
                <a:schemeClr val="accent2"/>
              </a:solidFill>
              <a:round/>
            </a:ln>
            <a:effectLst/>
          </c:spPr>
          <c:marker>
            <c:symbol val="none"/>
          </c:marker>
          <c:cat>
            <c:numRef>
              <c:f>Просрочка!$A$30:$A$117</c:f>
              <c:numCache>
                <c:formatCode>m/d/yy</c:formatCode>
                <c:ptCount val="88"/>
                <c:pt idx="0">
                  <c:v>39904</c:v>
                </c:pt>
                <c:pt idx="1">
                  <c:v>39934</c:v>
                </c:pt>
                <c:pt idx="2">
                  <c:v>39965</c:v>
                </c:pt>
                <c:pt idx="3">
                  <c:v>39995</c:v>
                </c:pt>
                <c:pt idx="4">
                  <c:v>40026</c:v>
                </c:pt>
                <c:pt idx="5">
                  <c:v>40057</c:v>
                </c:pt>
                <c:pt idx="6">
                  <c:v>40087</c:v>
                </c:pt>
                <c:pt idx="7">
                  <c:v>40118</c:v>
                </c:pt>
                <c:pt idx="8">
                  <c:v>40148</c:v>
                </c:pt>
                <c:pt idx="9">
                  <c:v>40179</c:v>
                </c:pt>
                <c:pt idx="10">
                  <c:v>40210</c:v>
                </c:pt>
                <c:pt idx="11">
                  <c:v>40238</c:v>
                </c:pt>
                <c:pt idx="12">
                  <c:v>40269</c:v>
                </c:pt>
                <c:pt idx="13">
                  <c:v>40299</c:v>
                </c:pt>
                <c:pt idx="14">
                  <c:v>40330</c:v>
                </c:pt>
                <c:pt idx="15">
                  <c:v>40360</c:v>
                </c:pt>
                <c:pt idx="16">
                  <c:v>40391</c:v>
                </c:pt>
                <c:pt idx="17">
                  <c:v>40422</c:v>
                </c:pt>
                <c:pt idx="18">
                  <c:v>40452</c:v>
                </c:pt>
                <c:pt idx="19">
                  <c:v>40483</c:v>
                </c:pt>
                <c:pt idx="20">
                  <c:v>40513</c:v>
                </c:pt>
                <c:pt idx="21">
                  <c:v>40544</c:v>
                </c:pt>
                <c:pt idx="22">
                  <c:v>40575</c:v>
                </c:pt>
                <c:pt idx="23">
                  <c:v>40603</c:v>
                </c:pt>
                <c:pt idx="24">
                  <c:v>40634</c:v>
                </c:pt>
                <c:pt idx="25">
                  <c:v>40664</c:v>
                </c:pt>
                <c:pt idx="26">
                  <c:v>40695</c:v>
                </c:pt>
                <c:pt idx="27">
                  <c:v>40725</c:v>
                </c:pt>
                <c:pt idx="28">
                  <c:v>40756</c:v>
                </c:pt>
                <c:pt idx="29">
                  <c:v>40787</c:v>
                </c:pt>
                <c:pt idx="30">
                  <c:v>40817</c:v>
                </c:pt>
                <c:pt idx="31">
                  <c:v>40848</c:v>
                </c:pt>
                <c:pt idx="32">
                  <c:v>40878</c:v>
                </c:pt>
                <c:pt idx="33">
                  <c:v>40909</c:v>
                </c:pt>
                <c:pt idx="34">
                  <c:v>40940</c:v>
                </c:pt>
                <c:pt idx="35">
                  <c:v>40969</c:v>
                </c:pt>
                <c:pt idx="36">
                  <c:v>41000</c:v>
                </c:pt>
                <c:pt idx="37">
                  <c:v>41030</c:v>
                </c:pt>
                <c:pt idx="38">
                  <c:v>41061</c:v>
                </c:pt>
                <c:pt idx="39">
                  <c:v>41091</c:v>
                </c:pt>
                <c:pt idx="40">
                  <c:v>41122</c:v>
                </c:pt>
                <c:pt idx="41">
                  <c:v>41153</c:v>
                </c:pt>
                <c:pt idx="42">
                  <c:v>41183</c:v>
                </c:pt>
                <c:pt idx="43">
                  <c:v>41214</c:v>
                </c:pt>
                <c:pt idx="44">
                  <c:v>41244</c:v>
                </c:pt>
                <c:pt idx="45">
                  <c:v>41275</c:v>
                </c:pt>
                <c:pt idx="46">
                  <c:v>41306</c:v>
                </c:pt>
                <c:pt idx="47">
                  <c:v>41334</c:v>
                </c:pt>
                <c:pt idx="48">
                  <c:v>41365</c:v>
                </c:pt>
                <c:pt idx="49">
                  <c:v>41395</c:v>
                </c:pt>
                <c:pt idx="50">
                  <c:v>41426</c:v>
                </c:pt>
                <c:pt idx="51">
                  <c:v>41456</c:v>
                </c:pt>
                <c:pt idx="52">
                  <c:v>41487</c:v>
                </c:pt>
                <c:pt idx="53">
                  <c:v>41518</c:v>
                </c:pt>
                <c:pt idx="54">
                  <c:v>41548</c:v>
                </c:pt>
                <c:pt idx="55">
                  <c:v>41579</c:v>
                </c:pt>
                <c:pt idx="56">
                  <c:v>41609</c:v>
                </c:pt>
                <c:pt idx="57">
                  <c:v>41640</c:v>
                </c:pt>
                <c:pt idx="58">
                  <c:v>41671</c:v>
                </c:pt>
                <c:pt idx="59">
                  <c:v>41699</c:v>
                </c:pt>
                <c:pt idx="60">
                  <c:v>41730</c:v>
                </c:pt>
                <c:pt idx="61">
                  <c:v>41760</c:v>
                </c:pt>
                <c:pt idx="62">
                  <c:v>41791</c:v>
                </c:pt>
                <c:pt idx="63">
                  <c:v>41821</c:v>
                </c:pt>
                <c:pt idx="64">
                  <c:v>41852</c:v>
                </c:pt>
                <c:pt idx="65">
                  <c:v>41883</c:v>
                </c:pt>
                <c:pt idx="66">
                  <c:v>41913</c:v>
                </c:pt>
                <c:pt idx="67">
                  <c:v>41944</c:v>
                </c:pt>
                <c:pt idx="68">
                  <c:v>41974</c:v>
                </c:pt>
                <c:pt idx="69">
                  <c:v>42005</c:v>
                </c:pt>
                <c:pt idx="70">
                  <c:v>42036</c:v>
                </c:pt>
                <c:pt idx="71">
                  <c:v>42064</c:v>
                </c:pt>
                <c:pt idx="72">
                  <c:v>42095</c:v>
                </c:pt>
                <c:pt idx="73">
                  <c:v>42125</c:v>
                </c:pt>
                <c:pt idx="74">
                  <c:v>42156</c:v>
                </c:pt>
                <c:pt idx="75">
                  <c:v>42186</c:v>
                </c:pt>
                <c:pt idx="76">
                  <c:v>42217</c:v>
                </c:pt>
                <c:pt idx="77">
                  <c:v>42248</c:v>
                </c:pt>
                <c:pt idx="78">
                  <c:v>42278</c:v>
                </c:pt>
                <c:pt idx="79">
                  <c:v>42309</c:v>
                </c:pt>
                <c:pt idx="80">
                  <c:v>42339</c:v>
                </c:pt>
                <c:pt idx="81">
                  <c:v>42370</c:v>
                </c:pt>
                <c:pt idx="82">
                  <c:v>42401</c:v>
                </c:pt>
                <c:pt idx="83">
                  <c:v>42430</c:v>
                </c:pt>
                <c:pt idx="84">
                  <c:v>42461</c:v>
                </c:pt>
                <c:pt idx="85">
                  <c:v>42491</c:v>
                </c:pt>
                <c:pt idx="86">
                  <c:v>42522</c:v>
                </c:pt>
                <c:pt idx="87">
                  <c:v>42552</c:v>
                </c:pt>
              </c:numCache>
            </c:numRef>
          </c:cat>
          <c:val>
            <c:numRef>
              <c:f>Просрочка!$C$30:$C$117</c:f>
              <c:numCache>
                <c:formatCode>0.0%</c:formatCode>
                <c:ptCount val="88"/>
                <c:pt idx="0">
                  <c:v>4.7358538090332497E-2</c:v>
                </c:pt>
                <c:pt idx="1">
                  <c:v>5.1098930409965097E-2</c:v>
                </c:pt>
                <c:pt idx="2">
                  <c:v>6.2471478807075903E-2</c:v>
                </c:pt>
                <c:pt idx="3">
                  <c:v>4.9920432976080599E-2</c:v>
                </c:pt>
                <c:pt idx="4">
                  <c:v>5.2130477601272401E-2</c:v>
                </c:pt>
                <c:pt idx="5">
                  <c:v>5.3785027185278098E-2</c:v>
                </c:pt>
                <c:pt idx="6">
                  <c:v>5.9006186930142597E-2</c:v>
                </c:pt>
                <c:pt idx="7">
                  <c:v>6.14319835051984E-2</c:v>
                </c:pt>
                <c:pt idx="8">
                  <c:v>6.3471700297891606E-2</c:v>
                </c:pt>
                <c:pt idx="9">
                  <c:v>6.3455288393711201E-2</c:v>
                </c:pt>
                <c:pt idx="10">
                  <c:v>6.28882959157748E-2</c:v>
                </c:pt>
                <c:pt idx="11">
                  <c:v>6.5466289784381099E-2</c:v>
                </c:pt>
                <c:pt idx="12">
                  <c:v>6.6212586123568298E-2</c:v>
                </c:pt>
                <c:pt idx="13">
                  <c:v>6.5146319973797398E-2</c:v>
                </c:pt>
                <c:pt idx="14">
                  <c:v>7.3508836413374204E-2</c:v>
                </c:pt>
                <c:pt idx="15">
                  <c:v>7.3378482656585906E-2</c:v>
                </c:pt>
                <c:pt idx="16">
                  <c:v>7.5060665632993503E-2</c:v>
                </c:pt>
                <c:pt idx="17">
                  <c:v>6.9943394769510406E-2</c:v>
                </c:pt>
                <c:pt idx="18">
                  <c:v>7.3739565045620403E-2</c:v>
                </c:pt>
                <c:pt idx="19">
                  <c:v>7.2979636647115903E-2</c:v>
                </c:pt>
                <c:pt idx="20">
                  <c:v>6.0876529836126E-2</c:v>
                </c:pt>
                <c:pt idx="21">
                  <c:v>5.6250714032313298E-2</c:v>
                </c:pt>
                <c:pt idx="22">
                  <c:v>5.8151187294437703E-2</c:v>
                </c:pt>
                <c:pt idx="23">
                  <c:v>5.9623031371480201E-2</c:v>
                </c:pt>
                <c:pt idx="24">
                  <c:v>6.2362617842735002E-2</c:v>
                </c:pt>
                <c:pt idx="25">
                  <c:v>6.2754793344044393E-2</c:v>
                </c:pt>
                <c:pt idx="26">
                  <c:v>6.0418449699801202E-2</c:v>
                </c:pt>
                <c:pt idx="27">
                  <c:v>5.6837040562967102E-2</c:v>
                </c:pt>
                <c:pt idx="28">
                  <c:v>6.0325661681304002E-2</c:v>
                </c:pt>
                <c:pt idx="29">
                  <c:v>5.7449910759515103E-2</c:v>
                </c:pt>
                <c:pt idx="30">
                  <c:v>5.4063361906831899E-2</c:v>
                </c:pt>
                <c:pt idx="31">
                  <c:v>5.3037524572721401E-2</c:v>
                </c:pt>
                <c:pt idx="32">
                  <c:v>5.1030115531493198E-2</c:v>
                </c:pt>
                <c:pt idx="33">
                  <c:v>5.0886516252058103E-2</c:v>
                </c:pt>
                <c:pt idx="34">
                  <c:v>5.9205851345026997E-2</c:v>
                </c:pt>
                <c:pt idx="35">
                  <c:v>5.9538783231307998E-2</c:v>
                </c:pt>
                <c:pt idx="36">
                  <c:v>5.9203191700346797E-2</c:v>
                </c:pt>
                <c:pt idx="37">
                  <c:v>5.7928648697803703E-2</c:v>
                </c:pt>
                <c:pt idx="38">
                  <c:v>5.6735507390603603E-2</c:v>
                </c:pt>
                <c:pt idx="39">
                  <c:v>5.0757010655563498E-2</c:v>
                </c:pt>
                <c:pt idx="40">
                  <c:v>5.0314269767177303E-2</c:v>
                </c:pt>
                <c:pt idx="41">
                  <c:v>5.0236286963639E-2</c:v>
                </c:pt>
                <c:pt idx="42">
                  <c:v>4.80091367306687E-2</c:v>
                </c:pt>
                <c:pt idx="43">
                  <c:v>4.6591001569254803E-2</c:v>
                </c:pt>
                <c:pt idx="44">
                  <c:v>4.8183577996451003E-2</c:v>
                </c:pt>
                <c:pt idx="45">
                  <c:v>4.7838912079497198E-2</c:v>
                </c:pt>
                <c:pt idx="46">
                  <c:v>5.6503283715467201E-2</c:v>
                </c:pt>
                <c:pt idx="47">
                  <c:v>5.64112490923371E-2</c:v>
                </c:pt>
                <c:pt idx="48">
                  <c:v>5.3355642816852497E-2</c:v>
                </c:pt>
                <c:pt idx="49">
                  <c:v>5.3200406642755299E-2</c:v>
                </c:pt>
                <c:pt idx="50">
                  <c:v>5.2247410410428997E-2</c:v>
                </c:pt>
                <c:pt idx="51">
                  <c:v>5.2582316949867397E-2</c:v>
                </c:pt>
                <c:pt idx="52">
                  <c:v>5.35520860197988E-2</c:v>
                </c:pt>
                <c:pt idx="53">
                  <c:v>5.16294205242614E-2</c:v>
                </c:pt>
                <c:pt idx="54">
                  <c:v>4.97364976278366E-2</c:v>
                </c:pt>
                <c:pt idx="55">
                  <c:v>4.9319143727256903E-2</c:v>
                </c:pt>
                <c:pt idx="56">
                  <c:v>4.9380765204337602E-2</c:v>
                </c:pt>
                <c:pt idx="57">
                  <c:v>5.1590118645609702E-2</c:v>
                </c:pt>
                <c:pt idx="58">
                  <c:v>5.2416282945120997E-2</c:v>
                </c:pt>
                <c:pt idx="59">
                  <c:v>5.1896364025397199E-2</c:v>
                </c:pt>
                <c:pt idx="60">
                  <c:v>7.23899219126867E-2</c:v>
                </c:pt>
                <c:pt idx="61">
                  <c:v>7.4491532066563101E-2</c:v>
                </c:pt>
                <c:pt idx="62">
                  <c:v>7.3519739565068798E-2</c:v>
                </c:pt>
                <c:pt idx="63">
                  <c:v>7.4714460853768802E-2</c:v>
                </c:pt>
                <c:pt idx="64">
                  <c:v>7.9111356851432696E-2</c:v>
                </c:pt>
                <c:pt idx="65">
                  <c:v>8.1091326620953294E-2</c:v>
                </c:pt>
                <c:pt idx="66">
                  <c:v>7.9432722875448197E-2</c:v>
                </c:pt>
                <c:pt idx="67">
                  <c:v>7.8686563548125796E-2</c:v>
                </c:pt>
                <c:pt idx="68">
                  <c:v>8.1278724661275795E-2</c:v>
                </c:pt>
                <c:pt idx="69">
                  <c:v>0.10037165580036</c:v>
                </c:pt>
                <c:pt idx="70">
                  <c:v>9.4188854445340905E-2</c:v>
                </c:pt>
                <c:pt idx="71">
                  <c:v>0.10275684212630699</c:v>
                </c:pt>
                <c:pt idx="72">
                  <c:v>0.110881188666025</c:v>
                </c:pt>
                <c:pt idx="73">
                  <c:v>0.126197899598019</c:v>
                </c:pt>
                <c:pt idx="74">
                  <c:v>0.13352206297862401</c:v>
                </c:pt>
                <c:pt idx="75">
                  <c:v>0.15017260460894499</c:v>
                </c:pt>
                <c:pt idx="76">
                  <c:v>0.160763778815044</c:v>
                </c:pt>
                <c:pt idx="77">
                  <c:v>0.158024363971736</c:v>
                </c:pt>
                <c:pt idx="78">
                  <c:v>0.15712868534640401</c:v>
                </c:pt>
                <c:pt idx="79">
                  <c:v>0.16191002901403601</c:v>
                </c:pt>
                <c:pt idx="80">
                  <c:v>0.165683200905966</c:v>
                </c:pt>
                <c:pt idx="81">
                  <c:v>0.18384409670881199</c:v>
                </c:pt>
                <c:pt idx="82">
                  <c:v>0.184006297647057</c:v>
                </c:pt>
                <c:pt idx="83">
                  <c:v>0.206754195953957</c:v>
                </c:pt>
                <c:pt idx="84">
                  <c:v>0.185610756202469</c:v>
                </c:pt>
                <c:pt idx="85">
                  <c:v>0.18950084227532399</c:v>
                </c:pt>
                <c:pt idx="86">
                  <c:v>0.18896759396502</c:v>
                </c:pt>
                <c:pt idx="87">
                  <c:v>0.193294669577904</c:v>
                </c:pt>
              </c:numCache>
            </c:numRef>
          </c:val>
          <c:smooth val="0"/>
        </c:ser>
        <c:ser>
          <c:idx val="2"/>
          <c:order val="2"/>
          <c:tx>
            <c:strRef>
              <c:f>Просрочка!$D$29</c:f>
              <c:strCache>
                <c:ptCount val="1"/>
                <c:pt idx="0">
                  <c:v>Доля просроченной задолженности по всем секторам (кредиты юр. лицам)</c:v>
                </c:pt>
              </c:strCache>
            </c:strRef>
          </c:tx>
          <c:spPr>
            <a:ln w="28575" cap="rnd">
              <a:solidFill>
                <a:schemeClr val="accent3"/>
              </a:solidFill>
              <a:round/>
            </a:ln>
            <a:effectLst/>
          </c:spPr>
          <c:marker>
            <c:symbol val="none"/>
          </c:marker>
          <c:cat>
            <c:numRef>
              <c:f>Просрочка!$A$30:$A$117</c:f>
              <c:numCache>
                <c:formatCode>m/d/yy</c:formatCode>
                <c:ptCount val="88"/>
                <c:pt idx="0">
                  <c:v>39904</c:v>
                </c:pt>
                <c:pt idx="1">
                  <c:v>39934</c:v>
                </c:pt>
                <c:pt idx="2">
                  <c:v>39965</c:v>
                </c:pt>
                <c:pt idx="3">
                  <c:v>39995</c:v>
                </c:pt>
                <c:pt idx="4">
                  <c:v>40026</c:v>
                </c:pt>
                <c:pt idx="5">
                  <c:v>40057</c:v>
                </c:pt>
                <c:pt idx="6">
                  <c:v>40087</c:v>
                </c:pt>
                <c:pt idx="7">
                  <c:v>40118</c:v>
                </c:pt>
                <c:pt idx="8">
                  <c:v>40148</c:v>
                </c:pt>
                <c:pt idx="9">
                  <c:v>40179</c:v>
                </c:pt>
                <c:pt idx="10">
                  <c:v>40210</c:v>
                </c:pt>
                <c:pt idx="11">
                  <c:v>40238</c:v>
                </c:pt>
                <c:pt idx="12">
                  <c:v>40269</c:v>
                </c:pt>
                <c:pt idx="13">
                  <c:v>40299</c:v>
                </c:pt>
                <c:pt idx="14">
                  <c:v>40330</c:v>
                </c:pt>
                <c:pt idx="15">
                  <c:v>40360</c:v>
                </c:pt>
                <c:pt idx="16">
                  <c:v>40391</c:v>
                </c:pt>
                <c:pt idx="17">
                  <c:v>40422</c:v>
                </c:pt>
                <c:pt idx="18">
                  <c:v>40452</c:v>
                </c:pt>
                <c:pt idx="19">
                  <c:v>40483</c:v>
                </c:pt>
                <c:pt idx="20">
                  <c:v>40513</c:v>
                </c:pt>
                <c:pt idx="21">
                  <c:v>40544</c:v>
                </c:pt>
                <c:pt idx="22">
                  <c:v>40575</c:v>
                </c:pt>
                <c:pt idx="23">
                  <c:v>40603</c:v>
                </c:pt>
                <c:pt idx="24">
                  <c:v>40634</c:v>
                </c:pt>
                <c:pt idx="25">
                  <c:v>40664</c:v>
                </c:pt>
                <c:pt idx="26">
                  <c:v>40695</c:v>
                </c:pt>
                <c:pt idx="27">
                  <c:v>40725</c:v>
                </c:pt>
                <c:pt idx="28">
                  <c:v>40756</c:v>
                </c:pt>
                <c:pt idx="29">
                  <c:v>40787</c:v>
                </c:pt>
                <c:pt idx="30">
                  <c:v>40817</c:v>
                </c:pt>
                <c:pt idx="31">
                  <c:v>40848</c:v>
                </c:pt>
                <c:pt idx="32">
                  <c:v>40878</c:v>
                </c:pt>
                <c:pt idx="33">
                  <c:v>40909</c:v>
                </c:pt>
                <c:pt idx="34">
                  <c:v>40940</c:v>
                </c:pt>
                <c:pt idx="35">
                  <c:v>40969</c:v>
                </c:pt>
                <c:pt idx="36">
                  <c:v>41000</c:v>
                </c:pt>
                <c:pt idx="37">
                  <c:v>41030</c:v>
                </c:pt>
                <c:pt idx="38">
                  <c:v>41061</c:v>
                </c:pt>
                <c:pt idx="39">
                  <c:v>41091</c:v>
                </c:pt>
                <c:pt idx="40">
                  <c:v>41122</c:v>
                </c:pt>
                <c:pt idx="41">
                  <c:v>41153</c:v>
                </c:pt>
                <c:pt idx="42">
                  <c:v>41183</c:v>
                </c:pt>
                <c:pt idx="43">
                  <c:v>41214</c:v>
                </c:pt>
                <c:pt idx="44">
                  <c:v>41244</c:v>
                </c:pt>
                <c:pt idx="45">
                  <c:v>41275</c:v>
                </c:pt>
                <c:pt idx="46">
                  <c:v>41306</c:v>
                </c:pt>
                <c:pt idx="47">
                  <c:v>41334</c:v>
                </c:pt>
                <c:pt idx="48">
                  <c:v>41365</c:v>
                </c:pt>
                <c:pt idx="49">
                  <c:v>41395</c:v>
                </c:pt>
                <c:pt idx="50">
                  <c:v>41426</c:v>
                </c:pt>
                <c:pt idx="51">
                  <c:v>41456</c:v>
                </c:pt>
                <c:pt idx="52">
                  <c:v>41487</c:v>
                </c:pt>
                <c:pt idx="53">
                  <c:v>41518</c:v>
                </c:pt>
                <c:pt idx="54">
                  <c:v>41548</c:v>
                </c:pt>
                <c:pt idx="55">
                  <c:v>41579</c:v>
                </c:pt>
                <c:pt idx="56">
                  <c:v>41609</c:v>
                </c:pt>
                <c:pt idx="57">
                  <c:v>41640</c:v>
                </c:pt>
                <c:pt idx="58">
                  <c:v>41671</c:v>
                </c:pt>
                <c:pt idx="59">
                  <c:v>41699</c:v>
                </c:pt>
                <c:pt idx="60">
                  <c:v>41730</c:v>
                </c:pt>
                <c:pt idx="61">
                  <c:v>41760</c:v>
                </c:pt>
                <c:pt idx="62">
                  <c:v>41791</c:v>
                </c:pt>
                <c:pt idx="63">
                  <c:v>41821</c:v>
                </c:pt>
                <c:pt idx="64">
                  <c:v>41852</c:v>
                </c:pt>
                <c:pt idx="65">
                  <c:v>41883</c:v>
                </c:pt>
                <c:pt idx="66">
                  <c:v>41913</c:v>
                </c:pt>
                <c:pt idx="67">
                  <c:v>41944</c:v>
                </c:pt>
                <c:pt idx="68">
                  <c:v>41974</c:v>
                </c:pt>
                <c:pt idx="69">
                  <c:v>42005</c:v>
                </c:pt>
                <c:pt idx="70">
                  <c:v>42036</c:v>
                </c:pt>
                <c:pt idx="71">
                  <c:v>42064</c:v>
                </c:pt>
                <c:pt idx="72">
                  <c:v>42095</c:v>
                </c:pt>
                <c:pt idx="73">
                  <c:v>42125</c:v>
                </c:pt>
                <c:pt idx="74">
                  <c:v>42156</c:v>
                </c:pt>
                <c:pt idx="75">
                  <c:v>42186</c:v>
                </c:pt>
                <c:pt idx="76">
                  <c:v>42217</c:v>
                </c:pt>
                <c:pt idx="77">
                  <c:v>42248</c:v>
                </c:pt>
                <c:pt idx="78">
                  <c:v>42278</c:v>
                </c:pt>
                <c:pt idx="79">
                  <c:v>42309</c:v>
                </c:pt>
                <c:pt idx="80">
                  <c:v>42339</c:v>
                </c:pt>
                <c:pt idx="81">
                  <c:v>42370</c:v>
                </c:pt>
                <c:pt idx="82">
                  <c:v>42401</c:v>
                </c:pt>
                <c:pt idx="83">
                  <c:v>42430</c:v>
                </c:pt>
                <c:pt idx="84">
                  <c:v>42461</c:v>
                </c:pt>
                <c:pt idx="85">
                  <c:v>42491</c:v>
                </c:pt>
                <c:pt idx="86">
                  <c:v>42522</c:v>
                </c:pt>
                <c:pt idx="87">
                  <c:v>42552</c:v>
                </c:pt>
              </c:numCache>
            </c:numRef>
          </c:cat>
          <c:val>
            <c:numRef>
              <c:f>Просрочка!$D$30:$D$117</c:f>
              <c:numCache>
                <c:formatCode>0.0%</c:formatCode>
                <c:ptCount val="88"/>
                <c:pt idx="0">
                  <c:v>3.3365138527251502E-2</c:v>
                </c:pt>
                <c:pt idx="1">
                  <c:v>3.8460026768112401E-2</c:v>
                </c:pt>
                <c:pt idx="2">
                  <c:v>4.2746240524106298E-2</c:v>
                </c:pt>
                <c:pt idx="3">
                  <c:v>4.50602350160818E-2</c:v>
                </c:pt>
                <c:pt idx="4">
                  <c:v>5.0664675903512001E-2</c:v>
                </c:pt>
                <c:pt idx="5">
                  <c:v>5.4890396163663299E-2</c:v>
                </c:pt>
                <c:pt idx="6">
                  <c:v>5.4397934254657603E-2</c:v>
                </c:pt>
                <c:pt idx="7">
                  <c:v>5.7510611967542202E-2</c:v>
                </c:pt>
                <c:pt idx="8">
                  <c:v>6.0568186641615403E-2</c:v>
                </c:pt>
                <c:pt idx="9">
                  <c:v>5.8304570443474001E-2</c:v>
                </c:pt>
                <c:pt idx="10">
                  <c:v>5.8464353463047597E-2</c:v>
                </c:pt>
                <c:pt idx="11">
                  <c:v>5.9380841074941203E-2</c:v>
                </c:pt>
                <c:pt idx="12">
                  <c:v>6.0907848454760598E-2</c:v>
                </c:pt>
                <c:pt idx="13">
                  <c:v>6.2778559021996194E-2</c:v>
                </c:pt>
                <c:pt idx="14">
                  <c:v>6.4191995184597506E-2</c:v>
                </c:pt>
                <c:pt idx="15">
                  <c:v>6.24185332393737E-2</c:v>
                </c:pt>
                <c:pt idx="16">
                  <c:v>6.2117269232232E-2</c:v>
                </c:pt>
                <c:pt idx="17">
                  <c:v>6.1623786425892002E-2</c:v>
                </c:pt>
                <c:pt idx="18">
                  <c:v>6.0787866247347597E-2</c:v>
                </c:pt>
                <c:pt idx="19">
                  <c:v>5.9826426279867798E-2</c:v>
                </c:pt>
                <c:pt idx="20">
                  <c:v>5.6989458893820698E-2</c:v>
                </c:pt>
                <c:pt idx="21">
                  <c:v>5.4308899295580901E-2</c:v>
                </c:pt>
                <c:pt idx="22">
                  <c:v>5.4331109849071801E-2</c:v>
                </c:pt>
                <c:pt idx="23">
                  <c:v>5.4593301933848898E-2</c:v>
                </c:pt>
                <c:pt idx="24">
                  <c:v>5.25890146835431E-2</c:v>
                </c:pt>
                <c:pt idx="25">
                  <c:v>5.1994053718288802E-2</c:v>
                </c:pt>
                <c:pt idx="26">
                  <c:v>5.22228773919442E-2</c:v>
                </c:pt>
                <c:pt idx="27">
                  <c:v>5.2572018956750802E-2</c:v>
                </c:pt>
                <c:pt idx="28">
                  <c:v>5.2917852710573997E-2</c:v>
                </c:pt>
                <c:pt idx="29">
                  <c:v>5.33949189516362E-2</c:v>
                </c:pt>
                <c:pt idx="30">
                  <c:v>5.1864589774350198E-2</c:v>
                </c:pt>
                <c:pt idx="31">
                  <c:v>5.1721525831851099E-2</c:v>
                </c:pt>
                <c:pt idx="32">
                  <c:v>4.9812706360021698E-2</c:v>
                </c:pt>
                <c:pt idx="33">
                  <c:v>4.7351889110552499E-2</c:v>
                </c:pt>
                <c:pt idx="34">
                  <c:v>4.9032479296318897E-2</c:v>
                </c:pt>
                <c:pt idx="35">
                  <c:v>5.0486801116470498E-2</c:v>
                </c:pt>
                <c:pt idx="36">
                  <c:v>4.9956641634994997E-2</c:v>
                </c:pt>
                <c:pt idx="37">
                  <c:v>5.0393326020250803E-2</c:v>
                </c:pt>
                <c:pt idx="38">
                  <c:v>5.0236973268443501E-2</c:v>
                </c:pt>
                <c:pt idx="39">
                  <c:v>4.79829500708773E-2</c:v>
                </c:pt>
                <c:pt idx="40">
                  <c:v>4.8241247559727002E-2</c:v>
                </c:pt>
                <c:pt idx="41">
                  <c:v>4.8055026812754302E-2</c:v>
                </c:pt>
                <c:pt idx="42">
                  <c:v>4.7561183445944198E-2</c:v>
                </c:pt>
                <c:pt idx="43">
                  <c:v>4.7801631442285997E-2</c:v>
                </c:pt>
                <c:pt idx="44">
                  <c:v>4.78858577147072E-2</c:v>
                </c:pt>
                <c:pt idx="45">
                  <c:v>4.5726810627238497E-2</c:v>
                </c:pt>
                <c:pt idx="46">
                  <c:v>4.6658919820964699E-2</c:v>
                </c:pt>
                <c:pt idx="47">
                  <c:v>4.64226091255701E-2</c:v>
                </c:pt>
                <c:pt idx="48">
                  <c:v>4.5965718760059802E-2</c:v>
                </c:pt>
                <c:pt idx="49">
                  <c:v>4.5962538344694499E-2</c:v>
                </c:pt>
                <c:pt idx="50">
                  <c:v>4.62644656643839E-2</c:v>
                </c:pt>
                <c:pt idx="51">
                  <c:v>4.4094251275486801E-2</c:v>
                </c:pt>
                <c:pt idx="52">
                  <c:v>4.4108876616275397E-2</c:v>
                </c:pt>
                <c:pt idx="53">
                  <c:v>4.2975493557152598E-2</c:v>
                </c:pt>
                <c:pt idx="54">
                  <c:v>4.2426448514982298E-2</c:v>
                </c:pt>
                <c:pt idx="55">
                  <c:v>4.4154822275610302E-2</c:v>
                </c:pt>
                <c:pt idx="56">
                  <c:v>4.3872135887280998E-2</c:v>
                </c:pt>
                <c:pt idx="57">
                  <c:v>4.3071449243089303E-2</c:v>
                </c:pt>
                <c:pt idx="58">
                  <c:v>4.2965927107201297E-2</c:v>
                </c:pt>
                <c:pt idx="59">
                  <c:v>4.4146321207029202E-2</c:v>
                </c:pt>
                <c:pt idx="60">
                  <c:v>4.4115233087266503E-2</c:v>
                </c:pt>
                <c:pt idx="61">
                  <c:v>4.4095012285866299E-2</c:v>
                </c:pt>
                <c:pt idx="62">
                  <c:v>4.4714939057507397E-2</c:v>
                </c:pt>
                <c:pt idx="63">
                  <c:v>4.4591840126708901E-2</c:v>
                </c:pt>
                <c:pt idx="64">
                  <c:v>4.5957076400122497E-2</c:v>
                </c:pt>
                <c:pt idx="65">
                  <c:v>4.6327473217715201E-2</c:v>
                </c:pt>
                <c:pt idx="66">
                  <c:v>4.4756327548816498E-2</c:v>
                </c:pt>
                <c:pt idx="67">
                  <c:v>4.4472365030022998E-2</c:v>
                </c:pt>
                <c:pt idx="68">
                  <c:v>4.39498901429725E-2</c:v>
                </c:pt>
                <c:pt idx="69">
                  <c:v>4.5905992394181E-2</c:v>
                </c:pt>
                <c:pt idx="70">
                  <c:v>4.8240528260243998E-2</c:v>
                </c:pt>
                <c:pt idx="71">
                  <c:v>5.1417767944691301E-2</c:v>
                </c:pt>
                <c:pt idx="72">
                  <c:v>5.4110977719664402E-2</c:v>
                </c:pt>
                <c:pt idx="73">
                  <c:v>5.9588212321019497E-2</c:v>
                </c:pt>
                <c:pt idx="74">
                  <c:v>6.1799194639781299E-2</c:v>
                </c:pt>
                <c:pt idx="75">
                  <c:v>6.38830812954857E-2</c:v>
                </c:pt>
                <c:pt idx="76">
                  <c:v>6.5296347917536496E-2</c:v>
                </c:pt>
                <c:pt idx="77">
                  <c:v>6.3738475414246001E-2</c:v>
                </c:pt>
                <c:pt idx="78">
                  <c:v>6.2830033578086503E-2</c:v>
                </c:pt>
                <c:pt idx="79">
                  <c:v>6.4134669526348304E-2</c:v>
                </c:pt>
                <c:pt idx="80">
                  <c:v>6.6821635427132098E-2</c:v>
                </c:pt>
                <c:pt idx="81">
                  <c:v>6.7590029183912895E-2</c:v>
                </c:pt>
                <c:pt idx="82">
                  <c:v>6.8723277550699194E-2</c:v>
                </c:pt>
                <c:pt idx="83">
                  <c:v>7.1335813803206499E-2</c:v>
                </c:pt>
                <c:pt idx="84">
                  <c:v>7.0852326534259005E-2</c:v>
                </c:pt>
                <c:pt idx="85">
                  <c:v>7.1635934424380002E-2</c:v>
                </c:pt>
                <c:pt idx="86">
                  <c:v>7.1438062857619E-2</c:v>
                </c:pt>
                <c:pt idx="87">
                  <c:v>7.1233429539416901E-2</c:v>
                </c:pt>
              </c:numCache>
            </c:numRef>
          </c:val>
          <c:smooth val="0"/>
        </c:ser>
        <c:dLbls>
          <c:showLegendKey val="0"/>
          <c:showVal val="0"/>
          <c:showCatName val="0"/>
          <c:showSerName val="0"/>
          <c:showPercent val="0"/>
          <c:showBubbleSize val="0"/>
        </c:dLbls>
        <c:marker val="1"/>
        <c:smooth val="0"/>
        <c:axId val="144925184"/>
        <c:axId val="141042240"/>
      </c:lineChart>
      <c:dateAx>
        <c:axId val="78963712"/>
        <c:scaling>
          <c:orientation val="minMax"/>
        </c:scaling>
        <c:delete val="0"/>
        <c:axPos val="b"/>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041664"/>
        <c:crosses val="autoZero"/>
        <c:auto val="1"/>
        <c:lblOffset val="100"/>
        <c:baseTimeUnit val="months"/>
        <c:majorUnit val="1"/>
        <c:majorTimeUnit val="years"/>
      </c:dateAx>
      <c:valAx>
        <c:axId val="141041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млрд. руб.</a:t>
                </a:r>
                <a:endParaRPr lang="en-US"/>
              </a:p>
            </c:rich>
          </c:tx>
          <c:overlay val="0"/>
          <c:spPr>
            <a:noFill/>
            <a:ln>
              <a:noFill/>
            </a:ln>
            <a:effectLst/>
          </c:spPr>
        </c:title>
        <c:numFmt formatCode="_-* #,##0\ _R_U_B_-;\-* #,##0\ _R_U_B_-;_-* &quot;-&quot;??\ _R_U_B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963712"/>
        <c:crosses val="autoZero"/>
        <c:crossBetween val="between"/>
      </c:valAx>
      <c:valAx>
        <c:axId val="14104224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925184"/>
        <c:crosses val="max"/>
        <c:crossBetween val="between"/>
      </c:valAx>
      <c:dateAx>
        <c:axId val="144925184"/>
        <c:scaling>
          <c:orientation val="minMax"/>
        </c:scaling>
        <c:delete val="1"/>
        <c:axPos val="b"/>
        <c:numFmt formatCode="m/d/yy" sourceLinked="1"/>
        <c:majorTickMark val="out"/>
        <c:minorTickMark val="none"/>
        <c:tickLblPos val="nextTo"/>
        <c:crossAx val="141042240"/>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t>Количество банкротств застройщиков, тыс ед.</a:t>
            </a:r>
          </a:p>
        </c:rich>
      </c:tx>
      <c:overlay val="0"/>
      <c:spPr>
        <a:noFill/>
        <a:ln>
          <a:noFill/>
        </a:ln>
        <a:effectLst/>
      </c:spPr>
    </c:title>
    <c:autoTitleDeleted val="0"/>
    <c:plotArea>
      <c:layout/>
      <c:barChart>
        <c:barDir val="col"/>
        <c:grouping val="clustered"/>
        <c:varyColors val="0"/>
        <c:ser>
          <c:idx val="0"/>
          <c:order val="0"/>
          <c:tx>
            <c:strRef>
              <c:f>Sheet1!$A$5</c:f>
              <c:strCache>
                <c:ptCount val="1"/>
                <c:pt idx="0">
                  <c:v>Количество банкротств застройщиков, тыс ед.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Sheet1!$B$4:$D$4</c:f>
              <c:strCache>
                <c:ptCount val="3"/>
                <c:pt idx="0">
                  <c:v>2014</c:v>
                </c:pt>
                <c:pt idx="1">
                  <c:v>2015</c:v>
                </c:pt>
                <c:pt idx="2">
                  <c:v>6 мес 2016</c:v>
                </c:pt>
              </c:strCache>
            </c:strRef>
          </c:cat>
          <c:val>
            <c:numRef>
              <c:f>Sheet1!$B$5:$D$5</c:f>
              <c:numCache>
                <c:formatCode>General</c:formatCode>
                <c:ptCount val="3"/>
                <c:pt idx="0">
                  <c:v>0.54</c:v>
                </c:pt>
                <c:pt idx="1">
                  <c:v>2.7</c:v>
                </c:pt>
                <c:pt idx="2">
                  <c:v>1.6</c:v>
                </c:pt>
              </c:numCache>
            </c:numRef>
          </c:val>
        </c:ser>
        <c:dLbls>
          <c:dLblPos val="outEnd"/>
          <c:showLegendKey val="0"/>
          <c:showVal val="1"/>
          <c:showCatName val="0"/>
          <c:showSerName val="0"/>
          <c:showPercent val="0"/>
          <c:showBubbleSize val="0"/>
        </c:dLbls>
        <c:gapWidth val="219"/>
        <c:overlap val="-27"/>
        <c:axId val="78964224"/>
        <c:axId val="141043968"/>
      </c:barChart>
      <c:catAx>
        <c:axId val="7896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043968"/>
        <c:crosses val="autoZero"/>
        <c:auto val="1"/>
        <c:lblAlgn val="ctr"/>
        <c:lblOffset val="100"/>
        <c:noMultiLvlLbl val="0"/>
      </c:catAx>
      <c:valAx>
        <c:axId val="14104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9642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t>Финансирование</a:t>
            </a:r>
            <a:r>
              <a:rPr lang="ru-RU" sz="1200" b="1" baseline="0"/>
              <a:t> строительного сектора коммерческими банками</a:t>
            </a:r>
            <a:endParaRPr lang="en-US" sz="1200" b="1"/>
          </a:p>
        </c:rich>
      </c:tx>
      <c:overlay val="0"/>
      <c:spPr>
        <a:noFill/>
        <a:ln>
          <a:noFill/>
        </a:ln>
        <a:effectLst/>
      </c:spPr>
    </c:title>
    <c:autoTitleDeleted val="0"/>
    <c:plotArea>
      <c:layout/>
      <c:lineChart>
        <c:grouping val="standard"/>
        <c:varyColors val="0"/>
        <c:ser>
          <c:idx val="0"/>
          <c:order val="0"/>
          <c:tx>
            <c:strRef>
              <c:f>Банки!$C$20</c:f>
              <c:strCache>
                <c:ptCount val="1"/>
                <c:pt idx="0">
                  <c:v>Объем выданных кредитов за год по сектору "Строительство зданий и сооружений", млрд. руб.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Банки!$A$30:$A$102</c:f>
              <c:numCache>
                <c:formatCode>General</c:formatCode>
                <c:ptCount val="7"/>
                <c:pt idx="0">
                  <c:v>2009</c:v>
                </c:pt>
                <c:pt idx="1">
                  <c:v>2010</c:v>
                </c:pt>
                <c:pt idx="2">
                  <c:v>2011</c:v>
                </c:pt>
                <c:pt idx="3">
                  <c:v>2012</c:v>
                </c:pt>
                <c:pt idx="4">
                  <c:v>2013</c:v>
                </c:pt>
                <c:pt idx="5">
                  <c:v>2014</c:v>
                </c:pt>
                <c:pt idx="6">
                  <c:v>2015</c:v>
                </c:pt>
              </c:numCache>
            </c:numRef>
          </c:cat>
          <c:val>
            <c:numRef>
              <c:f>Банки!$C$21:$C$102</c:f>
              <c:numCache>
                <c:formatCode>_-* #,##0\ _R_U_B_-;\-* #,##0\ _R_U_B_-;_-* "-"??\ _R_U_B_-;_-@_-</c:formatCode>
                <c:ptCount val="7"/>
                <c:pt idx="0">
                  <c:v>692.39499999999998</c:v>
                </c:pt>
                <c:pt idx="1">
                  <c:v>865.82199999999739</c:v>
                </c:pt>
                <c:pt idx="2">
                  <c:v>1125.636</c:v>
                </c:pt>
                <c:pt idx="3">
                  <c:v>1367.866</c:v>
                </c:pt>
                <c:pt idx="4">
                  <c:v>1779.7059999999999</c:v>
                </c:pt>
                <c:pt idx="5">
                  <c:v>1498.1559999999999</c:v>
                </c:pt>
                <c:pt idx="6">
                  <c:v>1101.653</c:v>
                </c:pt>
              </c:numCache>
            </c:numRef>
          </c:val>
          <c:smooth val="0"/>
        </c:ser>
        <c:dLbls>
          <c:showLegendKey val="0"/>
          <c:showVal val="0"/>
          <c:showCatName val="0"/>
          <c:showSerName val="0"/>
          <c:showPercent val="0"/>
          <c:showBubbleSize val="0"/>
        </c:dLbls>
        <c:marker val="1"/>
        <c:smooth val="0"/>
        <c:axId val="78965248"/>
        <c:axId val="141045696"/>
      </c:lineChart>
      <c:lineChart>
        <c:grouping val="standard"/>
        <c:varyColors val="0"/>
        <c:ser>
          <c:idx val="1"/>
          <c:order val="1"/>
          <c:tx>
            <c:strRef>
              <c:f>Банки!$D$20</c:f>
              <c:strCache>
                <c:ptCount val="1"/>
                <c:pt idx="0">
                  <c:v>Доля сектора "Строительство зданий и сооружений" в общем объеме выданных кредитов,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Банки!$A$30:$A$102</c:f>
              <c:numCache>
                <c:formatCode>General</c:formatCode>
                <c:ptCount val="7"/>
                <c:pt idx="0">
                  <c:v>2009</c:v>
                </c:pt>
                <c:pt idx="1">
                  <c:v>2010</c:v>
                </c:pt>
                <c:pt idx="2">
                  <c:v>2011</c:v>
                </c:pt>
                <c:pt idx="3">
                  <c:v>2012</c:v>
                </c:pt>
                <c:pt idx="4">
                  <c:v>2013</c:v>
                </c:pt>
                <c:pt idx="5">
                  <c:v>2014</c:v>
                </c:pt>
                <c:pt idx="6">
                  <c:v>2015</c:v>
                </c:pt>
              </c:numCache>
            </c:numRef>
          </c:cat>
          <c:val>
            <c:numRef>
              <c:f>Банки!$D$21:$D$102</c:f>
              <c:numCache>
                <c:formatCode>0.0%</c:formatCode>
                <c:ptCount val="7"/>
                <c:pt idx="0">
                  <c:v>3.6484011862342597E-2</c:v>
                </c:pt>
                <c:pt idx="1">
                  <c:v>4.1903630970129599E-2</c:v>
                </c:pt>
                <c:pt idx="2">
                  <c:v>3.9617957975686999E-2</c:v>
                </c:pt>
                <c:pt idx="3">
                  <c:v>4.5211172061094998E-2</c:v>
                </c:pt>
                <c:pt idx="4">
                  <c:v>4.9129808760165698E-2</c:v>
                </c:pt>
                <c:pt idx="5">
                  <c:v>3.8882994901797002E-2</c:v>
                </c:pt>
                <c:pt idx="6">
                  <c:v>3.2177937301840299E-2</c:v>
                </c:pt>
              </c:numCache>
            </c:numRef>
          </c:val>
          <c:smooth val="0"/>
        </c:ser>
        <c:dLbls>
          <c:showLegendKey val="0"/>
          <c:showVal val="0"/>
          <c:showCatName val="0"/>
          <c:showSerName val="0"/>
          <c:showPercent val="0"/>
          <c:showBubbleSize val="0"/>
        </c:dLbls>
        <c:marker val="1"/>
        <c:smooth val="0"/>
        <c:axId val="85113344"/>
        <c:axId val="141046272"/>
      </c:lineChart>
      <c:catAx>
        <c:axId val="789652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045696"/>
        <c:crosses val="autoZero"/>
        <c:auto val="1"/>
        <c:lblAlgn val="ctr"/>
        <c:lblOffset val="100"/>
        <c:noMultiLvlLbl val="1"/>
      </c:catAx>
      <c:valAx>
        <c:axId val="141045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млрд.</a:t>
                </a:r>
                <a:r>
                  <a:rPr lang="ru-RU" baseline="0"/>
                  <a:t> руб.</a:t>
                </a:r>
                <a:endParaRPr lang="en-US"/>
              </a:p>
            </c:rich>
          </c:tx>
          <c:overlay val="0"/>
          <c:spPr>
            <a:noFill/>
            <a:ln>
              <a:noFill/>
            </a:ln>
            <a:effectLst/>
          </c:spPr>
        </c:title>
        <c:numFmt formatCode="_-* #,##0\ _R_U_B_-;\-* #,##0\ _R_U_B_-;_-* &quot;-&quot;??\ _R_U_B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965248"/>
        <c:crosses val="autoZero"/>
        <c:crossBetween val="between"/>
        <c:majorUnit val="400"/>
      </c:valAx>
      <c:valAx>
        <c:axId val="14104627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a:t>
                </a:r>
                <a:r>
                  <a:rPr lang="ru-RU" baseline="0"/>
                  <a:t> в общем объеме</a:t>
                </a:r>
                <a:endParaRPr lang="en-US"/>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113344"/>
        <c:crosses val="max"/>
        <c:crossBetween val="between"/>
      </c:valAx>
      <c:catAx>
        <c:axId val="85113344"/>
        <c:scaling>
          <c:orientation val="minMax"/>
        </c:scaling>
        <c:delete val="1"/>
        <c:axPos val="b"/>
        <c:numFmt formatCode="General" sourceLinked="1"/>
        <c:majorTickMark val="out"/>
        <c:minorTickMark val="none"/>
        <c:tickLblPos val="nextTo"/>
        <c:crossAx val="141046272"/>
        <c:crosses val="autoZero"/>
        <c:auto val="1"/>
        <c:lblAlgn val="ctr"/>
        <c:lblOffset val="100"/>
        <c:noMultiLvlLbl val="1"/>
      </c:cat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1"/>
              <a:t>Ипотечное кредитовние в РФ (первичный рынок) </a:t>
            </a:r>
            <a:endParaRPr lang="en-US" sz="1200" b="1"/>
          </a:p>
        </c:rich>
      </c:tx>
      <c:overlay val="0"/>
      <c:spPr>
        <a:noFill/>
        <a:ln>
          <a:noFill/>
        </a:ln>
        <a:effectLst/>
      </c:spPr>
    </c:title>
    <c:autoTitleDeleted val="0"/>
    <c:plotArea>
      <c:layout/>
      <c:lineChart>
        <c:grouping val="standard"/>
        <c:varyColors val="0"/>
        <c:ser>
          <c:idx val="0"/>
          <c:order val="0"/>
          <c:tx>
            <c:strRef>
              <c:f>Ипотека!$C$22</c:f>
              <c:strCache>
                <c:ptCount val="1"/>
                <c:pt idx="0">
                  <c:v>Выдано ипотечных кредитов, млрд руб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Ипотека!$B$23:$B$119</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Ипотека!$C$23:$C$119</c:f>
              <c:numCache>
                <c:formatCode>_-* #,##0\ _R_U_B_-;\-* #,##0\ _R_U_B_-;_-* "-"??\ _R_U_B_-;_-@_-</c:formatCode>
                <c:ptCount val="11"/>
                <c:pt idx="0">
                  <c:v>71.260999999999996</c:v>
                </c:pt>
                <c:pt idx="1">
                  <c:v>278.27100000000002</c:v>
                </c:pt>
                <c:pt idx="2">
                  <c:v>564.29200000000003</c:v>
                </c:pt>
                <c:pt idx="3">
                  <c:v>663.78399999999999</c:v>
                </c:pt>
                <c:pt idx="4">
                  <c:v>154.84899999999999</c:v>
                </c:pt>
                <c:pt idx="5">
                  <c:v>383.86500000000001</c:v>
                </c:pt>
                <c:pt idx="6">
                  <c:v>721.04699999999787</c:v>
                </c:pt>
                <c:pt idx="7">
                  <c:v>1035.7249999999999</c:v>
                </c:pt>
                <c:pt idx="8">
                  <c:v>1357.9069999999999</c:v>
                </c:pt>
                <c:pt idx="9">
                  <c:v>1766.0609999999999</c:v>
                </c:pt>
                <c:pt idx="10">
                  <c:v>1163.5360000000001</c:v>
                </c:pt>
              </c:numCache>
            </c:numRef>
          </c:val>
          <c:smooth val="0"/>
        </c:ser>
        <c:ser>
          <c:idx val="1"/>
          <c:order val="1"/>
          <c:tx>
            <c:strRef>
              <c:f>Ипотека!$D$22</c:f>
              <c:strCache>
                <c:ptCount val="1"/>
                <c:pt idx="0">
                  <c:v>Задолженность по ипотечным кредитам, млрд руб</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Ипотека!$B$23:$B$119</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Ипотека!$D$23:$D$119</c:f>
              <c:numCache>
                <c:formatCode>_-* #,##0\ _R_U_B_-;\-* #,##0\ _R_U_B_-;_-* "-"??\ _R_U_B_-;_-@_-</c:formatCode>
                <c:ptCount val="11"/>
                <c:pt idx="0">
                  <c:v>70.55</c:v>
                </c:pt>
                <c:pt idx="1">
                  <c:v>255.619</c:v>
                </c:pt>
                <c:pt idx="2">
                  <c:v>624.43099999999936</c:v>
                </c:pt>
                <c:pt idx="3">
                  <c:v>1091.2159999999999</c:v>
                </c:pt>
                <c:pt idx="4">
                  <c:v>1026.75</c:v>
                </c:pt>
                <c:pt idx="5">
                  <c:v>1142.3630000000001</c:v>
                </c:pt>
                <c:pt idx="6">
                  <c:v>1490.654</c:v>
                </c:pt>
                <c:pt idx="7">
                  <c:v>2004.943</c:v>
                </c:pt>
                <c:pt idx="8">
                  <c:v>2654.9259999999999</c:v>
                </c:pt>
                <c:pt idx="9">
                  <c:v>3532.6970000000001</c:v>
                </c:pt>
                <c:pt idx="10">
                  <c:v>3986.5990000000002</c:v>
                </c:pt>
              </c:numCache>
            </c:numRef>
          </c:val>
          <c:smooth val="0"/>
        </c:ser>
        <c:dLbls>
          <c:showLegendKey val="0"/>
          <c:showVal val="0"/>
          <c:showCatName val="0"/>
          <c:showSerName val="0"/>
          <c:showPercent val="0"/>
          <c:showBubbleSize val="0"/>
        </c:dLbls>
        <c:marker val="1"/>
        <c:smooth val="0"/>
        <c:axId val="78965760"/>
        <c:axId val="141048576"/>
      </c:lineChart>
      <c:catAx>
        <c:axId val="7896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048576"/>
        <c:crosses val="autoZero"/>
        <c:auto val="1"/>
        <c:lblAlgn val="ctr"/>
        <c:lblOffset val="100"/>
        <c:noMultiLvlLbl val="0"/>
      </c:catAx>
      <c:valAx>
        <c:axId val="141048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млрд. руб.</a:t>
                </a:r>
                <a:endParaRPr lang="en-US"/>
              </a:p>
            </c:rich>
          </c:tx>
          <c:overlay val="0"/>
          <c:spPr>
            <a:noFill/>
            <a:ln>
              <a:noFill/>
            </a:ln>
            <a:effectLst/>
          </c:spPr>
        </c:title>
        <c:numFmt formatCode="_-* #,##0\ _R_U_B_-;\-* #,##0\ _R_U_B_-;_-* &quot;-&quot;??\ _R_U_B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965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t>Движение</a:t>
            </a:r>
            <a:r>
              <a:rPr lang="ru-RU" sz="1200" b="1" baseline="0"/>
              <a:t> денежных средств в компенсационном фонде: Сценарий №</a:t>
            </a:r>
            <a:r>
              <a:rPr lang="en-US" sz="1200" b="1" baseline="0"/>
              <a:t>1</a:t>
            </a:r>
            <a:endParaRPr lang="en-US" sz="1200" b="1"/>
          </a:p>
        </c:rich>
      </c:tx>
      <c:overlay val="0"/>
      <c:spPr>
        <a:noFill/>
        <a:ln>
          <a:noFill/>
        </a:ln>
        <a:effectLst/>
      </c:spPr>
    </c:title>
    <c:autoTitleDeleted val="0"/>
    <c:plotArea>
      <c:layout/>
      <c:barChart>
        <c:barDir val="col"/>
        <c:grouping val="clustered"/>
        <c:varyColors val="0"/>
        <c:ser>
          <c:idx val="0"/>
          <c:order val="0"/>
          <c:tx>
            <c:strRef>
              <c:f>Таблицы!$A$22</c:f>
              <c:strCache>
                <c:ptCount val="1"/>
                <c:pt idx="0">
                  <c:v>Размер компенсационного фонда на начало года, млрд. руб.</c:v>
                </c:pt>
              </c:strCache>
            </c:strRef>
          </c:tx>
          <c:spPr>
            <a:solidFill>
              <a:schemeClr val="accent1"/>
            </a:solidFill>
            <a:ln>
              <a:noFill/>
            </a:ln>
            <a:effectLst/>
          </c:spPr>
          <c:invertIfNegative val="0"/>
          <c:cat>
            <c:numRef>
              <c:f>Таблицы!$B$21:$F$21</c:f>
              <c:numCache>
                <c:formatCode>General</c:formatCode>
                <c:ptCount val="5"/>
                <c:pt idx="0">
                  <c:v>2017</c:v>
                </c:pt>
                <c:pt idx="1">
                  <c:v>2018</c:v>
                </c:pt>
                <c:pt idx="2">
                  <c:v>2019</c:v>
                </c:pt>
                <c:pt idx="3">
                  <c:v>2020</c:v>
                </c:pt>
                <c:pt idx="4">
                  <c:v>2021</c:v>
                </c:pt>
              </c:numCache>
            </c:numRef>
          </c:cat>
          <c:val>
            <c:numRef>
              <c:f>Таблицы!$B$22:$F$22</c:f>
              <c:numCache>
                <c:formatCode>_-* #,##0\ _₽_-;\-* #,##0\ _₽_-;_-* "-"??\ _₽_-;_-@_-</c:formatCode>
                <c:ptCount val="5"/>
                <c:pt idx="0">
                  <c:v>35</c:v>
                </c:pt>
                <c:pt idx="1">
                  <c:v>32.764545460198242</c:v>
                </c:pt>
                <c:pt idx="2">
                  <c:v>0</c:v>
                </c:pt>
                <c:pt idx="3">
                  <c:v>0</c:v>
                </c:pt>
                <c:pt idx="4">
                  <c:v>0</c:v>
                </c:pt>
              </c:numCache>
            </c:numRef>
          </c:val>
        </c:ser>
        <c:ser>
          <c:idx val="1"/>
          <c:order val="1"/>
          <c:tx>
            <c:strRef>
              <c:f>Таблицы!$A$23</c:f>
              <c:strCache>
                <c:ptCount val="1"/>
                <c:pt idx="0">
                  <c:v>Отчисления в фонд, млрд. руб.</c:v>
                </c:pt>
              </c:strCache>
            </c:strRef>
          </c:tx>
          <c:spPr>
            <a:solidFill>
              <a:schemeClr val="accent2"/>
            </a:solidFill>
            <a:ln>
              <a:noFill/>
            </a:ln>
            <a:effectLst/>
          </c:spPr>
          <c:invertIfNegative val="0"/>
          <c:cat>
            <c:numRef>
              <c:f>Таблицы!$B$21:$F$21</c:f>
              <c:numCache>
                <c:formatCode>General</c:formatCode>
                <c:ptCount val="5"/>
                <c:pt idx="0">
                  <c:v>2017</c:v>
                </c:pt>
                <c:pt idx="1">
                  <c:v>2018</c:v>
                </c:pt>
                <c:pt idx="2">
                  <c:v>2019</c:v>
                </c:pt>
                <c:pt idx="3">
                  <c:v>2020</c:v>
                </c:pt>
                <c:pt idx="4">
                  <c:v>2021</c:v>
                </c:pt>
              </c:numCache>
            </c:numRef>
          </c:cat>
          <c:val>
            <c:numRef>
              <c:f>Таблицы!$B$23:$F$23</c:f>
              <c:numCache>
                <c:formatCode>_-* #,##0\ _₽_-;\-* #,##0\ _₽_-;_-* "-"??\ _₽_-;_-@_-</c:formatCode>
                <c:ptCount val="5"/>
                <c:pt idx="0">
                  <c:v>15.609090480563919</c:v>
                </c:pt>
                <c:pt idx="1">
                  <c:v>14.04818143250753</c:v>
                </c:pt>
                <c:pt idx="2">
                  <c:v>14.04818143250753</c:v>
                </c:pt>
                <c:pt idx="3">
                  <c:v>14.04818143250753</c:v>
                </c:pt>
                <c:pt idx="4">
                  <c:v>14.04818143250753</c:v>
                </c:pt>
              </c:numCache>
            </c:numRef>
          </c:val>
        </c:ser>
        <c:ser>
          <c:idx val="2"/>
          <c:order val="2"/>
          <c:tx>
            <c:strRef>
              <c:f>Таблицы!$A$24</c:f>
              <c:strCache>
                <c:ptCount val="1"/>
                <c:pt idx="0">
                  <c:v>Выплаты на достройку объектов, млрд. руб.</c:v>
                </c:pt>
              </c:strCache>
            </c:strRef>
          </c:tx>
          <c:spPr>
            <a:solidFill>
              <a:schemeClr val="accent3"/>
            </a:solidFill>
            <a:ln>
              <a:noFill/>
            </a:ln>
            <a:effectLst/>
          </c:spPr>
          <c:invertIfNegative val="0"/>
          <c:cat>
            <c:numRef>
              <c:f>Таблицы!$B$21:$F$21</c:f>
              <c:numCache>
                <c:formatCode>General</c:formatCode>
                <c:ptCount val="5"/>
                <c:pt idx="0">
                  <c:v>2017</c:v>
                </c:pt>
                <c:pt idx="1">
                  <c:v>2018</c:v>
                </c:pt>
                <c:pt idx="2">
                  <c:v>2019</c:v>
                </c:pt>
                <c:pt idx="3">
                  <c:v>2020</c:v>
                </c:pt>
                <c:pt idx="4">
                  <c:v>2021</c:v>
                </c:pt>
              </c:numCache>
            </c:numRef>
          </c:cat>
          <c:val>
            <c:numRef>
              <c:f>Таблицы!$B$24:$F$24</c:f>
              <c:numCache>
                <c:formatCode>_-* #,##0\ _₽_-;\-* #,##0\ _₽_-;_-* "-"??\ _₽_-;_-@_-</c:formatCode>
                <c:ptCount val="5"/>
                <c:pt idx="0">
                  <c:v>17.844545020365679</c:v>
                </c:pt>
                <c:pt idx="1">
                  <c:v>53.871769248791523</c:v>
                </c:pt>
                <c:pt idx="2">
                  <c:v>132.3099673546181</c:v>
                </c:pt>
                <c:pt idx="3">
                  <c:v>247.68383054426681</c:v>
                </c:pt>
                <c:pt idx="4">
                  <c:v>357.03531277354182</c:v>
                </c:pt>
              </c:numCache>
            </c:numRef>
          </c:val>
        </c:ser>
        <c:ser>
          <c:idx val="3"/>
          <c:order val="3"/>
          <c:tx>
            <c:strRef>
              <c:f>Таблицы!$A$25</c:f>
              <c:strCache>
                <c:ptCount val="1"/>
                <c:pt idx="0">
                  <c:v>Финансирование из бюджета, млрд. руб.</c:v>
                </c:pt>
              </c:strCache>
            </c:strRef>
          </c:tx>
          <c:spPr>
            <a:solidFill>
              <a:schemeClr val="accent4"/>
            </a:solidFill>
            <a:ln>
              <a:noFill/>
            </a:ln>
            <a:effectLst/>
          </c:spPr>
          <c:invertIfNegative val="0"/>
          <c:cat>
            <c:numRef>
              <c:f>Таблицы!$B$21:$F$21</c:f>
              <c:numCache>
                <c:formatCode>General</c:formatCode>
                <c:ptCount val="5"/>
                <c:pt idx="0">
                  <c:v>2017</c:v>
                </c:pt>
                <c:pt idx="1">
                  <c:v>2018</c:v>
                </c:pt>
                <c:pt idx="2">
                  <c:v>2019</c:v>
                </c:pt>
                <c:pt idx="3">
                  <c:v>2020</c:v>
                </c:pt>
                <c:pt idx="4">
                  <c:v>2021</c:v>
                </c:pt>
              </c:numCache>
            </c:numRef>
          </c:cat>
          <c:val>
            <c:numRef>
              <c:f>Таблицы!$B$25:$F$25</c:f>
              <c:numCache>
                <c:formatCode>_-* #,##0\ _₽_-;\-* #,##0\ _₽_-;_-* "-"??\ _₽_-;_-@_-</c:formatCode>
                <c:ptCount val="5"/>
                <c:pt idx="0">
                  <c:v>0</c:v>
                </c:pt>
                <c:pt idx="1">
                  <c:v>7.0590423560857776</c:v>
                </c:pt>
                <c:pt idx="2">
                  <c:v>118.2617859221105</c:v>
                </c:pt>
                <c:pt idx="3">
                  <c:v>233.63564911175931</c:v>
                </c:pt>
                <c:pt idx="4">
                  <c:v>342.9871313410332</c:v>
                </c:pt>
              </c:numCache>
            </c:numRef>
          </c:val>
        </c:ser>
        <c:dLbls>
          <c:showLegendKey val="0"/>
          <c:showVal val="0"/>
          <c:showCatName val="0"/>
          <c:showSerName val="0"/>
          <c:showPercent val="0"/>
          <c:showBubbleSize val="0"/>
        </c:dLbls>
        <c:gapWidth val="219"/>
        <c:overlap val="-27"/>
        <c:axId val="79049216"/>
        <c:axId val="141946816"/>
      </c:barChart>
      <c:catAx>
        <c:axId val="7904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946816"/>
        <c:crosses val="autoZero"/>
        <c:auto val="1"/>
        <c:lblAlgn val="ctr"/>
        <c:lblOffset val="100"/>
        <c:noMultiLvlLbl val="0"/>
      </c:catAx>
      <c:valAx>
        <c:axId val="141946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млрд. руб.</a:t>
                </a:r>
                <a:endParaRPr lang="en-US"/>
              </a:p>
            </c:rich>
          </c:tx>
          <c:overlay val="0"/>
          <c:spPr>
            <a:noFill/>
            <a:ln>
              <a:noFill/>
            </a:ln>
            <a:effectLst/>
          </c:spPr>
        </c:title>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049216"/>
        <c:crosses val="autoZero"/>
        <c:crossBetween val="between"/>
      </c:valAx>
      <c:spPr>
        <a:noFill/>
        <a:ln>
          <a:noFill/>
        </a:ln>
        <a:effectLst/>
      </c:spPr>
    </c:plotArea>
    <c:legend>
      <c:legendPos val="r"/>
      <c:layout>
        <c:manualLayout>
          <c:xMode val="edge"/>
          <c:yMode val="edge"/>
          <c:x val="0.63225806451612898"/>
          <c:y val="0.27221016798411402"/>
          <c:w val="0.34480286738351301"/>
          <c:h val="0.6566507448496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9FF0-78CE-459C-83FF-DAB4D288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7027</Words>
  <Characters>40060</Characters>
  <Application>Microsoft Office Word</Application>
  <DocSecurity>0</DocSecurity>
  <Lines>333</Lines>
  <Paragraphs>93</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Резюме исследования</vt:lpstr>
      <vt:lpstr/>
      <vt:lpstr>Компенсационный фонд</vt:lpstr>
      <vt:lpstr>Участники рынка жилищного строительства по договорам долевого участия.</vt:lpstr>
      <vt:lpstr>    Покупатели жилья по договору долевого участия.</vt:lpstr>
      <vt:lpstr>    Застройщики </vt:lpstr>
      <vt:lpstr>    Страховые компании</vt:lpstr>
      <vt:lpstr>    Кредитные организации </vt:lpstr>
      <vt:lpstr>Компенсационный фонд, как как гарант исполнения обязательств по договорам долево</vt:lpstr>
      <vt:lpstr>    </vt:lpstr>
    </vt:vector>
  </TitlesOfParts>
  <Company/>
  <LinksUpToDate>false</LinksUpToDate>
  <CharactersWithSpaces>46994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EFIMENKO Sergey</dc:creator>
  <cp:lastModifiedBy>Пользователь Windows</cp:lastModifiedBy>
  <cp:revision>3</cp:revision>
  <cp:lastPrinted>2016-08-28T05:50:00Z</cp:lastPrinted>
  <dcterms:created xsi:type="dcterms:W3CDTF">2016-10-10T10:35:00Z</dcterms:created>
  <dcterms:modified xsi:type="dcterms:W3CDTF">2016-10-13T12:05:00Z</dcterms:modified>
</cp:coreProperties>
</file>