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bidi w:val="0"/>
        <w:spacing w:lineRule="auto" w:line="288" w:before="0" w:after="0"/>
        <w:ind w:left="0" w:right="0" w:firstLine="567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bookmarkStart w:id="0" w:name="docs-internal-guid-3d730098-9e92-7309-f6f9-cdb418e1f8e7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ТЕКСТУАЛЬНОСТЬ В ЦИФРОВУЮ ЭПОХУ: ПРОБЛЕМА ДИФФУЗИИ</w:t>
      </w:r>
    </w:p>
    <w:p>
      <w:pPr>
        <w:pStyle w:val="Style13"/>
        <w:bidi w:val="0"/>
        <w:spacing w:lineRule="auto" w:line="288" w:before="0" w:after="0"/>
        <w:ind w:left="0" w:right="0" w:firstLine="567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Родионова А. А., Нижегородский Государственный Университет им. Н.И. Лобачевского</w:t>
      </w:r>
    </w:p>
    <w:p>
      <w:pPr>
        <w:pStyle w:val="Style13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Одним из самых влиятельных культурных факторов современности является процесс оцифровывания, который воздействует на формирование современной информационной среды и принципов информационного поведения. Данный процесс создает условия для сближения разных компонентов [1, с. 11], а вследствие этого меняет каждую известную нам форму текстуальности, не ограничиваясь цифровой культурой. Однако, трансформации текста на экране наиболее репрезентативны. Оцифровка делает дискретность формой существования любой информации.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en-US"/>
        </w:rPr>
        <w:t>[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ru-RU"/>
        </w:rPr>
        <w:t>2, С. 50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lang w:val="en-US"/>
        </w:rPr>
        <w:t xml:space="preserve">]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У оцифрованного текста наблюдаются новые качества, которые позволяют ему более эффективно диффузировать с другими медиумами. Например, эта текстуальность прогрессивна, случайна, недолговечна и имеет размытые границы: она существует в своем собственном текущем развитии; ее временные и пространственные границы хоть и заметны, но все же с большим трудом могут быть установлены. [1, C. 65.]</w:t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Нарушение границ между текстом и нетекстом приводит к появлению новых медиумов в диффузных зонах, которые соединяют в себе свойства диффузировавших элементов. </w:t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В своей работе мы прослеживаем взаимодействие текста в цифровых зонах с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highlight w:val="white"/>
          <w:u w:val="none"/>
          <w:effect w:val="none"/>
        </w:rPr>
        <w:t>элементами из других эпистемологических зон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, которые трансформируют текст и его первоначальные функции. Рассмотрению подвергаются три зоны диффузии, которые демонстрируют изменение текстуальности на экране. Это код (текст и число), визуализация данных (текст и изображение) и софт (текст и действие). В каждой из них текст может быть выделен как основная составляющая и прочитан самостоятельно, но его новая функциональность возникает только при соединении с другими формами.</w:t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Важным качеством меняющегося образа текста является его тотальная перформативность и операциональность. В случае соединения текста и действия мы наблюдаем существования текста внутри программы в виде кода, с другой стороны, он постоянно возникает на поверхности действия как один из регуляторов исполнения программы. Он и механизм управления, и основа для этого управления, так как все возможные действия программы по своему генезису текстуальны.</w:t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В случае визуализации данных мы имеем дело с конвертированием текста в изображение, при этом сам “голый” текст выходит из зоны видимости, остается только его перевоплощение в визуальную форму. Присутствие необработанного текста на графиках, картах и диаграммах несет вспомогательную функцию, а изображение, которое возникло после обработки текста, теряет информативность вне текстуальных коннотаций.</w:t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Если в случае софта мы имеем дело с “работающим” текстом, в случае визуализации данных – с “перевоплощенным” текстом, то в случае кода мы говорим о “конденсированным” тексте. Такой текст сосредотачивает свое операциональное значение в отдельных элементах, которые не функционируют без числовых значений. Это текст, каждая часть которого становится самостоятельным знаком, но при этом целостность коду обеспечивают не связи между элементами текста в привычном понимании (словами и предложениями), но связи чисто алгоритмические. </w:t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Во всех случаях взаимодействия текста с элементами других эпистемологических зон те медиумы, что образуются на стыке, оказываются гибридными, но их природа такова, что текстуальная часть в измененном виде остается каркасом. </w:t>
      </w:r>
    </w:p>
    <w:p>
      <w:pPr>
        <w:pStyle w:val="Style13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3"/>
        <w:bidi w:val="0"/>
        <w:spacing w:lineRule="auto" w:line="288" w:before="0" w:after="0"/>
        <w:ind w:left="0" w:right="0" w:firstLine="567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Список литературы: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0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Jenkins, Henry. Vonvergence Culture: When Old and New Media Collide. – New-York: Routledge, 2006.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bidi w:val="0"/>
        <w:spacing w:lineRule="auto" w:line="288" w:before="0" w:after="0"/>
        <w:ind w:left="707" w:right="0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Manovich, Lev. The language of New Media. – The MIT Press, 2001.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bidi w:val="0"/>
        <w:spacing w:before="0" w:after="0"/>
        <w:ind w:left="707" w:right="0" w:hanging="283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Глик, Джеймс. Информация. Теория. История. Поток. – Москва: АСТ: CORPUS, 2013.</w:t>
      </w:r>
    </w:p>
    <w:p>
      <w:pPr>
        <w:pStyle w:val="Normal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2017-01-14T23:01:46Z</dcterms:created>
  <dc:language>ru-RU</dc:language>
  <dcterms:modified xsi:type="dcterms:W3CDTF">2017-01-14T23:22:08Z</dcterms:modified>
  <cp:revision>5</cp:revision>
</cp:coreProperties>
</file>