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4C" w:rsidRPr="001F5640" w:rsidRDefault="00150D38" w:rsidP="00EB0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40">
        <w:rPr>
          <w:rFonts w:ascii="Times New Roman" w:hAnsi="Times New Roman" w:cs="Times New Roman"/>
          <w:b/>
          <w:sz w:val="28"/>
          <w:szCs w:val="28"/>
        </w:rPr>
        <w:t>ДИСКУССИЯ О СВОБОДЕ ПЕЧАТИ В ДОРЕВОЛЮЦИОННОЙ ПРАВОВОЙ НАУКЕ И ЕЕ АКТ</w:t>
      </w:r>
      <w:r w:rsidR="00F614EA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Pr="001F5640">
        <w:rPr>
          <w:rFonts w:ascii="Times New Roman" w:hAnsi="Times New Roman" w:cs="Times New Roman"/>
          <w:b/>
          <w:sz w:val="28"/>
          <w:szCs w:val="28"/>
        </w:rPr>
        <w:t>АЛЬНОСТЬ ДЛЯ СОВРЕМЕННОЙ ПРАКТИКИ</w:t>
      </w:r>
    </w:p>
    <w:p w:rsidR="00150D38" w:rsidRDefault="00150D38" w:rsidP="00EB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D38" w:rsidRDefault="00150D38" w:rsidP="00EB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Сопова Анастасия Петровна, НИУ «Высшая школа экономики», факультет права, кафедра теории и истории права, аспирант 1 курса.</w:t>
      </w:r>
    </w:p>
    <w:p w:rsidR="00150D38" w:rsidRDefault="00150D38" w:rsidP="00EB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51F" w:rsidRDefault="00F0051F" w:rsidP="00EB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печати – это </w:t>
      </w:r>
      <w:r w:rsidRPr="00523DA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3DA7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A7">
        <w:rPr>
          <w:rFonts w:ascii="Times New Roman" w:hAnsi="Times New Roman" w:cs="Times New Roman"/>
          <w:sz w:val="28"/>
          <w:szCs w:val="28"/>
        </w:rPr>
        <w:t>издавать и распространять любую печатную продукцию без вмешатель</w:t>
      </w:r>
      <w:r w:rsidR="00530D3E">
        <w:rPr>
          <w:rFonts w:ascii="Times New Roman" w:hAnsi="Times New Roman" w:cs="Times New Roman"/>
          <w:sz w:val="28"/>
          <w:szCs w:val="28"/>
        </w:rPr>
        <w:t>ства государства</w:t>
      </w:r>
      <w:r w:rsidRPr="00523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30D3E">
        <w:rPr>
          <w:rFonts w:ascii="Times New Roman" w:hAnsi="Times New Roman" w:cs="Times New Roman"/>
          <w:sz w:val="28"/>
          <w:szCs w:val="28"/>
        </w:rPr>
        <w:t>ажная составляющая этого права – свобода</w:t>
      </w:r>
      <w:r w:rsidRPr="003040FE">
        <w:rPr>
          <w:rFonts w:ascii="Times New Roman" w:hAnsi="Times New Roman" w:cs="Times New Roman"/>
          <w:sz w:val="28"/>
          <w:szCs w:val="28"/>
        </w:rPr>
        <w:t xml:space="preserve"> приобретения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средств </w:t>
      </w:r>
      <w:r w:rsidR="00E96E0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создания и распространения информации. Свобода печати </w:t>
      </w:r>
      <w:r w:rsidR="00530D3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тесно взаимосвязана со свободой слова. Как условие развития средств массовой информации свобода печати</w:t>
      </w:r>
      <w:r w:rsidR="0053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праве человека на свободу слова, при этом развитая система </w:t>
      </w:r>
      <w:r w:rsidR="00530D3E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для воплощения свободы слова на практике</w:t>
      </w:r>
      <w:r w:rsidR="00E96E0E">
        <w:rPr>
          <w:rFonts w:ascii="Times New Roman" w:hAnsi="Times New Roman" w:cs="Times New Roman"/>
          <w:sz w:val="28"/>
          <w:szCs w:val="28"/>
        </w:rPr>
        <w:t xml:space="preserve"> </w:t>
      </w:r>
      <w:r w:rsidR="00E96E0E" w:rsidRPr="00E96E0E">
        <w:rPr>
          <w:rFonts w:ascii="Times New Roman" w:hAnsi="Times New Roman" w:cs="Times New Roman"/>
          <w:sz w:val="28"/>
          <w:szCs w:val="28"/>
        </w:rPr>
        <w:t>[32, с. 21]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51F" w:rsidRDefault="00F0051F" w:rsidP="00EB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 xml:space="preserve">С развитием технологий в ХХ веке печать перестала быть единственным средством массовой передачи информации. Поэтому сегодня </w:t>
      </w:r>
      <w:r w:rsidR="00530D3E">
        <w:rPr>
          <w:rFonts w:ascii="Times New Roman" w:hAnsi="Times New Roman" w:cs="Times New Roman"/>
          <w:sz w:val="28"/>
          <w:szCs w:val="28"/>
        </w:rPr>
        <w:t>она</w:t>
      </w:r>
      <w:r w:rsidRPr="007052DD">
        <w:rPr>
          <w:rFonts w:ascii="Times New Roman" w:hAnsi="Times New Roman" w:cs="Times New Roman"/>
          <w:sz w:val="28"/>
          <w:szCs w:val="28"/>
        </w:rPr>
        <w:t xml:space="preserve"> часто отождествляется либо с понятием «свобода массовой информации» (например, ст. 29 Конституции РФ), либо с правом на свободное распространение информации любым способом по своему выбору (ст. 19 Пакта о гражданских и политических правах).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5A" w:rsidRPr="00E96E0E" w:rsidRDefault="00F0051F" w:rsidP="00EB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75">
        <w:rPr>
          <w:rFonts w:ascii="Times New Roman" w:hAnsi="Times New Roman" w:cs="Times New Roman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7175">
        <w:rPr>
          <w:rFonts w:ascii="Times New Roman" w:hAnsi="Times New Roman" w:cs="Times New Roman"/>
          <w:sz w:val="28"/>
          <w:szCs w:val="28"/>
        </w:rPr>
        <w:t xml:space="preserve">опрос о сущности прав и свобод, границах их реализации и роли государства в их регулировании по-прежнему остается одним из самых дискуссионных, как для юридической науки, так и для публицистической мысли. Эта дискуссия </w:t>
      </w:r>
      <w:r w:rsidRPr="00E96E0E">
        <w:rPr>
          <w:rFonts w:ascii="Times New Roman" w:hAnsi="Times New Roman" w:cs="Times New Roman"/>
          <w:sz w:val="28"/>
          <w:szCs w:val="28"/>
        </w:rPr>
        <w:t xml:space="preserve">включает и спор, касающийся роли СМИ в обществе и правовых границ их деятельности. </w:t>
      </w:r>
      <w:r w:rsidR="00530D3E" w:rsidRPr="00E96E0E">
        <w:rPr>
          <w:rFonts w:ascii="Times New Roman" w:hAnsi="Times New Roman" w:cs="Times New Roman"/>
          <w:sz w:val="28"/>
          <w:szCs w:val="28"/>
        </w:rPr>
        <w:t>Б</w:t>
      </w:r>
      <w:r w:rsidR="00BE435A" w:rsidRPr="00E96E0E">
        <w:rPr>
          <w:rFonts w:ascii="Times New Roman" w:hAnsi="Times New Roman" w:cs="Times New Roman"/>
          <w:sz w:val="28"/>
          <w:szCs w:val="28"/>
        </w:rPr>
        <w:t xml:space="preserve">ыстрое распространение новых информационных технологий ставит </w:t>
      </w:r>
      <w:r w:rsidR="00530D3E" w:rsidRPr="00E96E0E">
        <w:rPr>
          <w:rFonts w:ascii="Times New Roman" w:hAnsi="Times New Roman" w:cs="Times New Roman"/>
          <w:sz w:val="28"/>
          <w:szCs w:val="28"/>
        </w:rPr>
        <w:t>государство и общество также</w:t>
      </w:r>
      <w:r w:rsidR="00BE435A" w:rsidRPr="00E96E0E">
        <w:rPr>
          <w:rFonts w:ascii="Times New Roman" w:hAnsi="Times New Roman" w:cs="Times New Roman"/>
          <w:sz w:val="28"/>
          <w:szCs w:val="28"/>
        </w:rPr>
        <w:t xml:space="preserve"> </w:t>
      </w:r>
      <w:r w:rsidR="00E96E0E">
        <w:rPr>
          <w:rFonts w:ascii="Times New Roman" w:hAnsi="Times New Roman" w:cs="Times New Roman"/>
          <w:sz w:val="28"/>
          <w:szCs w:val="28"/>
        </w:rPr>
        <w:t xml:space="preserve">и </w:t>
      </w:r>
      <w:r w:rsidR="00530D3E" w:rsidRPr="00E96E0E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E435A" w:rsidRPr="00E96E0E">
        <w:rPr>
          <w:rFonts w:ascii="Times New Roman" w:hAnsi="Times New Roman" w:cs="Times New Roman"/>
          <w:sz w:val="28"/>
          <w:szCs w:val="28"/>
        </w:rPr>
        <w:t xml:space="preserve">необходимостью выработки юридических подходов к распространению информации в сети интернет.  </w:t>
      </w:r>
    </w:p>
    <w:p w:rsidR="00042C4C" w:rsidRPr="00E96E0E" w:rsidRDefault="00042C4C" w:rsidP="00EB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E">
        <w:rPr>
          <w:rFonts w:ascii="Times New Roman" w:hAnsi="Times New Roman" w:cs="Times New Roman"/>
          <w:sz w:val="28"/>
          <w:szCs w:val="28"/>
        </w:rPr>
        <w:t>Международные стандарты защиты свободы слова и печати предполаг</w:t>
      </w:r>
      <w:r w:rsidR="00BE435A" w:rsidRPr="00E96E0E">
        <w:rPr>
          <w:rFonts w:ascii="Times New Roman" w:hAnsi="Times New Roman" w:cs="Times New Roman"/>
          <w:sz w:val="28"/>
          <w:szCs w:val="28"/>
        </w:rPr>
        <w:t>ают, в</w:t>
      </w:r>
      <w:r w:rsidRPr="00E96E0E">
        <w:rPr>
          <w:rFonts w:ascii="Times New Roman" w:hAnsi="Times New Roman" w:cs="Times New Roman"/>
          <w:sz w:val="28"/>
          <w:szCs w:val="28"/>
        </w:rPr>
        <w:t xml:space="preserve"> первую очередь, </w:t>
      </w:r>
      <w:r w:rsidR="00BE435A" w:rsidRPr="00E96E0E">
        <w:rPr>
          <w:rFonts w:ascii="Times New Roman" w:hAnsi="Times New Roman" w:cs="Times New Roman"/>
          <w:sz w:val="28"/>
          <w:szCs w:val="28"/>
        </w:rPr>
        <w:t>обеспечение</w:t>
      </w:r>
      <w:r w:rsidRPr="00E96E0E">
        <w:rPr>
          <w:rFonts w:ascii="Times New Roman" w:hAnsi="Times New Roman" w:cs="Times New Roman"/>
          <w:sz w:val="28"/>
          <w:szCs w:val="28"/>
        </w:rPr>
        <w:t xml:space="preserve"> свободной деятельност</w:t>
      </w:r>
      <w:r w:rsidR="00BE435A" w:rsidRPr="00E96E0E">
        <w:rPr>
          <w:rFonts w:ascii="Times New Roman" w:hAnsi="Times New Roman" w:cs="Times New Roman"/>
          <w:sz w:val="28"/>
          <w:szCs w:val="28"/>
        </w:rPr>
        <w:t xml:space="preserve">и </w:t>
      </w:r>
      <w:r w:rsidR="00530D3E" w:rsidRPr="00E96E0E">
        <w:rPr>
          <w:rFonts w:ascii="Times New Roman" w:hAnsi="Times New Roman" w:cs="Times New Roman"/>
          <w:sz w:val="28"/>
          <w:szCs w:val="28"/>
        </w:rPr>
        <w:t>СМИ</w:t>
      </w:r>
      <w:r w:rsidR="00BE435A" w:rsidRPr="00E96E0E">
        <w:rPr>
          <w:rFonts w:ascii="Times New Roman" w:hAnsi="Times New Roman" w:cs="Times New Roman"/>
          <w:sz w:val="28"/>
          <w:szCs w:val="28"/>
        </w:rPr>
        <w:t xml:space="preserve"> и</w:t>
      </w:r>
      <w:r w:rsidR="00E96E0E">
        <w:rPr>
          <w:rFonts w:ascii="Times New Roman" w:hAnsi="Times New Roman" w:cs="Times New Roman"/>
          <w:sz w:val="28"/>
          <w:szCs w:val="28"/>
        </w:rPr>
        <w:t xml:space="preserve"> защиту</w:t>
      </w:r>
      <w:r w:rsidRPr="00E96E0E">
        <w:rPr>
          <w:rFonts w:ascii="Times New Roman" w:hAnsi="Times New Roman" w:cs="Times New Roman"/>
          <w:sz w:val="28"/>
          <w:szCs w:val="28"/>
        </w:rPr>
        <w:t xml:space="preserve"> особ</w:t>
      </w:r>
      <w:r w:rsidR="00BE435A" w:rsidRPr="00E96E0E">
        <w:rPr>
          <w:rFonts w:ascii="Times New Roman" w:hAnsi="Times New Roman" w:cs="Times New Roman"/>
          <w:sz w:val="28"/>
          <w:szCs w:val="28"/>
        </w:rPr>
        <w:t>ого правового статуса журналиста</w:t>
      </w:r>
      <w:r w:rsidRPr="00E96E0E">
        <w:rPr>
          <w:rFonts w:ascii="Times New Roman" w:hAnsi="Times New Roman" w:cs="Times New Roman"/>
          <w:sz w:val="28"/>
          <w:szCs w:val="28"/>
        </w:rPr>
        <w:t xml:space="preserve"> как сотр</w:t>
      </w:r>
      <w:r w:rsidR="00BE435A" w:rsidRPr="00E96E0E">
        <w:rPr>
          <w:rFonts w:ascii="Times New Roman" w:hAnsi="Times New Roman" w:cs="Times New Roman"/>
          <w:sz w:val="28"/>
          <w:szCs w:val="28"/>
        </w:rPr>
        <w:t>удника</w:t>
      </w:r>
      <w:r w:rsidRPr="00E96E0E">
        <w:rPr>
          <w:rFonts w:ascii="Times New Roman" w:hAnsi="Times New Roman" w:cs="Times New Roman"/>
          <w:sz w:val="28"/>
          <w:szCs w:val="28"/>
        </w:rPr>
        <w:t xml:space="preserve"> редакции. Однако развитие информационных технологий в последние десятилетия сделали возможным для каждого человека массовое распространение с</w:t>
      </w:r>
      <w:r w:rsidR="00F0051F" w:rsidRPr="00E96E0E">
        <w:rPr>
          <w:rFonts w:ascii="Times New Roman" w:hAnsi="Times New Roman" w:cs="Times New Roman"/>
          <w:sz w:val="28"/>
          <w:szCs w:val="28"/>
        </w:rPr>
        <w:t>оздаваемой им информации</w:t>
      </w:r>
      <w:r w:rsidRPr="00E96E0E">
        <w:rPr>
          <w:rFonts w:ascii="Times New Roman" w:hAnsi="Times New Roman" w:cs="Times New Roman"/>
          <w:sz w:val="28"/>
          <w:szCs w:val="28"/>
        </w:rPr>
        <w:t>. В связи с этим происходит разрушение выработанных границ «свободы печати». Эти процессы находят свое отражение, как в деятельности международных организаций, призывающих расширить традиционное понимание «журналистики» и обеспечить дополнительную правовую защиту «гражданским журналистам», не имеющим «установившейся формы институционного кураторства»</w:t>
      </w:r>
      <w:r w:rsidR="00E96E0E" w:rsidRPr="00E96E0E">
        <w:t xml:space="preserve"> </w:t>
      </w:r>
      <w:r w:rsidR="00E96E0E" w:rsidRPr="00E96E0E">
        <w:rPr>
          <w:rFonts w:ascii="Times New Roman" w:hAnsi="Times New Roman" w:cs="Times New Roman"/>
          <w:sz w:val="28"/>
          <w:szCs w:val="28"/>
        </w:rPr>
        <w:t>[33]</w:t>
      </w:r>
      <w:r w:rsidRPr="00E96E0E">
        <w:rPr>
          <w:rFonts w:ascii="Times New Roman" w:hAnsi="Times New Roman" w:cs="Times New Roman"/>
          <w:sz w:val="28"/>
          <w:szCs w:val="28"/>
        </w:rPr>
        <w:t xml:space="preserve">, так и в </w:t>
      </w:r>
      <w:r w:rsidR="00530D3E" w:rsidRPr="00E96E0E">
        <w:rPr>
          <w:rFonts w:ascii="Times New Roman" w:hAnsi="Times New Roman" w:cs="Times New Roman"/>
          <w:sz w:val="28"/>
          <w:szCs w:val="28"/>
        </w:rPr>
        <w:t>стремлении государств</w:t>
      </w:r>
      <w:r w:rsidRPr="00E96E0E">
        <w:rPr>
          <w:rFonts w:ascii="Times New Roman" w:hAnsi="Times New Roman" w:cs="Times New Roman"/>
          <w:sz w:val="28"/>
          <w:szCs w:val="28"/>
        </w:rPr>
        <w:t xml:space="preserve"> возложить на пользователей интернета, распространяющих «массовую информацию», обязанности СМИ</w:t>
      </w:r>
      <w:r w:rsidR="00E96E0E" w:rsidRPr="00E96E0E">
        <w:rPr>
          <w:rFonts w:ascii="Times New Roman" w:hAnsi="Times New Roman" w:cs="Times New Roman"/>
          <w:sz w:val="28"/>
          <w:szCs w:val="28"/>
        </w:rPr>
        <w:t xml:space="preserve"> [6]</w:t>
      </w:r>
      <w:r w:rsidRPr="00E9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35A" w:rsidRPr="00E96E0E" w:rsidRDefault="00042C4C" w:rsidP="00EB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E">
        <w:rPr>
          <w:rFonts w:ascii="Times New Roman" w:hAnsi="Times New Roman" w:cs="Times New Roman"/>
          <w:sz w:val="28"/>
          <w:szCs w:val="28"/>
        </w:rPr>
        <w:t xml:space="preserve">Таким образом, оптимальный режим правового регулирования как традиционных СМИ, так и новых медиа связан с целым рядом дискуссионных вопросов, которые напрямую вытекают из необходимости обеспечения баланса личных, общественных и государственных интересов. Важность теоретического </w:t>
      </w:r>
      <w:r w:rsidRPr="00E96E0E">
        <w:rPr>
          <w:rFonts w:ascii="Times New Roman" w:hAnsi="Times New Roman" w:cs="Times New Roman"/>
          <w:sz w:val="28"/>
          <w:szCs w:val="28"/>
        </w:rPr>
        <w:lastRenderedPageBreak/>
        <w:t xml:space="preserve">осмысления и выработки практических подходов к решению данной проблемы, на мой взгляд, делает особенно значимым и актуальным обращение к истокам классической доктрины «свободы печати», которая нашла свое отражение в том числе и в правовой мысли России конца </w:t>
      </w:r>
      <w:r w:rsidRPr="00E96E0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96E0E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E96E0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96E0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E435A" w:rsidRDefault="00BE435A" w:rsidP="00EB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E0E">
        <w:rPr>
          <w:rFonts w:ascii="Times New Roman" w:hAnsi="Times New Roman" w:cs="Times New Roman"/>
          <w:sz w:val="28"/>
          <w:szCs w:val="28"/>
        </w:rPr>
        <w:t xml:space="preserve">В докладе на основе анализа </w:t>
      </w:r>
      <w:r w:rsidR="00150D38" w:rsidRPr="00E96E0E">
        <w:rPr>
          <w:rFonts w:ascii="Times New Roman" w:hAnsi="Times New Roman" w:cs="Times New Roman"/>
          <w:sz w:val="28"/>
          <w:szCs w:val="28"/>
        </w:rPr>
        <w:t xml:space="preserve">широкого круга источников </w:t>
      </w:r>
      <w:r w:rsidRPr="00E96E0E">
        <w:rPr>
          <w:rFonts w:ascii="Times New Roman" w:hAnsi="Times New Roman" w:cs="Times New Roman"/>
          <w:sz w:val="28"/>
          <w:szCs w:val="28"/>
        </w:rPr>
        <w:t>показано, что несмотря на изменения в технологиях массовой передачи информации сущность свободы печати на рубеже ХIX и XX века и сегодня</w:t>
      </w:r>
      <w:r w:rsidRPr="006B7175">
        <w:rPr>
          <w:rFonts w:ascii="Times New Roman" w:hAnsi="Times New Roman" w:cs="Times New Roman"/>
          <w:sz w:val="28"/>
          <w:szCs w:val="28"/>
        </w:rPr>
        <w:t xml:space="preserve"> одна и та же: это свобода личности выражать свое мнение по тому или иному вопросу и массово распространять это мнение с помощью специальных технических приспособлений. </w:t>
      </w:r>
      <w:r w:rsidR="00150D38" w:rsidRPr="006B7175">
        <w:rPr>
          <w:rFonts w:ascii="Times New Roman" w:hAnsi="Times New Roman" w:cs="Times New Roman"/>
          <w:sz w:val="28"/>
          <w:szCs w:val="28"/>
        </w:rPr>
        <w:t>И дискуссия о том, насколько широка должна быть эта свобода, которую вели между собой представители либерального и консервативного направления в дореволюционной правовой мысли, звучит не менее злободневно и сегодня.</w:t>
      </w:r>
    </w:p>
    <w:p w:rsidR="00BE435A" w:rsidRDefault="00BE435A" w:rsidP="00EB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ED9" w:rsidRDefault="00EB0ED9" w:rsidP="00426A89">
      <w:pPr>
        <w:pStyle w:val="a6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Литература и источники к докладу: </w:t>
      </w:r>
    </w:p>
    <w:p w:rsidR="00EB0ED9" w:rsidRDefault="00EB0ED9" w:rsidP="00426A89">
      <w:pPr>
        <w:pStyle w:val="a6"/>
        <w:spacing w:line="240" w:lineRule="auto"/>
        <w:ind w:firstLine="567"/>
        <w:jc w:val="both"/>
        <w:rPr>
          <w:b/>
        </w:rPr>
      </w:pPr>
    </w:p>
    <w:p w:rsidR="00EB0ED9" w:rsidRPr="00EB0ED9" w:rsidRDefault="00EB0ED9" w:rsidP="00426A89">
      <w:pPr>
        <w:pStyle w:val="a6"/>
        <w:spacing w:line="240" w:lineRule="auto"/>
        <w:ind w:firstLine="567"/>
        <w:jc w:val="both"/>
      </w:pPr>
      <w:r w:rsidRPr="00EB0ED9">
        <w:rPr>
          <w:b/>
        </w:rPr>
        <w:t>Архивные источники:</w:t>
      </w:r>
    </w:p>
    <w:p w:rsidR="00EB0ED9" w:rsidRPr="006F3C1F" w:rsidRDefault="00EB0ED9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 w:rsidRPr="006F3C1F">
        <w:t xml:space="preserve">Государственный архив Российской Федерации. Ф. 564. Личный фонд А.Ф. Кони.  </w:t>
      </w:r>
    </w:p>
    <w:p w:rsidR="00EB0ED9" w:rsidRDefault="00EB0ED9" w:rsidP="00426A89">
      <w:pPr>
        <w:pStyle w:val="a6"/>
        <w:spacing w:line="240" w:lineRule="auto"/>
        <w:ind w:firstLine="567"/>
        <w:jc w:val="both"/>
        <w:rPr>
          <w:b/>
        </w:rPr>
      </w:pPr>
    </w:p>
    <w:p w:rsidR="00EB0ED9" w:rsidRPr="00757B62" w:rsidRDefault="00F8413B" w:rsidP="00426A89">
      <w:pPr>
        <w:pStyle w:val="a6"/>
        <w:spacing w:line="240" w:lineRule="auto"/>
        <w:ind w:firstLine="567"/>
        <w:jc w:val="both"/>
        <w:rPr>
          <w:b/>
        </w:rPr>
      </w:pPr>
      <w:r>
        <w:rPr>
          <w:b/>
        </w:rPr>
        <w:t xml:space="preserve">Нормативные </w:t>
      </w:r>
      <w:r w:rsidR="00EB0ED9" w:rsidRPr="00757B62">
        <w:rPr>
          <w:b/>
        </w:rPr>
        <w:t>правовые акты</w:t>
      </w:r>
    </w:p>
    <w:p w:rsidR="00EB0ED9" w:rsidRPr="00EB0ED9" w:rsidRDefault="00EB0ED9" w:rsidP="00426A89">
      <w:pPr>
        <w:pStyle w:val="a9"/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EB0ED9">
        <w:rPr>
          <w:rFonts w:ascii="Times New Roman" w:hAnsi="Times New Roman" w:cs="Times New Roman"/>
          <w:sz w:val="28"/>
          <w:szCs w:val="28"/>
        </w:rPr>
        <w:t>Законодательные акты переходного времени. 1904 - 1908 гг. СПб., 1909</w:t>
      </w:r>
      <w:r w:rsidR="000D2154">
        <w:rPr>
          <w:rFonts w:ascii="Times New Roman" w:hAnsi="Times New Roman" w:cs="Times New Roman"/>
          <w:sz w:val="28"/>
          <w:szCs w:val="28"/>
        </w:rPr>
        <w:t>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Конвенция о защите прав человека и основных свобод (</w:t>
      </w:r>
      <w:r w:rsidR="00EB0ED9">
        <w:t>Заключена в г. Риме 04.11.1950)</w:t>
      </w:r>
      <w:r w:rsidR="000D2154">
        <w:t>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Конституция Российской Федерации.</w:t>
      </w:r>
    </w:p>
    <w:p w:rsidR="00EB0ED9" w:rsidRDefault="00EB0ED9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Международный Пакт от 16.12.1966 «О гражданских и политических правах»</w:t>
      </w:r>
      <w:r w:rsidR="000D2154">
        <w:t>.</w:t>
      </w:r>
      <w:r>
        <w:t xml:space="preserve"> </w:t>
      </w:r>
    </w:p>
    <w:p w:rsidR="00530D3E" w:rsidRPr="00EB0ED9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 w:rsidRPr="00EB0ED9">
        <w:t xml:space="preserve">Федеральный закон от 05.05.2014 № 97-ФЗ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сетей». </w:t>
      </w:r>
    </w:p>
    <w:p w:rsidR="00EB0ED9" w:rsidRDefault="00EB0ED9" w:rsidP="00426A89">
      <w:pPr>
        <w:pStyle w:val="a6"/>
        <w:spacing w:line="240" w:lineRule="auto"/>
        <w:ind w:firstLine="567"/>
        <w:jc w:val="both"/>
        <w:rPr>
          <w:b/>
        </w:rPr>
      </w:pPr>
    </w:p>
    <w:p w:rsidR="00530D3E" w:rsidRPr="00A14F2C" w:rsidRDefault="00EB0ED9" w:rsidP="00426A89">
      <w:pPr>
        <w:pStyle w:val="a6"/>
        <w:spacing w:line="240" w:lineRule="auto"/>
        <w:ind w:firstLine="567"/>
        <w:jc w:val="both"/>
        <w:rPr>
          <w:b/>
        </w:rPr>
      </w:pPr>
      <w:r>
        <w:rPr>
          <w:b/>
        </w:rPr>
        <w:t>Л</w:t>
      </w:r>
      <w:r w:rsidR="00530D3E" w:rsidRPr="00A14F2C">
        <w:rPr>
          <w:b/>
        </w:rPr>
        <w:t xml:space="preserve">итература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Автономов А.С. Права человека, правозащитная и право</w:t>
      </w:r>
      <w:r w:rsidR="001C1F22">
        <w:t>охранительная деятельность. М.</w:t>
      </w:r>
      <w:r>
        <w:t xml:space="preserve">, 2009.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Арсеньев К.К. Законодательство о печати. Спб.: 1903 г.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Гессен В.М. Администрати</w:t>
      </w:r>
      <w:r w:rsidR="001C1F22">
        <w:t>вное право. Популярные лекции.</w:t>
      </w:r>
      <w:r>
        <w:t xml:space="preserve"> Спб.</w:t>
      </w:r>
      <w:r w:rsidR="001C1F22">
        <w:t>,</w:t>
      </w:r>
      <w:r>
        <w:t xml:space="preserve"> 1903.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Гласность как предмет правового регулиро</w:t>
      </w:r>
      <w:r w:rsidR="001C1F22">
        <w:t xml:space="preserve">вания. Под ред. Федотова М.А. </w:t>
      </w:r>
      <w:r>
        <w:t xml:space="preserve">М., 2009.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Градовски</w:t>
      </w:r>
      <w:r w:rsidR="001C1F22">
        <w:t>й А.Д. О свободе русской печати. Спб.,</w:t>
      </w:r>
      <w:r>
        <w:t xml:space="preserve"> 1905.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Жирков Г.В. История цензуры в России XIX - XX вв. М.</w:t>
      </w:r>
      <w:r w:rsidR="001C1F22">
        <w:t xml:space="preserve">, </w:t>
      </w:r>
      <w:r>
        <w:t>2001.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lastRenderedPageBreak/>
        <w:t xml:space="preserve">Катков М. Н. Идеология охранительства / Отв. ред. О. Платонов. – М.: Институт русской цивилизации, 2009.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Кистяковский Б.А. И</w:t>
      </w:r>
      <w:r w:rsidR="001C1F22">
        <w:t>збранное. В 2-х частях. М.</w:t>
      </w:r>
      <w:r>
        <w:t xml:space="preserve">, 2010.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Коркунов Н.М. Русское государственное пра</w:t>
      </w:r>
      <w:r w:rsidR="001C1F22">
        <w:t>во. Т.</w:t>
      </w:r>
      <w:r>
        <w:t xml:space="preserve"> 1. </w:t>
      </w:r>
      <w:r w:rsidR="001C1F22">
        <w:t>Спб.,</w:t>
      </w:r>
      <w:r>
        <w:t xml:space="preserve"> 1909.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Корнев А.В., Борисов А.В. Государственно-правовая мысль и юридическое образовани</w:t>
      </w:r>
      <w:r w:rsidR="001C1F22">
        <w:t>е в дореволюционной России.</w:t>
      </w:r>
      <w:r>
        <w:t xml:space="preserve"> М.</w:t>
      </w:r>
      <w:r w:rsidR="001C1F22">
        <w:t>,</w:t>
      </w:r>
      <w:r>
        <w:t xml:space="preserve"> 2012.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Котляревский С.А. Избранные труды. </w:t>
      </w:r>
      <w:r w:rsidR="001C1F22">
        <w:t>М.</w:t>
      </w:r>
      <w:r>
        <w:t xml:space="preserve">, 2010. </w:t>
      </w:r>
    </w:p>
    <w:p w:rsidR="00530D3E" w:rsidRDefault="001C1F22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Лукашева Е.А. </w:t>
      </w:r>
      <w:r w:rsidR="00530D3E">
        <w:t>Права человека.</w:t>
      </w:r>
      <w:r>
        <w:t xml:space="preserve"> </w:t>
      </w:r>
      <w:r w:rsidR="00530D3E">
        <w:t xml:space="preserve">М., 2011.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Махонина С.Я. История русской </w:t>
      </w:r>
      <w:r w:rsidR="001C1F22">
        <w:t xml:space="preserve">журналистики начала XX века. М., </w:t>
      </w:r>
      <w:r>
        <w:t>2004.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Медушевский А.Н. Диалог со временем. Российские</w:t>
      </w:r>
      <w:r w:rsidR="001C1F22">
        <w:t xml:space="preserve"> конституционалисты конца XIX – </w:t>
      </w:r>
      <w:r>
        <w:t xml:space="preserve">начала XX века. </w:t>
      </w:r>
      <w:r w:rsidR="001C1F22">
        <w:t>М.</w:t>
      </w:r>
      <w:r>
        <w:t>, 2010.</w:t>
      </w:r>
    </w:p>
    <w:p w:rsidR="00530D3E" w:rsidRDefault="001C1F22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Милюков П.Н. </w:t>
      </w:r>
      <w:r w:rsidR="00530D3E">
        <w:t>Субъективное и социологическое обоснование своб</w:t>
      </w:r>
      <w:r>
        <w:t>оды печати. // В защиту слова.</w:t>
      </w:r>
      <w:r w:rsidR="00530D3E">
        <w:t xml:space="preserve"> Спб.</w:t>
      </w:r>
      <w:r>
        <w:t>,</w:t>
      </w:r>
      <w:r w:rsidR="00530D3E">
        <w:t xml:space="preserve"> 1905.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Муромцев С.А. Основы гражданского права: на правах рукописи. 1908.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Общественная мысль России: истоки, эволюция, основные направления. М., 2010.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Периодическая печать и цензура в Российской империи в 1865 - 1905 гг. Система </w:t>
      </w:r>
      <w:r w:rsidR="00EB0ED9">
        <w:t>административных взысканий</w:t>
      </w:r>
      <w:r>
        <w:t>. СПб</w:t>
      </w:r>
      <w:r w:rsidR="001C1F22">
        <w:t>.,</w:t>
      </w:r>
      <w:r>
        <w:t xml:space="preserve"> 2011.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 xml:space="preserve">Победоносцев К.П. Московский сборник. Издание пятое. М.: 1901.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Пределы правово</w:t>
      </w:r>
      <w:r w:rsidR="001C1F22">
        <w:t>го пространства свободы прессы.</w:t>
      </w:r>
      <w:r>
        <w:t xml:space="preserve"> М., 2008.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Рейфман П.С. Цензура в дореволюционной, советской и постсоветской России. В 2-х томах. Т. 1. Вып.</w:t>
      </w:r>
      <w:r w:rsidR="001C1F22">
        <w:t xml:space="preserve"> 1. М.</w:t>
      </w:r>
      <w:r>
        <w:t xml:space="preserve">, 2015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Рихтер А.Г. Международные стандарты и зарубежная практика регулировани</w:t>
      </w:r>
      <w:r w:rsidR="001C1F22">
        <w:t>я журналистики.</w:t>
      </w:r>
      <w:r>
        <w:t xml:space="preserve"> М., 2011.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Тихомиров Л.А. М</w:t>
      </w:r>
      <w:r w:rsidR="001C1F22">
        <w:t>онархическая государственность. М.,</w:t>
      </w:r>
      <w:r>
        <w:t xml:space="preserve"> 2010.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Туманова А.С., Киселев Р.В. Права человека в правовой мысли и законотворчестве Российской империи второй полови</w:t>
      </w:r>
      <w:r w:rsidR="001C1F22">
        <w:t>ны XIX – начале XX в. — М.</w:t>
      </w:r>
      <w:r>
        <w:t xml:space="preserve">, 2011. </w:t>
      </w:r>
    </w:p>
    <w:p w:rsidR="00530D3E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Чичерин Б.Н. Курс</w:t>
      </w:r>
      <w:r w:rsidR="001C1F22">
        <w:t xml:space="preserve"> государственной науки. Т. 3. М.,</w:t>
      </w:r>
      <w:r>
        <w:t xml:space="preserve"> 1894 г. </w:t>
      </w:r>
    </w:p>
    <w:p w:rsidR="001C1F22" w:rsidRDefault="00530D3E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>
        <w:t>Щербович А.А. Конституционные гарантии свободы слова и права доступа к информации в сети Интернет. : дис. ... канд. юрид. наук: 12.0</w:t>
      </w:r>
      <w:r w:rsidR="001C1F22">
        <w:t>0.02.</w:t>
      </w:r>
      <w:r>
        <w:t xml:space="preserve"> М., 2013. </w:t>
      </w:r>
    </w:p>
    <w:p w:rsidR="001C1F22" w:rsidRPr="00757B62" w:rsidRDefault="001C1F22" w:rsidP="00426A89">
      <w:pPr>
        <w:pStyle w:val="a6"/>
        <w:numPr>
          <w:ilvl w:val="0"/>
          <w:numId w:val="4"/>
        </w:numPr>
        <w:spacing w:line="240" w:lineRule="auto"/>
        <w:ind w:left="0" w:firstLine="567"/>
        <w:jc w:val="both"/>
      </w:pPr>
      <w:r w:rsidRPr="001C1F22">
        <w:t xml:space="preserve">ЮНЕСКО. Всемирный день свободы печати в 2013 года. Концепция. – URL: </w:t>
      </w:r>
      <w:hyperlink r:id="rId7" w:history="1">
        <w:r w:rsidR="00EB0ED9" w:rsidRPr="00B8033A">
          <w:rPr>
            <w:rStyle w:val="a8"/>
          </w:rPr>
          <w:t>http://www.unesco.org/new/fileadmin/MULTIMEDIA/HQ/ERI/pdf/Concept_note_RU_WPFD_2013.pdf</w:t>
        </w:r>
      </w:hyperlink>
      <w:r w:rsidR="00EB0ED9" w:rsidRPr="00EB0ED9">
        <w:t xml:space="preserve"> (</w:t>
      </w:r>
      <w:r w:rsidR="00EB0ED9">
        <w:t>Дата обращения: 14.01.2017).</w:t>
      </w:r>
    </w:p>
    <w:p w:rsidR="00042C4C" w:rsidRDefault="00042C4C" w:rsidP="00EB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35A" w:rsidRPr="006B7175" w:rsidRDefault="00BE435A" w:rsidP="00EB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29A" w:rsidRDefault="00E9629A" w:rsidP="00EB0ED9">
      <w:pPr>
        <w:spacing w:line="240" w:lineRule="auto"/>
        <w:ind w:firstLine="567"/>
      </w:pPr>
    </w:p>
    <w:sectPr w:rsidR="00E9629A" w:rsidSect="00042C4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CD" w:rsidRDefault="00AF60CD" w:rsidP="00042C4C">
      <w:pPr>
        <w:spacing w:after="0" w:line="240" w:lineRule="auto"/>
      </w:pPr>
      <w:r>
        <w:separator/>
      </w:r>
    </w:p>
  </w:endnote>
  <w:endnote w:type="continuationSeparator" w:id="0">
    <w:p w:rsidR="00AF60CD" w:rsidRDefault="00AF60CD" w:rsidP="0004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CD" w:rsidRDefault="00AF60CD" w:rsidP="00042C4C">
      <w:pPr>
        <w:spacing w:after="0" w:line="240" w:lineRule="auto"/>
      </w:pPr>
      <w:r>
        <w:separator/>
      </w:r>
    </w:p>
  </w:footnote>
  <w:footnote w:type="continuationSeparator" w:id="0">
    <w:p w:rsidR="00AF60CD" w:rsidRDefault="00AF60CD" w:rsidP="0004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68D"/>
    <w:multiLevelType w:val="hybridMultilevel"/>
    <w:tmpl w:val="5B80D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3D16DC"/>
    <w:multiLevelType w:val="hybridMultilevel"/>
    <w:tmpl w:val="6B70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1114"/>
    <w:multiLevelType w:val="hybridMultilevel"/>
    <w:tmpl w:val="B7B2D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835918"/>
    <w:multiLevelType w:val="hybridMultilevel"/>
    <w:tmpl w:val="7358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C"/>
    <w:rsid w:val="00042C4C"/>
    <w:rsid w:val="000D2154"/>
    <w:rsid w:val="00150D38"/>
    <w:rsid w:val="001C1F22"/>
    <w:rsid w:val="001F5640"/>
    <w:rsid w:val="00426A89"/>
    <w:rsid w:val="00530D3E"/>
    <w:rsid w:val="00AF60CD"/>
    <w:rsid w:val="00B35C7D"/>
    <w:rsid w:val="00BE435A"/>
    <w:rsid w:val="00E9629A"/>
    <w:rsid w:val="00E96E0E"/>
    <w:rsid w:val="00E976CF"/>
    <w:rsid w:val="00EB0ED9"/>
    <w:rsid w:val="00F0051F"/>
    <w:rsid w:val="00F614EA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5CBD-B3F9-4808-BA9D-20298B3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2C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2C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2C4C"/>
    <w:rPr>
      <w:vertAlign w:val="superscript"/>
    </w:rPr>
  </w:style>
  <w:style w:type="paragraph" w:customStyle="1" w:styleId="a6">
    <w:name w:val="Курсовая"/>
    <w:basedOn w:val="a"/>
    <w:link w:val="a7"/>
    <w:qFormat/>
    <w:rsid w:val="00530D3E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Курсовая Знак"/>
    <w:basedOn w:val="a0"/>
    <w:link w:val="a6"/>
    <w:rsid w:val="00530D3E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EB0ED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B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sco.org/new/fileadmin/MULTIMEDIA/HQ/ERI/pdf/Concept_note_RU_WPFD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Сопова</dc:creator>
  <cp:keywords/>
  <dc:description/>
  <cp:lastModifiedBy>Анастасия Сопова</cp:lastModifiedBy>
  <cp:revision>2</cp:revision>
  <dcterms:created xsi:type="dcterms:W3CDTF">2017-02-15T17:39:00Z</dcterms:created>
  <dcterms:modified xsi:type="dcterms:W3CDTF">2017-02-15T17:39:00Z</dcterms:modified>
</cp:coreProperties>
</file>