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Default="00504740" w:rsidP="00504740">
      <w:pPr>
        <w:rPr>
          <w:rFonts w:ascii="Calibri" w:hAnsi="Calibri" w:cs="Calibri"/>
          <w:b/>
          <w:bCs/>
          <w:sz w:val="22"/>
          <w:lang w:val="en-US" w:eastAsia="ru-RU"/>
        </w:rPr>
      </w:pPr>
      <w:r w:rsidRPr="00504740">
        <w:rPr>
          <w:rFonts w:ascii="Calibri" w:hAnsi="Calibri"/>
          <w:b/>
          <w:sz w:val="22"/>
        </w:rPr>
        <w:t>М</w:t>
      </w:r>
      <w:r w:rsidRPr="002B7FA0">
        <w:rPr>
          <w:rFonts w:ascii="Calibri" w:hAnsi="Calibri"/>
          <w:b/>
          <w:sz w:val="22"/>
          <w:lang w:val="en-US"/>
        </w:rPr>
        <w:t>.2.</w:t>
      </w:r>
      <w:r w:rsidRPr="00504740">
        <w:rPr>
          <w:rFonts w:ascii="Calibri" w:hAnsi="Calibri"/>
          <w:b/>
          <w:sz w:val="22"/>
        </w:rPr>
        <w:t>В</w:t>
      </w:r>
      <w:r w:rsidRPr="002B7FA0">
        <w:rPr>
          <w:rFonts w:ascii="Calibri" w:hAnsi="Calibri"/>
          <w:b/>
          <w:sz w:val="22"/>
          <w:lang w:val="en-US"/>
        </w:rPr>
        <w:t xml:space="preserve">.04.3 </w:t>
      </w:r>
      <w:r w:rsidR="00BC66FC" w:rsidRPr="00504740">
        <w:rPr>
          <w:rFonts w:ascii="Calibri" w:hAnsi="Calibri" w:cs="Calibri"/>
          <w:b/>
          <w:bCs/>
          <w:sz w:val="22"/>
          <w:lang w:val="en-US"/>
        </w:rPr>
        <w:t>Public Finance</w:t>
      </w:r>
      <w:r w:rsidR="00BC66FC">
        <w:rPr>
          <w:rFonts w:ascii="Calibri" w:hAnsi="Calibri" w:cs="Calibri"/>
          <w:b/>
          <w:bCs/>
          <w:sz w:val="22"/>
          <w:lang w:val="en-US"/>
        </w:rPr>
        <w:t xml:space="preserve"> Track, </w:t>
      </w:r>
      <w:r w:rsidR="00BC66FC" w:rsidRPr="00504740">
        <w:rPr>
          <w:rFonts w:ascii="Calibri" w:hAnsi="Calibri" w:cs="Calibri"/>
          <w:b/>
          <w:bCs/>
          <w:sz w:val="22"/>
          <w:lang w:val="en-US"/>
        </w:rPr>
        <w:t>Contract and Procurement in Public Sector</w:t>
      </w:r>
      <w:r w:rsidR="00BC66FC" w:rsidRPr="00504740">
        <w:rPr>
          <w:rFonts w:ascii="Calibri" w:hAnsi="Calibri" w:cs="Calibri"/>
          <w:b/>
          <w:bCs/>
          <w:sz w:val="22"/>
          <w:lang w:val="en-US" w:eastAsia="ru-RU"/>
        </w:rPr>
        <w:t xml:space="preserve">, </w:t>
      </w:r>
      <w:r w:rsidR="00BC66FC" w:rsidRPr="006D6E6F">
        <w:rPr>
          <w:rFonts w:ascii="Calibri" w:hAnsi="Calibri" w:cs="Calibri"/>
          <w:b/>
          <w:bCs/>
          <w:sz w:val="22"/>
          <w:lang w:val="en-US" w:eastAsia="ru-RU"/>
        </w:rPr>
        <w:t>4</w:t>
      </w:r>
      <w:r w:rsidR="00BC66FC" w:rsidRPr="00504740">
        <w:rPr>
          <w:rFonts w:ascii="Calibri" w:hAnsi="Calibri" w:cs="Calibri"/>
          <w:b/>
          <w:bCs/>
          <w:sz w:val="22"/>
          <w:lang w:val="en-US" w:eastAsia="ru-RU"/>
        </w:rPr>
        <w:t xml:space="preserve"> ECTS</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
                <w:bCs/>
                <w:sz w:val="22"/>
                <w:lang w:val="en-US" w:eastAsia="ru-RU"/>
              </w:rPr>
            </w:pPr>
            <w:r w:rsidRPr="00504740">
              <w:rPr>
                <w:rFonts w:ascii="Calibri" w:hAnsi="Calibr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6360F4" w:rsidP="006439B2">
            <w:pPr>
              <w:spacing w:after="0" w:line="240" w:lineRule="auto"/>
              <w:rPr>
                <w:rFonts w:ascii="Calibri" w:hAnsi="Calibri" w:cs="Calibri"/>
                <w:b/>
                <w:bCs/>
                <w:sz w:val="22"/>
                <w:lang w:val="en-US" w:eastAsia="ru-RU"/>
              </w:rPr>
            </w:pPr>
            <w:r w:rsidRPr="00504740">
              <w:rPr>
                <w:rFonts w:ascii="Calibri" w:hAnsi="Calibri"/>
                <w:b/>
                <w:sz w:val="22"/>
              </w:rPr>
              <w:t>М</w:t>
            </w:r>
            <w:r w:rsidRPr="002B7FA0">
              <w:rPr>
                <w:rFonts w:ascii="Calibri" w:hAnsi="Calibri"/>
                <w:b/>
                <w:sz w:val="22"/>
                <w:lang w:val="en-US"/>
              </w:rPr>
              <w:t>.2.</w:t>
            </w:r>
            <w:r w:rsidRPr="00504740">
              <w:rPr>
                <w:rFonts w:ascii="Calibri" w:hAnsi="Calibri"/>
                <w:b/>
                <w:sz w:val="22"/>
              </w:rPr>
              <w:t>В</w:t>
            </w:r>
            <w:r>
              <w:rPr>
                <w:rFonts w:ascii="Calibri" w:hAnsi="Calibri"/>
                <w:b/>
                <w:sz w:val="22"/>
                <w:lang w:val="en-US"/>
              </w:rPr>
              <w:t>.04.3</w:t>
            </w:r>
            <w:r w:rsidRPr="006360F4">
              <w:rPr>
                <w:rFonts w:ascii="Calibri" w:hAnsi="Calibri"/>
                <w:b/>
                <w:sz w:val="22"/>
                <w:lang w:val="en-US"/>
              </w:rPr>
              <w:t xml:space="preserve">, </w:t>
            </w:r>
            <w:r w:rsidR="00BC66FC" w:rsidRPr="00504740">
              <w:rPr>
                <w:rFonts w:ascii="Calibri" w:hAnsi="Calibri" w:cs="Calibri"/>
                <w:b/>
                <w:bCs/>
                <w:sz w:val="22"/>
                <w:lang w:val="en-US"/>
              </w:rPr>
              <w:t>Public Finance</w:t>
            </w:r>
            <w:r w:rsidR="00BC66FC">
              <w:rPr>
                <w:rFonts w:ascii="Calibri" w:hAnsi="Calibri" w:cs="Calibri"/>
                <w:b/>
                <w:bCs/>
                <w:sz w:val="22"/>
                <w:lang w:val="en-US"/>
              </w:rPr>
              <w:t xml:space="preserve"> Track, </w:t>
            </w:r>
            <w:r w:rsidR="00BC66FC" w:rsidRPr="00504740">
              <w:rPr>
                <w:rFonts w:ascii="Calibri" w:hAnsi="Calibri" w:cs="Calibri"/>
                <w:b/>
                <w:bCs/>
                <w:sz w:val="22"/>
                <w:lang w:val="en-US"/>
              </w:rPr>
              <w:t>Contract and Procurement in Public Sector</w:t>
            </w:r>
            <w:r w:rsidR="00BC66FC">
              <w:rPr>
                <w:rFonts w:ascii="Calibri" w:hAnsi="Calibri" w:cs="Calibri"/>
                <w:b/>
                <w:bCs/>
                <w:sz w:val="22"/>
                <w:lang w:val="en-US" w:eastAsia="ru-RU"/>
              </w:rPr>
              <w:t xml:space="preserve">, </w:t>
            </w:r>
            <w:r w:rsidR="00BC66FC" w:rsidRPr="006D6E6F">
              <w:rPr>
                <w:rFonts w:ascii="Calibri" w:hAnsi="Calibri" w:cs="Calibri"/>
                <w:b/>
                <w:bCs/>
                <w:sz w:val="22"/>
                <w:lang w:val="en-US" w:eastAsia="ru-RU"/>
              </w:rPr>
              <w:t>4</w:t>
            </w:r>
            <w:r w:rsidR="00BC66FC" w:rsidRPr="00504740">
              <w:rPr>
                <w:rFonts w:ascii="Calibri" w:hAnsi="Calibri" w:cs="Calibri"/>
                <w:b/>
                <w:bCs/>
                <w:sz w:val="22"/>
                <w:lang w:val="en-US" w:eastAsia="ru-RU"/>
              </w:rPr>
              <w:t xml:space="preserve"> ECTS</w:t>
            </w:r>
          </w:p>
          <w:p w:rsidR="00BC66FC" w:rsidRPr="00504740" w:rsidRDefault="00A86A99" w:rsidP="006439B2">
            <w:pPr>
              <w:spacing w:after="0" w:line="240" w:lineRule="auto"/>
              <w:rPr>
                <w:rFonts w:ascii="Calibri" w:hAnsi="Calibri" w:cs="Calibri"/>
                <w:bCs/>
                <w:sz w:val="22"/>
                <w:lang w:val="en-US" w:eastAsia="ru-RU"/>
              </w:rPr>
            </w:pPr>
            <w:r>
              <w:rPr>
                <w:rFonts w:ascii="Calibri" w:hAnsi="Calibri" w:cs="Calibri"/>
                <w:bCs/>
                <w:sz w:val="22"/>
                <w:lang w:val="en-US" w:eastAsia="ru-RU"/>
              </w:rPr>
              <w:t>2</w:t>
            </w:r>
            <w:r w:rsidRPr="00A86A99">
              <w:rPr>
                <w:rFonts w:ascii="Calibri" w:hAnsi="Calibri" w:cs="Calibri"/>
                <w:bCs/>
                <w:sz w:val="22"/>
                <w:vertAlign w:val="superscript"/>
                <w:lang w:val="en-US" w:eastAsia="ru-RU"/>
              </w:rPr>
              <w:t>nd</w:t>
            </w:r>
            <w:r>
              <w:rPr>
                <w:rFonts w:ascii="Calibri" w:hAnsi="Calibri" w:cs="Calibri"/>
                <w:bCs/>
                <w:sz w:val="22"/>
                <w:lang w:val="en-US" w:eastAsia="ru-RU"/>
              </w:rPr>
              <w:t xml:space="preserve"> year, </w:t>
            </w:r>
            <w:r w:rsidR="00BC66FC" w:rsidRPr="00504740">
              <w:rPr>
                <w:rFonts w:ascii="Calibri" w:hAnsi="Calibri" w:cs="Calibri"/>
                <w:bCs/>
                <w:sz w:val="22"/>
                <w:lang w:val="en-US" w:eastAsia="ru-RU"/>
              </w:rPr>
              <w:t>Elective Cou</w:t>
            </w:r>
            <w:r>
              <w:rPr>
                <w:rFonts w:ascii="Calibri" w:hAnsi="Calibri" w:cs="Calibri"/>
                <w:bCs/>
                <w:sz w:val="22"/>
                <w:lang w:val="en-US" w:eastAsia="ru-RU"/>
              </w:rPr>
              <w:t>rse</w:t>
            </w:r>
          </w:p>
          <w:p w:rsidR="00BC66FC" w:rsidRPr="006D6E6F" w:rsidRDefault="00BC66FC" w:rsidP="006439B2">
            <w:pPr>
              <w:spacing w:after="0" w:line="240" w:lineRule="auto"/>
              <w:rPr>
                <w:rFonts w:ascii="Calibri" w:hAnsi="Calibri" w:cs="Calibri"/>
                <w:bCs/>
                <w:sz w:val="22"/>
                <w:lang w:val="en-US" w:eastAsia="ru-RU"/>
              </w:rPr>
            </w:pPr>
            <w:r>
              <w:rPr>
                <w:rFonts w:ascii="Calibri" w:hAnsi="Calibri" w:cs="Calibri"/>
                <w:bCs/>
                <w:sz w:val="22"/>
                <w:lang w:val="en-US" w:eastAsia="ru-RU"/>
              </w:rPr>
              <w:t xml:space="preserve">Lectures – </w:t>
            </w:r>
            <w:r w:rsidRPr="006D6E6F">
              <w:rPr>
                <w:rFonts w:ascii="Calibri" w:hAnsi="Calibri" w:cs="Calibri"/>
                <w:bCs/>
                <w:sz w:val="22"/>
                <w:lang w:val="en-US" w:eastAsia="ru-RU"/>
              </w:rPr>
              <w:t>20</w:t>
            </w:r>
          </w:p>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Seminars &amp; Practical Classes –24</w:t>
            </w:r>
          </w:p>
          <w:p w:rsidR="00BC66FC" w:rsidRPr="006D6E6F" w:rsidRDefault="00BC66FC" w:rsidP="006439B2">
            <w:pPr>
              <w:spacing w:after="0" w:line="240" w:lineRule="auto"/>
              <w:rPr>
                <w:rFonts w:ascii="Calibri" w:hAnsi="Calibri" w:cs="Calibri"/>
                <w:bCs/>
                <w:sz w:val="22"/>
                <w:lang w:val="en-US" w:eastAsia="ru-RU"/>
              </w:rPr>
            </w:pPr>
            <w:r>
              <w:rPr>
                <w:rFonts w:ascii="Calibri" w:hAnsi="Calibri" w:cs="Calibri"/>
                <w:bCs/>
                <w:sz w:val="22"/>
                <w:lang w:val="en-US" w:eastAsia="ru-RU"/>
              </w:rPr>
              <w:t>Contact Hours – 4</w:t>
            </w:r>
            <w:r w:rsidRPr="006D6E6F">
              <w:rPr>
                <w:rFonts w:ascii="Calibri" w:hAnsi="Calibri" w:cs="Calibri"/>
                <w:bCs/>
                <w:sz w:val="22"/>
                <w:lang w:val="en-US" w:eastAsia="ru-RU"/>
              </w:rPr>
              <w:t>4</w:t>
            </w:r>
          </w:p>
          <w:p w:rsidR="00BC66FC" w:rsidRPr="001879C5" w:rsidRDefault="00BC66FC" w:rsidP="006439B2">
            <w:pPr>
              <w:spacing w:after="0" w:line="240" w:lineRule="auto"/>
              <w:rPr>
                <w:rFonts w:ascii="Calibri" w:hAnsi="Calibri" w:cs="Calibri"/>
                <w:bCs/>
                <w:sz w:val="22"/>
                <w:lang w:eastAsia="ru-RU"/>
              </w:rPr>
            </w:pPr>
            <w:r>
              <w:rPr>
                <w:rFonts w:ascii="Calibri" w:hAnsi="Calibri" w:cs="Calibri"/>
                <w:bCs/>
                <w:sz w:val="22"/>
                <w:lang w:val="en-US" w:eastAsia="ru-RU"/>
              </w:rPr>
              <w:t xml:space="preserve">Self-study Hours – </w:t>
            </w:r>
            <w:r>
              <w:rPr>
                <w:rFonts w:ascii="Calibri" w:hAnsi="Calibri" w:cs="Calibri"/>
                <w:bCs/>
                <w:sz w:val="22"/>
                <w:lang w:eastAsia="ru-RU"/>
              </w:rPr>
              <w:t>108</w:t>
            </w:r>
          </w:p>
        </w:tc>
      </w:tr>
      <w:tr w:rsidR="00BC66FC" w:rsidRPr="006360F4"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rPr>
                <w:rFonts w:ascii="Calibri" w:hAnsi="Calibri" w:cs="Calibri"/>
                <w:bCs/>
                <w:sz w:val="22"/>
                <w:lang w:val="en-US" w:eastAsia="ru-RU"/>
              </w:rPr>
            </w:pPr>
            <w:r w:rsidRPr="00504740">
              <w:rPr>
                <w:rFonts w:ascii="Calibri" w:hAnsi="Calibr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Mr. Alexander </w:t>
            </w:r>
            <w:proofErr w:type="spellStart"/>
            <w:r w:rsidRPr="00504740">
              <w:rPr>
                <w:rFonts w:ascii="Calibri" w:hAnsi="Calibri" w:cs="Calibri"/>
                <w:bCs/>
                <w:sz w:val="22"/>
                <w:lang w:val="en-US" w:eastAsia="ru-RU"/>
              </w:rPr>
              <w:t>Burkov</w:t>
            </w:r>
            <w:proofErr w:type="spellEnd"/>
            <w:r w:rsidRPr="00504740">
              <w:rPr>
                <w:rFonts w:ascii="Calibri" w:hAnsi="Calibri" w:cs="Calibri"/>
                <w:bCs/>
                <w:sz w:val="22"/>
                <w:lang w:val="en-US" w:eastAsia="ru-RU"/>
              </w:rPr>
              <w:t>, lecturer</w:t>
            </w:r>
          </w:p>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Cs/>
                <w:sz w:val="22"/>
                <w:lang w:val="en-US" w:eastAsia="ru-RU"/>
              </w:rPr>
              <w:t xml:space="preserve">Mrs. Natalia </w:t>
            </w:r>
            <w:proofErr w:type="spellStart"/>
            <w:r w:rsidRPr="00504740">
              <w:rPr>
                <w:rFonts w:ascii="Calibri" w:hAnsi="Calibri" w:cs="Calibri"/>
                <w:bCs/>
                <w:sz w:val="22"/>
                <w:lang w:val="en-US" w:eastAsia="ru-RU"/>
              </w:rPr>
              <w:t>Maslova</w:t>
            </w:r>
            <w:proofErr w:type="spellEnd"/>
            <w:r w:rsidRPr="00504740">
              <w:rPr>
                <w:rFonts w:ascii="Calibri" w:hAnsi="Calibri" w:cs="Calibri"/>
                <w:bCs/>
                <w:sz w:val="22"/>
                <w:lang w:val="en-US" w:eastAsia="ru-RU"/>
              </w:rPr>
              <w:t>, lecturer</w:t>
            </w:r>
          </w:p>
        </w:tc>
      </w:tr>
      <w:tr w:rsidR="00BC66FC" w:rsidRPr="006360F4"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val="en-US"/>
              </w:rPr>
              <w:t>Contract and Procurement management (bachelor)</w:t>
            </w:r>
          </w:p>
        </w:tc>
      </w:tr>
      <w:tr w:rsidR="00BC66FC" w:rsidRPr="006360F4"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autoSpaceDE w:val="0"/>
              <w:autoSpaceDN w:val="0"/>
              <w:adjustRightInd w:val="0"/>
              <w:spacing w:after="0" w:line="240" w:lineRule="auto"/>
              <w:jc w:val="both"/>
              <w:rPr>
                <w:rFonts w:ascii="Calibri" w:eastAsia="Calibri" w:hAnsi="Calibri"/>
                <w:color w:val="000000"/>
                <w:sz w:val="22"/>
                <w:lang w:val="en-US" w:eastAsia="ru-RU"/>
              </w:rPr>
            </w:pPr>
            <w:r w:rsidRPr="00504740">
              <w:rPr>
                <w:rFonts w:ascii="Calibri" w:eastAsia="Calibri" w:hAnsi="Calibri"/>
                <w:color w:val="000000"/>
                <w:sz w:val="22"/>
                <w:lang w:val="en-US" w:eastAsia="ru-RU"/>
              </w:rPr>
              <w:t>The course has the following main objectives:</w:t>
            </w:r>
          </w:p>
          <w:p w:rsidR="00BC66FC" w:rsidRPr="00504740" w:rsidRDefault="00BC66FC" w:rsidP="006439B2">
            <w:pPr>
              <w:autoSpaceDE w:val="0"/>
              <w:autoSpaceDN w:val="0"/>
              <w:adjustRightInd w:val="0"/>
              <w:spacing w:after="0" w:line="240" w:lineRule="auto"/>
              <w:jc w:val="both"/>
              <w:rPr>
                <w:rFonts w:ascii="Calibri" w:eastAsia="Calibri" w:hAnsi="Calibri"/>
                <w:color w:val="000000"/>
                <w:sz w:val="22"/>
                <w:lang w:val="en-US" w:eastAsia="ru-RU"/>
              </w:rPr>
            </w:pPr>
            <w:r w:rsidRPr="00504740">
              <w:rPr>
                <w:rFonts w:ascii="Calibri" w:eastAsia="Calibri" w:hAnsi="Calibri"/>
                <w:color w:val="000000"/>
                <w:sz w:val="22"/>
                <w:lang w:val="en-US" w:eastAsia="ru-RU"/>
              </w:rPr>
              <w:t xml:space="preserve">- to train students to ensure effective functioning of the procurement system of the organization under the contract system in procurement of goods, works, services; </w:t>
            </w:r>
          </w:p>
          <w:p w:rsidR="00BC66FC" w:rsidRPr="00504740" w:rsidRDefault="00BC66FC" w:rsidP="006439B2">
            <w:pPr>
              <w:autoSpaceDE w:val="0"/>
              <w:autoSpaceDN w:val="0"/>
              <w:adjustRightInd w:val="0"/>
              <w:spacing w:after="0" w:line="240" w:lineRule="auto"/>
              <w:jc w:val="both"/>
              <w:rPr>
                <w:rFonts w:ascii="Calibri" w:eastAsia="Calibri" w:hAnsi="Calibri"/>
                <w:color w:val="000000"/>
                <w:sz w:val="22"/>
                <w:lang w:val="en-US" w:eastAsia="ru-RU"/>
              </w:rPr>
            </w:pPr>
            <w:r w:rsidRPr="00504740">
              <w:rPr>
                <w:rFonts w:ascii="Calibri" w:eastAsia="Calibri" w:hAnsi="Calibri"/>
                <w:color w:val="000000"/>
                <w:sz w:val="22"/>
                <w:lang w:val="en-US" w:eastAsia="ru-RU"/>
              </w:rPr>
              <w:t xml:space="preserve">- the formation of practical skills of determining the optimal procurement strategy depending on the specifics of the subject matter of the procurement; </w:t>
            </w:r>
          </w:p>
          <w:p w:rsidR="00BC66FC" w:rsidRPr="00504740" w:rsidRDefault="00BC66FC" w:rsidP="006439B2">
            <w:pPr>
              <w:autoSpaceDE w:val="0"/>
              <w:autoSpaceDN w:val="0"/>
              <w:adjustRightInd w:val="0"/>
              <w:spacing w:after="0" w:line="240" w:lineRule="auto"/>
              <w:jc w:val="both"/>
              <w:rPr>
                <w:rFonts w:ascii="Calibri" w:eastAsia="Calibri" w:hAnsi="Calibri"/>
                <w:color w:val="000000"/>
                <w:sz w:val="22"/>
                <w:lang w:val="en-US" w:eastAsia="ru-RU"/>
              </w:rPr>
            </w:pPr>
            <w:r w:rsidRPr="00504740">
              <w:rPr>
                <w:rFonts w:ascii="Calibri" w:eastAsia="Calibri" w:hAnsi="Calibri"/>
                <w:color w:val="000000"/>
                <w:sz w:val="22"/>
                <w:lang w:val="en-US" w:eastAsia="ru-RU"/>
              </w:rPr>
              <w:t>- to introduce students with the best practice of public procurement;</w:t>
            </w:r>
          </w:p>
          <w:p w:rsidR="00BC66FC" w:rsidRPr="00504740" w:rsidRDefault="00BC66FC" w:rsidP="006439B2">
            <w:pPr>
              <w:autoSpaceDE w:val="0"/>
              <w:autoSpaceDN w:val="0"/>
              <w:adjustRightInd w:val="0"/>
              <w:spacing w:after="0" w:line="240" w:lineRule="auto"/>
              <w:jc w:val="both"/>
              <w:rPr>
                <w:rFonts w:ascii="Calibri" w:eastAsia="Calibri" w:hAnsi="Calibri"/>
                <w:color w:val="000000"/>
                <w:sz w:val="22"/>
                <w:lang w:val="en-US" w:eastAsia="ru-RU"/>
              </w:rPr>
            </w:pPr>
            <w:r w:rsidRPr="00504740">
              <w:rPr>
                <w:rFonts w:ascii="Calibri" w:eastAsia="Calibri" w:hAnsi="Calibri"/>
                <w:color w:val="000000"/>
                <w:sz w:val="22"/>
                <w:lang w:val="en-US" w:eastAsia="ru-RU"/>
              </w:rPr>
              <w:t>- to prepare students for effective participation in a role of  suppliers in public procurement proceedings.</w:t>
            </w:r>
          </w:p>
        </w:tc>
      </w:tr>
      <w:tr w:rsidR="00BC66FC" w:rsidRPr="006360F4"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eastAsia="ru-RU"/>
              </w:rPr>
              <w:t>5. </w:t>
            </w:r>
            <w:r w:rsidRPr="00504740">
              <w:rPr>
                <w:rFonts w:ascii="Calibri" w:hAnsi="Calibr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eastAsia="Calibri" w:hAnsi="Calibri" w:cs="Calibri"/>
                <w:bCs/>
                <w:sz w:val="22"/>
                <w:lang w:val="en-US" w:eastAsia="ru-RU"/>
              </w:rPr>
            </w:pPr>
            <w:r w:rsidRPr="00504740">
              <w:rPr>
                <w:rFonts w:ascii="Calibri" w:hAnsi="Calibri" w:cs="Calibri"/>
                <w:bCs/>
                <w:sz w:val="22"/>
                <w:lang w:val="en-US" w:eastAsia="ru-RU"/>
              </w:rPr>
              <w:t xml:space="preserve">By </w:t>
            </w:r>
            <w:r w:rsidRPr="00504740">
              <w:rPr>
                <w:rFonts w:ascii="Calibri" w:eastAsia="Calibri" w:hAnsi="Calibri" w:cs="Calibri"/>
                <w:bCs/>
                <w:sz w:val="22"/>
                <w:lang w:val="en-US" w:eastAsia="ru-RU"/>
              </w:rPr>
              <w:t>the end of the course students should be able to:</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know and use procurement methods;</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be able to form the optimal procurement strategy depending on the specifics of the subject matter of the procurement;</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apply skills of examination the procurement system;</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know the methods for optimization procurement proceedings;</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be able to participate in a role of  suppliers in public procurement proceedings.</w:t>
            </w:r>
          </w:p>
        </w:tc>
      </w:tr>
      <w:tr w:rsidR="00BC66FC" w:rsidRPr="006360F4"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
                <w:bCs/>
                <w:sz w:val="22"/>
                <w:lang w:val="en-US" w:eastAsia="ru-RU"/>
              </w:rPr>
            </w:pPr>
            <w:r w:rsidRPr="00504740">
              <w:rPr>
                <w:rFonts w:ascii="Calibri" w:hAnsi="Calibri" w:cs="Calibri"/>
                <w:b/>
                <w:bCs/>
                <w:sz w:val="22"/>
                <w:lang w:eastAsia="ru-RU"/>
              </w:rPr>
              <w:t>6. </w:t>
            </w:r>
            <w:r w:rsidRPr="00504740">
              <w:rPr>
                <w:rFonts w:ascii="Calibri" w:hAnsi="Calibri" w:cs="Calibri"/>
                <w:b/>
                <w:bCs/>
                <w:sz w:val="22"/>
                <w:lang w:val="en-US" w:eastAsia="ru-RU"/>
              </w:rPr>
              <w:t>Course description</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hAnsi="Calibri" w:cs="Calibri"/>
                <w:bCs/>
                <w:sz w:val="22"/>
                <w:lang w:val="en-US" w:eastAsia="ru-RU"/>
              </w:rPr>
            </w:pPr>
            <w:r w:rsidRPr="00504740">
              <w:rPr>
                <w:rFonts w:ascii="Calibri" w:eastAsia="Calibri" w:hAnsi="Calibri"/>
                <w:color w:val="000000"/>
                <w:sz w:val="22"/>
                <w:lang w:val="en-US" w:eastAsia="ru-RU"/>
              </w:rPr>
              <w:t>This course is aimed at the generation of knowledge and the development of practical skills in public procurement. The basic topics of the course are procurement methods. The course illustrates approaches to the organization of procurement which  ensures effective satisfaction of public needs.</w:t>
            </w:r>
          </w:p>
        </w:tc>
      </w:tr>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hAnsi="Calibri" w:cs="Calibri"/>
                <w:b/>
                <w:bCs/>
                <w:sz w:val="22"/>
                <w:lang w:val="en-US" w:eastAsia="ru-RU"/>
              </w:rPr>
            </w:pPr>
            <w:r w:rsidRPr="00504740">
              <w:rPr>
                <w:rFonts w:ascii="Calibri" w:hAnsi="Calibri" w:cs="Calibri"/>
                <w:b/>
                <w:bCs/>
                <w:sz w:val="22"/>
                <w:lang w:val="en-US" w:eastAsia="ru-RU"/>
              </w:rPr>
              <w:t>7. Learning and teaching methods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During the course the following techniques are used:</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Lectures</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Seminars</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Case studies</w:t>
            </w:r>
          </w:p>
          <w:p w:rsidR="00BC66FC" w:rsidRPr="00504740" w:rsidRDefault="00BC66FC" w:rsidP="006439B2">
            <w:pPr>
              <w:numPr>
                <w:ilvl w:val="0"/>
                <w:numId w:val="12"/>
              </w:num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Group work and group discussions</w:t>
            </w:r>
          </w:p>
          <w:p w:rsidR="00BC66FC" w:rsidRPr="00504740" w:rsidRDefault="00BC66FC" w:rsidP="006439B2">
            <w:pPr>
              <w:numPr>
                <w:ilvl w:val="0"/>
                <w:numId w:val="12"/>
              </w:numPr>
              <w:spacing w:after="0" w:line="240" w:lineRule="auto"/>
              <w:jc w:val="both"/>
              <w:rPr>
                <w:rFonts w:ascii="Calibri" w:hAnsi="Calibri" w:cs="Calibri"/>
                <w:bCs/>
                <w:sz w:val="22"/>
                <w:lang w:val="en-US" w:eastAsia="ru-RU"/>
              </w:rPr>
            </w:pPr>
            <w:r w:rsidRPr="00504740">
              <w:rPr>
                <w:rFonts w:ascii="Calibri" w:eastAsia="Calibri" w:hAnsi="Calibri" w:cs="Calibri"/>
                <w:bCs/>
                <w:sz w:val="22"/>
                <w:lang w:val="en-US" w:eastAsia="ru-RU"/>
              </w:rPr>
              <w:t>Essay</w:t>
            </w:r>
          </w:p>
        </w:tc>
      </w:tr>
      <w:tr w:rsidR="00BC66FC" w:rsidRPr="006360F4"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tabs>
                <w:tab w:val="left" w:pos="248"/>
                <w:tab w:val="left" w:pos="1310"/>
              </w:tabs>
              <w:spacing w:after="0" w:line="240" w:lineRule="auto"/>
              <w:ind w:left="34"/>
              <w:jc w:val="both"/>
              <w:rPr>
                <w:rFonts w:ascii="Calibri" w:hAnsi="Calibri" w:cs="Calibri"/>
                <w:b/>
                <w:bCs/>
                <w:sz w:val="22"/>
                <w:lang w:val="en-US" w:eastAsia="ru-RU"/>
              </w:rPr>
            </w:pPr>
            <w:r w:rsidRPr="00504740">
              <w:rPr>
                <w:rFonts w:ascii="Calibri" w:hAnsi="Calibri" w:cs="Calibri"/>
                <w:b/>
                <w:bCs/>
                <w:sz w:val="22"/>
                <w:lang w:val="en-US" w:eastAsia="ru-RU"/>
              </w:rPr>
              <w:t>8. Major topics covered</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autoSpaceDE w:val="0"/>
              <w:autoSpaceDN w:val="0"/>
              <w:adjustRightInd w:val="0"/>
              <w:spacing w:after="0" w:line="240" w:lineRule="auto"/>
              <w:rPr>
                <w:rFonts w:ascii="Calibri" w:eastAsia="Calibri" w:hAnsi="Calibri"/>
                <w:color w:val="000000"/>
                <w:sz w:val="22"/>
                <w:lang w:val="en-US" w:eastAsia="ru-RU"/>
              </w:rPr>
            </w:pPr>
            <w:r w:rsidRPr="00504740">
              <w:rPr>
                <w:rFonts w:ascii="Calibri" w:eastAsia="Calibri" w:hAnsi="Calibri"/>
                <w:color w:val="000000"/>
                <w:sz w:val="22"/>
                <w:lang w:val="en-US" w:eastAsia="ru-RU"/>
              </w:rPr>
              <w:t>The main topics of this course are the following:</w:t>
            </w:r>
          </w:p>
          <w:p w:rsidR="00BC66FC" w:rsidRPr="00504740" w:rsidRDefault="00BC66FC" w:rsidP="006439B2">
            <w:pPr>
              <w:autoSpaceDE w:val="0"/>
              <w:autoSpaceDN w:val="0"/>
              <w:adjustRightInd w:val="0"/>
              <w:spacing w:after="0" w:line="240" w:lineRule="auto"/>
              <w:rPr>
                <w:rFonts w:ascii="Calibri" w:eastAsia="Calibri" w:hAnsi="Calibri"/>
                <w:color w:val="000000"/>
                <w:sz w:val="22"/>
                <w:lang w:val="en-US" w:eastAsia="ru-RU"/>
              </w:rPr>
            </w:pPr>
            <w:r w:rsidRPr="00504740">
              <w:rPr>
                <w:rFonts w:ascii="Calibri" w:eastAsia="Calibri" w:hAnsi="Calibri"/>
                <w:color w:val="000000"/>
                <w:sz w:val="22"/>
                <w:lang w:val="en-US" w:eastAsia="ru-RU"/>
              </w:rPr>
              <w:t xml:space="preserve">1. The formation and management of the procurement system in the organization. </w:t>
            </w:r>
          </w:p>
          <w:p w:rsidR="00BC66FC" w:rsidRPr="00504740" w:rsidRDefault="00BC66FC" w:rsidP="006439B2">
            <w:pPr>
              <w:autoSpaceDE w:val="0"/>
              <w:autoSpaceDN w:val="0"/>
              <w:adjustRightInd w:val="0"/>
              <w:spacing w:after="0" w:line="240" w:lineRule="auto"/>
              <w:rPr>
                <w:rFonts w:ascii="Calibri" w:eastAsia="Calibri" w:hAnsi="Calibri"/>
                <w:color w:val="000000"/>
                <w:sz w:val="22"/>
                <w:lang w:val="en-US" w:eastAsia="ru-RU"/>
              </w:rPr>
            </w:pPr>
            <w:r w:rsidRPr="00504740">
              <w:rPr>
                <w:rFonts w:ascii="Calibri" w:eastAsia="Calibri" w:hAnsi="Calibri"/>
                <w:color w:val="000000"/>
                <w:sz w:val="22"/>
                <w:lang w:val="en-US" w:eastAsia="ru-RU"/>
              </w:rPr>
              <w:t xml:space="preserve">2. The selection of a procurement method. </w:t>
            </w:r>
          </w:p>
          <w:p w:rsidR="00BC66FC" w:rsidRPr="00504740" w:rsidRDefault="00BC66FC" w:rsidP="006439B2">
            <w:pPr>
              <w:autoSpaceDE w:val="0"/>
              <w:autoSpaceDN w:val="0"/>
              <w:adjustRightInd w:val="0"/>
              <w:spacing w:after="0" w:line="240" w:lineRule="auto"/>
              <w:rPr>
                <w:rFonts w:ascii="Calibri" w:eastAsia="Calibri" w:hAnsi="Calibri"/>
                <w:color w:val="000000"/>
                <w:sz w:val="22"/>
                <w:lang w:val="en-US" w:eastAsia="ru-RU"/>
              </w:rPr>
            </w:pPr>
            <w:r w:rsidRPr="00504740">
              <w:rPr>
                <w:rFonts w:ascii="Calibri" w:eastAsia="Calibri" w:hAnsi="Calibri"/>
                <w:color w:val="000000"/>
                <w:sz w:val="22"/>
                <w:lang w:val="en-US" w:eastAsia="ru-RU"/>
              </w:rPr>
              <w:t xml:space="preserve">3. The order of implementation of procurement proceedings. </w:t>
            </w:r>
          </w:p>
          <w:p w:rsidR="00BC66FC" w:rsidRPr="00504740" w:rsidRDefault="00BC66FC" w:rsidP="006439B2">
            <w:pPr>
              <w:autoSpaceDE w:val="0"/>
              <w:autoSpaceDN w:val="0"/>
              <w:adjustRightInd w:val="0"/>
              <w:spacing w:after="0" w:line="240" w:lineRule="auto"/>
              <w:rPr>
                <w:rFonts w:ascii="Calibri" w:eastAsia="Calibri" w:hAnsi="Calibri" w:cs="Calibri"/>
                <w:bCs/>
                <w:color w:val="000000"/>
                <w:sz w:val="22"/>
                <w:lang w:val="en-US" w:eastAsia="ru-RU"/>
              </w:rPr>
            </w:pPr>
            <w:r w:rsidRPr="00504740">
              <w:rPr>
                <w:rFonts w:ascii="Calibri" w:eastAsia="Calibri" w:hAnsi="Calibri"/>
                <w:color w:val="000000"/>
                <w:sz w:val="22"/>
                <w:lang w:val="en-US" w:eastAsia="ru-RU"/>
              </w:rPr>
              <w:t>4. Participation by suppliers in procurement proceedings.</w:t>
            </w:r>
          </w:p>
        </w:tc>
      </w:tr>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eastAsia="ru-RU"/>
              </w:rPr>
              <w:t>9. </w:t>
            </w:r>
            <w:r w:rsidRPr="00504740">
              <w:rPr>
                <w:rFonts w:ascii="Calibri" w:hAnsi="Calibri" w:cs="Calibri"/>
                <w:b/>
                <w:bCs/>
                <w:sz w:val="22"/>
                <w:lang w:val="en-US" w:eastAsia="ru-RU"/>
              </w:rPr>
              <w:t>Prescribed books and readings</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Абакумова О.А. Правовой статус контрактного управляющего // Академический вестник. 2014. № 2 (28). С. 269-276;</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Анчишкина</w:t>
            </w:r>
            <w:proofErr w:type="spellEnd"/>
            <w:r w:rsidRPr="00504740">
              <w:rPr>
                <w:rFonts w:ascii="Calibri" w:hAnsi="Calibri"/>
                <w:sz w:val="22"/>
              </w:rPr>
              <w:t xml:space="preserve"> О.В. Постановка задач планирования государственных закупок в рамках Федеральной контрактной системы: опыт США и российские реалии // Вестник Института экономики РАН. 2011. № 2. С. 76-92.;</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Архалович</w:t>
            </w:r>
            <w:proofErr w:type="spellEnd"/>
            <w:r w:rsidRPr="00504740">
              <w:rPr>
                <w:rFonts w:ascii="Calibri" w:hAnsi="Calibri"/>
                <w:sz w:val="22"/>
              </w:rPr>
              <w:t xml:space="preserve"> О.В. Запрос котировок по измененным правилам - новые возможности или новые проблемы // Юрист. 2014. № 12. С. 11-15.</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lastRenderedPageBreak/>
              <w:t>Белов В.Е. Планирование в контрактной системе // Законы России: опыт, анализ, практика. 2013. № 11. С. 16-21;</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Белогурова</w:t>
            </w:r>
            <w:proofErr w:type="spellEnd"/>
            <w:r w:rsidRPr="00504740">
              <w:rPr>
                <w:rFonts w:ascii="Calibri" w:hAnsi="Calibri"/>
                <w:sz w:val="22"/>
              </w:rPr>
              <w:t xml:space="preserve"> Е.Б. «Проблемные вопросы централизации закупок в рамках контрактной системы» // Госзаказ: управление, размещение, обеспечение. 2014. № 37. С. 36-39;</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Беляева О.А. Осуществление закупки у единственного поставщика (подрядчика, исполнителя) в рамках контрактной системы // Законы России: опыт, анализ, практика. 2013. № 11. С. 31-38;</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Беляева О.А. Закупка у единственного поставщика: вопросы адекватного толкования законодательства // Юрист. 2013. № 14. С. 9-14.</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Гущин В.В., Кирпичев А.Е. Недействительность государственных и муниципальных контрактов // Законы России: опыт, анализ, практика. 2014. № 5. С. 35-37</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Гущин А.Ю. Определение эффективности и способы её оценки в системе государственного заказа // Фундаментальные исследования. 2012. № 9-1. С. 204-208.</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Демакова Е.А. Повышение эффективности закупок для государственных нужд на основе мониторинга и оценки качества продукции– Москва: Инфра-М, РИОР, 2013;</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Джужома</w:t>
            </w:r>
            <w:proofErr w:type="spellEnd"/>
            <w:r w:rsidRPr="00504740">
              <w:rPr>
                <w:rFonts w:ascii="Calibri" w:hAnsi="Calibri"/>
                <w:sz w:val="22"/>
              </w:rPr>
              <w:t xml:space="preserve"> В.В. «Мониторинг практики использования новых способов определения поставщика (подрядчика, исполнителя). // Госзаказ: управление, размещение, обеспечение. 2016. № 44. С. 48-55.</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Джужома</w:t>
            </w:r>
            <w:proofErr w:type="spellEnd"/>
            <w:r w:rsidRPr="00504740">
              <w:rPr>
                <w:rFonts w:ascii="Calibri" w:hAnsi="Calibri"/>
                <w:sz w:val="22"/>
              </w:rPr>
              <w:t xml:space="preserve"> В.В. «Проблемы правового регулирования контрактных отношений. Общее описание новаций Федерального закона № 44-ФЗ по сравнению с  Федеральным законом № 94-ФЗ» // Госзаказ: управление, размещение, обеспечение. 2015. № 42. С. 62-71. </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Евсташенков</w:t>
            </w:r>
            <w:proofErr w:type="spellEnd"/>
            <w:r w:rsidRPr="00504740">
              <w:rPr>
                <w:rFonts w:ascii="Calibri" w:hAnsi="Calibri"/>
                <w:sz w:val="22"/>
              </w:rPr>
              <w:t xml:space="preserve"> А.Н. Запрос предложений при закупке лекарственных средств в соответствии с законом о контрактной системе // Здравоохранение. 2013. № 11. С. 40-47;</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Илюшин Д.М. «Анализ практики создания и функционирования контрактных служб, назначения и работы контрактных управляющих» // Госзаказ: управление, размещение, обеспечение. 2015. № 42. С. 108-113.</w:t>
            </w:r>
          </w:p>
          <w:p w:rsidR="00BC66FC" w:rsidRPr="00504740" w:rsidRDefault="00BC66FC" w:rsidP="005A3EEC">
            <w:pPr>
              <w:numPr>
                <w:ilvl w:val="0"/>
                <w:numId w:val="16"/>
              </w:numPr>
              <w:spacing w:after="0" w:line="240" w:lineRule="auto"/>
              <w:ind w:left="284" w:hanging="284"/>
              <w:contextualSpacing/>
              <w:jc w:val="both"/>
              <w:rPr>
                <w:rFonts w:ascii="Calibri" w:hAnsi="Calibri"/>
                <w:sz w:val="22"/>
              </w:rPr>
            </w:pPr>
            <w:proofErr w:type="spellStart"/>
            <w:r w:rsidRPr="00504740">
              <w:rPr>
                <w:rFonts w:ascii="Calibri" w:hAnsi="Calibri"/>
                <w:sz w:val="22"/>
              </w:rPr>
              <w:t>Кинякин</w:t>
            </w:r>
            <w:proofErr w:type="spellEnd"/>
            <w:r w:rsidRPr="00504740">
              <w:rPr>
                <w:rFonts w:ascii="Calibri" w:hAnsi="Calibri"/>
                <w:sz w:val="22"/>
              </w:rPr>
              <w:t xml:space="preserve"> Р.Е. «Обзор административной практики по вопросам соблюдения требований Закона № 44-ФЗ при осуществлении закупок товаров, работ, услуг» // Госзаказ: управление, размещение, обеспечение. 2014. № 35. С. 116-121.</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Коновалова З.А. Инструменты по предупреждению злоупотреблений в сфере государственных и муниципальных закупок // Вопросы современной юриспруденции. 2013. № 31. С. 17-26.</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Кузнецов К.В. «Коллегиальные решения. Особенности работы закупочных комиссий по 44-ФЗ» // Госзаказ: управление, размещение, обеспечение. 2015. № 40. С. 81-87.</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Кулакова Н.В. «Некоторые особенности закупки у единственного поставщика, исполнителя, подрядчика в Контрактной системе» // Госзаказ: управление, размещение, обеспечение. 2015. № 40. С. 74-81.</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Маслова Н.С., Еременко Н.В. «Практика закупок у субъектов малого предпринимательства, социально ориентированных некоммерческих организаций» // Госзаказ: управление, размещение, обеспечение. 2016. № 43. С. 3-9.</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 xml:space="preserve">Маслова Н. С. </w:t>
            </w:r>
            <w:hyperlink r:id="rId9" w:tgtFrame="_blank" w:history="1">
              <w:r w:rsidRPr="00504740">
                <w:rPr>
                  <w:rFonts w:ascii="Calibri" w:hAnsi="Calibri"/>
                  <w:sz w:val="22"/>
                </w:rPr>
                <w:t>Запрос предложений в практическом применении</w:t>
              </w:r>
            </w:hyperlink>
            <w:r w:rsidRPr="00504740">
              <w:rPr>
                <w:rFonts w:ascii="Calibri" w:hAnsi="Calibri"/>
                <w:sz w:val="22"/>
              </w:rPr>
              <w:t> // Госзаказ: управление, размещение, обеспечение. 2014. № 38. С. 88-93.</w:t>
            </w:r>
          </w:p>
          <w:p w:rsidR="00BC66FC" w:rsidRPr="00504740" w:rsidRDefault="0030593A" w:rsidP="005A3EEC">
            <w:pPr>
              <w:numPr>
                <w:ilvl w:val="0"/>
                <w:numId w:val="16"/>
              </w:numPr>
              <w:spacing w:after="0" w:line="240" w:lineRule="auto"/>
              <w:ind w:left="284" w:hanging="284"/>
              <w:jc w:val="both"/>
              <w:rPr>
                <w:rFonts w:ascii="Calibri" w:hAnsi="Calibri"/>
                <w:sz w:val="22"/>
              </w:rPr>
            </w:pPr>
            <w:hyperlink r:id="rId10" w:tgtFrame="_blank" w:history="1">
              <w:r w:rsidR="00BC66FC" w:rsidRPr="00504740">
                <w:rPr>
                  <w:rFonts w:ascii="Calibri" w:hAnsi="Calibri"/>
                  <w:sz w:val="22"/>
                </w:rPr>
                <w:t>Маслова Н. С.</w:t>
              </w:r>
            </w:hyperlink>
            <w:r w:rsidR="00BC66FC" w:rsidRPr="00504740">
              <w:rPr>
                <w:rFonts w:ascii="Calibri" w:hAnsi="Calibri"/>
                <w:sz w:val="22"/>
              </w:rPr>
              <w:t xml:space="preserve">, </w:t>
            </w:r>
            <w:hyperlink r:id="rId11" w:tgtFrame="_blank" w:history="1">
              <w:r w:rsidR="00BC66FC" w:rsidRPr="00504740">
                <w:rPr>
                  <w:rFonts w:ascii="Calibri" w:hAnsi="Calibri"/>
                  <w:sz w:val="22"/>
                </w:rPr>
                <w:t xml:space="preserve">Кузнецова И. </w:t>
              </w:r>
              <w:proofErr w:type="spellStart"/>
              <w:r w:rsidR="00BC66FC" w:rsidRPr="00504740">
                <w:rPr>
                  <w:rFonts w:ascii="Calibri" w:hAnsi="Calibri"/>
                  <w:sz w:val="22"/>
                </w:rPr>
                <w:t>В.</w:t>
              </w:r>
            </w:hyperlink>
            <w:r w:rsidR="00BC66FC" w:rsidRPr="00504740">
              <w:rPr>
                <w:rFonts w:ascii="Calibri" w:hAnsi="Calibri"/>
                <w:sz w:val="22"/>
              </w:rPr>
              <w:t>Оценка</w:t>
            </w:r>
            <w:proofErr w:type="spellEnd"/>
            <w:r w:rsidR="00BC66FC" w:rsidRPr="00504740">
              <w:rPr>
                <w:rFonts w:ascii="Calibri" w:hAnsi="Calibri"/>
                <w:sz w:val="22"/>
              </w:rPr>
              <w:t xml:space="preserve"> рисков как институт управления обеспечением государственных нужд// </w:t>
            </w:r>
            <w:hyperlink r:id="rId12" w:history="1">
              <w:r w:rsidR="00BC66FC" w:rsidRPr="00504740">
                <w:rPr>
                  <w:rFonts w:ascii="Calibri" w:hAnsi="Calibri"/>
                  <w:sz w:val="22"/>
                </w:rPr>
                <w:t>XII Международная научная конференция по проблемам развития экономики и общества. В четырех книгах. Книга 1.</w:t>
              </w:r>
            </w:hyperlink>
            <w:r w:rsidR="00BC66FC" w:rsidRPr="00504740">
              <w:rPr>
                <w:rFonts w:ascii="Calibri" w:hAnsi="Calibri"/>
                <w:sz w:val="22"/>
              </w:rPr>
              <w:t>, М.: Издательский дом НИУ ВШЭ, 2012, с. 482-490;</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lastRenderedPageBreak/>
              <w:t>Сакалова</w:t>
            </w:r>
            <w:proofErr w:type="spellEnd"/>
            <w:r w:rsidRPr="00504740">
              <w:rPr>
                <w:rFonts w:ascii="Calibri" w:hAnsi="Calibri"/>
                <w:sz w:val="22"/>
              </w:rPr>
              <w:t xml:space="preserve"> Р.М. Планирование закупок для государственных и муниципальных нужд: анализ нового законодательства // Молодой ученый. 2014. № 1. С. 251-254;</w:t>
            </w:r>
          </w:p>
          <w:p w:rsidR="00BC66FC" w:rsidRPr="00504740" w:rsidRDefault="00BC66FC" w:rsidP="005A3EEC">
            <w:pPr>
              <w:numPr>
                <w:ilvl w:val="0"/>
                <w:numId w:val="16"/>
              </w:numPr>
              <w:spacing w:after="0" w:line="240" w:lineRule="auto"/>
              <w:ind w:left="284" w:hanging="284"/>
              <w:contextualSpacing/>
              <w:jc w:val="both"/>
              <w:rPr>
                <w:rFonts w:ascii="Calibri" w:hAnsi="Calibri"/>
                <w:sz w:val="22"/>
              </w:rPr>
            </w:pPr>
            <w:proofErr w:type="spellStart"/>
            <w:r w:rsidRPr="00504740">
              <w:rPr>
                <w:rFonts w:ascii="Calibri" w:hAnsi="Calibri"/>
                <w:sz w:val="22"/>
              </w:rPr>
              <w:t>Серажетдинов</w:t>
            </w:r>
            <w:proofErr w:type="spellEnd"/>
            <w:r w:rsidRPr="00504740">
              <w:rPr>
                <w:rFonts w:ascii="Calibri" w:hAnsi="Calibri"/>
                <w:sz w:val="22"/>
              </w:rPr>
              <w:t xml:space="preserve"> Р.Р., Маслова Н.С., </w:t>
            </w:r>
            <w:proofErr w:type="spellStart"/>
            <w:r w:rsidRPr="00504740">
              <w:rPr>
                <w:rFonts w:ascii="Calibri" w:hAnsi="Calibri"/>
                <w:sz w:val="22"/>
              </w:rPr>
              <w:t>Кинякин</w:t>
            </w:r>
            <w:proofErr w:type="spellEnd"/>
            <w:r w:rsidRPr="00504740">
              <w:rPr>
                <w:rFonts w:ascii="Calibri" w:hAnsi="Calibri"/>
                <w:sz w:val="22"/>
              </w:rPr>
              <w:t xml:space="preserve"> Р.Е., </w:t>
            </w:r>
            <w:proofErr w:type="spellStart"/>
            <w:r w:rsidRPr="00504740">
              <w:rPr>
                <w:rFonts w:ascii="Calibri" w:hAnsi="Calibri"/>
                <w:sz w:val="22"/>
              </w:rPr>
              <w:t>Зарипов</w:t>
            </w:r>
            <w:proofErr w:type="spellEnd"/>
            <w:r w:rsidRPr="00504740">
              <w:rPr>
                <w:rFonts w:ascii="Calibri" w:hAnsi="Calibri"/>
                <w:sz w:val="22"/>
              </w:rPr>
              <w:t xml:space="preserve"> И.Р. Порядок оценки заявок, окончательных предложений участников закупки. Практическое пособие. Издание 2-ое, дополненное и переработанное, Москва, 2015 г.</w:t>
            </w:r>
          </w:p>
          <w:p w:rsidR="00BC66FC" w:rsidRPr="00504740" w:rsidRDefault="00BC66FC" w:rsidP="005A3EEC">
            <w:pPr>
              <w:numPr>
                <w:ilvl w:val="0"/>
                <w:numId w:val="16"/>
              </w:numPr>
              <w:spacing w:after="0" w:line="240" w:lineRule="auto"/>
              <w:ind w:left="284" w:hanging="284"/>
              <w:contextualSpacing/>
              <w:jc w:val="both"/>
              <w:rPr>
                <w:rFonts w:ascii="Calibri" w:hAnsi="Calibri"/>
                <w:sz w:val="22"/>
              </w:rPr>
            </w:pPr>
            <w:r w:rsidRPr="00504740">
              <w:rPr>
                <w:rFonts w:ascii="Calibri" w:hAnsi="Calibri"/>
                <w:sz w:val="22"/>
              </w:rPr>
              <w:t>6. </w:t>
            </w:r>
            <w:proofErr w:type="spellStart"/>
            <w:r w:rsidRPr="00504740">
              <w:rPr>
                <w:rFonts w:ascii="Calibri" w:hAnsi="Calibri"/>
                <w:sz w:val="22"/>
              </w:rPr>
              <w:t>Серажетдинов</w:t>
            </w:r>
            <w:proofErr w:type="spellEnd"/>
            <w:r w:rsidRPr="00504740">
              <w:rPr>
                <w:rFonts w:ascii="Calibri" w:hAnsi="Calibri"/>
                <w:sz w:val="22"/>
              </w:rPr>
              <w:t xml:space="preserve"> Р.Р. Порядок оценки заявок, окончательных предложений участников закупок // Госзаказ: управление, размещение, обеспечение. 2014. № 37. С. 40-49.</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Сергеева В.А. «Нормирование закупок для обеспечения государственных (муниципальных) нужд. Часть 3. Нормирование свойств// Госзаказ: управление, размещение, обеспечение. 2016. № 43. С. 18-27.</w:t>
            </w:r>
          </w:p>
          <w:p w:rsidR="00BC66FC" w:rsidRPr="00504740" w:rsidRDefault="00BC66FC" w:rsidP="005A3EEC">
            <w:pPr>
              <w:numPr>
                <w:ilvl w:val="0"/>
                <w:numId w:val="16"/>
              </w:numPr>
              <w:spacing w:after="0" w:line="240" w:lineRule="auto"/>
              <w:ind w:left="284" w:hanging="284"/>
              <w:jc w:val="both"/>
              <w:rPr>
                <w:rFonts w:ascii="Calibri" w:hAnsi="Calibri"/>
                <w:sz w:val="22"/>
              </w:rPr>
            </w:pPr>
            <w:r w:rsidRPr="00504740">
              <w:rPr>
                <w:rFonts w:ascii="Calibri" w:hAnsi="Calibri"/>
                <w:sz w:val="22"/>
              </w:rPr>
              <w:t>Сергеева В.А. «Нормирование закупок для обеспечения государственных (муниципальных) нужд. // Госзаказ: управление, размещение, обеспечение. 2016. № 42. С. 16-39.</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Тасалов</w:t>
            </w:r>
            <w:proofErr w:type="spellEnd"/>
            <w:r w:rsidRPr="00504740">
              <w:rPr>
                <w:rFonts w:ascii="Calibri" w:hAnsi="Calibri"/>
                <w:sz w:val="22"/>
              </w:rPr>
              <w:t xml:space="preserve"> Ф.А/ Контрактная система в сфере государственных закупок России и США (сравнительно-правовое исследование) /. – Москва: Проспект, 2014. – 240 с.</w:t>
            </w:r>
          </w:p>
          <w:p w:rsidR="00BC66FC" w:rsidRPr="00504740" w:rsidRDefault="00BC66FC" w:rsidP="005A3EEC">
            <w:pPr>
              <w:numPr>
                <w:ilvl w:val="0"/>
                <w:numId w:val="16"/>
              </w:numPr>
              <w:spacing w:after="0" w:line="240" w:lineRule="auto"/>
              <w:ind w:left="284" w:hanging="284"/>
              <w:contextualSpacing/>
              <w:jc w:val="both"/>
              <w:rPr>
                <w:rFonts w:ascii="Calibri" w:hAnsi="Calibri"/>
                <w:sz w:val="22"/>
              </w:rPr>
            </w:pPr>
            <w:r w:rsidRPr="00504740">
              <w:rPr>
                <w:rFonts w:ascii="Calibri" w:hAnsi="Calibri"/>
                <w:sz w:val="22"/>
              </w:rPr>
              <w:t xml:space="preserve"> </w:t>
            </w:r>
            <w:proofErr w:type="spellStart"/>
            <w:r w:rsidRPr="00504740">
              <w:rPr>
                <w:rFonts w:ascii="Calibri" w:hAnsi="Calibri"/>
                <w:sz w:val="22"/>
              </w:rPr>
              <w:t>Толстобоков</w:t>
            </w:r>
            <w:proofErr w:type="spellEnd"/>
            <w:r w:rsidRPr="00504740">
              <w:rPr>
                <w:rFonts w:ascii="Calibri" w:hAnsi="Calibri"/>
                <w:sz w:val="22"/>
              </w:rPr>
              <w:t xml:space="preserve"> О.Н. «Уменьшение размеров штрафов: пути реализации в практике взаимодействия с УФАС России» // Госзаказ: управление, размещение, обеспечение. 2016. № 43. С. 124-131.</w:t>
            </w:r>
          </w:p>
          <w:p w:rsidR="00BC66FC" w:rsidRPr="00504740" w:rsidRDefault="00BC66FC" w:rsidP="005A3EEC">
            <w:pPr>
              <w:numPr>
                <w:ilvl w:val="0"/>
                <w:numId w:val="16"/>
              </w:numPr>
              <w:spacing w:after="0" w:line="240" w:lineRule="auto"/>
              <w:ind w:left="284" w:hanging="284"/>
              <w:contextualSpacing/>
              <w:jc w:val="both"/>
              <w:rPr>
                <w:rFonts w:ascii="Calibri" w:hAnsi="Calibri"/>
                <w:sz w:val="22"/>
              </w:rPr>
            </w:pPr>
            <w:proofErr w:type="spellStart"/>
            <w:r w:rsidRPr="00504740">
              <w:rPr>
                <w:rFonts w:ascii="Calibri" w:hAnsi="Calibri"/>
                <w:sz w:val="22"/>
              </w:rPr>
              <w:t>Толстобоков</w:t>
            </w:r>
            <w:proofErr w:type="spellEnd"/>
            <w:r w:rsidRPr="00504740">
              <w:rPr>
                <w:rFonts w:ascii="Calibri" w:hAnsi="Calibri"/>
                <w:sz w:val="22"/>
              </w:rPr>
              <w:t xml:space="preserve"> О.Н. «Практика обжалований действий заказчиков» // Госзаказ: управление, размещение, обеспечение. 2014. № 37. С. 130-133.</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Толстобоков</w:t>
            </w:r>
            <w:proofErr w:type="spellEnd"/>
            <w:r w:rsidRPr="00504740">
              <w:rPr>
                <w:rFonts w:ascii="Calibri" w:hAnsi="Calibri"/>
                <w:sz w:val="22"/>
              </w:rPr>
              <w:t xml:space="preserve"> О.Н. «Ошибки планов-графиков в переходный период развития контрактной системы» // Госзаказ: управление, размещение, обеспечение. 2014. № 35. С. 82-91;</w:t>
            </w:r>
          </w:p>
          <w:p w:rsidR="00BC66FC" w:rsidRPr="00504740" w:rsidRDefault="00BC66FC" w:rsidP="005A3EEC">
            <w:pPr>
              <w:numPr>
                <w:ilvl w:val="0"/>
                <w:numId w:val="16"/>
              </w:numPr>
              <w:spacing w:after="0" w:line="240" w:lineRule="auto"/>
              <w:ind w:left="284" w:hanging="284"/>
              <w:jc w:val="both"/>
              <w:rPr>
                <w:rFonts w:ascii="Calibri" w:hAnsi="Calibri"/>
                <w:sz w:val="22"/>
              </w:rPr>
            </w:pPr>
            <w:proofErr w:type="spellStart"/>
            <w:r w:rsidRPr="00504740">
              <w:rPr>
                <w:rFonts w:ascii="Calibri" w:hAnsi="Calibri"/>
                <w:sz w:val="22"/>
              </w:rPr>
              <w:t>Шамрин</w:t>
            </w:r>
            <w:proofErr w:type="spellEnd"/>
            <w:r w:rsidRPr="00504740">
              <w:rPr>
                <w:rFonts w:ascii="Calibri" w:hAnsi="Calibri"/>
                <w:sz w:val="22"/>
              </w:rPr>
              <w:t xml:space="preserve"> А.Т., Маслова Н.С. « Профессиональные стандарты. Настоящее и будущее» // Госзаказ: управление, размещение, обеспечение. 2015. № 42. С. 10-15.</w:t>
            </w:r>
          </w:p>
          <w:p w:rsidR="00BC66FC" w:rsidRPr="00504740" w:rsidRDefault="0030593A" w:rsidP="005A3EEC">
            <w:pPr>
              <w:numPr>
                <w:ilvl w:val="0"/>
                <w:numId w:val="16"/>
              </w:numPr>
              <w:spacing w:after="0" w:line="240" w:lineRule="auto"/>
              <w:ind w:left="284" w:hanging="284"/>
              <w:jc w:val="both"/>
              <w:rPr>
                <w:rFonts w:ascii="Calibri" w:hAnsi="Calibri"/>
                <w:sz w:val="22"/>
              </w:rPr>
            </w:pPr>
            <w:hyperlink r:id="rId13" w:tgtFrame="_blank" w:history="1">
              <w:proofErr w:type="spellStart"/>
              <w:r w:rsidR="00BC66FC" w:rsidRPr="00504740">
                <w:rPr>
                  <w:rFonts w:ascii="Calibri" w:hAnsi="Calibri"/>
                  <w:sz w:val="22"/>
                </w:rPr>
                <w:t>Шамрин</w:t>
              </w:r>
              <w:proofErr w:type="spellEnd"/>
              <w:r w:rsidR="00BC66FC" w:rsidRPr="00504740">
                <w:rPr>
                  <w:rFonts w:ascii="Calibri" w:hAnsi="Calibri"/>
                  <w:sz w:val="22"/>
                </w:rPr>
                <w:t xml:space="preserve"> А. Т.</w:t>
              </w:r>
            </w:hyperlink>
            <w:r w:rsidR="00BC66FC" w:rsidRPr="00504740">
              <w:rPr>
                <w:rFonts w:ascii="Calibri" w:hAnsi="Calibri"/>
                <w:sz w:val="22"/>
              </w:rPr>
              <w:t xml:space="preserve">, Маслова Н. С., </w:t>
            </w:r>
            <w:hyperlink r:id="rId14" w:tgtFrame="_blank" w:history="1">
              <w:r w:rsidR="00BC66FC" w:rsidRPr="00504740">
                <w:rPr>
                  <w:rFonts w:ascii="Calibri" w:hAnsi="Calibri"/>
                  <w:sz w:val="22"/>
                </w:rPr>
                <w:t>Еременко Н. В.</w:t>
              </w:r>
            </w:hyperlink>
            <w:r w:rsidR="00BC66FC" w:rsidRPr="00504740">
              <w:rPr>
                <w:rFonts w:ascii="Calibri" w:hAnsi="Calibri"/>
                <w:sz w:val="22"/>
              </w:rPr>
              <w:t xml:space="preserve"> </w:t>
            </w:r>
            <w:hyperlink r:id="rId15" w:tgtFrame="_blank" w:history="1">
              <w:r w:rsidR="00BC66FC" w:rsidRPr="00504740">
                <w:rPr>
                  <w:rFonts w:ascii="Calibri" w:hAnsi="Calibri"/>
                  <w:sz w:val="22"/>
                </w:rPr>
                <w:t>Основные результаты закупочной деятельности в рамках контрактной системы в 2014 году</w:t>
              </w:r>
            </w:hyperlink>
            <w:r w:rsidR="00BC66FC" w:rsidRPr="00504740">
              <w:rPr>
                <w:rFonts w:ascii="Calibri" w:hAnsi="Calibri"/>
                <w:sz w:val="22"/>
              </w:rPr>
              <w:t> // Госзаказ: управление, размещение, обеспечение. 2015. № 40. С. 40-55.</w:t>
            </w:r>
          </w:p>
        </w:tc>
      </w:tr>
      <w:tr w:rsidR="00BC66FC" w:rsidRPr="00504740" w:rsidTr="006439B2">
        <w:tc>
          <w:tcPr>
            <w:tcW w:w="2410"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rPr>
                <w:rFonts w:ascii="Calibri" w:hAnsi="Calibri" w:cs="Calibri"/>
                <w:bCs/>
                <w:sz w:val="22"/>
                <w:lang w:val="en-US" w:eastAsia="ru-RU"/>
              </w:rPr>
            </w:pPr>
            <w:r w:rsidRPr="00504740">
              <w:rPr>
                <w:rFonts w:ascii="Calibri" w:hAnsi="Calibri" w:cs="Calibri"/>
                <w:b/>
                <w:bCs/>
                <w:sz w:val="22"/>
                <w:lang w:eastAsia="ru-RU"/>
              </w:rPr>
              <w:lastRenderedPageBreak/>
              <w:t>10. </w:t>
            </w:r>
            <w:r w:rsidRPr="00504740">
              <w:rPr>
                <w:rFonts w:ascii="Calibri" w:hAnsi="Calibri" w:cs="Calibri"/>
                <w:b/>
                <w:bCs/>
                <w:sz w:val="22"/>
                <w:lang w:val="en-US" w:eastAsia="ru-RU"/>
              </w:rPr>
              <w:t>Way of examining</w:t>
            </w:r>
          </w:p>
        </w:tc>
        <w:tc>
          <w:tcPr>
            <w:tcW w:w="7678" w:type="dxa"/>
            <w:tcBorders>
              <w:top w:val="single" w:sz="4" w:space="0" w:color="auto"/>
              <w:left w:val="single" w:sz="4" w:space="0" w:color="auto"/>
              <w:bottom w:val="single" w:sz="4" w:space="0" w:color="auto"/>
              <w:right w:val="single" w:sz="4" w:space="0" w:color="auto"/>
            </w:tcBorders>
          </w:tcPr>
          <w:p w:rsidR="00BC66FC" w:rsidRPr="00504740" w:rsidRDefault="00BC66FC" w:rsidP="006439B2">
            <w:pPr>
              <w:spacing w:after="0" w:line="240" w:lineRule="auto"/>
              <w:jc w:val="both"/>
              <w:rPr>
                <w:rFonts w:ascii="Calibri" w:eastAsia="Calibri" w:hAnsi="Calibri" w:cs="Calibri"/>
                <w:bCs/>
                <w:sz w:val="22"/>
                <w:lang w:val="en-US" w:eastAsia="ru-RU"/>
              </w:rPr>
            </w:pPr>
            <w:r w:rsidRPr="00504740">
              <w:rPr>
                <w:rFonts w:ascii="Calibri" w:eastAsia="Calibri" w:hAnsi="Calibri" w:cs="Calibri"/>
                <w:bCs/>
                <w:sz w:val="22"/>
                <w:lang w:val="en-US" w:eastAsia="ru-RU"/>
              </w:rPr>
              <w:t>The assessment criteria and grade system are the following:</w:t>
            </w:r>
          </w:p>
          <w:tbl>
            <w:tblPr>
              <w:tblStyle w:val="4"/>
              <w:tblW w:w="0" w:type="auto"/>
              <w:jc w:val="center"/>
              <w:tblLook w:val="04A0" w:firstRow="1" w:lastRow="0" w:firstColumn="1" w:lastColumn="0" w:noHBand="0" w:noVBand="1"/>
            </w:tblPr>
            <w:tblGrid>
              <w:gridCol w:w="4267"/>
              <w:gridCol w:w="2566"/>
            </w:tblGrid>
            <w:tr w:rsidR="00BC66FC" w:rsidRPr="006360F4" w:rsidTr="006439B2">
              <w:trPr>
                <w:jc w:val="center"/>
              </w:trPr>
              <w:tc>
                <w:tcPr>
                  <w:tcW w:w="4267" w:type="dxa"/>
                </w:tcPr>
                <w:p w:rsidR="00BC66FC" w:rsidRPr="00504740" w:rsidRDefault="00BC66FC" w:rsidP="006439B2">
                  <w:pPr>
                    <w:spacing w:line="360" w:lineRule="auto"/>
                    <w:jc w:val="center"/>
                    <w:rPr>
                      <w:rFonts w:ascii="Calibri" w:eastAsia="Calibri" w:hAnsi="Calibri" w:cs="Calibri"/>
                      <w:bCs/>
                      <w:sz w:val="22"/>
                      <w:lang w:val="en-US"/>
                    </w:rPr>
                  </w:pPr>
                  <w:r w:rsidRPr="00504740">
                    <w:rPr>
                      <w:rFonts w:ascii="Calibri" w:hAnsi="Calibri"/>
                      <w:i/>
                      <w:sz w:val="22"/>
                      <w:lang w:val="en-US"/>
                    </w:rPr>
                    <w:t>Mark’s components</w:t>
                  </w:r>
                </w:p>
              </w:tc>
              <w:tc>
                <w:tcPr>
                  <w:tcW w:w="2566" w:type="dxa"/>
                  <w:vAlign w:val="center"/>
                </w:tcPr>
                <w:p w:rsidR="00BC66FC" w:rsidRPr="00504740" w:rsidRDefault="00BC66FC" w:rsidP="006439B2">
                  <w:pPr>
                    <w:spacing w:line="360" w:lineRule="auto"/>
                    <w:jc w:val="center"/>
                    <w:rPr>
                      <w:rFonts w:ascii="Calibri" w:eastAsia="Calibri" w:hAnsi="Calibri" w:cs="Calibri"/>
                      <w:bCs/>
                      <w:sz w:val="22"/>
                      <w:lang w:val="en-US"/>
                    </w:rPr>
                  </w:pPr>
                  <w:r w:rsidRPr="00504740">
                    <w:rPr>
                      <w:rFonts w:ascii="Calibri" w:hAnsi="Calibri"/>
                      <w:i/>
                      <w:sz w:val="22"/>
                      <w:lang w:val="en-US"/>
                    </w:rPr>
                    <w:t>Weight in the final mark</w:t>
                  </w:r>
                </w:p>
              </w:tc>
            </w:tr>
            <w:tr w:rsidR="00BC66FC" w:rsidRPr="00504740" w:rsidTr="006439B2">
              <w:trPr>
                <w:jc w:val="center"/>
              </w:trPr>
              <w:tc>
                <w:tcPr>
                  <w:tcW w:w="4267" w:type="dxa"/>
                </w:tcPr>
                <w:p w:rsidR="00BC66FC" w:rsidRPr="00504740" w:rsidRDefault="00BC66FC" w:rsidP="006439B2">
                  <w:pPr>
                    <w:spacing w:line="360" w:lineRule="auto"/>
                    <w:jc w:val="both"/>
                    <w:rPr>
                      <w:rFonts w:ascii="Calibri" w:eastAsia="Calibri" w:hAnsi="Calibri" w:cs="Calibri"/>
                      <w:bCs/>
                      <w:sz w:val="22"/>
                      <w:lang w:val="en-US"/>
                    </w:rPr>
                  </w:pPr>
                  <w:r w:rsidRPr="00504740">
                    <w:rPr>
                      <w:rFonts w:ascii="Calibri" w:hAnsi="Calibri"/>
                      <w:sz w:val="22"/>
                      <w:lang w:val="en-US"/>
                    </w:rPr>
                    <w:t>Current control in seminars</w:t>
                  </w:r>
                </w:p>
              </w:tc>
              <w:tc>
                <w:tcPr>
                  <w:tcW w:w="2566" w:type="dxa"/>
                  <w:vAlign w:val="center"/>
                </w:tcPr>
                <w:p w:rsidR="00BC66FC" w:rsidRPr="00504740" w:rsidRDefault="00BC66FC" w:rsidP="006439B2">
                  <w:pPr>
                    <w:spacing w:line="360" w:lineRule="auto"/>
                    <w:jc w:val="center"/>
                    <w:rPr>
                      <w:rFonts w:ascii="Calibri" w:eastAsia="Calibri" w:hAnsi="Calibri" w:cs="Calibri"/>
                      <w:bCs/>
                      <w:sz w:val="22"/>
                      <w:lang w:val="en-US"/>
                    </w:rPr>
                  </w:pPr>
                  <w:r w:rsidRPr="00504740">
                    <w:rPr>
                      <w:rFonts w:ascii="Calibri" w:hAnsi="Calibri"/>
                      <w:sz w:val="22"/>
                      <w:lang w:val="en-US"/>
                    </w:rPr>
                    <w:t>0.3</w:t>
                  </w:r>
                </w:p>
              </w:tc>
            </w:tr>
            <w:tr w:rsidR="00BC66FC" w:rsidRPr="00504740" w:rsidTr="006439B2">
              <w:trPr>
                <w:jc w:val="center"/>
              </w:trPr>
              <w:tc>
                <w:tcPr>
                  <w:tcW w:w="4267" w:type="dxa"/>
                </w:tcPr>
                <w:p w:rsidR="00BC66FC" w:rsidRPr="00504740" w:rsidRDefault="00BC66FC" w:rsidP="006439B2">
                  <w:pPr>
                    <w:spacing w:line="360" w:lineRule="auto"/>
                    <w:jc w:val="both"/>
                    <w:rPr>
                      <w:rFonts w:ascii="Calibri" w:eastAsia="Calibri" w:hAnsi="Calibri" w:cs="Calibri"/>
                      <w:bCs/>
                      <w:sz w:val="22"/>
                      <w:lang w:val="en-US"/>
                    </w:rPr>
                  </w:pPr>
                  <w:r w:rsidRPr="00504740">
                    <w:rPr>
                      <w:rFonts w:ascii="Calibri" w:hAnsi="Calibri"/>
                      <w:sz w:val="22"/>
                      <w:lang w:val="en-US"/>
                    </w:rPr>
                    <w:t>Essay and presentation</w:t>
                  </w:r>
                </w:p>
              </w:tc>
              <w:tc>
                <w:tcPr>
                  <w:tcW w:w="2566" w:type="dxa"/>
                  <w:vAlign w:val="center"/>
                </w:tcPr>
                <w:p w:rsidR="00BC66FC" w:rsidRPr="00504740" w:rsidRDefault="00BC66FC" w:rsidP="006439B2">
                  <w:pPr>
                    <w:spacing w:line="360" w:lineRule="auto"/>
                    <w:jc w:val="center"/>
                    <w:rPr>
                      <w:rFonts w:ascii="Calibri" w:eastAsia="Calibri" w:hAnsi="Calibri" w:cs="Calibri"/>
                      <w:bCs/>
                      <w:sz w:val="22"/>
                      <w:lang w:val="en-US"/>
                    </w:rPr>
                  </w:pPr>
                  <w:r w:rsidRPr="00504740">
                    <w:rPr>
                      <w:rFonts w:ascii="Calibri" w:hAnsi="Calibri"/>
                      <w:sz w:val="22"/>
                      <w:lang w:val="en-US"/>
                    </w:rPr>
                    <w:t>0.3</w:t>
                  </w:r>
                </w:p>
              </w:tc>
            </w:tr>
            <w:tr w:rsidR="00BC66FC" w:rsidRPr="00504740" w:rsidTr="006439B2">
              <w:trPr>
                <w:jc w:val="center"/>
              </w:trPr>
              <w:tc>
                <w:tcPr>
                  <w:tcW w:w="4267" w:type="dxa"/>
                </w:tcPr>
                <w:p w:rsidR="00BC66FC" w:rsidRPr="00504740" w:rsidRDefault="00BC66FC" w:rsidP="006439B2">
                  <w:pPr>
                    <w:spacing w:line="360" w:lineRule="auto"/>
                    <w:jc w:val="both"/>
                    <w:rPr>
                      <w:rFonts w:ascii="Calibri" w:eastAsia="Calibri" w:hAnsi="Calibri" w:cs="Calibri"/>
                      <w:bCs/>
                      <w:sz w:val="22"/>
                      <w:lang w:val="en-US"/>
                    </w:rPr>
                  </w:pPr>
                  <w:r w:rsidRPr="00504740">
                    <w:rPr>
                      <w:rFonts w:ascii="Calibri" w:hAnsi="Calibri"/>
                      <w:sz w:val="22"/>
                      <w:lang w:val="en-US"/>
                    </w:rPr>
                    <w:t>Written exam</w:t>
                  </w:r>
                </w:p>
              </w:tc>
              <w:tc>
                <w:tcPr>
                  <w:tcW w:w="2566" w:type="dxa"/>
                  <w:vAlign w:val="center"/>
                </w:tcPr>
                <w:p w:rsidR="00BC66FC" w:rsidRPr="00504740" w:rsidRDefault="00BC66FC" w:rsidP="006439B2">
                  <w:pPr>
                    <w:spacing w:line="360" w:lineRule="auto"/>
                    <w:jc w:val="center"/>
                    <w:rPr>
                      <w:rFonts w:ascii="Calibri" w:eastAsia="Calibri" w:hAnsi="Calibri" w:cs="Calibri"/>
                      <w:bCs/>
                      <w:sz w:val="22"/>
                      <w:lang w:val="en-US"/>
                    </w:rPr>
                  </w:pPr>
                  <w:r w:rsidRPr="00504740">
                    <w:rPr>
                      <w:rFonts w:ascii="Calibri" w:hAnsi="Calibri"/>
                      <w:sz w:val="22"/>
                      <w:lang w:val="en-US"/>
                    </w:rPr>
                    <w:t>0.4</w:t>
                  </w:r>
                </w:p>
              </w:tc>
            </w:tr>
          </w:tbl>
          <w:p w:rsidR="00BC66FC" w:rsidRPr="00504740" w:rsidRDefault="00BC66FC" w:rsidP="006439B2">
            <w:pPr>
              <w:spacing w:after="0" w:line="240" w:lineRule="auto"/>
              <w:rPr>
                <w:rFonts w:ascii="Calibri" w:hAnsi="Calibri" w:cs="Calibri"/>
                <w:bCs/>
                <w:sz w:val="22"/>
                <w:lang w:val="en-US" w:eastAsia="ru-RU"/>
              </w:rPr>
            </w:pPr>
          </w:p>
        </w:tc>
      </w:tr>
    </w:tbl>
    <w:p w:rsidR="00F76E98" w:rsidRDefault="00F76E98">
      <w:pPr>
        <w:rPr>
          <w:lang w:val="en-US"/>
        </w:rPr>
      </w:pPr>
      <w:bookmarkStart w:id="0" w:name="_GoBack"/>
      <w:bookmarkEnd w:id="0"/>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24D3"/>
    <w:rsid w:val="001A3A67"/>
    <w:rsid w:val="001B26CF"/>
    <w:rsid w:val="001B70DF"/>
    <w:rsid w:val="001C3AC6"/>
    <w:rsid w:val="001C3C39"/>
    <w:rsid w:val="001E1902"/>
    <w:rsid w:val="001F54BB"/>
    <w:rsid w:val="001F7DCA"/>
    <w:rsid w:val="00204267"/>
    <w:rsid w:val="0020530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593A"/>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360F4"/>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2615"/>
    <w:rsid w:val="00AC3709"/>
    <w:rsid w:val="00AD7857"/>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217"/>
    <w:rsid w:val="00C53D95"/>
    <w:rsid w:val="00C70E80"/>
    <w:rsid w:val="00C75A76"/>
    <w:rsid w:val="00C83304"/>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A7AE2"/>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C7EF3"/>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ru/org/persons/2059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blications.hse.ru/view/522403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ru/org/persons/26057" TargetMode="External"/><Relationship Id="rId5" Type="http://schemas.openxmlformats.org/officeDocument/2006/relationships/settings" Target="settings.xml"/><Relationship Id="rId15" Type="http://schemas.openxmlformats.org/officeDocument/2006/relationships/hyperlink" Target="http://publications.hse.ru/view/152945578" TargetMode="External"/><Relationship Id="rId10" Type="http://schemas.openxmlformats.org/officeDocument/2006/relationships/hyperlink" Target="http://www.hse.ru/org/persons/206135" TargetMode="External"/><Relationship Id="rId4" Type="http://schemas.microsoft.com/office/2007/relationships/stylesWithEffects" Target="stylesWithEffects.xml"/><Relationship Id="rId9" Type="http://schemas.openxmlformats.org/officeDocument/2006/relationships/hyperlink" Target="http://publications.hse.ru/view/152955916" TargetMode="External"/><Relationship Id="rId14" Type="http://schemas.openxmlformats.org/officeDocument/2006/relationships/hyperlink" Target="http://www.hse.ru/org/persons/4556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CB21-689B-428D-BC61-1DD3BEC3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4</cp:revision>
  <dcterms:created xsi:type="dcterms:W3CDTF">2017-04-03T08:07:00Z</dcterms:created>
  <dcterms:modified xsi:type="dcterms:W3CDTF">2017-04-03T13:18:00Z</dcterms:modified>
</cp:coreProperties>
</file>