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40" w:rsidRPr="002B7FA0" w:rsidRDefault="00504740" w:rsidP="00504740">
      <w:pPr>
        <w:rPr>
          <w:rFonts w:ascii="Calibri" w:hAnsi="Calibri"/>
          <w:b/>
          <w:sz w:val="22"/>
          <w:lang w:val="en-US"/>
        </w:rPr>
      </w:pPr>
      <w:r w:rsidRPr="00504740">
        <w:rPr>
          <w:rFonts w:ascii="Calibri" w:hAnsi="Calibri"/>
          <w:b/>
          <w:sz w:val="22"/>
        </w:rPr>
        <w:t>М</w:t>
      </w:r>
      <w:r w:rsidRPr="002B7FA0">
        <w:rPr>
          <w:rFonts w:ascii="Calibri" w:hAnsi="Calibri"/>
          <w:b/>
          <w:sz w:val="22"/>
          <w:lang w:val="en-US"/>
        </w:rPr>
        <w:t>.2.</w:t>
      </w:r>
      <w:r w:rsidRPr="00504740">
        <w:rPr>
          <w:rFonts w:ascii="Calibri" w:hAnsi="Calibri"/>
          <w:b/>
          <w:sz w:val="22"/>
        </w:rPr>
        <w:t>Б</w:t>
      </w:r>
      <w:r w:rsidRPr="002B7FA0">
        <w:rPr>
          <w:rFonts w:ascii="Calibri" w:hAnsi="Calibri"/>
          <w:b/>
          <w:sz w:val="22"/>
          <w:lang w:val="en-US"/>
        </w:rPr>
        <w:t>.01.3 Program and Regional Policy Analysis (offered in English)</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7678"/>
      </w:tblGrid>
      <w:tr w:rsidR="00B374A1" w:rsidRPr="0018056E" w:rsidTr="00B374A1">
        <w:tc>
          <w:tcPr>
            <w:tcW w:w="2410"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
                <w:bCs/>
                <w:sz w:val="22"/>
                <w:lang w:val="en-US" w:eastAsia="ru-RU"/>
              </w:rPr>
            </w:pPr>
            <w:r w:rsidRPr="00B374A1">
              <w:rPr>
                <w:rFonts w:asciiTheme="minorHAnsi" w:hAnsiTheme="minorHAnsi" w:cs="Calibri"/>
                <w:b/>
                <w:bCs/>
                <w:sz w:val="22"/>
                <w:lang w:val="en-US" w:eastAsia="ru-RU"/>
              </w:rPr>
              <w:t>1. Course number, title, and ECTS</w:t>
            </w:r>
          </w:p>
        </w:tc>
        <w:tc>
          <w:tcPr>
            <w:tcW w:w="7678"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
                <w:bCs/>
                <w:sz w:val="22"/>
                <w:lang w:val="en-US" w:eastAsia="ru-RU"/>
              </w:rPr>
            </w:pPr>
            <w:r w:rsidRPr="00B374A1">
              <w:rPr>
                <w:rFonts w:asciiTheme="minorHAnsi" w:hAnsiTheme="minorHAnsi" w:cs="Calibri"/>
                <w:b/>
                <w:bCs/>
                <w:sz w:val="22"/>
                <w:lang w:val="en-US"/>
              </w:rPr>
              <w:t>М.2.Б.0</w:t>
            </w:r>
            <w:r w:rsidR="0018056E">
              <w:rPr>
                <w:rFonts w:asciiTheme="minorHAnsi" w:hAnsiTheme="minorHAnsi" w:cs="Calibri"/>
                <w:b/>
                <w:bCs/>
                <w:sz w:val="22"/>
                <w:lang w:val="en-US"/>
              </w:rPr>
              <w:t>1</w:t>
            </w:r>
            <w:r w:rsidRPr="00B374A1">
              <w:rPr>
                <w:rFonts w:asciiTheme="minorHAnsi" w:hAnsiTheme="minorHAnsi" w:cs="Calibri"/>
                <w:b/>
                <w:bCs/>
                <w:sz w:val="22"/>
                <w:lang w:val="en-US"/>
              </w:rPr>
              <w:t>.</w:t>
            </w:r>
            <w:r w:rsidR="0018056E">
              <w:rPr>
                <w:rFonts w:asciiTheme="minorHAnsi" w:hAnsiTheme="minorHAnsi" w:cs="Calibri"/>
                <w:b/>
                <w:bCs/>
                <w:sz w:val="22"/>
                <w:lang w:val="en-US"/>
              </w:rPr>
              <w:t>3</w:t>
            </w:r>
            <w:r w:rsidRPr="00B374A1">
              <w:rPr>
                <w:rFonts w:asciiTheme="minorHAnsi" w:hAnsiTheme="minorHAnsi" w:cs="Calibri"/>
                <w:b/>
                <w:bCs/>
                <w:sz w:val="22"/>
                <w:lang w:val="en-US"/>
              </w:rPr>
              <w:t>, Program and Regional Policy Analysis (offered in English)</w:t>
            </w:r>
            <w:r w:rsidRPr="00B374A1">
              <w:rPr>
                <w:rFonts w:asciiTheme="minorHAnsi" w:hAnsiTheme="minorHAnsi" w:cs="Calibri"/>
                <w:b/>
                <w:bCs/>
                <w:sz w:val="22"/>
                <w:lang w:val="en-US" w:eastAsia="ru-RU"/>
              </w:rPr>
              <w:t>,  5 ECTS</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Core Course</w:t>
            </w:r>
          </w:p>
          <w:p w:rsidR="00B374A1" w:rsidRPr="00B374A1" w:rsidRDefault="00B374A1" w:rsidP="00B374A1">
            <w:pPr>
              <w:spacing w:after="0" w:line="240" w:lineRule="auto"/>
              <w:rPr>
                <w:rFonts w:asciiTheme="minorHAnsi" w:hAnsiTheme="minorHAnsi" w:cs="Calibri"/>
                <w:b/>
                <w:bCs/>
                <w:sz w:val="22"/>
                <w:lang w:val="en-US" w:eastAsia="ru-RU"/>
              </w:rPr>
            </w:pPr>
            <w:r w:rsidRPr="00B374A1">
              <w:rPr>
                <w:rFonts w:asciiTheme="minorHAnsi" w:hAnsiTheme="minorHAnsi" w:cs="Calibri"/>
                <w:bCs/>
                <w:sz w:val="22"/>
                <w:lang w:val="en-US" w:eastAsia="ru-RU"/>
              </w:rPr>
              <w:t>Lectures - 24</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Seminars &amp; Practical Classes – 32</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Contact Hours – 56</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Self-study Hours </w:t>
            </w:r>
            <w:bookmarkStart w:id="0" w:name="_GoBack"/>
            <w:bookmarkEnd w:id="0"/>
            <w:r w:rsidRPr="00B374A1">
              <w:rPr>
                <w:rFonts w:asciiTheme="minorHAnsi" w:hAnsiTheme="minorHAnsi" w:cs="Calibri"/>
                <w:bCs/>
                <w:sz w:val="22"/>
                <w:lang w:val="en-US" w:eastAsia="ru-RU"/>
              </w:rPr>
              <w:t>– 134</w:t>
            </w:r>
          </w:p>
        </w:tc>
      </w:tr>
      <w:tr w:rsidR="00B374A1" w:rsidRPr="0018056E" w:rsidTr="00B374A1">
        <w:tc>
          <w:tcPr>
            <w:tcW w:w="2410"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
                <w:bCs/>
                <w:sz w:val="22"/>
                <w:lang w:val="en-US" w:eastAsia="ru-RU"/>
              </w:rPr>
              <w:t>2. Course instructors during Self-Evaluation year and site visit year</w:t>
            </w:r>
          </w:p>
        </w:tc>
        <w:tc>
          <w:tcPr>
            <w:tcW w:w="7678" w:type="dxa"/>
            <w:tcBorders>
              <w:top w:val="single" w:sz="4" w:space="0" w:color="auto"/>
              <w:left w:val="single" w:sz="4" w:space="0" w:color="auto"/>
              <w:bottom w:val="single" w:sz="4" w:space="0" w:color="auto"/>
              <w:right w:val="single" w:sz="4" w:space="0" w:color="auto"/>
            </w:tcBorders>
          </w:tcPr>
          <w:p w:rsidR="002362E0" w:rsidRPr="00B374A1" w:rsidRDefault="002362E0" w:rsidP="002362E0">
            <w:pPr>
              <w:spacing w:after="0" w:line="240" w:lineRule="auto"/>
              <w:rPr>
                <w:rFonts w:asciiTheme="minorHAnsi" w:hAnsiTheme="minorHAnsi" w:cs="Calibri"/>
                <w:bCs/>
                <w:sz w:val="22"/>
                <w:lang w:val="en-US" w:eastAsia="ru-RU"/>
              </w:rPr>
            </w:pPr>
            <w:r>
              <w:rPr>
                <w:rFonts w:asciiTheme="minorHAnsi" w:hAnsiTheme="minorHAnsi" w:cs="Calibri"/>
                <w:bCs/>
                <w:sz w:val="22"/>
                <w:lang w:val="en-US" w:eastAsia="ru-RU"/>
              </w:rPr>
              <w:t xml:space="preserve">Mr. </w:t>
            </w:r>
            <w:r w:rsidRPr="00B374A1">
              <w:rPr>
                <w:rFonts w:asciiTheme="minorHAnsi" w:hAnsiTheme="minorHAnsi" w:cs="Calibri"/>
                <w:bCs/>
                <w:sz w:val="22"/>
                <w:lang w:val="en-US" w:eastAsia="ru-RU"/>
              </w:rPr>
              <w:t xml:space="preserve">Alexander Puzanov, </w:t>
            </w:r>
            <w:r>
              <w:rPr>
                <w:rFonts w:asciiTheme="minorHAnsi" w:hAnsiTheme="minorHAnsi" w:cs="Calibri"/>
                <w:bCs/>
                <w:sz w:val="22"/>
                <w:lang w:val="en-US" w:eastAsia="ru-RU"/>
              </w:rPr>
              <w:t>Professor, PhD in geography</w:t>
            </w:r>
          </w:p>
          <w:p w:rsidR="002362E0" w:rsidRPr="00B374A1" w:rsidRDefault="002362E0" w:rsidP="002362E0">
            <w:pPr>
              <w:spacing w:after="0" w:line="240" w:lineRule="auto"/>
              <w:rPr>
                <w:rFonts w:asciiTheme="minorHAnsi" w:hAnsiTheme="minorHAnsi" w:cs="Calibri"/>
                <w:bCs/>
                <w:sz w:val="22"/>
                <w:lang w:val="en-US" w:eastAsia="ru-RU"/>
              </w:rPr>
            </w:pPr>
            <w:r>
              <w:rPr>
                <w:rFonts w:asciiTheme="minorHAnsi" w:hAnsiTheme="minorHAnsi" w:cs="Calibri"/>
                <w:bCs/>
                <w:sz w:val="22"/>
                <w:lang w:val="en-US" w:eastAsia="ru-RU"/>
              </w:rPr>
              <w:t xml:space="preserve">Mrs. </w:t>
            </w:r>
            <w:r w:rsidRPr="00B374A1">
              <w:rPr>
                <w:rFonts w:asciiTheme="minorHAnsi" w:hAnsiTheme="minorHAnsi" w:cs="Calibri"/>
                <w:bCs/>
                <w:sz w:val="22"/>
                <w:lang w:val="en-US" w:eastAsia="ru-RU"/>
              </w:rPr>
              <w:t>Marina Shapiro,</w:t>
            </w:r>
            <w:r>
              <w:rPr>
                <w:rFonts w:asciiTheme="minorHAnsi" w:hAnsiTheme="minorHAnsi" w:cs="Calibri"/>
                <w:bCs/>
                <w:sz w:val="22"/>
                <w:lang w:val="en-US" w:eastAsia="ru-RU"/>
              </w:rPr>
              <w:t xml:space="preserve"> Associate Professor, PhD in Economics</w:t>
            </w:r>
          </w:p>
          <w:p w:rsidR="00B374A1" w:rsidRPr="00B374A1" w:rsidRDefault="002362E0" w:rsidP="002362E0">
            <w:pPr>
              <w:spacing w:after="0" w:line="240" w:lineRule="auto"/>
              <w:rPr>
                <w:rFonts w:asciiTheme="minorHAnsi" w:hAnsiTheme="minorHAnsi" w:cs="Calibri"/>
                <w:bCs/>
                <w:sz w:val="22"/>
                <w:lang w:val="en-US" w:eastAsia="ru-RU"/>
              </w:rPr>
            </w:pPr>
            <w:r>
              <w:rPr>
                <w:rFonts w:asciiTheme="minorHAnsi" w:hAnsiTheme="minorHAnsi" w:cs="Calibri"/>
                <w:bCs/>
                <w:sz w:val="22"/>
                <w:lang w:val="en-US" w:eastAsia="ru-RU"/>
              </w:rPr>
              <w:t xml:space="preserve">Mr. </w:t>
            </w:r>
            <w:r w:rsidRPr="00B374A1">
              <w:rPr>
                <w:rFonts w:asciiTheme="minorHAnsi" w:hAnsiTheme="minorHAnsi" w:cs="Calibri"/>
                <w:bCs/>
                <w:sz w:val="22"/>
                <w:lang w:val="en-US" w:eastAsia="ru-RU"/>
              </w:rPr>
              <w:t xml:space="preserve">German </w:t>
            </w:r>
            <w:proofErr w:type="spellStart"/>
            <w:r w:rsidRPr="00B374A1">
              <w:rPr>
                <w:rFonts w:asciiTheme="minorHAnsi" w:hAnsiTheme="minorHAnsi" w:cs="Calibri"/>
                <w:bCs/>
                <w:sz w:val="22"/>
                <w:lang w:val="en-US" w:eastAsia="ru-RU"/>
              </w:rPr>
              <w:t>Vetrov</w:t>
            </w:r>
            <w:proofErr w:type="spellEnd"/>
            <w:r w:rsidRPr="00B374A1">
              <w:rPr>
                <w:rFonts w:asciiTheme="minorHAnsi" w:hAnsiTheme="minorHAnsi" w:cs="Calibri"/>
                <w:bCs/>
                <w:sz w:val="22"/>
                <w:lang w:val="en-US" w:eastAsia="ru-RU"/>
              </w:rPr>
              <w:t>,</w:t>
            </w:r>
            <w:r>
              <w:rPr>
                <w:rFonts w:asciiTheme="minorHAnsi" w:hAnsiTheme="minorHAnsi" w:cs="Calibri"/>
                <w:bCs/>
                <w:sz w:val="22"/>
                <w:lang w:val="en-US" w:eastAsia="ru-RU"/>
              </w:rPr>
              <w:t xml:space="preserve"> Associate Professor, PhD in Economics</w:t>
            </w:r>
          </w:p>
        </w:tc>
      </w:tr>
      <w:tr w:rsidR="00B374A1" w:rsidRPr="0018056E" w:rsidTr="00B374A1">
        <w:tc>
          <w:tcPr>
            <w:tcW w:w="2410"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
                <w:bCs/>
                <w:sz w:val="22"/>
                <w:lang w:val="en-US" w:eastAsia="ru-RU"/>
              </w:rPr>
              <w:t>3. Prerequisites for the course</w:t>
            </w:r>
          </w:p>
        </w:tc>
        <w:tc>
          <w:tcPr>
            <w:tcW w:w="7678"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M.0.Б.00.2. Public Administration (bridging course), 4 ECTS</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eastAsia="ru-RU"/>
              </w:rPr>
              <w:t>М</w:t>
            </w:r>
            <w:r w:rsidRPr="00B374A1">
              <w:rPr>
                <w:rFonts w:asciiTheme="minorHAnsi" w:hAnsiTheme="minorHAnsi" w:cs="Calibri"/>
                <w:bCs/>
                <w:sz w:val="22"/>
                <w:lang w:val="en-US" w:eastAsia="ru-RU"/>
              </w:rPr>
              <w:t>.1.</w:t>
            </w:r>
            <w:r w:rsidRPr="00B374A1">
              <w:rPr>
                <w:rFonts w:asciiTheme="minorHAnsi" w:hAnsiTheme="minorHAnsi" w:cs="Calibri"/>
                <w:bCs/>
                <w:sz w:val="22"/>
                <w:lang w:eastAsia="ru-RU"/>
              </w:rPr>
              <w:t>Б</w:t>
            </w:r>
            <w:r w:rsidRPr="00B374A1">
              <w:rPr>
                <w:rFonts w:asciiTheme="minorHAnsi" w:hAnsiTheme="minorHAnsi" w:cs="Calibri"/>
                <w:bCs/>
                <w:sz w:val="22"/>
                <w:lang w:val="en-US" w:eastAsia="ru-RU"/>
              </w:rPr>
              <w:t>.00. Public Economics – 2, 6 ECTS</w:t>
            </w:r>
          </w:p>
        </w:tc>
      </w:tr>
      <w:tr w:rsidR="00B374A1" w:rsidRPr="0018056E" w:rsidTr="00B374A1">
        <w:tc>
          <w:tcPr>
            <w:tcW w:w="2410"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
                <w:bCs/>
                <w:sz w:val="22"/>
                <w:lang w:val="en-US" w:eastAsia="ru-RU"/>
              </w:rPr>
              <w:t>4. Course objectives in relation to total curriculum</w:t>
            </w:r>
          </w:p>
        </w:tc>
        <w:tc>
          <w:tcPr>
            <w:tcW w:w="7678"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The objectives of the course are:</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to equip students with intellectual tools in the identification and specification of</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policy problems and the development of sensible, useful, and politically viable solutions</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to develop understanding of comprehensive system of instruments and skill in</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applying such instruments to analysis of regional programs and policies</w:t>
            </w:r>
          </w:p>
        </w:tc>
      </w:tr>
      <w:tr w:rsidR="00B374A1" w:rsidRPr="0018056E" w:rsidTr="00B374A1">
        <w:tc>
          <w:tcPr>
            <w:tcW w:w="2410"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
                <w:bCs/>
                <w:sz w:val="22"/>
                <w:lang w:eastAsia="ru-RU"/>
              </w:rPr>
              <w:t>5. </w:t>
            </w:r>
            <w:r w:rsidRPr="00B374A1">
              <w:rPr>
                <w:rFonts w:asciiTheme="minorHAnsi" w:hAnsiTheme="minorHAnsi" w:cs="Calibri"/>
                <w:b/>
                <w:bCs/>
                <w:sz w:val="22"/>
                <w:lang w:val="en-US" w:eastAsia="ru-RU"/>
              </w:rPr>
              <w:t>Learning outcomes</w:t>
            </w:r>
          </w:p>
        </w:tc>
        <w:tc>
          <w:tcPr>
            <w:tcW w:w="7678"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jc w:val="both"/>
              <w:rPr>
                <w:rFonts w:asciiTheme="minorHAnsi" w:hAnsiTheme="minorHAnsi" w:cs="Calibri"/>
                <w:bCs/>
                <w:sz w:val="22"/>
                <w:lang w:val="en-US" w:eastAsia="ru-RU"/>
              </w:rPr>
            </w:pPr>
            <w:r w:rsidRPr="00B374A1">
              <w:rPr>
                <w:rFonts w:asciiTheme="minorHAnsi" w:hAnsiTheme="minorHAnsi" w:cs="Calibri"/>
                <w:bCs/>
                <w:sz w:val="22"/>
                <w:lang w:val="en-US" w:eastAsia="ru-RU"/>
              </w:rPr>
              <w:t>On successful completion of the module students will be able to:</w:t>
            </w:r>
          </w:p>
          <w:p w:rsidR="00B374A1" w:rsidRPr="00B374A1" w:rsidRDefault="00B374A1" w:rsidP="00B374A1">
            <w:pPr>
              <w:tabs>
                <w:tab w:val="left" w:pos="284"/>
              </w:tabs>
              <w:spacing w:after="0" w:line="240" w:lineRule="auto"/>
              <w:jc w:val="both"/>
              <w:rPr>
                <w:rFonts w:asciiTheme="minorHAnsi" w:hAnsiTheme="minorHAnsi" w:cs="Calibri"/>
                <w:bCs/>
                <w:sz w:val="22"/>
                <w:lang w:val="en-US" w:eastAsia="ru-RU"/>
              </w:rPr>
            </w:pPr>
            <w:r w:rsidRPr="00B374A1">
              <w:rPr>
                <w:rFonts w:asciiTheme="minorHAnsi" w:hAnsiTheme="minorHAnsi" w:cs="Calibri"/>
                <w:bCs/>
                <w:sz w:val="22"/>
                <w:lang w:val="en-US" w:eastAsia="ru-RU"/>
              </w:rPr>
              <w:t>•</w:t>
            </w:r>
            <w:r w:rsidRPr="00B374A1">
              <w:rPr>
                <w:rFonts w:asciiTheme="minorHAnsi" w:hAnsiTheme="minorHAnsi" w:cs="Calibri"/>
                <w:bCs/>
                <w:sz w:val="22"/>
                <w:lang w:val="en-US" w:eastAsia="ru-RU"/>
              </w:rPr>
              <w:tab/>
              <w:t>Critically analyze and evaluate policy issues at regional and local levels</w:t>
            </w:r>
          </w:p>
          <w:p w:rsidR="00B374A1" w:rsidRPr="00B374A1" w:rsidRDefault="00B374A1" w:rsidP="00B374A1">
            <w:pPr>
              <w:tabs>
                <w:tab w:val="left" w:pos="284"/>
              </w:tabs>
              <w:spacing w:after="0" w:line="240" w:lineRule="auto"/>
              <w:jc w:val="both"/>
              <w:rPr>
                <w:rFonts w:asciiTheme="minorHAnsi" w:hAnsiTheme="minorHAnsi" w:cs="Calibri"/>
                <w:bCs/>
                <w:sz w:val="22"/>
                <w:lang w:val="en-US" w:eastAsia="ru-RU"/>
              </w:rPr>
            </w:pPr>
            <w:r w:rsidRPr="00B374A1">
              <w:rPr>
                <w:rFonts w:asciiTheme="minorHAnsi" w:hAnsiTheme="minorHAnsi" w:cs="Calibri"/>
                <w:bCs/>
                <w:sz w:val="22"/>
                <w:lang w:val="en-US" w:eastAsia="ru-RU"/>
              </w:rPr>
              <w:t>•</w:t>
            </w:r>
            <w:r w:rsidRPr="00B374A1">
              <w:rPr>
                <w:rFonts w:asciiTheme="minorHAnsi" w:hAnsiTheme="minorHAnsi" w:cs="Calibri"/>
                <w:bCs/>
                <w:sz w:val="22"/>
                <w:lang w:val="en-US" w:eastAsia="ru-RU"/>
              </w:rPr>
              <w:tab/>
              <w:t>Develop concepts and carry out monitoring and evaluation of public programs in social and economic spheres</w:t>
            </w:r>
          </w:p>
          <w:p w:rsidR="00B374A1" w:rsidRPr="00B374A1" w:rsidRDefault="00B374A1" w:rsidP="005A3EEC">
            <w:pPr>
              <w:numPr>
                <w:ilvl w:val="0"/>
                <w:numId w:val="81"/>
              </w:numPr>
              <w:spacing w:after="0" w:line="240" w:lineRule="auto"/>
              <w:ind w:left="284" w:hanging="284"/>
              <w:jc w:val="both"/>
              <w:rPr>
                <w:rFonts w:asciiTheme="minorHAnsi" w:hAnsiTheme="minorHAnsi" w:cs="Calibri"/>
                <w:bCs/>
                <w:sz w:val="22"/>
                <w:lang w:val="en-US" w:eastAsia="ru-RU"/>
              </w:rPr>
            </w:pPr>
            <w:r w:rsidRPr="00B374A1">
              <w:rPr>
                <w:rFonts w:asciiTheme="minorHAnsi" w:hAnsiTheme="minorHAnsi" w:cs="Calibri"/>
                <w:bCs/>
                <w:sz w:val="22"/>
                <w:lang w:val="en-US" w:eastAsia="ru-RU"/>
              </w:rPr>
              <w:t>Present results of the policy analysis in a comprehensive and convincing form.</w:t>
            </w:r>
          </w:p>
          <w:p w:rsidR="00B374A1" w:rsidRPr="00B374A1" w:rsidRDefault="00B374A1" w:rsidP="00B374A1">
            <w:pPr>
              <w:spacing w:after="0" w:line="240" w:lineRule="auto"/>
              <w:jc w:val="both"/>
              <w:rPr>
                <w:rFonts w:asciiTheme="minorHAnsi" w:hAnsiTheme="minorHAnsi" w:cs="Calibri"/>
                <w:bCs/>
                <w:sz w:val="22"/>
                <w:lang w:val="en-US" w:eastAsia="ru-RU"/>
              </w:rPr>
            </w:pPr>
            <w:r w:rsidRPr="00B374A1">
              <w:rPr>
                <w:rFonts w:asciiTheme="minorHAnsi" w:hAnsiTheme="minorHAnsi" w:cs="Calibri"/>
                <w:bCs/>
                <w:sz w:val="22"/>
                <w:lang w:val="en-US" w:eastAsia="ru-RU"/>
              </w:rPr>
              <w:t>On successful completion of the module students will acquire the following qualifications:</w:t>
            </w:r>
          </w:p>
          <w:p w:rsidR="00B374A1" w:rsidRPr="00B374A1" w:rsidRDefault="00B374A1" w:rsidP="00B374A1">
            <w:pPr>
              <w:tabs>
                <w:tab w:val="left" w:pos="284"/>
              </w:tabs>
              <w:spacing w:after="0" w:line="240" w:lineRule="auto"/>
              <w:jc w:val="both"/>
              <w:rPr>
                <w:rFonts w:asciiTheme="minorHAnsi" w:hAnsiTheme="minorHAnsi" w:cs="Calibri"/>
                <w:bCs/>
                <w:sz w:val="22"/>
                <w:lang w:val="en-US" w:eastAsia="ru-RU"/>
              </w:rPr>
            </w:pPr>
            <w:r w:rsidRPr="00B374A1">
              <w:rPr>
                <w:rFonts w:asciiTheme="minorHAnsi" w:hAnsiTheme="minorHAnsi" w:cs="Calibri"/>
                <w:bCs/>
                <w:sz w:val="22"/>
                <w:lang w:val="en-US" w:eastAsia="ru-RU"/>
              </w:rPr>
              <w:t>•</w:t>
            </w:r>
            <w:r w:rsidRPr="00B374A1">
              <w:rPr>
                <w:rFonts w:asciiTheme="minorHAnsi" w:hAnsiTheme="minorHAnsi" w:cs="Calibri"/>
                <w:bCs/>
                <w:sz w:val="22"/>
                <w:lang w:val="en-US" w:eastAsia="ru-RU"/>
              </w:rPr>
              <w:tab/>
              <w:t xml:space="preserve">Be able to develop appropriate policy instruments, and be aware of strategic issues around their implementation </w:t>
            </w:r>
          </w:p>
          <w:p w:rsidR="00B374A1" w:rsidRPr="00B374A1" w:rsidRDefault="00B374A1" w:rsidP="00B374A1">
            <w:pPr>
              <w:tabs>
                <w:tab w:val="left" w:pos="284"/>
              </w:tabs>
              <w:spacing w:after="0" w:line="240" w:lineRule="auto"/>
              <w:jc w:val="both"/>
              <w:rPr>
                <w:rFonts w:asciiTheme="minorHAnsi" w:hAnsiTheme="minorHAnsi" w:cs="Calibri"/>
                <w:bCs/>
                <w:sz w:val="22"/>
                <w:lang w:val="en-US" w:eastAsia="ru-RU"/>
              </w:rPr>
            </w:pPr>
            <w:r w:rsidRPr="00B374A1">
              <w:rPr>
                <w:rFonts w:asciiTheme="minorHAnsi" w:hAnsiTheme="minorHAnsi" w:cs="Calibri"/>
                <w:bCs/>
                <w:sz w:val="22"/>
                <w:lang w:val="en-US" w:eastAsia="ru-RU"/>
              </w:rPr>
              <w:t>•</w:t>
            </w:r>
            <w:r w:rsidRPr="00B374A1">
              <w:rPr>
                <w:rFonts w:asciiTheme="minorHAnsi" w:hAnsiTheme="minorHAnsi" w:cs="Calibri"/>
                <w:bCs/>
                <w:sz w:val="22"/>
                <w:lang w:val="en-US" w:eastAsia="ru-RU"/>
              </w:rPr>
              <w:tab/>
              <w:t>Be able to defend policy proposals in terms of hard analysis of incentives, behavioral relations, and consistency with general principles of good management.</w:t>
            </w:r>
          </w:p>
        </w:tc>
      </w:tr>
      <w:tr w:rsidR="00B374A1" w:rsidRPr="0018056E" w:rsidTr="00B374A1">
        <w:tc>
          <w:tcPr>
            <w:tcW w:w="2410"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
                <w:bCs/>
                <w:sz w:val="22"/>
                <w:lang w:val="en-US" w:eastAsia="ru-RU"/>
              </w:rPr>
            </w:pPr>
            <w:r w:rsidRPr="00B374A1">
              <w:rPr>
                <w:rFonts w:asciiTheme="minorHAnsi" w:hAnsiTheme="minorHAnsi" w:cs="Calibri"/>
                <w:b/>
                <w:bCs/>
                <w:sz w:val="22"/>
                <w:lang w:eastAsia="ru-RU"/>
              </w:rPr>
              <w:t>6. </w:t>
            </w:r>
            <w:r w:rsidRPr="00B374A1">
              <w:rPr>
                <w:rFonts w:asciiTheme="minorHAnsi" w:hAnsiTheme="minorHAnsi" w:cs="Calibri"/>
                <w:b/>
                <w:bCs/>
                <w:sz w:val="22"/>
                <w:lang w:val="en-US" w:eastAsia="ru-RU"/>
              </w:rPr>
              <w:t>Course description</w:t>
            </w:r>
          </w:p>
        </w:tc>
        <w:tc>
          <w:tcPr>
            <w:tcW w:w="7678"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The course is designed to improve local decision making by raising skill levels.  The course consists of four blocks devoted to strengthening policy analysis skills. Each block uses a problem-solving format and groups work together on exercises are a core part of the course.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At a general level, the course follows the conventional approach to teaching policy analysis—to equip students with intellectual tools in the identification and specification of policy problems and the development of sensible, useful, and politically viable solutions.  A consistent market-oriented paradigm is employed.</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The following principles guided the team in designing the curriculum and teaching the classes:</w:t>
            </w:r>
          </w:p>
          <w:p w:rsidR="00B374A1" w:rsidRPr="00B374A1" w:rsidRDefault="00B374A1" w:rsidP="008F0CBB">
            <w:pPr>
              <w:tabs>
                <w:tab w:val="left" w:pos="284"/>
              </w:tabs>
              <w:spacing w:after="0" w:line="240" w:lineRule="auto"/>
              <w:ind w:left="709" w:hanging="284"/>
              <w:rPr>
                <w:rFonts w:asciiTheme="minorHAnsi" w:hAnsiTheme="minorHAnsi" w:cs="Calibri"/>
                <w:bCs/>
                <w:sz w:val="22"/>
                <w:lang w:val="en-US" w:eastAsia="ru-RU"/>
              </w:rPr>
            </w:pPr>
            <w:r w:rsidRPr="00B374A1">
              <w:rPr>
                <w:rFonts w:asciiTheme="minorHAnsi" w:hAnsiTheme="minorHAnsi" w:cs="Calibri"/>
                <w:bCs/>
                <w:sz w:val="22"/>
                <w:lang w:val="en-US" w:eastAsia="ru-RU"/>
              </w:rPr>
              <w:t>•</w:t>
            </w:r>
            <w:r w:rsidRPr="00B374A1">
              <w:rPr>
                <w:rFonts w:asciiTheme="minorHAnsi" w:hAnsiTheme="minorHAnsi" w:cs="Calibri"/>
                <w:bCs/>
                <w:sz w:val="22"/>
                <w:lang w:val="en-US" w:eastAsia="ru-RU"/>
              </w:rPr>
              <w:tab/>
              <w:t>critical thinking.  Many officials tend to operate at what might be termed “the descriptive level.”  Hence, the task of the course in general, and the faculty in particular, is to constantly challenge participants to defend their statements in terms of hard analysis of incentives, behavioral relations, and consistency with general principles of good management;</w:t>
            </w:r>
          </w:p>
          <w:p w:rsidR="00B374A1" w:rsidRPr="00B374A1" w:rsidRDefault="00263237" w:rsidP="00263237">
            <w:pPr>
              <w:spacing w:after="0" w:line="240" w:lineRule="auto"/>
              <w:ind w:firstLine="425"/>
              <w:rPr>
                <w:rFonts w:asciiTheme="minorHAnsi" w:hAnsiTheme="minorHAnsi" w:cs="Calibri"/>
                <w:bCs/>
                <w:sz w:val="22"/>
                <w:lang w:val="en-US" w:eastAsia="ru-RU"/>
              </w:rPr>
            </w:pPr>
            <w:r>
              <w:rPr>
                <w:rFonts w:asciiTheme="minorHAnsi" w:hAnsiTheme="minorHAnsi" w:cs="Calibri"/>
                <w:bCs/>
                <w:sz w:val="22"/>
                <w:lang w:val="en-US" w:eastAsia="ru-RU"/>
              </w:rPr>
              <w:t>•</w:t>
            </w:r>
            <w:r w:rsidR="00B374A1" w:rsidRPr="00B374A1">
              <w:rPr>
                <w:rFonts w:asciiTheme="minorHAnsi" w:hAnsiTheme="minorHAnsi" w:cs="Calibri"/>
                <w:bCs/>
                <w:sz w:val="22"/>
                <w:lang w:val="en-US" w:eastAsia="ru-RU"/>
              </w:rPr>
              <w:t xml:space="preserve">maximizing  the use of problems and case studies.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The order in which topics are covered is designed to help students accumulate skills.  One session builds on the knowledge developed in the previous sessions.  The final workshop—devoted to writing concise, effective policy recommendations—presents students with policy problems similar to those they have encountered in previous sessions.  In each policy problem/case study, the policy issue is stated, its context outlined, and options for addressing it developed.  </w:t>
            </w:r>
          </w:p>
        </w:tc>
      </w:tr>
      <w:tr w:rsidR="00B374A1" w:rsidRPr="00B374A1" w:rsidTr="00B374A1">
        <w:tc>
          <w:tcPr>
            <w:tcW w:w="2410"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
                <w:bCs/>
                <w:sz w:val="22"/>
                <w:lang w:val="en-US" w:eastAsia="ru-RU"/>
              </w:rPr>
            </w:pPr>
            <w:r w:rsidRPr="00B374A1">
              <w:rPr>
                <w:rFonts w:asciiTheme="minorHAnsi" w:hAnsiTheme="minorHAnsi" w:cs="Calibri"/>
                <w:b/>
                <w:bCs/>
                <w:sz w:val="22"/>
                <w:lang w:val="en-US" w:eastAsia="ru-RU"/>
              </w:rPr>
              <w:t>7. Learning and teaching methods</w:t>
            </w:r>
          </w:p>
        </w:tc>
        <w:tc>
          <w:tcPr>
            <w:tcW w:w="7678"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During the course the following techniques are used:</w:t>
            </w:r>
          </w:p>
          <w:p w:rsidR="00B374A1" w:rsidRPr="00B374A1" w:rsidRDefault="00B374A1" w:rsidP="00B374A1">
            <w:pPr>
              <w:numPr>
                <w:ilvl w:val="0"/>
                <w:numId w:val="12"/>
              </w:numPr>
              <w:spacing w:after="0" w:line="240" w:lineRule="auto"/>
              <w:jc w:val="both"/>
              <w:rPr>
                <w:rFonts w:asciiTheme="minorHAnsi" w:hAnsiTheme="minorHAnsi" w:cs="Calibri"/>
                <w:bCs/>
                <w:sz w:val="22"/>
                <w:lang w:val="en-US" w:eastAsia="ru-RU"/>
              </w:rPr>
            </w:pPr>
            <w:r w:rsidRPr="00B374A1">
              <w:rPr>
                <w:rFonts w:asciiTheme="minorHAnsi" w:hAnsiTheme="minorHAnsi" w:cs="Calibri"/>
                <w:bCs/>
                <w:sz w:val="22"/>
                <w:lang w:val="en-US" w:eastAsia="ru-RU"/>
              </w:rPr>
              <w:t>Lectures</w:t>
            </w:r>
          </w:p>
          <w:p w:rsidR="00B374A1" w:rsidRPr="00B374A1" w:rsidRDefault="00B374A1" w:rsidP="00B374A1">
            <w:pPr>
              <w:numPr>
                <w:ilvl w:val="0"/>
                <w:numId w:val="12"/>
              </w:numPr>
              <w:spacing w:after="0" w:line="240" w:lineRule="auto"/>
              <w:jc w:val="both"/>
              <w:rPr>
                <w:rFonts w:asciiTheme="minorHAnsi" w:hAnsiTheme="minorHAnsi" w:cs="Calibri"/>
                <w:bCs/>
                <w:sz w:val="22"/>
                <w:lang w:val="en-US" w:eastAsia="ru-RU"/>
              </w:rPr>
            </w:pPr>
            <w:r w:rsidRPr="00B374A1">
              <w:rPr>
                <w:rFonts w:asciiTheme="minorHAnsi" w:hAnsiTheme="minorHAnsi" w:cs="Calibri"/>
                <w:bCs/>
                <w:sz w:val="22"/>
                <w:lang w:val="en-US" w:eastAsia="ru-RU"/>
              </w:rPr>
              <w:lastRenderedPageBreak/>
              <w:t>Seminars</w:t>
            </w:r>
          </w:p>
          <w:p w:rsidR="00B374A1" w:rsidRPr="00B374A1" w:rsidRDefault="00B374A1" w:rsidP="00B374A1">
            <w:pPr>
              <w:numPr>
                <w:ilvl w:val="0"/>
                <w:numId w:val="12"/>
              </w:numPr>
              <w:spacing w:after="0" w:line="240" w:lineRule="auto"/>
              <w:jc w:val="both"/>
              <w:rPr>
                <w:rFonts w:asciiTheme="minorHAnsi" w:hAnsiTheme="minorHAnsi" w:cs="Calibri"/>
                <w:bCs/>
                <w:sz w:val="22"/>
                <w:lang w:val="en-US" w:eastAsia="ru-RU"/>
              </w:rPr>
            </w:pPr>
            <w:r w:rsidRPr="00B374A1">
              <w:rPr>
                <w:rFonts w:asciiTheme="minorHAnsi" w:hAnsiTheme="minorHAnsi" w:cs="Calibri"/>
                <w:bCs/>
                <w:sz w:val="22"/>
                <w:lang w:val="en-US" w:eastAsia="ru-RU"/>
              </w:rPr>
              <w:t>Case studies</w:t>
            </w:r>
          </w:p>
          <w:p w:rsidR="00B374A1" w:rsidRPr="00B374A1" w:rsidRDefault="00B374A1" w:rsidP="00B374A1">
            <w:pPr>
              <w:numPr>
                <w:ilvl w:val="0"/>
                <w:numId w:val="12"/>
              </w:numPr>
              <w:spacing w:after="0" w:line="240" w:lineRule="auto"/>
              <w:jc w:val="both"/>
              <w:rPr>
                <w:rFonts w:asciiTheme="minorHAnsi" w:hAnsiTheme="minorHAnsi" w:cs="Calibri"/>
                <w:bCs/>
                <w:sz w:val="22"/>
                <w:lang w:val="en-US" w:eastAsia="ru-RU"/>
              </w:rPr>
            </w:pPr>
            <w:r w:rsidRPr="00B374A1">
              <w:rPr>
                <w:rFonts w:asciiTheme="minorHAnsi" w:hAnsiTheme="minorHAnsi" w:cs="Calibri"/>
                <w:bCs/>
                <w:sz w:val="22"/>
                <w:lang w:val="en-US" w:eastAsia="ru-RU"/>
              </w:rPr>
              <w:t>Group work and group discussions</w:t>
            </w:r>
          </w:p>
          <w:p w:rsidR="00B374A1" w:rsidRPr="00B374A1" w:rsidRDefault="00B374A1" w:rsidP="00B374A1">
            <w:pPr>
              <w:numPr>
                <w:ilvl w:val="0"/>
                <w:numId w:val="12"/>
              </w:numPr>
              <w:spacing w:after="0" w:line="240" w:lineRule="auto"/>
              <w:jc w:val="both"/>
              <w:rPr>
                <w:rFonts w:asciiTheme="minorHAnsi" w:hAnsiTheme="minorHAnsi" w:cs="Calibri"/>
                <w:bCs/>
                <w:sz w:val="22"/>
                <w:lang w:val="en-US" w:eastAsia="ru-RU"/>
              </w:rPr>
            </w:pPr>
            <w:r w:rsidRPr="00B374A1">
              <w:rPr>
                <w:rFonts w:asciiTheme="minorHAnsi" w:hAnsiTheme="minorHAnsi" w:cs="Calibri"/>
                <w:bCs/>
                <w:sz w:val="22"/>
                <w:lang w:val="en-US" w:eastAsia="ru-RU"/>
              </w:rPr>
              <w:t>Project presentation</w:t>
            </w:r>
          </w:p>
        </w:tc>
      </w:tr>
      <w:tr w:rsidR="00B374A1" w:rsidRPr="0018056E" w:rsidTr="00B374A1">
        <w:tc>
          <w:tcPr>
            <w:tcW w:w="2410"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tabs>
                <w:tab w:val="left" w:pos="248"/>
                <w:tab w:val="left" w:pos="1310"/>
              </w:tabs>
              <w:spacing w:after="0" w:line="240" w:lineRule="auto"/>
              <w:ind w:left="34"/>
              <w:rPr>
                <w:rFonts w:asciiTheme="minorHAnsi" w:hAnsiTheme="minorHAnsi" w:cs="Calibri"/>
                <w:b/>
                <w:bCs/>
                <w:sz w:val="22"/>
                <w:lang w:val="en-US" w:eastAsia="ru-RU"/>
              </w:rPr>
            </w:pPr>
            <w:r w:rsidRPr="00B374A1">
              <w:rPr>
                <w:rFonts w:asciiTheme="minorHAnsi" w:hAnsiTheme="minorHAnsi" w:cs="Calibri"/>
                <w:b/>
                <w:bCs/>
                <w:sz w:val="22"/>
                <w:lang w:val="en-US" w:eastAsia="ru-RU"/>
              </w:rPr>
              <w:lastRenderedPageBreak/>
              <w:t>8. Major topics covered</w:t>
            </w:r>
          </w:p>
        </w:tc>
        <w:tc>
          <w:tcPr>
            <w:tcW w:w="7678"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1. Analysis of social and economic issues at regional and local levels</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1.1. Objectives of policy analysis. Typical mistakes in policy analysis.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1.2. Policy analysis model.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1.3.Types of policy actions.</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2. Stakeholder analysis</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2.1. Stages of stakeholder analysis.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2.2. Development strategies for stakeholder involvement.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2.3. Stakeholder analysis at problem identification, program design and implementation stages.</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3. Targeting programs</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3.1. Objectives of targeting public programs and policies. Basic steps in targeting.</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3.2. Targeting methods. Measuring targeting performance.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3.3. Types of subsidies. Methods of benefit calculation.</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4. Data analysis</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4.1. Data use in policy design and program implementation. Types of data. 4.2. Methods of data assembling and analysis.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4.3. Typical problems in data analysis.</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5. Role of public authorities in design and implementation of regional policies and programs</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5.1. Rationale for public intervention. Public goods.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5.2. Delineation of responsibilities. Subsidiarity.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5.3. The roles and responsibilities of different levels of government.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6. Choice of modes of implementation of public authorities’ functions.</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6.1. Models for carrying out government functions: direct provision, contracting out, and divestiture/privatization.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6.2. Evaluation criteria for selection of mode of implementation.</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7. Program monitoring and evaluation</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7.1. Program monitoring – what to track, why, how?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7.2. Types of monitoring indicators. Types and levels of monitoring public programs and policies. Logic table for monitoring.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7.3. The concept of program evaluation.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7.4. Program evaluation. Impact evaluation. Development evaluation program.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8. Performance management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9. Cost-benefit analysis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9.1. Basic steps in cost-benefit analysis.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9.2. Material and non-material costs and benefits. Direct and non-direct costs and benefits.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9.3. Measurement of benefits. Assessment of cost-efficiency. Limitations for cost-benefit analysis.</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10. Preparing policy recommendations</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10.1. Attributes of good and bad policy recommendations. Types of policy recommendations. </w:t>
            </w:r>
          </w:p>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10.2.Design and presentation of policy recommendations.</w:t>
            </w:r>
          </w:p>
        </w:tc>
      </w:tr>
      <w:tr w:rsidR="00B374A1" w:rsidRPr="00B374A1" w:rsidTr="00B374A1">
        <w:tc>
          <w:tcPr>
            <w:tcW w:w="2410"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
                <w:bCs/>
                <w:sz w:val="22"/>
                <w:lang w:eastAsia="ru-RU"/>
              </w:rPr>
              <w:t>9. </w:t>
            </w:r>
            <w:r w:rsidRPr="00B374A1">
              <w:rPr>
                <w:rFonts w:asciiTheme="minorHAnsi" w:hAnsiTheme="minorHAnsi" w:cs="Calibri"/>
                <w:b/>
                <w:bCs/>
                <w:sz w:val="22"/>
                <w:lang w:val="en-US" w:eastAsia="ru-RU"/>
              </w:rPr>
              <w:t>Prescribed books and readings</w:t>
            </w:r>
          </w:p>
        </w:tc>
        <w:tc>
          <w:tcPr>
            <w:tcW w:w="7678"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Cs/>
                <w:sz w:val="22"/>
                <w:lang w:val="en-US" w:eastAsia="ru-RU"/>
              </w:rPr>
              <w:t>The key literature and readings of this course are the following:</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Morse, K., R. </w:t>
            </w:r>
            <w:proofErr w:type="spellStart"/>
            <w:r w:rsidRPr="00B374A1">
              <w:rPr>
                <w:rFonts w:asciiTheme="minorHAnsi" w:hAnsiTheme="minorHAnsi" w:cs="Calibri"/>
                <w:bCs/>
                <w:sz w:val="22"/>
                <w:lang w:val="en-US" w:eastAsia="ru-RU"/>
              </w:rPr>
              <w:t>Struyk</w:t>
            </w:r>
            <w:proofErr w:type="spellEnd"/>
            <w:r w:rsidRPr="00B374A1">
              <w:rPr>
                <w:rFonts w:asciiTheme="minorHAnsi" w:hAnsiTheme="minorHAnsi" w:cs="Calibri"/>
                <w:bCs/>
                <w:sz w:val="22"/>
                <w:lang w:val="en-US" w:eastAsia="ru-RU"/>
              </w:rPr>
              <w:t xml:space="preserve">. 2006. Policy Analysis for Effective Development. NY. Lynn </w:t>
            </w:r>
            <w:proofErr w:type="spellStart"/>
            <w:r w:rsidRPr="00B374A1">
              <w:rPr>
                <w:rFonts w:asciiTheme="minorHAnsi" w:hAnsiTheme="minorHAnsi" w:cs="Calibri"/>
                <w:bCs/>
                <w:sz w:val="22"/>
                <w:lang w:val="en-US" w:eastAsia="ru-RU"/>
              </w:rPr>
              <w:t>Riener</w:t>
            </w:r>
            <w:proofErr w:type="spellEnd"/>
            <w:r w:rsidRPr="00B374A1">
              <w:rPr>
                <w:rFonts w:asciiTheme="minorHAnsi" w:hAnsiTheme="minorHAnsi" w:cs="Calibri"/>
                <w:bCs/>
                <w:sz w:val="22"/>
                <w:lang w:val="en-US" w:eastAsia="ru-RU"/>
              </w:rPr>
              <w:t xml:space="preserve"> Publishers. 448 p. </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val="en-US" w:eastAsia="ru-RU"/>
              </w:rPr>
            </w:pPr>
            <w:proofErr w:type="spellStart"/>
            <w:r w:rsidRPr="00B374A1">
              <w:rPr>
                <w:rFonts w:asciiTheme="minorHAnsi" w:hAnsiTheme="minorHAnsi" w:cs="Calibri"/>
                <w:bCs/>
                <w:sz w:val="22"/>
                <w:lang w:val="en-US" w:eastAsia="ru-RU"/>
              </w:rPr>
              <w:t>deLeon</w:t>
            </w:r>
            <w:proofErr w:type="spellEnd"/>
            <w:r w:rsidRPr="00B374A1">
              <w:rPr>
                <w:rFonts w:asciiTheme="minorHAnsi" w:hAnsiTheme="minorHAnsi" w:cs="Calibri"/>
                <w:bCs/>
                <w:sz w:val="22"/>
                <w:lang w:val="en-US" w:eastAsia="ru-RU"/>
              </w:rPr>
              <w:t>, P., and T.A. Steelman. 2001. “Making Public Policy Programs Effective and Relevant: The Role of the Policy Sciences,” Journal of Policy Analysis and Management, vol. 20, no.1, pp. 163-71</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val="en-US" w:eastAsia="ru-RU"/>
              </w:rPr>
            </w:pPr>
            <w:r w:rsidRPr="00B374A1">
              <w:rPr>
                <w:rFonts w:asciiTheme="minorHAnsi" w:hAnsiTheme="minorHAnsi" w:cs="Calibri"/>
                <w:bCs/>
                <w:sz w:val="22"/>
                <w:lang w:val="en-US" w:eastAsia="ru-RU"/>
              </w:rPr>
              <w:t xml:space="preserve">Lynn, L.E.  2001. "The Changing Public Policy Curriculum," Journal of Policy </w:t>
            </w:r>
            <w:r w:rsidRPr="00B374A1">
              <w:rPr>
                <w:rFonts w:asciiTheme="minorHAnsi" w:hAnsiTheme="minorHAnsi" w:cs="Calibri"/>
                <w:bCs/>
                <w:sz w:val="22"/>
                <w:lang w:val="en-US" w:eastAsia="ru-RU"/>
              </w:rPr>
              <w:lastRenderedPageBreak/>
              <w:t>Analysis and Management, vol. 20, no.1, pp. 161-71</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val="en-US" w:eastAsia="ru-RU"/>
              </w:rPr>
            </w:pPr>
            <w:proofErr w:type="spellStart"/>
            <w:r w:rsidRPr="00B374A1">
              <w:rPr>
                <w:rFonts w:asciiTheme="minorHAnsi" w:hAnsiTheme="minorHAnsi" w:cs="Calibri"/>
                <w:bCs/>
                <w:sz w:val="22"/>
                <w:lang w:val="en-US" w:eastAsia="ru-RU"/>
              </w:rPr>
              <w:t>Musso</w:t>
            </w:r>
            <w:proofErr w:type="spellEnd"/>
            <w:r w:rsidRPr="00B374A1">
              <w:rPr>
                <w:rFonts w:asciiTheme="minorHAnsi" w:hAnsiTheme="minorHAnsi" w:cs="Calibri"/>
                <w:bCs/>
                <w:sz w:val="22"/>
                <w:lang w:val="en-US" w:eastAsia="ru-RU"/>
              </w:rPr>
              <w:t>, J., R. Biller and R. Myrtle.  2000. "Tradecraft: Professional Writing as Problem Solving," Journal of Policy Analysis and Management, vol. 19, no.4, pp. 635-46</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val="en-US" w:eastAsia="ru-RU"/>
              </w:rPr>
            </w:pPr>
            <w:r w:rsidRPr="00B374A1">
              <w:rPr>
                <w:rFonts w:asciiTheme="minorHAnsi" w:hAnsiTheme="minorHAnsi" w:cs="Calibri"/>
                <w:bCs/>
                <w:sz w:val="22"/>
                <w:lang w:val="en-US" w:eastAsia="ru-RU"/>
              </w:rPr>
              <w:t>Romero, F.S.  2001.  "The Policy Analysis Course: Toward a Discipline Consensus," Journal of Policy Analysis and Management, vol. 20, no.4, pp. 771-79.</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val="en-US" w:eastAsia="ru-RU"/>
              </w:rPr>
            </w:pPr>
            <w:r w:rsidRPr="00B374A1">
              <w:rPr>
                <w:rFonts w:asciiTheme="minorHAnsi" w:hAnsiTheme="minorHAnsi" w:cs="Calibri"/>
                <w:bCs/>
                <w:sz w:val="22"/>
                <w:lang w:val="en-US" w:eastAsia="ru-RU"/>
              </w:rPr>
              <w:t>Horvath, T.M. (2000) Decentralization: Experiments and Reforms.  Budapest: LGI Press.</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val="en-US" w:eastAsia="ru-RU"/>
              </w:rPr>
            </w:pPr>
            <w:r w:rsidRPr="00B374A1">
              <w:rPr>
                <w:rFonts w:asciiTheme="minorHAnsi" w:hAnsiTheme="minorHAnsi" w:cs="Calibri"/>
                <w:bCs/>
                <w:sz w:val="22"/>
                <w:lang w:val="en-US" w:eastAsia="ru-RU"/>
              </w:rPr>
              <w:t>Lynn, L.E.  2001. "The Changing Public Policy Curriculum," Journal of Policy Analysis and Management, vol. 20, no.1, pp. 161-71</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val="en-US" w:eastAsia="ru-RU"/>
              </w:rPr>
            </w:pPr>
            <w:proofErr w:type="spellStart"/>
            <w:r w:rsidRPr="00B374A1">
              <w:rPr>
                <w:rFonts w:asciiTheme="minorHAnsi" w:hAnsiTheme="minorHAnsi" w:cs="Calibri"/>
                <w:bCs/>
                <w:sz w:val="22"/>
                <w:lang w:val="en-US" w:eastAsia="ru-RU"/>
              </w:rPr>
              <w:t>Taschereau</w:t>
            </w:r>
            <w:proofErr w:type="spellEnd"/>
            <w:r w:rsidRPr="00B374A1">
              <w:rPr>
                <w:rFonts w:asciiTheme="minorHAnsi" w:hAnsiTheme="minorHAnsi" w:cs="Calibri"/>
                <w:bCs/>
                <w:sz w:val="22"/>
                <w:lang w:val="en-US" w:eastAsia="ru-RU"/>
              </w:rPr>
              <w:t>, S. 1998.  Evaluating the Impact of Training and Institutional Development Programs: A Collaborative Approach.  Washington, DC: World Bank, Education Development Institute.</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eastAsia="ru-RU"/>
              </w:rPr>
            </w:pPr>
            <w:r w:rsidRPr="00B374A1">
              <w:rPr>
                <w:rFonts w:asciiTheme="minorHAnsi" w:hAnsiTheme="minorHAnsi"/>
                <w:sz w:val="22"/>
                <w:lang w:eastAsia="ru-RU"/>
              </w:rPr>
              <w:t>Вершило Т.А. Муниципальное образование как субъект межбюджетных отношений. – М.: ГОУ ВПО «Российская академия правосудия», 2012. – 184 с.</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eastAsia="ru-RU"/>
              </w:rPr>
            </w:pPr>
            <w:r w:rsidRPr="00B374A1">
              <w:rPr>
                <w:rFonts w:asciiTheme="minorHAnsi" w:hAnsiTheme="minorHAnsi"/>
                <w:sz w:val="22"/>
                <w:lang w:eastAsia="ru-RU"/>
              </w:rPr>
              <w:t>Комментарий к Градостроительному кодексу Российской Федерации : Ответы на проблемные вопросы градостроительной деятельности Э.К. Трутнев, Л.Е. </w:t>
            </w:r>
            <w:proofErr w:type="spellStart"/>
            <w:r w:rsidRPr="00B374A1">
              <w:rPr>
                <w:rFonts w:asciiTheme="minorHAnsi" w:hAnsiTheme="minorHAnsi"/>
                <w:sz w:val="22"/>
                <w:lang w:eastAsia="ru-RU"/>
              </w:rPr>
              <w:t>Бандорин</w:t>
            </w:r>
            <w:proofErr w:type="spellEnd"/>
            <w:r w:rsidRPr="00B374A1">
              <w:rPr>
                <w:rFonts w:asciiTheme="minorHAnsi" w:hAnsiTheme="minorHAnsi"/>
                <w:sz w:val="22"/>
                <w:lang w:eastAsia="ru-RU"/>
              </w:rPr>
              <w:t>; Фонд «Институт экономики города». – М.: Издательство «Экзамен», 2008. – 525 с.</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eastAsia="ru-RU"/>
              </w:rPr>
            </w:pPr>
            <w:r w:rsidRPr="00B374A1">
              <w:rPr>
                <w:rFonts w:asciiTheme="minorHAnsi" w:hAnsiTheme="minorHAnsi"/>
                <w:sz w:val="22"/>
                <w:lang w:eastAsia="ru-RU"/>
              </w:rPr>
              <w:t>Ляхова Н.И., Попова Л.В. Финансовые основы саморазвития регионов и муниципальных образований. – М.: ООО «ТНТ», 2011. – 248 с.</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eastAsia="ru-RU"/>
              </w:rPr>
            </w:pPr>
            <w:proofErr w:type="spellStart"/>
            <w:r w:rsidRPr="00B374A1">
              <w:rPr>
                <w:rFonts w:asciiTheme="minorHAnsi" w:hAnsiTheme="minorHAnsi"/>
                <w:sz w:val="22"/>
                <w:lang w:eastAsia="ru-RU"/>
              </w:rPr>
              <w:t>О’Салливан</w:t>
            </w:r>
            <w:proofErr w:type="spellEnd"/>
            <w:r w:rsidRPr="00B374A1">
              <w:rPr>
                <w:rFonts w:asciiTheme="minorHAnsi" w:hAnsiTheme="minorHAnsi"/>
                <w:sz w:val="22"/>
                <w:lang w:eastAsia="ru-RU"/>
              </w:rPr>
              <w:t xml:space="preserve"> А. Экономика города. – М.: ИНФРА-М, 2002. – 706 с.</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eastAsia="ru-RU"/>
              </w:rPr>
            </w:pPr>
            <w:r w:rsidRPr="00B374A1">
              <w:rPr>
                <w:rFonts w:asciiTheme="minorHAnsi" w:hAnsiTheme="minorHAnsi"/>
                <w:sz w:val="22"/>
                <w:lang w:eastAsia="ru-RU"/>
              </w:rPr>
              <w:t xml:space="preserve">Региональное развитие и региональная политика России в переходный период. Под ред. Артоболевского С.С., Глезер О.Б. – М., Изд-во МГТУ им. </w:t>
            </w:r>
            <w:proofErr w:type="spellStart"/>
            <w:r w:rsidRPr="00B374A1">
              <w:rPr>
                <w:rFonts w:asciiTheme="minorHAnsi" w:hAnsiTheme="minorHAnsi"/>
                <w:sz w:val="22"/>
                <w:lang w:eastAsia="ru-RU"/>
              </w:rPr>
              <w:t>Н.Э.Баумана</w:t>
            </w:r>
            <w:proofErr w:type="spellEnd"/>
            <w:r w:rsidRPr="00B374A1">
              <w:rPr>
                <w:rFonts w:asciiTheme="minorHAnsi" w:hAnsiTheme="minorHAnsi"/>
                <w:sz w:val="22"/>
                <w:lang w:eastAsia="ru-RU"/>
              </w:rPr>
              <w:t>, 2011.</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eastAsia="ru-RU"/>
              </w:rPr>
            </w:pPr>
            <w:r w:rsidRPr="00B374A1">
              <w:rPr>
                <w:rFonts w:asciiTheme="minorHAnsi" w:hAnsiTheme="minorHAnsi"/>
                <w:sz w:val="22"/>
                <w:lang w:eastAsia="ru-RU"/>
              </w:rPr>
              <w:t xml:space="preserve">Система муниципального управления: Учебник для вузов под ред. Зотова В. Б.- 5-е изд., </w:t>
            </w:r>
            <w:proofErr w:type="spellStart"/>
            <w:r w:rsidRPr="00B374A1">
              <w:rPr>
                <w:rFonts w:asciiTheme="minorHAnsi" w:hAnsiTheme="minorHAnsi"/>
                <w:sz w:val="22"/>
                <w:lang w:eastAsia="ru-RU"/>
              </w:rPr>
              <w:t>испр</w:t>
            </w:r>
            <w:proofErr w:type="spellEnd"/>
            <w:r w:rsidRPr="00B374A1">
              <w:rPr>
                <w:rFonts w:asciiTheme="minorHAnsi" w:hAnsiTheme="minorHAnsi"/>
                <w:sz w:val="22"/>
                <w:lang w:eastAsia="ru-RU"/>
              </w:rPr>
              <w:t>. и доп. — Ростов н/д: Феникс, 2010. — 717 с.</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eastAsia="ru-RU"/>
              </w:rPr>
            </w:pPr>
            <w:r w:rsidRPr="00B374A1">
              <w:rPr>
                <w:rFonts w:asciiTheme="minorHAnsi" w:hAnsiTheme="minorHAnsi"/>
                <w:sz w:val="22"/>
                <w:lang w:eastAsia="ru-RU"/>
              </w:rPr>
              <w:t>Трутнев Э., Крымов С. Азбука градостроительного нормирования (краткие ответы на вопросы в отношении местных нормативов градостроительного проектирования). – М.: Фонд «Институт экономики города», 2013. – 112 с.</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eastAsia="ru-RU"/>
              </w:rPr>
            </w:pPr>
            <w:r w:rsidRPr="00B374A1">
              <w:rPr>
                <w:rFonts w:asciiTheme="minorHAnsi" w:hAnsiTheme="minorHAnsi"/>
                <w:sz w:val="22"/>
                <w:lang w:eastAsia="ru-RU"/>
              </w:rPr>
              <w:t xml:space="preserve">Трутнев Э.К., </w:t>
            </w:r>
            <w:proofErr w:type="spellStart"/>
            <w:r w:rsidRPr="00B374A1">
              <w:rPr>
                <w:rFonts w:asciiTheme="minorHAnsi" w:hAnsiTheme="minorHAnsi"/>
                <w:sz w:val="22"/>
                <w:lang w:eastAsia="ru-RU"/>
              </w:rPr>
              <w:t>Бандорин</w:t>
            </w:r>
            <w:proofErr w:type="spellEnd"/>
            <w:r w:rsidRPr="00B374A1">
              <w:rPr>
                <w:rFonts w:asciiTheme="minorHAnsi" w:hAnsiTheme="minorHAnsi"/>
                <w:sz w:val="22"/>
                <w:lang w:eastAsia="ru-RU"/>
              </w:rPr>
              <w:t xml:space="preserve"> Л.Е. Азбука землепользования и застройки. – М.: Фонд «Институт экономики города», 2010. – 54 с.</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eastAsia="ru-RU"/>
              </w:rPr>
            </w:pPr>
            <w:proofErr w:type="spellStart"/>
            <w:r w:rsidRPr="00B374A1">
              <w:rPr>
                <w:rFonts w:asciiTheme="minorHAnsi" w:hAnsiTheme="minorHAnsi"/>
                <w:sz w:val="22"/>
                <w:lang w:eastAsia="ru-RU"/>
              </w:rPr>
              <w:t>Циммерман</w:t>
            </w:r>
            <w:proofErr w:type="spellEnd"/>
            <w:r w:rsidRPr="00B374A1">
              <w:rPr>
                <w:rFonts w:asciiTheme="minorHAnsi" w:hAnsiTheme="minorHAnsi"/>
                <w:sz w:val="22"/>
                <w:lang w:eastAsia="ru-RU"/>
              </w:rPr>
              <w:t xml:space="preserve"> Х. Муниципальные финансы: Учебник / Пер. с нем. – М.: Издательство «Дело и Сервис». – 2003. – 352 с. </w:t>
            </w:r>
          </w:p>
          <w:p w:rsidR="00B374A1" w:rsidRPr="00B374A1" w:rsidRDefault="00B374A1" w:rsidP="005A3EEC">
            <w:pPr>
              <w:numPr>
                <w:ilvl w:val="0"/>
                <w:numId w:val="82"/>
              </w:numPr>
              <w:spacing w:after="0" w:line="240" w:lineRule="auto"/>
              <w:ind w:left="284" w:hanging="284"/>
              <w:jc w:val="both"/>
              <w:rPr>
                <w:rFonts w:asciiTheme="minorHAnsi" w:hAnsiTheme="minorHAnsi" w:cs="Calibri"/>
                <w:bCs/>
                <w:sz w:val="22"/>
                <w:lang w:eastAsia="ru-RU"/>
              </w:rPr>
            </w:pPr>
            <w:r w:rsidRPr="00B374A1">
              <w:rPr>
                <w:rFonts w:asciiTheme="minorHAnsi" w:hAnsiTheme="minorHAnsi"/>
                <w:sz w:val="22"/>
                <w:lang w:eastAsia="ru-RU"/>
              </w:rPr>
              <w:t>Якобсон Л.И. Экономика общественного сектора: Основы теории государственных финансов: Учебник для вузов. – М.: Аспект пресс, 1996. – 319 с.</w:t>
            </w:r>
          </w:p>
        </w:tc>
      </w:tr>
      <w:tr w:rsidR="00B374A1" w:rsidRPr="00B374A1" w:rsidTr="00B374A1">
        <w:tc>
          <w:tcPr>
            <w:tcW w:w="2410" w:type="dxa"/>
            <w:tcBorders>
              <w:top w:val="single" w:sz="4" w:space="0" w:color="auto"/>
              <w:left w:val="single" w:sz="4" w:space="0" w:color="auto"/>
              <w:bottom w:val="single" w:sz="4" w:space="0" w:color="auto"/>
              <w:right w:val="single" w:sz="4" w:space="0" w:color="auto"/>
            </w:tcBorders>
          </w:tcPr>
          <w:p w:rsidR="00B374A1" w:rsidRPr="00B374A1" w:rsidRDefault="00B374A1" w:rsidP="00B374A1">
            <w:pPr>
              <w:spacing w:after="0" w:line="240" w:lineRule="auto"/>
              <w:rPr>
                <w:rFonts w:asciiTheme="minorHAnsi" w:hAnsiTheme="minorHAnsi" w:cs="Calibri"/>
                <w:bCs/>
                <w:sz w:val="22"/>
                <w:lang w:val="en-US" w:eastAsia="ru-RU"/>
              </w:rPr>
            </w:pPr>
            <w:r w:rsidRPr="00B374A1">
              <w:rPr>
                <w:rFonts w:asciiTheme="minorHAnsi" w:hAnsiTheme="minorHAnsi" w:cs="Calibri"/>
                <w:b/>
                <w:bCs/>
                <w:sz w:val="22"/>
                <w:lang w:eastAsia="ru-RU"/>
              </w:rPr>
              <w:lastRenderedPageBreak/>
              <w:t>10. </w:t>
            </w:r>
            <w:r w:rsidRPr="00B374A1">
              <w:rPr>
                <w:rFonts w:asciiTheme="minorHAnsi" w:hAnsiTheme="minorHAnsi" w:cs="Calibri"/>
                <w:b/>
                <w:bCs/>
                <w:sz w:val="22"/>
                <w:lang w:val="en-US" w:eastAsia="ru-RU"/>
              </w:rPr>
              <w:t>Way of examining</w:t>
            </w:r>
          </w:p>
        </w:tc>
        <w:tc>
          <w:tcPr>
            <w:tcW w:w="7678" w:type="dxa"/>
            <w:tcBorders>
              <w:top w:val="single" w:sz="4" w:space="0" w:color="auto"/>
              <w:left w:val="single" w:sz="4" w:space="0" w:color="auto"/>
              <w:bottom w:val="single" w:sz="4" w:space="0" w:color="auto"/>
              <w:right w:val="single" w:sz="4" w:space="0" w:color="auto"/>
            </w:tcBorders>
          </w:tcPr>
          <w:tbl>
            <w:tblPr>
              <w:tblStyle w:val="a8"/>
              <w:tblW w:w="0" w:type="auto"/>
              <w:jc w:val="center"/>
              <w:tblLook w:val="04A0" w:firstRow="1" w:lastRow="0" w:firstColumn="1" w:lastColumn="0" w:noHBand="0" w:noVBand="1"/>
            </w:tblPr>
            <w:tblGrid>
              <w:gridCol w:w="4267"/>
              <w:gridCol w:w="2566"/>
            </w:tblGrid>
            <w:tr w:rsidR="00B374A1" w:rsidRPr="0018056E" w:rsidTr="003108DF">
              <w:trPr>
                <w:jc w:val="center"/>
              </w:trPr>
              <w:tc>
                <w:tcPr>
                  <w:tcW w:w="4267" w:type="dxa"/>
                </w:tcPr>
                <w:p w:rsidR="00B374A1" w:rsidRPr="00B374A1" w:rsidRDefault="00B374A1" w:rsidP="00B374A1">
                  <w:pPr>
                    <w:jc w:val="center"/>
                    <w:rPr>
                      <w:rFonts w:asciiTheme="minorHAnsi" w:eastAsia="Calibri" w:hAnsiTheme="minorHAnsi" w:cs="Calibri"/>
                      <w:bCs/>
                      <w:sz w:val="22"/>
                      <w:lang w:val="en-US" w:eastAsia="ru-RU"/>
                    </w:rPr>
                  </w:pPr>
                  <w:r w:rsidRPr="00B374A1">
                    <w:rPr>
                      <w:rFonts w:asciiTheme="minorHAnsi" w:hAnsiTheme="minorHAnsi"/>
                      <w:i/>
                      <w:sz w:val="22"/>
                      <w:lang w:val="en-US"/>
                    </w:rPr>
                    <w:t>Mark’s components</w:t>
                  </w:r>
                </w:p>
              </w:tc>
              <w:tc>
                <w:tcPr>
                  <w:tcW w:w="2566" w:type="dxa"/>
                  <w:vAlign w:val="center"/>
                </w:tcPr>
                <w:p w:rsidR="00B374A1" w:rsidRPr="00B374A1" w:rsidRDefault="00B374A1" w:rsidP="00B374A1">
                  <w:pPr>
                    <w:jc w:val="center"/>
                    <w:rPr>
                      <w:rFonts w:asciiTheme="minorHAnsi" w:eastAsia="Calibri" w:hAnsiTheme="minorHAnsi" w:cs="Calibri"/>
                      <w:bCs/>
                      <w:sz w:val="22"/>
                      <w:lang w:val="en-US" w:eastAsia="ru-RU"/>
                    </w:rPr>
                  </w:pPr>
                  <w:r w:rsidRPr="00B374A1">
                    <w:rPr>
                      <w:rFonts w:asciiTheme="minorHAnsi" w:hAnsiTheme="minorHAnsi"/>
                      <w:i/>
                      <w:sz w:val="22"/>
                      <w:lang w:val="en-US"/>
                    </w:rPr>
                    <w:t>Weight in the final mark</w:t>
                  </w:r>
                </w:p>
              </w:tc>
            </w:tr>
            <w:tr w:rsidR="00B374A1" w:rsidRPr="00B374A1" w:rsidTr="003108DF">
              <w:trPr>
                <w:jc w:val="center"/>
              </w:trPr>
              <w:tc>
                <w:tcPr>
                  <w:tcW w:w="4267" w:type="dxa"/>
                </w:tcPr>
                <w:p w:rsidR="00B374A1" w:rsidRPr="00B374A1" w:rsidRDefault="00B374A1" w:rsidP="00B374A1">
                  <w:pPr>
                    <w:rPr>
                      <w:rFonts w:asciiTheme="minorHAnsi" w:eastAsia="Calibri" w:hAnsiTheme="minorHAnsi" w:cs="Calibri"/>
                      <w:bCs/>
                      <w:sz w:val="22"/>
                      <w:lang w:val="en-US" w:eastAsia="ru-RU"/>
                    </w:rPr>
                  </w:pPr>
                  <w:r w:rsidRPr="00B374A1">
                    <w:rPr>
                      <w:rFonts w:asciiTheme="minorHAnsi" w:hAnsiTheme="minorHAnsi"/>
                      <w:sz w:val="22"/>
                      <w:lang w:val="en-US"/>
                    </w:rPr>
                    <w:t>Activity during class hours, including final group presentation</w:t>
                  </w:r>
                </w:p>
              </w:tc>
              <w:tc>
                <w:tcPr>
                  <w:tcW w:w="2566" w:type="dxa"/>
                  <w:vAlign w:val="center"/>
                </w:tcPr>
                <w:p w:rsidR="00B374A1" w:rsidRPr="00B374A1" w:rsidRDefault="00B374A1" w:rsidP="00B374A1">
                  <w:pPr>
                    <w:jc w:val="center"/>
                    <w:rPr>
                      <w:rFonts w:asciiTheme="minorHAnsi" w:eastAsia="Calibri" w:hAnsiTheme="minorHAnsi" w:cs="Calibri"/>
                      <w:bCs/>
                      <w:sz w:val="22"/>
                      <w:lang w:val="en-US" w:eastAsia="ru-RU"/>
                    </w:rPr>
                  </w:pPr>
                  <w:r w:rsidRPr="00B374A1">
                    <w:rPr>
                      <w:rFonts w:asciiTheme="minorHAnsi" w:hAnsiTheme="minorHAnsi"/>
                      <w:sz w:val="22"/>
                      <w:lang w:val="en-US"/>
                    </w:rPr>
                    <w:t>0.5</w:t>
                  </w:r>
                </w:p>
              </w:tc>
            </w:tr>
            <w:tr w:rsidR="00B374A1" w:rsidRPr="00B374A1" w:rsidTr="003108DF">
              <w:trPr>
                <w:jc w:val="center"/>
              </w:trPr>
              <w:tc>
                <w:tcPr>
                  <w:tcW w:w="4267" w:type="dxa"/>
                </w:tcPr>
                <w:p w:rsidR="00B374A1" w:rsidRPr="00B374A1" w:rsidRDefault="00B374A1" w:rsidP="00B374A1">
                  <w:pPr>
                    <w:rPr>
                      <w:rFonts w:asciiTheme="minorHAnsi" w:eastAsia="Calibri" w:hAnsiTheme="minorHAnsi" w:cs="Calibri"/>
                      <w:bCs/>
                      <w:sz w:val="22"/>
                      <w:lang w:val="en-US" w:eastAsia="ru-RU"/>
                    </w:rPr>
                  </w:pPr>
                  <w:r w:rsidRPr="00B374A1">
                    <w:rPr>
                      <w:rFonts w:asciiTheme="minorHAnsi" w:hAnsiTheme="minorHAnsi"/>
                      <w:sz w:val="22"/>
                      <w:lang w:val="en-US"/>
                    </w:rPr>
                    <w:t>Written text</w:t>
                  </w:r>
                </w:p>
              </w:tc>
              <w:tc>
                <w:tcPr>
                  <w:tcW w:w="2566" w:type="dxa"/>
                  <w:vAlign w:val="center"/>
                </w:tcPr>
                <w:p w:rsidR="00B374A1" w:rsidRPr="00B374A1" w:rsidRDefault="00B374A1" w:rsidP="00B374A1">
                  <w:pPr>
                    <w:jc w:val="center"/>
                    <w:rPr>
                      <w:rFonts w:asciiTheme="minorHAnsi" w:eastAsia="Calibri" w:hAnsiTheme="minorHAnsi" w:cs="Calibri"/>
                      <w:bCs/>
                      <w:sz w:val="22"/>
                      <w:lang w:val="en-US" w:eastAsia="ru-RU"/>
                    </w:rPr>
                  </w:pPr>
                  <w:r w:rsidRPr="00B374A1">
                    <w:rPr>
                      <w:rFonts w:asciiTheme="minorHAnsi" w:hAnsiTheme="minorHAnsi"/>
                      <w:sz w:val="22"/>
                      <w:lang w:val="en-US"/>
                    </w:rPr>
                    <w:t>0.2</w:t>
                  </w:r>
                </w:p>
              </w:tc>
            </w:tr>
            <w:tr w:rsidR="00B374A1" w:rsidRPr="00B374A1" w:rsidTr="003108DF">
              <w:trPr>
                <w:jc w:val="center"/>
              </w:trPr>
              <w:tc>
                <w:tcPr>
                  <w:tcW w:w="4267" w:type="dxa"/>
                </w:tcPr>
                <w:p w:rsidR="00B374A1" w:rsidRPr="00B374A1" w:rsidRDefault="00B374A1" w:rsidP="00B374A1">
                  <w:pPr>
                    <w:rPr>
                      <w:rFonts w:asciiTheme="minorHAnsi" w:eastAsia="Calibri" w:hAnsiTheme="minorHAnsi" w:cs="Calibri"/>
                      <w:bCs/>
                      <w:sz w:val="22"/>
                      <w:lang w:val="en-US" w:eastAsia="ru-RU"/>
                    </w:rPr>
                  </w:pPr>
                  <w:r w:rsidRPr="00B374A1">
                    <w:rPr>
                      <w:rFonts w:asciiTheme="minorHAnsi" w:hAnsiTheme="minorHAnsi"/>
                      <w:sz w:val="22"/>
                      <w:lang w:val="en-US"/>
                    </w:rPr>
                    <w:t>Written examination</w:t>
                  </w:r>
                </w:p>
              </w:tc>
              <w:tc>
                <w:tcPr>
                  <w:tcW w:w="2566" w:type="dxa"/>
                  <w:vAlign w:val="center"/>
                </w:tcPr>
                <w:p w:rsidR="00B374A1" w:rsidRPr="00B374A1" w:rsidRDefault="00B374A1" w:rsidP="00B374A1">
                  <w:pPr>
                    <w:jc w:val="center"/>
                    <w:rPr>
                      <w:rFonts w:asciiTheme="minorHAnsi" w:eastAsia="Calibri" w:hAnsiTheme="minorHAnsi" w:cs="Calibri"/>
                      <w:bCs/>
                      <w:sz w:val="22"/>
                      <w:lang w:val="en-US" w:eastAsia="ru-RU"/>
                    </w:rPr>
                  </w:pPr>
                  <w:r w:rsidRPr="00B374A1">
                    <w:rPr>
                      <w:rFonts w:asciiTheme="minorHAnsi" w:hAnsiTheme="minorHAnsi"/>
                      <w:sz w:val="22"/>
                      <w:lang w:val="en-US"/>
                    </w:rPr>
                    <w:t>0.3</w:t>
                  </w:r>
                </w:p>
              </w:tc>
            </w:tr>
          </w:tbl>
          <w:p w:rsidR="00B374A1" w:rsidRPr="00B374A1" w:rsidRDefault="00B374A1" w:rsidP="00B374A1">
            <w:pPr>
              <w:spacing w:after="0" w:line="240" w:lineRule="auto"/>
              <w:rPr>
                <w:rFonts w:asciiTheme="minorHAnsi" w:hAnsiTheme="minorHAnsi" w:cs="Calibri"/>
                <w:bCs/>
                <w:sz w:val="22"/>
                <w:lang w:val="en-US" w:eastAsia="ru-RU"/>
              </w:rPr>
            </w:pPr>
          </w:p>
        </w:tc>
      </w:tr>
    </w:tbl>
    <w:p w:rsidR="00F76E98" w:rsidRDefault="00F76E98" w:rsidP="0069005C">
      <w:pPr>
        <w:rPr>
          <w:lang w:val="en-US"/>
        </w:rPr>
      </w:pPr>
    </w:p>
    <w:sectPr w:rsidR="00F76E98" w:rsidSect="006D6E6F">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16" w:rsidRDefault="00842116" w:rsidP="00EA035A">
      <w:pPr>
        <w:spacing w:after="0" w:line="240" w:lineRule="auto"/>
      </w:pPr>
      <w:r>
        <w:separator/>
      </w:r>
    </w:p>
  </w:endnote>
  <w:endnote w:type="continuationSeparator" w:id="0">
    <w:p w:rsidR="00842116" w:rsidRDefault="00842116" w:rsidP="00E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16" w:rsidRDefault="00842116" w:rsidP="00EA035A">
      <w:pPr>
        <w:spacing w:after="0" w:line="240" w:lineRule="auto"/>
      </w:pPr>
      <w:r>
        <w:separator/>
      </w:r>
    </w:p>
  </w:footnote>
  <w:footnote w:type="continuationSeparator" w:id="0">
    <w:p w:rsidR="00842116" w:rsidRDefault="00842116" w:rsidP="00EA0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0"/>
    <w:multiLevelType w:val="hybridMultilevel"/>
    <w:tmpl w:val="0EE851C6"/>
    <w:lvl w:ilvl="0" w:tplc="AC8E39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4179D8"/>
    <w:multiLevelType w:val="hybridMultilevel"/>
    <w:tmpl w:val="D67043D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0601D1B"/>
    <w:multiLevelType w:val="hybridMultilevel"/>
    <w:tmpl w:val="F0186132"/>
    <w:lvl w:ilvl="0" w:tplc="C23CFD88">
      <w:start w:val="14"/>
      <w:numFmt w:val="bullet"/>
      <w:lvlText w:val="-"/>
      <w:lvlJc w:val="left"/>
      <w:pPr>
        <w:ind w:left="720" w:hanging="360"/>
      </w:pPr>
      <w:rPr>
        <w:rFonts w:ascii="Calibri" w:eastAsia="Times New Roman" w:hAnsi="Calibri" w:cs="Calibri"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6D1342"/>
    <w:multiLevelType w:val="hybridMultilevel"/>
    <w:tmpl w:val="BE6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8D4A6E"/>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0E91EF6"/>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2D4E"/>
    <w:multiLevelType w:val="hybridMultilevel"/>
    <w:tmpl w:val="727434C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2843CC6"/>
    <w:multiLevelType w:val="hybridMultilevel"/>
    <w:tmpl w:val="9830FF92"/>
    <w:lvl w:ilvl="0" w:tplc="FF1ED4BA">
      <w:start w:val="1"/>
      <w:numFmt w:val="decimal"/>
      <w:lvlText w:val="%1."/>
      <w:lvlJc w:val="left"/>
      <w:pPr>
        <w:ind w:left="460" w:hanging="360"/>
      </w:pPr>
      <w:rPr>
        <w:rFonts w:cs="Times New Roman" w:hint="default"/>
      </w:rPr>
    </w:lvl>
    <w:lvl w:ilvl="1" w:tplc="04090019">
      <w:start w:val="1"/>
      <w:numFmt w:val="lowerLetter"/>
      <w:lvlText w:val="%2."/>
      <w:lvlJc w:val="left"/>
      <w:pPr>
        <w:ind w:left="1180" w:hanging="360"/>
      </w:pPr>
      <w:rPr>
        <w:rFonts w:cs="Times New Roman"/>
      </w:rPr>
    </w:lvl>
    <w:lvl w:ilvl="2" w:tplc="0409001B">
      <w:start w:val="1"/>
      <w:numFmt w:val="lowerRoman"/>
      <w:lvlText w:val="%3."/>
      <w:lvlJc w:val="right"/>
      <w:pPr>
        <w:ind w:left="1900" w:hanging="180"/>
      </w:pPr>
      <w:rPr>
        <w:rFonts w:cs="Times New Roman"/>
      </w:rPr>
    </w:lvl>
    <w:lvl w:ilvl="3" w:tplc="0409000F">
      <w:start w:val="1"/>
      <w:numFmt w:val="decimal"/>
      <w:lvlText w:val="%4."/>
      <w:lvlJc w:val="left"/>
      <w:pPr>
        <w:ind w:left="2620" w:hanging="360"/>
      </w:pPr>
      <w:rPr>
        <w:rFonts w:cs="Times New Roman"/>
      </w:rPr>
    </w:lvl>
    <w:lvl w:ilvl="4" w:tplc="04090019">
      <w:start w:val="1"/>
      <w:numFmt w:val="lowerLetter"/>
      <w:lvlText w:val="%5."/>
      <w:lvlJc w:val="left"/>
      <w:pPr>
        <w:ind w:left="3340" w:hanging="360"/>
      </w:pPr>
      <w:rPr>
        <w:rFonts w:cs="Times New Roman"/>
      </w:rPr>
    </w:lvl>
    <w:lvl w:ilvl="5" w:tplc="0409001B">
      <w:start w:val="1"/>
      <w:numFmt w:val="lowerRoman"/>
      <w:lvlText w:val="%6."/>
      <w:lvlJc w:val="right"/>
      <w:pPr>
        <w:ind w:left="4060" w:hanging="180"/>
      </w:pPr>
      <w:rPr>
        <w:rFonts w:cs="Times New Roman"/>
      </w:rPr>
    </w:lvl>
    <w:lvl w:ilvl="6" w:tplc="0409000F">
      <w:start w:val="1"/>
      <w:numFmt w:val="decimal"/>
      <w:lvlText w:val="%7."/>
      <w:lvlJc w:val="left"/>
      <w:pPr>
        <w:ind w:left="4780" w:hanging="360"/>
      </w:pPr>
      <w:rPr>
        <w:rFonts w:cs="Times New Roman"/>
      </w:rPr>
    </w:lvl>
    <w:lvl w:ilvl="7" w:tplc="04090019">
      <w:start w:val="1"/>
      <w:numFmt w:val="lowerLetter"/>
      <w:lvlText w:val="%8."/>
      <w:lvlJc w:val="left"/>
      <w:pPr>
        <w:ind w:left="5500" w:hanging="360"/>
      </w:pPr>
      <w:rPr>
        <w:rFonts w:cs="Times New Roman"/>
      </w:rPr>
    </w:lvl>
    <w:lvl w:ilvl="8" w:tplc="0409001B">
      <w:start w:val="1"/>
      <w:numFmt w:val="lowerRoman"/>
      <w:lvlText w:val="%9."/>
      <w:lvlJc w:val="right"/>
      <w:pPr>
        <w:ind w:left="6220" w:hanging="180"/>
      </w:pPr>
      <w:rPr>
        <w:rFonts w:cs="Times New Roman"/>
      </w:rPr>
    </w:lvl>
  </w:abstractNum>
  <w:abstractNum w:abstractNumId="8">
    <w:nsid w:val="03033248"/>
    <w:multiLevelType w:val="hybridMultilevel"/>
    <w:tmpl w:val="F29A7E6E"/>
    <w:lvl w:ilvl="0" w:tplc="FFFFFFFF">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492731C"/>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A424CC"/>
    <w:multiLevelType w:val="hybridMultilevel"/>
    <w:tmpl w:val="B35EAFD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324C52"/>
    <w:multiLevelType w:val="hybridMultilevel"/>
    <w:tmpl w:val="57A48F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6D00B1B"/>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09315168"/>
    <w:multiLevelType w:val="hybridMultilevel"/>
    <w:tmpl w:val="A94C3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A47FE9"/>
    <w:multiLevelType w:val="hybridMultilevel"/>
    <w:tmpl w:val="B482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33F13"/>
    <w:multiLevelType w:val="hybridMultilevel"/>
    <w:tmpl w:val="DD7A3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2D4869"/>
    <w:multiLevelType w:val="hybridMultilevel"/>
    <w:tmpl w:val="49DC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0C25CD"/>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034718"/>
    <w:multiLevelType w:val="hybridMultilevel"/>
    <w:tmpl w:val="68C25CE4"/>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312BC3"/>
    <w:multiLevelType w:val="hybridMultilevel"/>
    <w:tmpl w:val="0796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E27B49"/>
    <w:multiLevelType w:val="hybridMultilevel"/>
    <w:tmpl w:val="05F022B4"/>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E9018E"/>
    <w:multiLevelType w:val="hybridMultilevel"/>
    <w:tmpl w:val="CACA3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1946E4"/>
    <w:multiLevelType w:val="hybridMultilevel"/>
    <w:tmpl w:val="95A0B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99445B"/>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BE4E27"/>
    <w:multiLevelType w:val="hybridMultilevel"/>
    <w:tmpl w:val="0796485C"/>
    <w:lvl w:ilvl="0" w:tplc="C9DC927C">
      <w:start w:val="21"/>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5">
    <w:nsid w:val="149127F8"/>
    <w:multiLevelType w:val="hybridMultilevel"/>
    <w:tmpl w:val="38DA5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37874"/>
    <w:multiLevelType w:val="hybridMultilevel"/>
    <w:tmpl w:val="8384C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4F6445F"/>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0D36EF"/>
    <w:multiLevelType w:val="hybridMultilevel"/>
    <w:tmpl w:val="2ED04D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55B7B32"/>
    <w:multiLevelType w:val="hybridMultilevel"/>
    <w:tmpl w:val="FEAA5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022FCC"/>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83435FA"/>
    <w:multiLevelType w:val="hybridMultilevel"/>
    <w:tmpl w:val="FD042026"/>
    <w:lvl w:ilvl="0" w:tplc="E80E1AB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84B333E"/>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187739BE"/>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9125B8"/>
    <w:multiLevelType w:val="hybridMultilevel"/>
    <w:tmpl w:val="9592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1B6988"/>
    <w:multiLevelType w:val="multilevel"/>
    <w:tmpl w:val="778258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95E6812"/>
    <w:multiLevelType w:val="hybridMultilevel"/>
    <w:tmpl w:val="739451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19A3424D"/>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A195D2E"/>
    <w:multiLevelType w:val="hybridMultilevel"/>
    <w:tmpl w:val="F8F2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8C102A"/>
    <w:multiLevelType w:val="hybridMultilevel"/>
    <w:tmpl w:val="B7B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CA775F7"/>
    <w:multiLevelType w:val="hybridMultilevel"/>
    <w:tmpl w:val="39FA87CC"/>
    <w:lvl w:ilvl="0" w:tplc="1CE852F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15036D"/>
    <w:multiLevelType w:val="hybridMultilevel"/>
    <w:tmpl w:val="2798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4336875"/>
    <w:multiLevelType w:val="hybridMultilevel"/>
    <w:tmpl w:val="EE5C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C6024"/>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5D6439D"/>
    <w:multiLevelType w:val="hybridMultilevel"/>
    <w:tmpl w:val="1EC4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F5516A"/>
    <w:multiLevelType w:val="hybridMultilevel"/>
    <w:tmpl w:val="2758C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40102A"/>
    <w:multiLevelType w:val="hybridMultilevel"/>
    <w:tmpl w:val="B266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A236FE"/>
    <w:multiLevelType w:val="hybridMultilevel"/>
    <w:tmpl w:val="D10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8C67C0E"/>
    <w:multiLevelType w:val="hybridMultilevel"/>
    <w:tmpl w:val="F800A242"/>
    <w:lvl w:ilvl="0" w:tplc="1CCE4EF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2A3333D6"/>
    <w:multiLevelType w:val="hybridMultilevel"/>
    <w:tmpl w:val="A3023622"/>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A426C90"/>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AA369DE"/>
    <w:multiLevelType w:val="hybridMultilevel"/>
    <w:tmpl w:val="6748A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2AFA6B91"/>
    <w:multiLevelType w:val="hybridMultilevel"/>
    <w:tmpl w:val="B5D2BCA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962BEF"/>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CBC6140"/>
    <w:multiLevelType w:val="hybridMultilevel"/>
    <w:tmpl w:val="50A2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D75170"/>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DF95A7B"/>
    <w:multiLevelType w:val="hybridMultilevel"/>
    <w:tmpl w:val="5F28E0BC"/>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EAE1489"/>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F091A07"/>
    <w:multiLevelType w:val="hybridMultilevel"/>
    <w:tmpl w:val="8CCC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0C06658"/>
    <w:multiLevelType w:val="hybridMultilevel"/>
    <w:tmpl w:val="8230FBD8"/>
    <w:lvl w:ilvl="0" w:tplc="B7FE4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0EF06D8"/>
    <w:multiLevelType w:val="hybridMultilevel"/>
    <w:tmpl w:val="E4BCA4B8"/>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1037801"/>
    <w:multiLevelType w:val="hybridMultilevel"/>
    <w:tmpl w:val="3620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14F6047"/>
    <w:multiLevelType w:val="hybridMultilevel"/>
    <w:tmpl w:val="C2CCC0D6"/>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45B3577"/>
    <w:multiLevelType w:val="hybridMultilevel"/>
    <w:tmpl w:val="6FDCD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59F40A7"/>
    <w:multiLevelType w:val="hybridMultilevel"/>
    <w:tmpl w:val="39B0A6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nsid w:val="35BC20FD"/>
    <w:multiLevelType w:val="hybridMultilevel"/>
    <w:tmpl w:val="9B942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6BE4C7F"/>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380268FA"/>
    <w:multiLevelType w:val="hybridMultilevel"/>
    <w:tmpl w:val="1C4AC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A994625"/>
    <w:multiLevelType w:val="hybridMultilevel"/>
    <w:tmpl w:val="890894D4"/>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1D7B2D"/>
    <w:multiLevelType w:val="hybridMultilevel"/>
    <w:tmpl w:val="98989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E2C5939"/>
    <w:multiLevelType w:val="hybridMultilevel"/>
    <w:tmpl w:val="4F3E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CC49AD"/>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0611CFE"/>
    <w:multiLevelType w:val="hybridMultilevel"/>
    <w:tmpl w:val="073C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3490EA3"/>
    <w:multiLevelType w:val="hybridMultilevel"/>
    <w:tmpl w:val="47DE94BC"/>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6C4FAD"/>
    <w:multiLevelType w:val="hybridMultilevel"/>
    <w:tmpl w:val="CAA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9174662"/>
    <w:multiLevelType w:val="hybridMultilevel"/>
    <w:tmpl w:val="B3766168"/>
    <w:lvl w:ilvl="0" w:tplc="E80E1ABA">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6">
    <w:nsid w:val="4BEC4E9C"/>
    <w:multiLevelType w:val="hybridMultilevel"/>
    <w:tmpl w:val="1D8E536C"/>
    <w:lvl w:ilvl="0" w:tplc="FFFFFFFF">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EBB2DEF"/>
    <w:multiLevelType w:val="hybridMultilevel"/>
    <w:tmpl w:val="C81EB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F2F0D36"/>
    <w:multiLevelType w:val="hybridMultilevel"/>
    <w:tmpl w:val="1DE8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4A0701"/>
    <w:multiLevelType w:val="hybridMultilevel"/>
    <w:tmpl w:val="3E76A73C"/>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00C1AB2"/>
    <w:multiLevelType w:val="hybridMultilevel"/>
    <w:tmpl w:val="B97A2FCE"/>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03E2C59"/>
    <w:multiLevelType w:val="hybridMultilevel"/>
    <w:tmpl w:val="184EDD80"/>
    <w:lvl w:ilvl="0" w:tplc="B7FE4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50E80F04"/>
    <w:multiLevelType w:val="hybridMultilevel"/>
    <w:tmpl w:val="9A88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09789B"/>
    <w:multiLevelType w:val="hybridMultilevel"/>
    <w:tmpl w:val="AAD8C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A12094"/>
    <w:multiLevelType w:val="hybridMultilevel"/>
    <w:tmpl w:val="2828E8E2"/>
    <w:lvl w:ilvl="0" w:tplc="3DB26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CC1A23"/>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2D17247"/>
    <w:multiLevelType w:val="hybridMultilevel"/>
    <w:tmpl w:val="C7A4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32E55BB"/>
    <w:multiLevelType w:val="hybridMultilevel"/>
    <w:tmpl w:val="4334971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4C53E26"/>
    <w:multiLevelType w:val="hybridMultilevel"/>
    <w:tmpl w:val="FAECB97E"/>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59335DD"/>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620478D"/>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6A6580F"/>
    <w:multiLevelType w:val="hybridMultilevel"/>
    <w:tmpl w:val="EDCA2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70100D0"/>
    <w:multiLevelType w:val="hybridMultilevel"/>
    <w:tmpl w:val="A554FE68"/>
    <w:lvl w:ilvl="0" w:tplc="B14079C8">
      <w:start w:val="1"/>
      <w:numFmt w:val="bullet"/>
      <w:lvlText w:val=""/>
      <w:lvlJc w:val="left"/>
      <w:pPr>
        <w:ind w:left="720" w:hanging="360"/>
      </w:pPr>
      <w:rPr>
        <w:rFonts w:ascii="Symbol" w:hAnsi="Symbol" w:hint="default"/>
      </w:rPr>
    </w:lvl>
    <w:lvl w:ilvl="1" w:tplc="50CE3FD2">
      <w:start w:val="1"/>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B21318"/>
    <w:multiLevelType w:val="hybridMultilevel"/>
    <w:tmpl w:val="65DE7486"/>
    <w:lvl w:ilvl="0" w:tplc="AC8E39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86C607E"/>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95F5DC3"/>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66769D"/>
    <w:multiLevelType w:val="hybridMultilevel"/>
    <w:tmpl w:val="C1CAE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9B5343F"/>
    <w:multiLevelType w:val="hybridMultilevel"/>
    <w:tmpl w:val="17EC2B92"/>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120F45"/>
    <w:multiLevelType w:val="hybridMultilevel"/>
    <w:tmpl w:val="DF94A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5BA75A56"/>
    <w:multiLevelType w:val="hybridMultilevel"/>
    <w:tmpl w:val="C4242EA0"/>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CDD6381"/>
    <w:multiLevelType w:val="hybridMultilevel"/>
    <w:tmpl w:val="321E2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81021A"/>
    <w:multiLevelType w:val="hybridMultilevel"/>
    <w:tmpl w:val="7A4C17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E853CA"/>
    <w:multiLevelType w:val="hybridMultilevel"/>
    <w:tmpl w:val="4F48E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46718A9"/>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4B42122"/>
    <w:multiLevelType w:val="hybridMultilevel"/>
    <w:tmpl w:val="B2E0ACAA"/>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4C408C0"/>
    <w:multiLevelType w:val="hybridMultilevel"/>
    <w:tmpl w:val="E0221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507196C"/>
    <w:multiLevelType w:val="hybridMultilevel"/>
    <w:tmpl w:val="130C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121E38"/>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5360B33"/>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5680B0F"/>
    <w:multiLevelType w:val="hybridMultilevel"/>
    <w:tmpl w:val="FA7CFB22"/>
    <w:lvl w:ilvl="0" w:tplc="7BDE5E8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11">
    <w:nsid w:val="656F1ED0"/>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5AF2799"/>
    <w:multiLevelType w:val="hybridMultilevel"/>
    <w:tmpl w:val="9A8A0E18"/>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6C96B82"/>
    <w:multiLevelType w:val="hybridMultilevel"/>
    <w:tmpl w:val="2A5ED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68D927B6"/>
    <w:multiLevelType w:val="hybridMultilevel"/>
    <w:tmpl w:val="0C1E3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95D5DCD"/>
    <w:multiLevelType w:val="hybridMultilevel"/>
    <w:tmpl w:val="ECB4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A993D69"/>
    <w:multiLevelType w:val="hybridMultilevel"/>
    <w:tmpl w:val="55ECB874"/>
    <w:lvl w:ilvl="0" w:tplc="21947F0E">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AAB72DC"/>
    <w:multiLevelType w:val="hybridMultilevel"/>
    <w:tmpl w:val="7A6C223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8">
    <w:nsid w:val="6CD278E5"/>
    <w:multiLevelType w:val="hybridMultilevel"/>
    <w:tmpl w:val="8CCC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B04FB7"/>
    <w:multiLevelType w:val="hybridMultilevel"/>
    <w:tmpl w:val="08D66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F572E48"/>
    <w:multiLevelType w:val="hybridMultilevel"/>
    <w:tmpl w:val="8BDE2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0757948"/>
    <w:multiLevelType w:val="multilevel"/>
    <w:tmpl w:val="03A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1427B8"/>
    <w:multiLevelType w:val="hybridMultilevel"/>
    <w:tmpl w:val="EE2E086A"/>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25B5421"/>
    <w:multiLevelType w:val="hybridMultilevel"/>
    <w:tmpl w:val="798C719E"/>
    <w:lvl w:ilvl="0" w:tplc="2530F71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3597AB6"/>
    <w:multiLevelType w:val="hybridMultilevel"/>
    <w:tmpl w:val="D4DA6022"/>
    <w:lvl w:ilvl="0" w:tplc="B7FE4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5AC09C1"/>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62F4D37"/>
    <w:multiLevelType w:val="hybridMultilevel"/>
    <w:tmpl w:val="11F4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822106C"/>
    <w:multiLevelType w:val="singleLevel"/>
    <w:tmpl w:val="4E208218"/>
    <w:lvl w:ilvl="0">
      <w:start w:val="1"/>
      <w:numFmt w:val="decimal"/>
      <w:lvlText w:val="%1."/>
      <w:lvlJc w:val="left"/>
      <w:pPr>
        <w:tabs>
          <w:tab w:val="num" w:pos="1140"/>
        </w:tabs>
        <w:ind w:left="1140" w:hanging="360"/>
      </w:pPr>
      <w:rPr>
        <w:rFonts w:ascii="Times New Roman" w:hAnsi="Times New Roman" w:cs="Times New Roman" w:hint="default"/>
      </w:rPr>
    </w:lvl>
  </w:abstractNum>
  <w:abstractNum w:abstractNumId="128">
    <w:nsid w:val="788F45C0"/>
    <w:multiLevelType w:val="hybridMultilevel"/>
    <w:tmpl w:val="B12A0ACC"/>
    <w:lvl w:ilvl="0" w:tplc="853275C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9">
    <w:nsid w:val="7DB13D90"/>
    <w:multiLevelType w:val="hybridMultilevel"/>
    <w:tmpl w:val="F386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E03735"/>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F484E07"/>
    <w:multiLevelType w:val="hybridMultilevel"/>
    <w:tmpl w:val="48F418D8"/>
    <w:lvl w:ilvl="0" w:tplc="0409000F">
      <w:start w:val="1"/>
      <w:numFmt w:val="decimal"/>
      <w:lvlText w:val="%1."/>
      <w:lvlJc w:val="lef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num w:numId="1">
    <w:abstractNumId w:val="110"/>
  </w:num>
  <w:num w:numId="2">
    <w:abstractNumId w:val="89"/>
  </w:num>
  <w:num w:numId="3">
    <w:abstractNumId w:val="23"/>
  </w:num>
  <w:num w:numId="4">
    <w:abstractNumId w:val="46"/>
  </w:num>
  <w:num w:numId="5">
    <w:abstractNumId w:val="53"/>
  </w:num>
  <w:num w:numId="6">
    <w:abstractNumId w:val="17"/>
  </w:num>
  <w:num w:numId="7">
    <w:abstractNumId w:val="83"/>
  </w:num>
  <w:num w:numId="8">
    <w:abstractNumId w:val="21"/>
  </w:num>
  <w:num w:numId="9">
    <w:abstractNumId w:val="43"/>
  </w:num>
  <w:num w:numId="10">
    <w:abstractNumId w:val="125"/>
  </w:num>
  <w:num w:numId="11">
    <w:abstractNumId w:val="8"/>
  </w:num>
  <w:num w:numId="12">
    <w:abstractNumId w:val="81"/>
  </w:num>
  <w:num w:numId="13">
    <w:abstractNumId w:val="12"/>
  </w:num>
  <w:num w:numId="14">
    <w:abstractNumId w:val="22"/>
  </w:num>
  <w:num w:numId="15">
    <w:abstractNumId w:val="113"/>
  </w:num>
  <w:num w:numId="16">
    <w:abstractNumId w:val="101"/>
  </w:num>
  <w:num w:numId="17">
    <w:abstractNumId w:val="11"/>
  </w:num>
  <w:num w:numId="18">
    <w:abstractNumId w:val="112"/>
  </w:num>
  <w:num w:numId="19">
    <w:abstractNumId w:val="122"/>
  </w:num>
  <w:num w:numId="20">
    <w:abstractNumId w:val="47"/>
  </w:num>
  <w:num w:numId="21">
    <w:abstractNumId w:val="84"/>
  </w:num>
  <w:num w:numId="22">
    <w:abstractNumId w:val="103"/>
  </w:num>
  <w:num w:numId="23">
    <w:abstractNumId w:val="102"/>
  </w:num>
  <w:num w:numId="24">
    <w:abstractNumId w:val="124"/>
  </w:num>
  <w:num w:numId="25">
    <w:abstractNumId w:val="5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1"/>
  </w:num>
  <w:num w:numId="29">
    <w:abstractNumId w:val="27"/>
  </w:num>
  <w:num w:numId="30">
    <w:abstractNumId w:val="48"/>
  </w:num>
  <w:num w:numId="31">
    <w:abstractNumId w:val="60"/>
  </w:num>
  <w:num w:numId="32">
    <w:abstractNumId w:val="80"/>
  </w:num>
  <w:num w:numId="33">
    <w:abstractNumId w:val="131"/>
  </w:num>
  <w:num w:numId="34">
    <w:abstractNumId w:val="44"/>
  </w:num>
  <w:num w:numId="35">
    <w:abstractNumId w:val="98"/>
  </w:num>
  <w:num w:numId="36">
    <w:abstractNumId w:val="117"/>
  </w:num>
  <w:num w:numId="37">
    <w:abstractNumId w:val="70"/>
  </w:num>
  <w:num w:numId="38">
    <w:abstractNumId w:val="82"/>
  </w:num>
  <w:num w:numId="39">
    <w:abstractNumId w:val="93"/>
  </w:num>
  <w:num w:numId="40">
    <w:abstractNumId w:val="0"/>
  </w:num>
  <w:num w:numId="41">
    <w:abstractNumId w:val="66"/>
  </w:num>
  <w:num w:numId="42">
    <w:abstractNumId w:val="28"/>
  </w:num>
  <w:num w:numId="43">
    <w:abstractNumId w:val="64"/>
  </w:num>
  <w:num w:numId="44">
    <w:abstractNumId w:val="2"/>
  </w:num>
  <w:num w:numId="45">
    <w:abstractNumId w:val="40"/>
  </w:num>
  <w:num w:numId="46">
    <w:abstractNumId w:val="92"/>
  </w:num>
  <w:num w:numId="47">
    <w:abstractNumId w:val="56"/>
  </w:num>
  <w:num w:numId="48">
    <w:abstractNumId w:val="68"/>
  </w:num>
  <w:num w:numId="49">
    <w:abstractNumId w:val="119"/>
  </w:num>
  <w:num w:numId="50">
    <w:abstractNumId w:val="96"/>
  </w:num>
  <w:num w:numId="51">
    <w:abstractNumId w:val="59"/>
  </w:num>
  <w:num w:numId="52">
    <w:abstractNumId w:val="118"/>
  </w:num>
  <w:num w:numId="53">
    <w:abstractNumId w:val="86"/>
  </w:num>
  <w:num w:numId="54">
    <w:abstractNumId w:val="50"/>
  </w:num>
  <w:num w:numId="55">
    <w:abstractNumId w:val="26"/>
  </w:num>
  <w:num w:numId="56">
    <w:abstractNumId w:val="15"/>
  </w:num>
  <w:num w:numId="57">
    <w:abstractNumId w:val="30"/>
  </w:num>
  <w:num w:numId="58">
    <w:abstractNumId w:val="114"/>
  </w:num>
  <w:num w:numId="59">
    <w:abstractNumId w:val="90"/>
  </w:num>
  <w:num w:numId="60">
    <w:abstractNumId w:val="79"/>
  </w:num>
  <w:num w:numId="61">
    <w:abstractNumId w:val="35"/>
  </w:num>
  <w:num w:numId="62">
    <w:abstractNumId w:val="41"/>
  </w:num>
  <w:num w:numId="63">
    <w:abstractNumId w:val="42"/>
  </w:num>
  <w:num w:numId="64">
    <w:abstractNumId w:val="115"/>
  </w:num>
  <w:num w:numId="65">
    <w:abstractNumId w:val="99"/>
  </w:num>
  <w:num w:numId="66">
    <w:abstractNumId w:val="49"/>
  </w:num>
  <w:num w:numId="67">
    <w:abstractNumId w:val="105"/>
  </w:num>
  <w:num w:numId="68">
    <w:abstractNumId w:val="85"/>
  </w:num>
  <w:num w:numId="69">
    <w:abstractNumId w:val="37"/>
  </w:num>
  <w:num w:numId="70">
    <w:abstractNumId w:val="108"/>
  </w:num>
  <w:num w:numId="71">
    <w:abstractNumId w:val="33"/>
  </w:num>
  <w:num w:numId="72">
    <w:abstractNumId w:val="111"/>
  </w:num>
  <w:num w:numId="73">
    <w:abstractNumId w:val="74"/>
  </w:num>
  <w:num w:numId="74">
    <w:abstractNumId w:val="24"/>
  </w:num>
  <w:num w:numId="75">
    <w:abstractNumId w:val="78"/>
  </w:num>
  <w:num w:numId="76">
    <w:abstractNumId w:val="106"/>
  </w:num>
  <w:num w:numId="77">
    <w:abstractNumId w:val="123"/>
  </w:num>
  <w:num w:numId="78">
    <w:abstractNumId w:val="19"/>
  </w:num>
  <w:num w:numId="79">
    <w:abstractNumId w:val="107"/>
  </w:num>
  <w:num w:numId="80">
    <w:abstractNumId w:val="57"/>
  </w:num>
  <w:num w:numId="81">
    <w:abstractNumId w:val="72"/>
  </w:num>
  <w:num w:numId="82">
    <w:abstractNumId w:val="69"/>
  </w:num>
  <w:num w:numId="83">
    <w:abstractNumId w:val="100"/>
  </w:num>
  <w:num w:numId="84">
    <w:abstractNumId w:val="13"/>
  </w:num>
  <w:num w:numId="85">
    <w:abstractNumId w:val="14"/>
  </w:num>
  <w:num w:numId="86">
    <w:abstractNumId w:val="97"/>
  </w:num>
  <w:num w:numId="87">
    <w:abstractNumId w:val="71"/>
  </w:num>
  <w:num w:numId="88">
    <w:abstractNumId w:val="34"/>
  </w:num>
  <w:num w:numId="89">
    <w:abstractNumId w:val="77"/>
  </w:num>
  <w:num w:numId="90">
    <w:abstractNumId w:val="128"/>
  </w:num>
  <w:num w:numId="91">
    <w:abstractNumId w:val="63"/>
  </w:num>
  <w:num w:numId="92">
    <w:abstractNumId w:val="67"/>
  </w:num>
  <w:num w:numId="93">
    <w:abstractNumId w:val="32"/>
  </w:num>
  <w:num w:numId="94">
    <w:abstractNumId w:val="10"/>
  </w:num>
  <w:num w:numId="95">
    <w:abstractNumId w:val="16"/>
  </w:num>
  <w:num w:numId="96">
    <w:abstractNumId w:val="61"/>
  </w:num>
  <w:num w:numId="97">
    <w:abstractNumId w:val="38"/>
  </w:num>
  <w:num w:numId="98">
    <w:abstractNumId w:val="29"/>
  </w:num>
  <w:num w:numId="99">
    <w:abstractNumId w:val="52"/>
  </w:num>
  <w:num w:numId="100">
    <w:abstractNumId w:val="87"/>
  </w:num>
  <w:num w:numId="101">
    <w:abstractNumId w:val="95"/>
  </w:num>
  <w:num w:numId="102">
    <w:abstractNumId w:val="55"/>
  </w:num>
  <w:num w:numId="103">
    <w:abstractNumId w:val="62"/>
  </w:num>
  <w:num w:numId="104">
    <w:abstractNumId w:val="88"/>
  </w:num>
  <w:num w:numId="105">
    <w:abstractNumId w:val="126"/>
  </w:num>
  <w:num w:numId="106">
    <w:abstractNumId w:val="91"/>
  </w:num>
  <w:num w:numId="107">
    <w:abstractNumId w:val="18"/>
  </w:num>
  <w:num w:numId="108">
    <w:abstractNumId w:val="45"/>
  </w:num>
  <w:num w:numId="109">
    <w:abstractNumId w:val="9"/>
  </w:num>
  <w:num w:numId="110">
    <w:abstractNumId w:val="76"/>
  </w:num>
  <w:num w:numId="111">
    <w:abstractNumId w:val="129"/>
  </w:num>
  <w:num w:numId="112">
    <w:abstractNumId w:val="127"/>
  </w:num>
  <w:num w:numId="113">
    <w:abstractNumId w:val="120"/>
  </w:num>
  <w:num w:numId="114">
    <w:abstractNumId w:val="39"/>
  </w:num>
  <w:num w:numId="115">
    <w:abstractNumId w:val="3"/>
  </w:num>
  <w:num w:numId="116">
    <w:abstractNumId w:val="54"/>
  </w:num>
  <w:num w:numId="117">
    <w:abstractNumId w:val="25"/>
  </w:num>
  <w:num w:numId="118">
    <w:abstractNumId w:val="65"/>
  </w:num>
  <w:num w:numId="119">
    <w:abstractNumId w:val="104"/>
  </w:num>
  <w:num w:numId="120">
    <w:abstractNumId w:val="109"/>
  </w:num>
  <w:num w:numId="121">
    <w:abstractNumId w:val="94"/>
  </w:num>
  <w:num w:numId="122">
    <w:abstractNumId w:val="4"/>
  </w:num>
  <w:num w:numId="123">
    <w:abstractNumId w:val="5"/>
  </w:num>
  <w:num w:numId="124">
    <w:abstractNumId w:val="130"/>
  </w:num>
  <w:num w:numId="125">
    <w:abstractNumId w:val="116"/>
  </w:num>
  <w:num w:numId="126">
    <w:abstractNumId w:val="75"/>
  </w:num>
  <w:num w:numId="127">
    <w:abstractNumId w:val="73"/>
  </w:num>
  <w:num w:numId="128">
    <w:abstractNumId w:val="20"/>
  </w:num>
  <w:num w:numId="129">
    <w:abstractNumId w:val="6"/>
  </w:num>
  <w:num w:numId="130">
    <w:abstractNumId w:val="1"/>
  </w:num>
  <w:num w:numId="131">
    <w:abstractNumId w:val="7"/>
  </w:num>
  <w:num w:numId="132">
    <w:abstractNumId w:val="3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87"/>
    <w:rsid w:val="00002CFA"/>
    <w:rsid w:val="000030A0"/>
    <w:rsid w:val="000036FE"/>
    <w:rsid w:val="000113F9"/>
    <w:rsid w:val="000116D4"/>
    <w:rsid w:val="00011915"/>
    <w:rsid w:val="00014EDE"/>
    <w:rsid w:val="00030778"/>
    <w:rsid w:val="00034406"/>
    <w:rsid w:val="00035D71"/>
    <w:rsid w:val="0004030E"/>
    <w:rsid w:val="0004107B"/>
    <w:rsid w:val="00044946"/>
    <w:rsid w:val="00071105"/>
    <w:rsid w:val="0007663C"/>
    <w:rsid w:val="00076943"/>
    <w:rsid w:val="000B0700"/>
    <w:rsid w:val="000B4BA4"/>
    <w:rsid w:val="000E33EE"/>
    <w:rsid w:val="000F2FB6"/>
    <w:rsid w:val="000F6D23"/>
    <w:rsid w:val="00100BB0"/>
    <w:rsid w:val="001059A7"/>
    <w:rsid w:val="00106B6F"/>
    <w:rsid w:val="0010729D"/>
    <w:rsid w:val="00107F4E"/>
    <w:rsid w:val="001231A6"/>
    <w:rsid w:val="00125036"/>
    <w:rsid w:val="00142A36"/>
    <w:rsid w:val="00142B1E"/>
    <w:rsid w:val="00144A40"/>
    <w:rsid w:val="0018056E"/>
    <w:rsid w:val="001879C5"/>
    <w:rsid w:val="001956E6"/>
    <w:rsid w:val="001A3A67"/>
    <w:rsid w:val="001B26CF"/>
    <w:rsid w:val="001B70DF"/>
    <w:rsid w:val="001C3AC6"/>
    <w:rsid w:val="001C3C39"/>
    <w:rsid w:val="001E1902"/>
    <w:rsid w:val="001F54BB"/>
    <w:rsid w:val="001F7DCA"/>
    <w:rsid w:val="00204267"/>
    <w:rsid w:val="002069A2"/>
    <w:rsid w:val="00207640"/>
    <w:rsid w:val="00234607"/>
    <w:rsid w:val="0023501E"/>
    <w:rsid w:val="00235B9E"/>
    <w:rsid w:val="002362E0"/>
    <w:rsid w:val="00251B2D"/>
    <w:rsid w:val="00263237"/>
    <w:rsid w:val="00265695"/>
    <w:rsid w:val="0026655D"/>
    <w:rsid w:val="00273A72"/>
    <w:rsid w:val="00276E9F"/>
    <w:rsid w:val="00287FAD"/>
    <w:rsid w:val="00292429"/>
    <w:rsid w:val="002951D1"/>
    <w:rsid w:val="002A40EC"/>
    <w:rsid w:val="002A4BB3"/>
    <w:rsid w:val="002A7BDB"/>
    <w:rsid w:val="002B0013"/>
    <w:rsid w:val="002B2C0F"/>
    <w:rsid w:val="002B7FA0"/>
    <w:rsid w:val="002C3D74"/>
    <w:rsid w:val="002E136B"/>
    <w:rsid w:val="002E1521"/>
    <w:rsid w:val="002E1C96"/>
    <w:rsid w:val="002E7BFF"/>
    <w:rsid w:val="002F3349"/>
    <w:rsid w:val="003019C9"/>
    <w:rsid w:val="00306126"/>
    <w:rsid w:val="00306A1C"/>
    <w:rsid w:val="003108DF"/>
    <w:rsid w:val="0033152F"/>
    <w:rsid w:val="003350F6"/>
    <w:rsid w:val="00337C82"/>
    <w:rsid w:val="00352AFA"/>
    <w:rsid w:val="00361869"/>
    <w:rsid w:val="00365519"/>
    <w:rsid w:val="00370424"/>
    <w:rsid w:val="00371F49"/>
    <w:rsid w:val="003905A3"/>
    <w:rsid w:val="00394699"/>
    <w:rsid w:val="003A5121"/>
    <w:rsid w:val="003B0667"/>
    <w:rsid w:val="003B075D"/>
    <w:rsid w:val="003C0BB9"/>
    <w:rsid w:val="003C10F8"/>
    <w:rsid w:val="003C3224"/>
    <w:rsid w:val="003D1F76"/>
    <w:rsid w:val="003D4C6F"/>
    <w:rsid w:val="00414D6E"/>
    <w:rsid w:val="00431699"/>
    <w:rsid w:val="0044085F"/>
    <w:rsid w:val="00446F12"/>
    <w:rsid w:val="004539C6"/>
    <w:rsid w:val="00455EF1"/>
    <w:rsid w:val="00463116"/>
    <w:rsid w:val="00472565"/>
    <w:rsid w:val="00493FE8"/>
    <w:rsid w:val="004A3149"/>
    <w:rsid w:val="004A4F7C"/>
    <w:rsid w:val="004D4496"/>
    <w:rsid w:val="004D4C6E"/>
    <w:rsid w:val="004D4EC0"/>
    <w:rsid w:val="004E32DF"/>
    <w:rsid w:val="004E6EC5"/>
    <w:rsid w:val="00501C82"/>
    <w:rsid w:val="00503EEE"/>
    <w:rsid w:val="00504740"/>
    <w:rsid w:val="0051061F"/>
    <w:rsid w:val="005123D5"/>
    <w:rsid w:val="00525DDD"/>
    <w:rsid w:val="00526ECF"/>
    <w:rsid w:val="00534A79"/>
    <w:rsid w:val="0053611D"/>
    <w:rsid w:val="005369CA"/>
    <w:rsid w:val="00570CF9"/>
    <w:rsid w:val="00570F87"/>
    <w:rsid w:val="00584939"/>
    <w:rsid w:val="00587DFB"/>
    <w:rsid w:val="005A3EEC"/>
    <w:rsid w:val="005B0600"/>
    <w:rsid w:val="005B4AEC"/>
    <w:rsid w:val="005B4E7F"/>
    <w:rsid w:val="005C0A7E"/>
    <w:rsid w:val="005F19DE"/>
    <w:rsid w:val="005F27D8"/>
    <w:rsid w:val="005F364B"/>
    <w:rsid w:val="0060450D"/>
    <w:rsid w:val="00605DDD"/>
    <w:rsid w:val="00623259"/>
    <w:rsid w:val="00635602"/>
    <w:rsid w:val="006439B2"/>
    <w:rsid w:val="006466CF"/>
    <w:rsid w:val="0064760A"/>
    <w:rsid w:val="006540DF"/>
    <w:rsid w:val="00666349"/>
    <w:rsid w:val="00667BE3"/>
    <w:rsid w:val="0068039A"/>
    <w:rsid w:val="00683C30"/>
    <w:rsid w:val="00686B76"/>
    <w:rsid w:val="0069005C"/>
    <w:rsid w:val="00693713"/>
    <w:rsid w:val="006C32FC"/>
    <w:rsid w:val="006C64DC"/>
    <w:rsid w:val="006D374E"/>
    <w:rsid w:val="006D6E6F"/>
    <w:rsid w:val="006E6260"/>
    <w:rsid w:val="006E6BFD"/>
    <w:rsid w:val="006E6C6B"/>
    <w:rsid w:val="00701972"/>
    <w:rsid w:val="007044EE"/>
    <w:rsid w:val="00706230"/>
    <w:rsid w:val="0071325E"/>
    <w:rsid w:val="00730A90"/>
    <w:rsid w:val="00740210"/>
    <w:rsid w:val="00753B6A"/>
    <w:rsid w:val="0075456D"/>
    <w:rsid w:val="00762800"/>
    <w:rsid w:val="007675C0"/>
    <w:rsid w:val="007704EC"/>
    <w:rsid w:val="00772DCA"/>
    <w:rsid w:val="0078299F"/>
    <w:rsid w:val="00786128"/>
    <w:rsid w:val="00794EFA"/>
    <w:rsid w:val="007A068B"/>
    <w:rsid w:val="007A4C90"/>
    <w:rsid w:val="007C61FA"/>
    <w:rsid w:val="007D0B2F"/>
    <w:rsid w:val="007D2DA2"/>
    <w:rsid w:val="007E024A"/>
    <w:rsid w:val="007E26E9"/>
    <w:rsid w:val="007E4085"/>
    <w:rsid w:val="007F29B2"/>
    <w:rsid w:val="00814884"/>
    <w:rsid w:val="00832D96"/>
    <w:rsid w:val="00833261"/>
    <w:rsid w:val="00842116"/>
    <w:rsid w:val="008533C2"/>
    <w:rsid w:val="00857942"/>
    <w:rsid w:val="00862E82"/>
    <w:rsid w:val="00870535"/>
    <w:rsid w:val="00875496"/>
    <w:rsid w:val="008838A0"/>
    <w:rsid w:val="00896953"/>
    <w:rsid w:val="008B79E4"/>
    <w:rsid w:val="008D1195"/>
    <w:rsid w:val="008E1644"/>
    <w:rsid w:val="008F0CBB"/>
    <w:rsid w:val="008F5B74"/>
    <w:rsid w:val="008F7D99"/>
    <w:rsid w:val="00905272"/>
    <w:rsid w:val="00911251"/>
    <w:rsid w:val="00914F79"/>
    <w:rsid w:val="00916F24"/>
    <w:rsid w:val="009370D5"/>
    <w:rsid w:val="009431D3"/>
    <w:rsid w:val="00945458"/>
    <w:rsid w:val="00981670"/>
    <w:rsid w:val="009903B2"/>
    <w:rsid w:val="00996BA5"/>
    <w:rsid w:val="009A28BC"/>
    <w:rsid w:val="009A72D5"/>
    <w:rsid w:val="009B1CF5"/>
    <w:rsid w:val="009B582E"/>
    <w:rsid w:val="009C65C6"/>
    <w:rsid w:val="009E02AD"/>
    <w:rsid w:val="00A03D6E"/>
    <w:rsid w:val="00A04BFF"/>
    <w:rsid w:val="00A10F97"/>
    <w:rsid w:val="00A15889"/>
    <w:rsid w:val="00A15DEC"/>
    <w:rsid w:val="00A21403"/>
    <w:rsid w:val="00A24576"/>
    <w:rsid w:val="00A34B50"/>
    <w:rsid w:val="00A4002E"/>
    <w:rsid w:val="00A40E53"/>
    <w:rsid w:val="00A4398E"/>
    <w:rsid w:val="00A65AFD"/>
    <w:rsid w:val="00A86A99"/>
    <w:rsid w:val="00AA71E6"/>
    <w:rsid w:val="00AA779E"/>
    <w:rsid w:val="00AB2BBB"/>
    <w:rsid w:val="00AB799F"/>
    <w:rsid w:val="00AC1F94"/>
    <w:rsid w:val="00AC3709"/>
    <w:rsid w:val="00AE4368"/>
    <w:rsid w:val="00AE7020"/>
    <w:rsid w:val="00AF5A03"/>
    <w:rsid w:val="00B00971"/>
    <w:rsid w:val="00B2634E"/>
    <w:rsid w:val="00B32444"/>
    <w:rsid w:val="00B374A1"/>
    <w:rsid w:val="00B42F67"/>
    <w:rsid w:val="00B5084B"/>
    <w:rsid w:val="00B521CE"/>
    <w:rsid w:val="00B52583"/>
    <w:rsid w:val="00B52BA3"/>
    <w:rsid w:val="00B77FA7"/>
    <w:rsid w:val="00B81A1B"/>
    <w:rsid w:val="00B86A1D"/>
    <w:rsid w:val="00B876AA"/>
    <w:rsid w:val="00BA53BC"/>
    <w:rsid w:val="00BB4B40"/>
    <w:rsid w:val="00BC4FBF"/>
    <w:rsid w:val="00BC66FC"/>
    <w:rsid w:val="00BE29EA"/>
    <w:rsid w:val="00BE5024"/>
    <w:rsid w:val="00BF1CED"/>
    <w:rsid w:val="00C07EB3"/>
    <w:rsid w:val="00C1175A"/>
    <w:rsid w:val="00C128CA"/>
    <w:rsid w:val="00C35D7A"/>
    <w:rsid w:val="00C41218"/>
    <w:rsid w:val="00C414BE"/>
    <w:rsid w:val="00C53D95"/>
    <w:rsid w:val="00C70E80"/>
    <w:rsid w:val="00C75A76"/>
    <w:rsid w:val="00C84B81"/>
    <w:rsid w:val="00C965F1"/>
    <w:rsid w:val="00CB233F"/>
    <w:rsid w:val="00CB4A20"/>
    <w:rsid w:val="00CC5388"/>
    <w:rsid w:val="00CF37D5"/>
    <w:rsid w:val="00D00BCF"/>
    <w:rsid w:val="00D0397D"/>
    <w:rsid w:val="00D31463"/>
    <w:rsid w:val="00D42F30"/>
    <w:rsid w:val="00D4663E"/>
    <w:rsid w:val="00D46DC2"/>
    <w:rsid w:val="00D520B5"/>
    <w:rsid w:val="00D62AE3"/>
    <w:rsid w:val="00D95FE5"/>
    <w:rsid w:val="00DA089C"/>
    <w:rsid w:val="00DB4424"/>
    <w:rsid w:val="00DB71B3"/>
    <w:rsid w:val="00DD256A"/>
    <w:rsid w:val="00DD298C"/>
    <w:rsid w:val="00E1567E"/>
    <w:rsid w:val="00E176B6"/>
    <w:rsid w:val="00E35F8C"/>
    <w:rsid w:val="00E36580"/>
    <w:rsid w:val="00E4086A"/>
    <w:rsid w:val="00E42CC3"/>
    <w:rsid w:val="00E5174C"/>
    <w:rsid w:val="00E72A5A"/>
    <w:rsid w:val="00E74C9D"/>
    <w:rsid w:val="00E76DD7"/>
    <w:rsid w:val="00E80695"/>
    <w:rsid w:val="00E843C5"/>
    <w:rsid w:val="00E932CD"/>
    <w:rsid w:val="00E9447E"/>
    <w:rsid w:val="00EA0268"/>
    <w:rsid w:val="00EA035A"/>
    <w:rsid w:val="00EA1B88"/>
    <w:rsid w:val="00EA69F7"/>
    <w:rsid w:val="00EB10DC"/>
    <w:rsid w:val="00EB177D"/>
    <w:rsid w:val="00EB7817"/>
    <w:rsid w:val="00ED3B66"/>
    <w:rsid w:val="00EE29AD"/>
    <w:rsid w:val="00EE5AE7"/>
    <w:rsid w:val="00EF3B68"/>
    <w:rsid w:val="00F17401"/>
    <w:rsid w:val="00F40580"/>
    <w:rsid w:val="00F50776"/>
    <w:rsid w:val="00F55D12"/>
    <w:rsid w:val="00F62117"/>
    <w:rsid w:val="00F6456B"/>
    <w:rsid w:val="00F74DFF"/>
    <w:rsid w:val="00F7647A"/>
    <w:rsid w:val="00F76E98"/>
    <w:rsid w:val="00F8280A"/>
    <w:rsid w:val="00F8371C"/>
    <w:rsid w:val="00FA2EC0"/>
    <w:rsid w:val="00FB33F8"/>
    <w:rsid w:val="00FB7451"/>
    <w:rsid w:val="00FC3985"/>
    <w:rsid w:val="00FD4F3D"/>
    <w:rsid w:val="00FE383B"/>
    <w:rsid w:val="00FF1FA8"/>
    <w:rsid w:val="00FF5B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5977">
      <w:bodyDiv w:val="1"/>
      <w:marLeft w:val="0"/>
      <w:marRight w:val="0"/>
      <w:marTop w:val="0"/>
      <w:marBottom w:val="0"/>
      <w:divBdr>
        <w:top w:val="none" w:sz="0" w:space="0" w:color="auto"/>
        <w:left w:val="none" w:sz="0" w:space="0" w:color="auto"/>
        <w:bottom w:val="none" w:sz="0" w:space="0" w:color="auto"/>
        <w:right w:val="none" w:sz="0" w:space="0" w:color="auto"/>
      </w:divBdr>
    </w:div>
    <w:div w:id="478813921">
      <w:bodyDiv w:val="1"/>
      <w:marLeft w:val="0"/>
      <w:marRight w:val="0"/>
      <w:marTop w:val="0"/>
      <w:marBottom w:val="0"/>
      <w:divBdr>
        <w:top w:val="none" w:sz="0" w:space="0" w:color="auto"/>
        <w:left w:val="none" w:sz="0" w:space="0" w:color="auto"/>
        <w:bottom w:val="none" w:sz="0" w:space="0" w:color="auto"/>
        <w:right w:val="none" w:sz="0" w:space="0" w:color="auto"/>
      </w:divBdr>
    </w:div>
    <w:div w:id="708799596">
      <w:bodyDiv w:val="1"/>
      <w:marLeft w:val="0"/>
      <w:marRight w:val="0"/>
      <w:marTop w:val="0"/>
      <w:marBottom w:val="0"/>
      <w:divBdr>
        <w:top w:val="none" w:sz="0" w:space="0" w:color="auto"/>
        <w:left w:val="none" w:sz="0" w:space="0" w:color="auto"/>
        <w:bottom w:val="none" w:sz="0" w:space="0" w:color="auto"/>
        <w:right w:val="none" w:sz="0" w:space="0" w:color="auto"/>
      </w:divBdr>
    </w:div>
    <w:div w:id="1785535115">
      <w:bodyDiv w:val="1"/>
      <w:marLeft w:val="0"/>
      <w:marRight w:val="0"/>
      <w:marTop w:val="0"/>
      <w:marBottom w:val="0"/>
      <w:divBdr>
        <w:top w:val="none" w:sz="0" w:space="0" w:color="auto"/>
        <w:left w:val="none" w:sz="0" w:space="0" w:color="auto"/>
        <w:bottom w:val="none" w:sz="0" w:space="0" w:color="auto"/>
        <w:right w:val="none" w:sz="0" w:space="0" w:color="auto"/>
      </w:divBdr>
      <w:divsChild>
        <w:div w:id="325715484">
          <w:marLeft w:val="0"/>
          <w:marRight w:val="0"/>
          <w:marTop w:val="0"/>
          <w:marBottom w:val="0"/>
          <w:divBdr>
            <w:top w:val="none" w:sz="0" w:space="0" w:color="auto"/>
            <w:left w:val="none" w:sz="0" w:space="0" w:color="auto"/>
            <w:bottom w:val="none" w:sz="0" w:space="0" w:color="auto"/>
            <w:right w:val="none" w:sz="0" w:space="0" w:color="auto"/>
          </w:divBdr>
        </w:div>
        <w:div w:id="1984265146">
          <w:marLeft w:val="-900"/>
          <w:marRight w:val="0"/>
          <w:marTop w:val="0"/>
          <w:marBottom w:val="0"/>
          <w:divBdr>
            <w:top w:val="none" w:sz="0" w:space="0" w:color="auto"/>
            <w:left w:val="none" w:sz="0" w:space="0" w:color="auto"/>
            <w:bottom w:val="none" w:sz="0" w:space="0" w:color="auto"/>
            <w:right w:val="none" w:sz="0" w:space="0" w:color="auto"/>
          </w:divBdr>
        </w:div>
        <w:div w:id="835266564">
          <w:marLeft w:val="0"/>
          <w:marRight w:val="0"/>
          <w:marTop w:val="0"/>
          <w:marBottom w:val="0"/>
          <w:divBdr>
            <w:top w:val="none" w:sz="0" w:space="0" w:color="auto"/>
            <w:left w:val="none" w:sz="0" w:space="0" w:color="auto"/>
            <w:bottom w:val="none" w:sz="0" w:space="0" w:color="auto"/>
            <w:right w:val="none" w:sz="0" w:space="0" w:color="auto"/>
          </w:divBdr>
        </w:div>
        <w:div w:id="725952485">
          <w:marLeft w:val="0"/>
          <w:marRight w:val="0"/>
          <w:marTop w:val="0"/>
          <w:marBottom w:val="0"/>
          <w:divBdr>
            <w:top w:val="none" w:sz="0" w:space="0" w:color="auto"/>
            <w:left w:val="none" w:sz="0" w:space="0" w:color="auto"/>
            <w:bottom w:val="none" w:sz="0" w:space="0" w:color="auto"/>
            <w:right w:val="none" w:sz="0" w:space="0" w:color="auto"/>
          </w:divBdr>
        </w:div>
        <w:div w:id="103228716">
          <w:marLeft w:val="0"/>
          <w:marRight w:val="0"/>
          <w:marTop w:val="0"/>
          <w:marBottom w:val="0"/>
          <w:divBdr>
            <w:top w:val="none" w:sz="0" w:space="0" w:color="auto"/>
            <w:left w:val="none" w:sz="0" w:space="0" w:color="auto"/>
            <w:bottom w:val="none" w:sz="0" w:space="0" w:color="auto"/>
            <w:right w:val="none" w:sz="0" w:space="0" w:color="auto"/>
          </w:divBdr>
        </w:div>
        <w:div w:id="790829341">
          <w:marLeft w:val="-900"/>
          <w:marRight w:val="0"/>
          <w:marTop w:val="0"/>
          <w:marBottom w:val="0"/>
          <w:divBdr>
            <w:top w:val="none" w:sz="0" w:space="0" w:color="auto"/>
            <w:left w:val="none" w:sz="0" w:space="0" w:color="auto"/>
            <w:bottom w:val="none" w:sz="0" w:space="0" w:color="auto"/>
            <w:right w:val="none" w:sz="0" w:space="0" w:color="auto"/>
          </w:divBdr>
        </w:div>
        <w:div w:id="2107382203">
          <w:marLeft w:val="0"/>
          <w:marRight w:val="0"/>
          <w:marTop w:val="0"/>
          <w:marBottom w:val="0"/>
          <w:divBdr>
            <w:top w:val="none" w:sz="0" w:space="0" w:color="auto"/>
            <w:left w:val="none" w:sz="0" w:space="0" w:color="auto"/>
            <w:bottom w:val="none" w:sz="0" w:space="0" w:color="auto"/>
            <w:right w:val="none" w:sz="0" w:space="0" w:color="auto"/>
          </w:divBdr>
        </w:div>
        <w:div w:id="519440959">
          <w:marLeft w:val="0"/>
          <w:marRight w:val="0"/>
          <w:marTop w:val="0"/>
          <w:marBottom w:val="0"/>
          <w:divBdr>
            <w:top w:val="none" w:sz="0" w:space="0" w:color="auto"/>
            <w:left w:val="none" w:sz="0" w:space="0" w:color="auto"/>
            <w:bottom w:val="none" w:sz="0" w:space="0" w:color="auto"/>
            <w:right w:val="none" w:sz="0" w:space="0" w:color="auto"/>
          </w:divBdr>
        </w:div>
        <w:div w:id="389379191">
          <w:marLeft w:val="-900"/>
          <w:marRight w:val="0"/>
          <w:marTop w:val="0"/>
          <w:marBottom w:val="0"/>
          <w:divBdr>
            <w:top w:val="none" w:sz="0" w:space="0" w:color="auto"/>
            <w:left w:val="none" w:sz="0" w:space="0" w:color="auto"/>
            <w:bottom w:val="none" w:sz="0" w:space="0" w:color="auto"/>
            <w:right w:val="none" w:sz="0" w:space="0" w:color="auto"/>
          </w:divBdr>
        </w:div>
        <w:div w:id="396590707">
          <w:marLeft w:val="0"/>
          <w:marRight w:val="0"/>
          <w:marTop w:val="0"/>
          <w:marBottom w:val="0"/>
          <w:divBdr>
            <w:top w:val="none" w:sz="0" w:space="0" w:color="auto"/>
            <w:left w:val="none" w:sz="0" w:space="0" w:color="auto"/>
            <w:bottom w:val="none" w:sz="0" w:space="0" w:color="auto"/>
            <w:right w:val="none" w:sz="0" w:space="0" w:color="auto"/>
          </w:divBdr>
        </w:div>
        <w:div w:id="490147307">
          <w:marLeft w:val="0"/>
          <w:marRight w:val="0"/>
          <w:marTop w:val="0"/>
          <w:marBottom w:val="0"/>
          <w:divBdr>
            <w:top w:val="none" w:sz="0" w:space="0" w:color="auto"/>
            <w:left w:val="none" w:sz="0" w:space="0" w:color="auto"/>
            <w:bottom w:val="none" w:sz="0" w:space="0" w:color="auto"/>
            <w:right w:val="none" w:sz="0" w:space="0" w:color="auto"/>
          </w:divBdr>
        </w:div>
      </w:divsChild>
    </w:div>
    <w:div w:id="20525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751A7-96B5-4B31-8B9D-2CD5976F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1284</Words>
  <Characters>7320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Студент НИУ ВШЭ</cp:lastModifiedBy>
  <cp:revision>4</cp:revision>
  <dcterms:created xsi:type="dcterms:W3CDTF">2017-04-03T08:03:00Z</dcterms:created>
  <dcterms:modified xsi:type="dcterms:W3CDTF">2017-04-03T13:02:00Z</dcterms:modified>
</cp:coreProperties>
</file>