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463116" w:rsidRDefault="00463116" w:rsidP="00504740">
      <w:pPr>
        <w:rPr>
          <w:rFonts w:ascii="Calibri" w:hAnsi="Calibri"/>
          <w:b/>
          <w:sz w:val="22"/>
          <w:lang w:val="en-US"/>
        </w:rPr>
      </w:pPr>
      <w:r>
        <w:rPr>
          <w:rFonts w:ascii="Calibri" w:hAnsi="Calibri"/>
          <w:b/>
          <w:sz w:val="22"/>
        </w:rPr>
        <w:t>М.2.В.01.</w:t>
      </w:r>
      <w:r>
        <w:rPr>
          <w:rFonts w:ascii="Calibri" w:hAnsi="Calibri"/>
          <w:b/>
          <w:sz w:val="22"/>
          <w:lang w:val="en-US"/>
        </w:rPr>
        <w:t>4</w:t>
      </w:r>
      <w:r w:rsidR="00504740" w:rsidRPr="00504740">
        <w:rPr>
          <w:rFonts w:ascii="Calibri" w:hAnsi="Calibri"/>
          <w:b/>
          <w:sz w:val="22"/>
        </w:rPr>
        <w:t xml:space="preserve"> </w:t>
      </w:r>
      <w:proofErr w:type="spellStart"/>
      <w:r w:rsidR="00504740" w:rsidRPr="00504740">
        <w:rPr>
          <w:rFonts w:ascii="Calibri" w:hAnsi="Calibri"/>
          <w:b/>
          <w:sz w:val="22"/>
        </w:rPr>
        <w:t>Negotiation</w:t>
      </w:r>
      <w:proofErr w:type="spellEnd"/>
      <w:r w:rsidR="00504740" w:rsidRPr="00504740">
        <w:rPr>
          <w:rFonts w:ascii="Calibri" w:hAnsi="Calibri"/>
          <w:b/>
          <w:sz w:val="22"/>
        </w:rPr>
        <w:t xml:space="preserve"> </w:t>
      </w:r>
      <w:proofErr w:type="spellStart"/>
      <w:r w:rsidR="00504740" w:rsidRPr="00504740">
        <w:rPr>
          <w:rFonts w:ascii="Calibri" w:hAnsi="Calibri"/>
          <w:b/>
          <w:sz w:val="22"/>
        </w:rPr>
        <w:t>process</w:t>
      </w:r>
      <w:proofErr w:type="spellEnd"/>
      <w:r>
        <w:rPr>
          <w:rFonts w:ascii="Calibri" w:hAnsi="Calibri"/>
          <w:b/>
          <w:sz w:val="22"/>
          <w:lang w:val="en-US"/>
        </w:rPr>
        <w:t xml:space="preserve"> </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7678"/>
      </w:tblGrid>
      <w:tr w:rsidR="00142B1E" w:rsidRPr="0008738C"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
                <w:bCs/>
                <w:sz w:val="22"/>
                <w:lang w:val="en-US" w:eastAsia="ru-RU"/>
              </w:rPr>
            </w:pPr>
            <w:r w:rsidRPr="0008738C">
              <w:rPr>
                <w:rFonts w:asciiTheme="minorHAnsi" w:hAnsiTheme="minorHAnsi" w:cs="Calibri"/>
                <w:b/>
                <w:bCs/>
                <w:sz w:val="22"/>
                <w:lang w:val="en-US" w:eastAsia="ru-RU"/>
              </w:rPr>
              <w:t>1. Course number, title, and ECTS</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
                <w:bCs/>
                <w:sz w:val="22"/>
                <w:lang w:val="en-US" w:eastAsia="ru-RU"/>
              </w:rPr>
            </w:pPr>
            <w:r w:rsidRPr="0008738C">
              <w:rPr>
                <w:rFonts w:asciiTheme="minorHAnsi" w:hAnsiTheme="minorHAnsi" w:cs="Calibri"/>
                <w:b/>
                <w:bCs/>
                <w:sz w:val="22"/>
                <w:lang w:val="en-US"/>
              </w:rPr>
              <w:t xml:space="preserve">M.2.В.01.4, Negotiation process, </w:t>
            </w:r>
            <w:r w:rsidRPr="0008738C">
              <w:rPr>
                <w:rFonts w:asciiTheme="minorHAnsi" w:hAnsiTheme="minorHAnsi" w:cs="Calibri"/>
                <w:b/>
                <w:bCs/>
                <w:sz w:val="22"/>
                <w:lang w:val="en-US" w:eastAsia="ru-RU"/>
              </w:rPr>
              <w:t xml:space="preserve"> 4 ECTS</w:t>
            </w:r>
          </w:p>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Cs/>
                <w:sz w:val="22"/>
                <w:lang w:val="en-US" w:eastAsia="ru-RU"/>
              </w:rPr>
              <w:t>Second year, Elective Course</w:t>
            </w:r>
          </w:p>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Cs/>
                <w:sz w:val="22"/>
                <w:lang w:val="en-US" w:eastAsia="ru-RU"/>
              </w:rPr>
              <w:t>Lectures – 16</w:t>
            </w:r>
          </w:p>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Cs/>
                <w:sz w:val="22"/>
                <w:lang w:val="en-US" w:eastAsia="ru-RU"/>
              </w:rPr>
              <w:t>Seminars &amp; Practical Classes – 24</w:t>
            </w:r>
          </w:p>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Cs/>
                <w:sz w:val="22"/>
                <w:lang w:val="en-US" w:eastAsia="ru-RU"/>
              </w:rPr>
              <w:t>Contact Hours – 40</w:t>
            </w:r>
          </w:p>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Cs/>
                <w:sz w:val="22"/>
                <w:lang w:val="en-US" w:eastAsia="ru-RU"/>
              </w:rPr>
              <w:t xml:space="preserve">Self-study Hours – 112 </w:t>
            </w:r>
          </w:p>
        </w:tc>
      </w:tr>
      <w:tr w:rsidR="00142B1E" w:rsidRPr="00836844"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
                <w:bCs/>
                <w:sz w:val="22"/>
                <w:lang w:val="en-US" w:eastAsia="ru-RU"/>
              </w:rPr>
              <w:t>2. Course instructors during Self-Evaluation year and site visit year</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Cs/>
                <w:sz w:val="22"/>
                <w:lang w:val="en-US" w:eastAsia="ru-RU"/>
              </w:rPr>
              <w:t xml:space="preserve">Mrs. Natalya </w:t>
            </w:r>
            <w:proofErr w:type="spellStart"/>
            <w:r w:rsidRPr="0008738C">
              <w:rPr>
                <w:rFonts w:asciiTheme="minorHAnsi" w:hAnsiTheme="minorHAnsi" w:cs="Calibri"/>
                <w:bCs/>
                <w:sz w:val="22"/>
                <w:lang w:val="en-US" w:eastAsia="ru-RU"/>
              </w:rPr>
              <w:t>Ivanova</w:t>
            </w:r>
            <w:proofErr w:type="spellEnd"/>
            <w:r w:rsidRPr="0008738C">
              <w:rPr>
                <w:rFonts w:asciiTheme="minorHAnsi" w:hAnsiTheme="minorHAnsi" w:cs="Calibri"/>
                <w:bCs/>
                <w:sz w:val="22"/>
                <w:lang w:val="en-US" w:eastAsia="ru-RU"/>
              </w:rPr>
              <w:t>, Professor, Doctor of Psychology</w:t>
            </w:r>
          </w:p>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Cs/>
                <w:sz w:val="22"/>
                <w:lang w:val="en-US" w:eastAsia="ru-RU"/>
              </w:rPr>
              <w:t xml:space="preserve">Mr. Dmitry </w:t>
            </w:r>
            <w:proofErr w:type="spellStart"/>
            <w:r w:rsidRPr="0008738C">
              <w:rPr>
                <w:rFonts w:asciiTheme="minorHAnsi" w:hAnsiTheme="minorHAnsi" w:cs="Calibri"/>
                <w:bCs/>
                <w:sz w:val="22"/>
                <w:lang w:val="en-US" w:eastAsia="ru-RU"/>
              </w:rPr>
              <w:t>Podolsky</w:t>
            </w:r>
            <w:proofErr w:type="spellEnd"/>
            <w:r w:rsidRPr="0008738C">
              <w:rPr>
                <w:rFonts w:asciiTheme="minorHAnsi" w:hAnsiTheme="minorHAnsi" w:cs="Calibri"/>
                <w:bCs/>
                <w:sz w:val="22"/>
                <w:lang w:val="en-US" w:eastAsia="ru-RU"/>
              </w:rPr>
              <w:t>, Associate Professor, PhD in Psychology</w:t>
            </w:r>
          </w:p>
        </w:tc>
      </w:tr>
      <w:tr w:rsidR="00142B1E" w:rsidRPr="00836844"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
                <w:bCs/>
                <w:sz w:val="22"/>
                <w:lang w:val="en-US" w:eastAsia="ru-RU"/>
              </w:rPr>
              <w:t>3. Prerequisites for the course</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Cs/>
                <w:color w:val="FF0000"/>
                <w:sz w:val="22"/>
                <w:lang w:val="en-US" w:eastAsia="ru-RU"/>
              </w:rPr>
            </w:pPr>
            <w:r w:rsidRPr="0008738C">
              <w:rPr>
                <w:rFonts w:asciiTheme="minorHAnsi" w:eastAsia="Calibri" w:hAnsiTheme="minorHAnsi" w:cs="Calibri"/>
                <w:bCs/>
                <w:sz w:val="22"/>
                <w:lang w:val="en-US" w:eastAsia="ru-RU"/>
              </w:rPr>
              <w:t>M.0.Б.00.2. Public Administration (bridging course), 4 ECTS</w:t>
            </w:r>
          </w:p>
        </w:tc>
      </w:tr>
      <w:tr w:rsidR="00142B1E" w:rsidRPr="00836844"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
                <w:bCs/>
                <w:sz w:val="22"/>
                <w:lang w:val="en-US" w:eastAsia="ru-RU"/>
              </w:rPr>
              <w:t>4. Course objectives in relation to total curriculum</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The course has the following main objectives:</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to introduce students with the concept of conflict and its dynamics;</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to introduce students with the possible examples of interpersonal and between group conflicts;</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to learn the consequence of conflicts and methods of conflict solving;</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to introduce students with the results of research data on organizational conflicts and conflict solving;</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to introduce students with the notion of negotiations;</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to train students to analyze conflicts;</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to learn the basics of negotiation preparation.</w:t>
            </w:r>
          </w:p>
        </w:tc>
      </w:tr>
      <w:tr w:rsidR="00142B1E" w:rsidRPr="00836844"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
                <w:bCs/>
                <w:sz w:val="22"/>
                <w:lang w:eastAsia="ru-RU"/>
              </w:rPr>
              <w:t>5. </w:t>
            </w:r>
            <w:r w:rsidRPr="0008738C">
              <w:rPr>
                <w:rFonts w:asciiTheme="minorHAnsi" w:hAnsiTheme="minorHAnsi" w:cs="Calibri"/>
                <w:b/>
                <w:bCs/>
                <w:sz w:val="22"/>
                <w:lang w:val="en-US" w:eastAsia="ru-RU"/>
              </w:rPr>
              <w:t>Learning outcomes</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By the end of the course, students should be able to:</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know basic notions of the approaches to study negotiations and conflicts, main problems in managing conflicts and organization of negotiation process, methods of preparation for negotiations.</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understand the role of the theory of negotiations;</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 xml:space="preserve">have the skills to reveal norms violation in the situations of negotiations, analyze factors that affect behavior in negotiation process, analyze personal skills and weaknesses as negotiator, analyze stages of negotiation. </w:t>
            </w:r>
          </w:p>
          <w:p w:rsidR="00142B1E" w:rsidRPr="0008738C" w:rsidRDefault="00142B1E" w:rsidP="00142B1E">
            <w:pPr>
              <w:numPr>
                <w:ilvl w:val="0"/>
                <w:numId w:val="12"/>
              </w:numPr>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 xml:space="preserve">be able to use knowledge on conflict resolution in practice, to analyze efficiency of negotiations. </w:t>
            </w:r>
          </w:p>
        </w:tc>
      </w:tr>
      <w:tr w:rsidR="00142B1E" w:rsidRPr="00836844"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
                <w:bCs/>
                <w:sz w:val="22"/>
                <w:lang w:val="en-US" w:eastAsia="ru-RU"/>
              </w:rPr>
            </w:pPr>
            <w:r w:rsidRPr="0008738C">
              <w:rPr>
                <w:rFonts w:asciiTheme="minorHAnsi" w:hAnsiTheme="minorHAnsi" w:cs="Calibri"/>
                <w:b/>
                <w:bCs/>
                <w:sz w:val="22"/>
                <w:lang w:val="en-US" w:eastAsia="ru-RU"/>
              </w:rPr>
              <w:t>6. Course description</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sz w:val="22"/>
                <w:lang w:val="en-US"/>
              </w:rPr>
              <w:t>The course is aimed at developing analytical and communication skills that are necessary for successful business negotiations. The negotiation is described as a complex three-stage process which consists of preparation, negotiating, and post-negotiation implementation and evaluation. The course combines both theoretical knowledge of leading negotiation scholars and practical experience through learning by doing. The students will be engaged in business games, trainings, group discussions and creative tasks.</w:t>
            </w:r>
          </w:p>
        </w:tc>
      </w:tr>
      <w:tr w:rsidR="00142B1E" w:rsidRPr="0008738C"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
                <w:bCs/>
                <w:sz w:val="22"/>
                <w:lang w:val="en-US" w:eastAsia="ru-RU"/>
              </w:rPr>
            </w:pPr>
            <w:r w:rsidRPr="0008738C">
              <w:rPr>
                <w:rFonts w:asciiTheme="minorHAnsi" w:hAnsiTheme="minorHAnsi" w:cs="Calibri"/>
                <w:b/>
                <w:bCs/>
                <w:sz w:val="22"/>
                <w:lang w:val="en-US" w:eastAsia="ru-RU"/>
              </w:rPr>
              <w:t>7. Learning and teaching methods</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During the course the following techniques are used:</w:t>
            </w:r>
          </w:p>
          <w:p w:rsidR="00142B1E" w:rsidRPr="0008738C" w:rsidRDefault="00142B1E" w:rsidP="005A3EEC">
            <w:pPr>
              <w:pStyle w:val="a5"/>
              <w:numPr>
                <w:ilvl w:val="0"/>
                <w:numId w:val="116"/>
              </w:num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Lectures</w:t>
            </w:r>
          </w:p>
          <w:p w:rsidR="00142B1E" w:rsidRPr="0008738C" w:rsidRDefault="00142B1E" w:rsidP="005A3EEC">
            <w:pPr>
              <w:pStyle w:val="a5"/>
              <w:numPr>
                <w:ilvl w:val="0"/>
                <w:numId w:val="116"/>
              </w:num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Seminars</w:t>
            </w:r>
          </w:p>
          <w:p w:rsidR="00142B1E" w:rsidRPr="0008738C" w:rsidRDefault="00142B1E" w:rsidP="005A3EEC">
            <w:pPr>
              <w:pStyle w:val="a5"/>
              <w:numPr>
                <w:ilvl w:val="0"/>
                <w:numId w:val="116"/>
              </w:num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 xml:space="preserve">Role play games </w:t>
            </w:r>
          </w:p>
          <w:p w:rsidR="00142B1E" w:rsidRPr="0008738C" w:rsidRDefault="00142B1E" w:rsidP="005A3EEC">
            <w:pPr>
              <w:pStyle w:val="a5"/>
              <w:numPr>
                <w:ilvl w:val="0"/>
                <w:numId w:val="116"/>
              </w:num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Discussion</w:t>
            </w:r>
          </w:p>
          <w:p w:rsidR="00142B1E" w:rsidRPr="0008738C" w:rsidRDefault="00142B1E" w:rsidP="005A3EEC">
            <w:pPr>
              <w:pStyle w:val="a5"/>
              <w:numPr>
                <w:ilvl w:val="0"/>
                <w:numId w:val="116"/>
              </w:num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 xml:space="preserve">Individual and Group presentations. </w:t>
            </w:r>
          </w:p>
        </w:tc>
      </w:tr>
      <w:tr w:rsidR="00142B1E" w:rsidRPr="00836844"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tabs>
                <w:tab w:val="left" w:pos="248"/>
                <w:tab w:val="left" w:pos="1310"/>
              </w:tabs>
              <w:spacing w:after="0" w:line="240" w:lineRule="auto"/>
              <w:ind w:left="34"/>
              <w:rPr>
                <w:rFonts w:asciiTheme="minorHAnsi" w:hAnsiTheme="minorHAnsi" w:cs="Calibri"/>
                <w:b/>
                <w:bCs/>
                <w:sz w:val="22"/>
                <w:lang w:val="en-US" w:eastAsia="ru-RU"/>
              </w:rPr>
            </w:pPr>
            <w:r w:rsidRPr="0008738C">
              <w:rPr>
                <w:rFonts w:asciiTheme="minorHAnsi" w:hAnsiTheme="minorHAnsi" w:cs="Calibri"/>
                <w:b/>
                <w:bCs/>
                <w:sz w:val="22"/>
                <w:lang w:val="en-US" w:eastAsia="ru-RU"/>
              </w:rPr>
              <w:t>8. Major topics covered</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tabs>
                <w:tab w:val="left" w:pos="248"/>
                <w:tab w:val="left" w:pos="459"/>
              </w:tabs>
              <w:spacing w:after="0" w:line="240" w:lineRule="auto"/>
              <w:jc w:val="both"/>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The main topics of this course are the following:</w:t>
            </w:r>
          </w:p>
          <w:p w:rsidR="00142B1E" w:rsidRPr="0008738C" w:rsidRDefault="00142B1E" w:rsidP="006439B2">
            <w:p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1. Negotiations as a way of business interaction. Tactics for promoting a constructive negotiation climate</w:t>
            </w:r>
          </w:p>
          <w:p w:rsidR="00142B1E" w:rsidRPr="0008738C" w:rsidRDefault="00142B1E" w:rsidP="006439B2">
            <w:p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2. Positions and interests in negotiations</w:t>
            </w:r>
          </w:p>
          <w:p w:rsidR="00142B1E" w:rsidRPr="0008738C" w:rsidRDefault="00142B1E" w:rsidP="006439B2">
            <w:p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3. 4 negotiation scenarios: win-win, win-lose, lose-win, lose-lose</w:t>
            </w:r>
          </w:p>
          <w:p w:rsidR="00142B1E" w:rsidRPr="0008738C" w:rsidRDefault="00142B1E" w:rsidP="006439B2">
            <w:p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4. The Thomas-</w:t>
            </w:r>
            <w:proofErr w:type="spellStart"/>
            <w:r w:rsidRPr="0008738C">
              <w:rPr>
                <w:rFonts w:asciiTheme="minorHAnsi" w:hAnsiTheme="minorHAnsi" w:cs="Calibri"/>
                <w:bCs/>
                <w:sz w:val="22"/>
                <w:lang w:val="en-US" w:eastAsia="ru-RU"/>
              </w:rPr>
              <w:t>Kilmann</w:t>
            </w:r>
            <w:proofErr w:type="spellEnd"/>
            <w:r w:rsidRPr="0008738C">
              <w:rPr>
                <w:rFonts w:asciiTheme="minorHAnsi" w:hAnsiTheme="minorHAnsi" w:cs="Calibri"/>
                <w:bCs/>
                <w:sz w:val="22"/>
                <w:lang w:val="en-US" w:eastAsia="ru-RU"/>
              </w:rPr>
              <w:t xml:space="preserve"> Conflict Mode Instrument in negotiations</w:t>
            </w:r>
          </w:p>
          <w:p w:rsidR="00142B1E" w:rsidRPr="0008738C" w:rsidRDefault="00142B1E" w:rsidP="006439B2">
            <w:p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5. Negotiation styles</w:t>
            </w:r>
          </w:p>
          <w:p w:rsidR="00142B1E" w:rsidRPr="0008738C" w:rsidRDefault="00142B1E" w:rsidP="006439B2">
            <w:p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6. Conflict solving techniques</w:t>
            </w:r>
          </w:p>
          <w:p w:rsidR="00142B1E" w:rsidRPr="0008738C" w:rsidRDefault="00142B1E" w:rsidP="006439B2">
            <w:p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lastRenderedPageBreak/>
              <w:t>7. Instruments of negotiations</w:t>
            </w:r>
          </w:p>
          <w:p w:rsidR="00142B1E" w:rsidRPr="0008738C" w:rsidRDefault="00142B1E" w:rsidP="006439B2">
            <w:pPr>
              <w:spacing w:after="0" w:line="240" w:lineRule="auto"/>
              <w:jc w:val="both"/>
              <w:rPr>
                <w:rFonts w:asciiTheme="minorHAnsi" w:hAnsiTheme="minorHAnsi" w:cs="Calibri"/>
                <w:bCs/>
                <w:sz w:val="22"/>
                <w:lang w:val="en-US" w:eastAsia="ru-RU"/>
              </w:rPr>
            </w:pPr>
            <w:r w:rsidRPr="0008738C">
              <w:rPr>
                <w:rFonts w:asciiTheme="minorHAnsi" w:hAnsiTheme="minorHAnsi" w:cs="Calibri"/>
                <w:bCs/>
                <w:sz w:val="22"/>
                <w:lang w:val="en-US" w:eastAsia="ru-RU"/>
              </w:rPr>
              <w:t>8. Reaching an agreement, types of agreements</w:t>
            </w:r>
          </w:p>
        </w:tc>
      </w:tr>
      <w:tr w:rsidR="00142B1E" w:rsidRPr="0008738C"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
                <w:bCs/>
                <w:sz w:val="22"/>
                <w:lang w:val="en-US" w:eastAsia="ru-RU"/>
              </w:rPr>
              <w:lastRenderedPageBreak/>
              <w:t>9. Prescribed books and readings</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
                <w:bCs/>
                <w:sz w:val="22"/>
                <w:lang w:val="en-US" w:eastAsia="ru-RU"/>
              </w:rPr>
            </w:pPr>
            <w:r w:rsidRPr="0008738C">
              <w:rPr>
                <w:rFonts w:asciiTheme="minorHAnsi" w:hAnsiTheme="minorHAnsi" w:cs="Calibri"/>
                <w:b/>
                <w:bCs/>
                <w:sz w:val="22"/>
                <w:lang w:val="en-US" w:eastAsia="ru-RU"/>
              </w:rPr>
              <w:t>Main readings:</w:t>
            </w:r>
          </w:p>
          <w:p w:rsidR="00142B1E" w:rsidRPr="0008738C" w:rsidRDefault="00142B1E" w:rsidP="005A3EEC">
            <w:pPr>
              <w:pStyle w:val="a5"/>
              <w:numPr>
                <w:ilvl w:val="0"/>
                <w:numId w:val="117"/>
              </w:numPr>
              <w:spacing w:after="0" w:line="240" w:lineRule="auto"/>
              <w:ind w:left="425" w:hanging="425"/>
              <w:rPr>
                <w:rFonts w:asciiTheme="minorHAnsi" w:hAnsiTheme="minorHAnsi" w:cs="Calibri"/>
                <w:bCs/>
                <w:sz w:val="22"/>
                <w:lang w:eastAsia="ru-RU"/>
              </w:rPr>
            </w:pPr>
            <w:r w:rsidRPr="0008738C">
              <w:rPr>
                <w:rFonts w:asciiTheme="minorHAnsi" w:hAnsiTheme="minorHAnsi" w:cs="Calibri"/>
                <w:bCs/>
                <w:sz w:val="22"/>
                <w:lang w:eastAsia="ru-RU"/>
              </w:rPr>
              <w:t xml:space="preserve">Леонов Н. И. Конфликты и конфликтное поведение. Методы изучения. СПб.: «Питер», 2005. </w:t>
            </w:r>
          </w:p>
          <w:p w:rsidR="00142B1E" w:rsidRPr="0008738C" w:rsidRDefault="00142B1E" w:rsidP="005A3EEC">
            <w:pPr>
              <w:pStyle w:val="a5"/>
              <w:numPr>
                <w:ilvl w:val="0"/>
                <w:numId w:val="117"/>
              </w:numPr>
              <w:spacing w:after="0" w:line="240" w:lineRule="auto"/>
              <w:ind w:left="425" w:hanging="425"/>
              <w:rPr>
                <w:rFonts w:asciiTheme="minorHAnsi" w:hAnsiTheme="minorHAnsi" w:cs="Calibri"/>
                <w:bCs/>
                <w:sz w:val="22"/>
                <w:lang w:eastAsia="ru-RU"/>
              </w:rPr>
            </w:pPr>
            <w:r w:rsidRPr="0008738C">
              <w:rPr>
                <w:rFonts w:asciiTheme="minorHAnsi" w:hAnsiTheme="minorHAnsi" w:cs="Calibri"/>
                <w:bCs/>
                <w:sz w:val="22"/>
                <w:lang w:eastAsia="ru-RU"/>
              </w:rPr>
              <w:t xml:space="preserve">Фишер Р., </w:t>
            </w:r>
            <w:proofErr w:type="spellStart"/>
            <w:r w:rsidRPr="0008738C">
              <w:rPr>
                <w:rFonts w:asciiTheme="minorHAnsi" w:hAnsiTheme="minorHAnsi" w:cs="Calibri"/>
                <w:bCs/>
                <w:sz w:val="22"/>
                <w:lang w:eastAsia="ru-RU"/>
              </w:rPr>
              <w:t>Юри</w:t>
            </w:r>
            <w:proofErr w:type="spellEnd"/>
            <w:r w:rsidRPr="0008738C">
              <w:rPr>
                <w:rFonts w:asciiTheme="minorHAnsi" w:hAnsiTheme="minorHAnsi" w:cs="Calibri"/>
                <w:bCs/>
                <w:sz w:val="22"/>
                <w:lang w:eastAsia="ru-RU"/>
              </w:rPr>
              <w:t xml:space="preserve"> У. Путь к согласию, или переговоры без поражения. М.: </w:t>
            </w:r>
            <w:proofErr w:type="spellStart"/>
            <w:r w:rsidRPr="0008738C">
              <w:rPr>
                <w:rFonts w:asciiTheme="minorHAnsi" w:hAnsiTheme="minorHAnsi" w:cs="Calibri"/>
                <w:bCs/>
                <w:sz w:val="22"/>
                <w:lang w:eastAsia="ru-RU"/>
              </w:rPr>
              <w:t>Эксмо</w:t>
            </w:r>
            <w:proofErr w:type="spellEnd"/>
            <w:r w:rsidRPr="0008738C">
              <w:rPr>
                <w:rFonts w:asciiTheme="minorHAnsi" w:hAnsiTheme="minorHAnsi" w:cs="Calibri"/>
                <w:bCs/>
                <w:sz w:val="22"/>
                <w:lang w:eastAsia="ru-RU"/>
              </w:rPr>
              <w:t xml:space="preserve">, 2005. </w:t>
            </w:r>
          </w:p>
          <w:p w:rsidR="00142B1E" w:rsidRPr="0008738C" w:rsidRDefault="00142B1E" w:rsidP="005A3EEC">
            <w:pPr>
              <w:pStyle w:val="a5"/>
              <w:numPr>
                <w:ilvl w:val="0"/>
                <w:numId w:val="117"/>
              </w:numPr>
              <w:spacing w:after="0" w:line="240" w:lineRule="auto"/>
              <w:ind w:left="425" w:hanging="425"/>
              <w:rPr>
                <w:rFonts w:asciiTheme="minorHAnsi" w:hAnsiTheme="minorHAnsi" w:cs="Calibri"/>
                <w:bCs/>
                <w:sz w:val="22"/>
                <w:lang w:eastAsia="ru-RU"/>
              </w:rPr>
            </w:pPr>
            <w:r w:rsidRPr="0008738C">
              <w:rPr>
                <w:rFonts w:asciiTheme="minorHAnsi" w:hAnsiTheme="minorHAnsi" w:cs="Calibri"/>
                <w:bCs/>
                <w:sz w:val="22"/>
                <w:lang w:eastAsia="ru-RU"/>
              </w:rPr>
              <w:t xml:space="preserve">Хасан, Б. И., </w:t>
            </w:r>
            <w:proofErr w:type="spellStart"/>
            <w:r w:rsidRPr="0008738C">
              <w:rPr>
                <w:rFonts w:asciiTheme="minorHAnsi" w:hAnsiTheme="minorHAnsi" w:cs="Calibri"/>
                <w:bCs/>
                <w:sz w:val="22"/>
                <w:lang w:eastAsia="ru-RU"/>
              </w:rPr>
              <w:t>Сергоманов</w:t>
            </w:r>
            <w:proofErr w:type="spellEnd"/>
            <w:r w:rsidRPr="0008738C">
              <w:rPr>
                <w:rFonts w:asciiTheme="minorHAnsi" w:hAnsiTheme="minorHAnsi" w:cs="Calibri"/>
                <w:bCs/>
                <w:sz w:val="22"/>
                <w:lang w:eastAsia="ru-RU"/>
              </w:rPr>
              <w:t xml:space="preserve"> П.А. Психология конфликта и переговоры. М: Академия. 2008. </w:t>
            </w:r>
          </w:p>
          <w:p w:rsidR="00142B1E" w:rsidRPr="0008738C" w:rsidRDefault="00142B1E" w:rsidP="006439B2">
            <w:pPr>
              <w:spacing w:after="0" w:line="240" w:lineRule="auto"/>
              <w:rPr>
                <w:rFonts w:asciiTheme="minorHAnsi" w:hAnsiTheme="minorHAnsi" w:cs="Calibri"/>
                <w:b/>
                <w:bCs/>
                <w:sz w:val="22"/>
                <w:lang w:val="en-US" w:eastAsia="ru-RU"/>
              </w:rPr>
            </w:pPr>
            <w:r w:rsidRPr="0008738C">
              <w:rPr>
                <w:rFonts w:asciiTheme="minorHAnsi" w:hAnsiTheme="minorHAnsi" w:cs="Calibri"/>
                <w:b/>
                <w:bCs/>
                <w:sz w:val="22"/>
                <w:lang w:val="en-US" w:eastAsia="ru-RU"/>
              </w:rPr>
              <w:t>Additional readings:</w:t>
            </w:r>
          </w:p>
          <w:p w:rsidR="00142B1E" w:rsidRPr="006D6E6F"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proofErr w:type="spellStart"/>
            <w:r w:rsidRPr="0008738C">
              <w:rPr>
                <w:rFonts w:asciiTheme="minorHAnsi" w:hAnsiTheme="minorHAnsi" w:cs="Calibri"/>
                <w:bCs/>
                <w:sz w:val="22"/>
                <w:lang w:eastAsia="ru-RU"/>
              </w:rPr>
              <w:t>Делез</w:t>
            </w:r>
            <w:proofErr w:type="spellEnd"/>
            <w:r w:rsidRPr="0008738C">
              <w:rPr>
                <w:rFonts w:asciiTheme="minorHAnsi" w:hAnsiTheme="minorHAnsi" w:cs="Calibri"/>
                <w:bCs/>
                <w:sz w:val="22"/>
                <w:lang w:eastAsia="ru-RU"/>
              </w:rPr>
              <w:t>, Ж. Переговоры. СПб</w:t>
            </w:r>
            <w:proofErr w:type="gramStart"/>
            <w:r w:rsidRPr="0008738C">
              <w:rPr>
                <w:rFonts w:asciiTheme="minorHAnsi" w:hAnsiTheme="minorHAnsi" w:cs="Calibri"/>
                <w:bCs/>
                <w:sz w:val="22"/>
                <w:lang w:eastAsia="ru-RU"/>
              </w:rPr>
              <w:t xml:space="preserve">.: </w:t>
            </w:r>
            <w:proofErr w:type="gramEnd"/>
            <w:r w:rsidRPr="0008738C">
              <w:rPr>
                <w:rFonts w:asciiTheme="minorHAnsi" w:hAnsiTheme="minorHAnsi" w:cs="Calibri"/>
                <w:bCs/>
                <w:sz w:val="22"/>
                <w:lang w:eastAsia="ru-RU"/>
              </w:rPr>
              <w:t xml:space="preserve">Наука, 2004. </w:t>
            </w:r>
          </w:p>
          <w:p w:rsidR="00142B1E" w:rsidRPr="006D6E6F"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proofErr w:type="spellStart"/>
            <w:r w:rsidRPr="0008738C">
              <w:rPr>
                <w:rFonts w:asciiTheme="minorHAnsi" w:hAnsiTheme="minorHAnsi" w:cs="Calibri"/>
                <w:bCs/>
                <w:sz w:val="22"/>
                <w:lang w:eastAsia="ru-RU"/>
              </w:rPr>
              <w:t>Деревицкий</w:t>
            </w:r>
            <w:proofErr w:type="spellEnd"/>
            <w:r w:rsidRPr="0008738C">
              <w:rPr>
                <w:rFonts w:asciiTheme="minorHAnsi" w:hAnsiTheme="minorHAnsi" w:cs="Calibri"/>
                <w:bCs/>
                <w:sz w:val="22"/>
                <w:lang w:eastAsia="ru-RU"/>
              </w:rPr>
              <w:t xml:space="preserve">, А. Переговоры особого назначения. СПб.: Питер, 2005. </w:t>
            </w:r>
            <w:proofErr w:type="spellStart"/>
            <w:r w:rsidRPr="0008738C">
              <w:rPr>
                <w:rFonts w:asciiTheme="minorHAnsi" w:hAnsiTheme="minorHAnsi" w:cs="Calibri"/>
                <w:bCs/>
                <w:sz w:val="22"/>
                <w:lang w:eastAsia="ru-RU"/>
              </w:rPr>
              <w:t>Дональдсон</w:t>
            </w:r>
            <w:proofErr w:type="spellEnd"/>
            <w:r w:rsidRPr="0008738C">
              <w:rPr>
                <w:rFonts w:asciiTheme="minorHAnsi" w:hAnsiTheme="minorHAnsi" w:cs="Calibri"/>
                <w:bCs/>
                <w:sz w:val="22"/>
                <w:lang w:eastAsia="ru-RU"/>
              </w:rPr>
              <w:t xml:space="preserve"> М. К. Умение вести переговоры, 2001. </w:t>
            </w:r>
          </w:p>
          <w:p w:rsidR="00142B1E" w:rsidRPr="006D6E6F"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proofErr w:type="spellStart"/>
            <w:r w:rsidRPr="0008738C">
              <w:rPr>
                <w:rFonts w:asciiTheme="minorHAnsi" w:hAnsiTheme="minorHAnsi" w:cs="Calibri"/>
                <w:bCs/>
                <w:sz w:val="22"/>
                <w:lang w:eastAsia="ru-RU"/>
              </w:rPr>
              <w:t>Друкер</w:t>
            </w:r>
            <w:proofErr w:type="spellEnd"/>
            <w:r w:rsidRPr="0008738C">
              <w:rPr>
                <w:rFonts w:asciiTheme="minorHAnsi" w:hAnsiTheme="minorHAnsi" w:cs="Calibri"/>
                <w:bCs/>
                <w:sz w:val="22"/>
                <w:lang w:eastAsia="ru-RU"/>
              </w:rPr>
              <w:t xml:space="preserve"> Эффективное принятие решений. М., 2006. </w:t>
            </w:r>
          </w:p>
          <w:p w:rsidR="00142B1E" w:rsidRPr="00CC43B2"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r w:rsidRPr="0008738C">
              <w:rPr>
                <w:rFonts w:asciiTheme="minorHAnsi" w:hAnsiTheme="minorHAnsi" w:cs="Calibri"/>
                <w:bCs/>
                <w:sz w:val="22"/>
                <w:lang w:eastAsia="ru-RU"/>
              </w:rPr>
              <w:t xml:space="preserve">Емельянов С.М. Практикум по </w:t>
            </w:r>
            <w:proofErr w:type="spellStart"/>
            <w:r w:rsidRPr="0008738C">
              <w:rPr>
                <w:rFonts w:asciiTheme="minorHAnsi" w:hAnsiTheme="minorHAnsi" w:cs="Calibri"/>
                <w:bCs/>
                <w:sz w:val="22"/>
                <w:lang w:eastAsia="ru-RU"/>
              </w:rPr>
              <w:t>конфликтологии</w:t>
            </w:r>
            <w:proofErr w:type="spellEnd"/>
            <w:r w:rsidRPr="0008738C">
              <w:rPr>
                <w:rFonts w:asciiTheme="minorHAnsi" w:hAnsiTheme="minorHAnsi" w:cs="Calibri"/>
                <w:bCs/>
                <w:sz w:val="22"/>
                <w:lang w:eastAsia="ru-RU"/>
              </w:rPr>
              <w:t xml:space="preserve">. СПб.: Питер, 2000. </w:t>
            </w:r>
          </w:p>
          <w:p w:rsidR="00142B1E" w:rsidRPr="00CC43B2"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r w:rsidRPr="00CC43B2">
              <w:rPr>
                <w:rFonts w:asciiTheme="minorHAnsi" w:hAnsiTheme="minorHAnsi" w:cs="Calibri"/>
                <w:bCs/>
                <w:sz w:val="22"/>
                <w:lang w:eastAsia="ru-RU"/>
              </w:rPr>
              <w:t xml:space="preserve">Соловьев Э.Я. Искусство ведения переговоров. М.: Ось-89. 2006. </w:t>
            </w:r>
          </w:p>
          <w:p w:rsidR="00142B1E" w:rsidRPr="00CC43B2"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proofErr w:type="spellStart"/>
            <w:r w:rsidRPr="00CC43B2">
              <w:rPr>
                <w:rFonts w:asciiTheme="minorHAnsi" w:hAnsiTheme="minorHAnsi" w:cs="Calibri"/>
                <w:bCs/>
                <w:sz w:val="22"/>
                <w:lang w:eastAsia="ru-RU"/>
              </w:rPr>
              <w:t>Стайбел</w:t>
            </w:r>
            <w:proofErr w:type="spellEnd"/>
            <w:r w:rsidRPr="00CC43B2">
              <w:rPr>
                <w:rFonts w:asciiTheme="minorHAnsi" w:hAnsiTheme="minorHAnsi" w:cs="Calibri"/>
                <w:bCs/>
                <w:sz w:val="22"/>
                <w:lang w:eastAsia="ru-RU"/>
              </w:rPr>
              <w:t xml:space="preserve"> Д. Когда слова вредят делу. М.: Издательство АСТ. 2004.</w:t>
            </w:r>
          </w:p>
          <w:p w:rsidR="00142B1E" w:rsidRPr="00CC43B2"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r w:rsidRPr="00CC43B2">
              <w:rPr>
                <w:rFonts w:asciiTheme="minorHAnsi" w:hAnsiTheme="minorHAnsi" w:cs="Calibri"/>
                <w:bCs/>
                <w:sz w:val="22"/>
                <w:lang w:eastAsia="ru-RU"/>
              </w:rPr>
              <w:t xml:space="preserve"> </w:t>
            </w:r>
            <w:proofErr w:type="spellStart"/>
            <w:r w:rsidRPr="00CC43B2">
              <w:rPr>
                <w:rFonts w:asciiTheme="minorHAnsi" w:hAnsiTheme="minorHAnsi" w:cs="Calibri"/>
                <w:bCs/>
                <w:sz w:val="22"/>
                <w:lang w:eastAsia="ru-RU"/>
              </w:rPr>
              <w:t>Стил</w:t>
            </w:r>
            <w:proofErr w:type="spellEnd"/>
            <w:r w:rsidRPr="00CC43B2">
              <w:rPr>
                <w:rFonts w:asciiTheme="minorHAnsi" w:hAnsiTheme="minorHAnsi" w:cs="Calibri"/>
                <w:bCs/>
                <w:sz w:val="22"/>
                <w:lang w:eastAsia="ru-RU"/>
              </w:rPr>
              <w:t xml:space="preserve">, П. Т., </w:t>
            </w:r>
            <w:proofErr w:type="spellStart"/>
            <w:r w:rsidRPr="00CC43B2">
              <w:rPr>
                <w:rFonts w:asciiTheme="minorHAnsi" w:hAnsiTheme="minorHAnsi" w:cs="Calibri"/>
                <w:bCs/>
                <w:sz w:val="22"/>
                <w:lang w:eastAsia="ru-RU"/>
              </w:rPr>
              <w:t>Бизор</w:t>
            </w:r>
            <w:proofErr w:type="spellEnd"/>
            <w:r w:rsidRPr="00CC43B2">
              <w:rPr>
                <w:rFonts w:asciiTheme="minorHAnsi" w:hAnsiTheme="minorHAnsi" w:cs="Calibri"/>
                <w:bCs/>
                <w:sz w:val="22"/>
                <w:lang w:eastAsia="ru-RU"/>
              </w:rPr>
              <w:t xml:space="preserve"> Т. Переговоры в бизнесе. М., 2004. </w:t>
            </w:r>
          </w:p>
          <w:p w:rsidR="00142B1E" w:rsidRPr="00CC43B2"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r w:rsidRPr="00CC43B2">
              <w:rPr>
                <w:rFonts w:asciiTheme="minorHAnsi" w:hAnsiTheme="minorHAnsi" w:cs="Calibri"/>
                <w:bCs/>
                <w:sz w:val="22"/>
                <w:lang w:eastAsia="ru-RU"/>
              </w:rPr>
              <w:t xml:space="preserve">Томас Д. Переговоры на 100%. М.: ЭКСМО. 2007. </w:t>
            </w:r>
          </w:p>
          <w:p w:rsidR="00142B1E" w:rsidRPr="00CC43B2"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proofErr w:type="spellStart"/>
            <w:r w:rsidRPr="00CC43B2">
              <w:rPr>
                <w:rFonts w:asciiTheme="minorHAnsi" w:hAnsiTheme="minorHAnsi" w:cs="Calibri"/>
                <w:bCs/>
                <w:sz w:val="22"/>
                <w:lang w:eastAsia="ru-RU"/>
              </w:rPr>
              <w:t>Тренев</w:t>
            </w:r>
            <w:proofErr w:type="spellEnd"/>
            <w:r w:rsidRPr="00CC43B2">
              <w:rPr>
                <w:rFonts w:asciiTheme="minorHAnsi" w:hAnsiTheme="minorHAnsi" w:cs="Calibri"/>
                <w:bCs/>
                <w:sz w:val="22"/>
                <w:lang w:eastAsia="ru-RU"/>
              </w:rPr>
              <w:t xml:space="preserve"> Н.Н. Управление конфликтами. М.: ПРИОР, 2001. </w:t>
            </w:r>
          </w:p>
          <w:p w:rsidR="00142B1E" w:rsidRPr="00CC43B2" w:rsidRDefault="00142B1E" w:rsidP="005A3EEC">
            <w:pPr>
              <w:pStyle w:val="a5"/>
              <w:numPr>
                <w:ilvl w:val="0"/>
                <w:numId w:val="118"/>
              </w:numPr>
              <w:spacing w:after="0" w:line="240" w:lineRule="auto"/>
              <w:ind w:left="425" w:hanging="425"/>
              <w:rPr>
                <w:rFonts w:asciiTheme="minorHAnsi" w:hAnsiTheme="minorHAnsi" w:cs="Calibri"/>
                <w:bCs/>
                <w:sz w:val="22"/>
                <w:lang w:eastAsia="ru-RU"/>
              </w:rPr>
            </w:pPr>
            <w:proofErr w:type="spellStart"/>
            <w:r w:rsidRPr="00CC43B2">
              <w:rPr>
                <w:rFonts w:asciiTheme="minorHAnsi" w:hAnsiTheme="minorHAnsi" w:cs="Calibri"/>
                <w:bCs/>
                <w:sz w:val="22"/>
                <w:lang w:eastAsia="ru-RU"/>
              </w:rPr>
              <w:t>Трухачев</w:t>
            </w:r>
            <w:proofErr w:type="spellEnd"/>
            <w:r w:rsidRPr="00CC43B2">
              <w:rPr>
                <w:rFonts w:asciiTheme="minorHAnsi" w:hAnsiTheme="minorHAnsi" w:cs="Calibri"/>
                <w:bCs/>
                <w:sz w:val="22"/>
                <w:lang w:eastAsia="ru-RU"/>
              </w:rPr>
              <w:t xml:space="preserve"> В.И., Лякишева И.Н., Михайлова К.Ю. Международные деловые переговоры. М.: Финансы и статистика, 2005.</w:t>
            </w:r>
          </w:p>
        </w:tc>
      </w:tr>
      <w:tr w:rsidR="00142B1E" w:rsidRPr="0008738C" w:rsidTr="006439B2">
        <w:tc>
          <w:tcPr>
            <w:tcW w:w="2410"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hAnsiTheme="minorHAnsi" w:cs="Calibri"/>
                <w:bCs/>
                <w:sz w:val="22"/>
                <w:lang w:val="en-US" w:eastAsia="ru-RU"/>
              </w:rPr>
            </w:pPr>
            <w:r w:rsidRPr="0008738C">
              <w:rPr>
                <w:rFonts w:asciiTheme="minorHAnsi" w:hAnsiTheme="minorHAnsi" w:cs="Calibri"/>
                <w:b/>
                <w:bCs/>
                <w:sz w:val="22"/>
                <w:lang w:val="en-US" w:eastAsia="ru-RU"/>
              </w:rPr>
              <w:t>10. Way of examining</w:t>
            </w:r>
          </w:p>
        </w:tc>
        <w:tc>
          <w:tcPr>
            <w:tcW w:w="7678" w:type="dxa"/>
            <w:tcBorders>
              <w:top w:val="single" w:sz="4" w:space="0" w:color="auto"/>
              <w:left w:val="single" w:sz="4" w:space="0" w:color="auto"/>
              <w:bottom w:val="single" w:sz="4" w:space="0" w:color="auto"/>
              <w:right w:val="single" w:sz="4" w:space="0" w:color="auto"/>
            </w:tcBorders>
          </w:tcPr>
          <w:p w:rsidR="00142B1E" w:rsidRPr="0008738C" w:rsidRDefault="00142B1E" w:rsidP="006439B2">
            <w:pPr>
              <w:spacing w:after="0" w:line="240" w:lineRule="auto"/>
              <w:rPr>
                <w:rFonts w:asciiTheme="minorHAnsi" w:eastAsia="Calibri" w:hAnsiTheme="minorHAnsi" w:cs="Calibri"/>
                <w:bCs/>
                <w:sz w:val="22"/>
                <w:lang w:val="en-US" w:eastAsia="ru-RU"/>
              </w:rPr>
            </w:pPr>
            <w:r w:rsidRPr="0008738C">
              <w:rPr>
                <w:rFonts w:asciiTheme="minorHAnsi" w:eastAsia="Calibri" w:hAnsiTheme="minorHAnsi" w:cs="Calibri"/>
                <w:bCs/>
                <w:sz w:val="22"/>
                <w:lang w:val="en-US" w:eastAsia="ru-RU"/>
              </w:rPr>
              <w:t>The assessment criteria and grade system are the following:</w:t>
            </w:r>
          </w:p>
          <w:p w:rsidR="00142B1E" w:rsidRPr="0008738C" w:rsidRDefault="00142B1E" w:rsidP="006439B2">
            <w:pPr>
              <w:spacing w:after="0" w:line="240" w:lineRule="auto"/>
              <w:rPr>
                <w:rFonts w:asciiTheme="minorHAnsi" w:hAnsiTheme="minorHAnsi"/>
                <w:sz w:val="22"/>
                <w:lang w:val="en-US"/>
              </w:rPr>
            </w:pPr>
          </w:p>
          <w:tbl>
            <w:tblPr>
              <w:tblStyle w:val="a8"/>
              <w:tblW w:w="0" w:type="auto"/>
              <w:jc w:val="center"/>
              <w:tblLook w:val="04A0" w:firstRow="1" w:lastRow="0" w:firstColumn="1" w:lastColumn="0" w:noHBand="0" w:noVBand="1"/>
            </w:tblPr>
            <w:tblGrid>
              <w:gridCol w:w="4267"/>
              <w:gridCol w:w="2566"/>
            </w:tblGrid>
            <w:tr w:rsidR="00142B1E" w:rsidRPr="00836844" w:rsidTr="006439B2">
              <w:trPr>
                <w:jc w:val="center"/>
              </w:trPr>
              <w:tc>
                <w:tcPr>
                  <w:tcW w:w="4267" w:type="dxa"/>
                </w:tcPr>
                <w:p w:rsidR="00142B1E" w:rsidRPr="0008738C" w:rsidRDefault="00142B1E" w:rsidP="006439B2">
                  <w:pPr>
                    <w:jc w:val="center"/>
                    <w:rPr>
                      <w:rFonts w:asciiTheme="minorHAnsi" w:eastAsia="Calibri" w:hAnsiTheme="minorHAnsi" w:cs="Calibri"/>
                      <w:bCs/>
                      <w:sz w:val="22"/>
                      <w:lang w:val="en-US" w:eastAsia="ru-RU"/>
                    </w:rPr>
                  </w:pPr>
                  <w:r w:rsidRPr="0008738C">
                    <w:rPr>
                      <w:rFonts w:asciiTheme="minorHAnsi" w:hAnsiTheme="minorHAnsi"/>
                      <w:i/>
                      <w:sz w:val="22"/>
                      <w:lang w:val="en-US"/>
                    </w:rPr>
                    <w:t>Mark’s components</w:t>
                  </w:r>
                </w:p>
              </w:tc>
              <w:tc>
                <w:tcPr>
                  <w:tcW w:w="2566" w:type="dxa"/>
                  <w:vAlign w:val="center"/>
                </w:tcPr>
                <w:p w:rsidR="00142B1E" w:rsidRPr="0008738C" w:rsidRDefault="00142B1E" w:rsidP="006439B2">
                  <w:pPr>
                    <w:jc w:val="center"/>
                    <w:rPr>
                      <w:rFonts w:asciiTheme="minorHAnsi" w:eastAsia="Calibri" w:hAnsiTheme="minorHAnsi" w:cs="Calibri"/>
                      <w:bCs/>
                      <w:sz w:val="22"/>
                      <w:lang w:val="en-US" w:eastAsia="ru-RU"/>
                    </w:rPr>
                  </w:pPr>
                  <w:r w:rsidRPr="0008738C">
                    <w:rPr>
                      <w:rFonts w:asciiTheme="minorHAnsi" w:hAnsiTheme="minorHAnsi"/>
                      <w:i/>
                      <w:sz w:val="22"/>
                      <w:lang w:val="en-US"/>
                    </w:rPr>
                    <w:t>Weight in the final mark</w:t>
                  </w:r>
                </w:p>
              </w:tc>
            </w:tr>
            <w:tr w:rsidR="00142B1E" w:rsidRPr="0008738C" w:rsidTr="006439B2">
              <w:trPr>
                <w:jc w:val="center"/>
              </w:trPr>
              <w:tc>
                <w:tcPr>
                  <w:tcW w:w="4267" w:type="dxa"/>
                </w:tcPr>
                <w:p w:rsidR="00142B1E" w:rsidRPr="0008738C" w:rsidRDefault="00142B1E" w:rsidP="006439B2">
                  <w:pPr>
                    <w:rPr>
                      <w:rFonts w:asciiTheme="minorHAnsi" w:eastAsia="Calibri" w:hAnsiTheme="minorHAnsi" w:cs="Calibri"/>
                      <w:bCs/>
                      <w:sz w:val="22"/>
                      <w:lang w:val="en-US" w:eastAsia="ru-RU"/>
                    </w:rPr>
                  </w:pPr>
                  <w:r w:rsidRPr="0008738C">
                    <w:rPr>
                      <w:rFonts w:asciiTheme="minorHAnsi" w:hAnsiTheme="minorHAnsi"/>
                      <w:sz w:val="22"/>
                      <w:lang w:val="en-US"/>
                    </w:rPr>
                    <w:t>Current control in seminars</w:t>
                  </w:r>
                </w:p>
              </w:tc>
              <w:tc>
                <w:tcPr>
                  <w:tcW w:w="2566" w:type="dxa"/>
                  <w:vAlign w:val="center"/>
                </w:tcPr>
                <w:p w:rsidR="00142B1E" w:rsidRPr="0008738C" w:rsidRDefault="00142B1E" w:rsidP="006439B2">
                  <w:pPr>
                    <w:jc w:val="center"/>
                    <w:rPr>
                      <w:rFonts w:asciiTheme="minorHAnsi" w:eastAsia="Calibri" w:hAnsiTheme="minorHAnsi" w:cs="Calibri"/>
                      <w:bCs/>
                      <w:sz w:val="22"/>
                      <w:lang w:val="en-US" w:eastAsia="ru-RU"/>
                    </w:rPr>
                  </w:pPr>
                  <w:r w:rsidRPr="0008738C">
                    <w:rPr>
                      <w:rFonts w:asciiTheme="minorHAnsi" w:hAnsiTheme="minorHAnsi"/>
                      <w:sz w:val="22"/>
                      <w:lang w:val="en-US"/>
                    </w:rPr>
                    <w:t>0.3</w:t>
                  </w:r>
                </w:p>
              </w:tc>
            </w:tr>
            <w:tr w:rsidR="00142B1E" w:rsidRPr="0008738C" w:rsidTr="006439B2">
              <w:trPr>
                <w:jc w:val="center"/>
              </w:trPr>
              <w:tc>
                <w:tcPr>
                  <w:tcW w:w="4267" w:type="dxa"/>
                </w:tcPr>
                <w:p w:rsidR="00142B1E" w:rsidRPr="0008738C" w:rsidRDefault="00142B1E" w:rsidP="006439B2">
                  <w:pPr>
                    <w:rPr>
                      <w:rFonts w:asciiTheme="minorHAnsi" w:eastAsia="Calibri" w:hAnsiTheme="minorHAnsi" w:cs="Calibri"/>
                      <w:bCs/>
                      <w:sz w:val="22"/>
                      <w:lang w:val="en-US" w:eastAsia="ru-RU"/>
                    </w:rPr>
                  </w:pPr>
                  <w:r w:rsidRPr="0008738C">
                    <w:rPr>
                      <w:rFonts w:asciiTheme="minorHAnsi" w:hAnsiTheme="minorHAnsi"/>
                      <w:sz w:val="22"/>
                      <w:lang w:val="en-US"/>
                    </w:rPr>
                    <w:t>Essay and presentation</w:t>
                  </w:r>
                </w:p>
              </w:tc>
              <w:tc>
                <w:tcPr>
                  <w:tcW w:w="2566" w:type="dxa"/>
                  <w:vAlign w:val="center"/>
                </w:tcPr>
                <w:p w:rsidR="00142B1E" w:rsidRPr="0008738C" w:rsidRDefault="00142B1E" w:rsidP="006439B2">
                  <w:pPr>
                    <w:jc w:val="center"/>
                    <w:rPr>
                      <w:rFonts w:asciiTheme="minorHAnsi" w:eastAsia="Calibri" w:hAnsiTheme="minorHAnsi" w:cs="Calibri"/>
                      <w:bCs/>
                      <w:sz w:val="22"/>
                      <w:lang w:val="en-US" w:eastAsia="ru-RU"/>
                    </w:rPr>
                  </w:pPr>
                  <w:r w:rsidRPr="0008738C">
                    <w:rPr>
                      <w:rFonts w:asciiTheme="minorHAnsi" w:hAnsiTheme="minorHAnsi"/>
                      <w:sz w:val="22"/>
                      <w:lang w:val="en-US"/>
                    </w:rPr>
                    <w:t>0.3</w:t>
                  </w:r>
                </w:p>
              </w:tc>
            </w:tr>
            <w:tr w:rsidR="00142B1E" w:rsidRPr="0008738C" w:rsidTr="006439B2">
              <w:trPr>
                <w:jc w:val="center"/>
              </w:trPr>
              <w:tc>
                <w:tcPr>
                  <w:tcW w:w="4267" w:type="dxa"/>
                </w:tcPr>
                <w:p w:rsidR="00142B1E" w:rsidRPr="0008738C" w:rsidRDefault="00142B1E" w:rsidP="006439B2">
                  <w:pPr>
                    <w:rPr>
                      <w:rFonts w:asciiTheme="minorHAnsi" w:eastAsia="Calibri" w:hAnsiTheme="minorHAnsi" w:cs="Calibri"/>
                      <w:bCs/>
                      <w:sz w:val="22"/>
                      <w:lang w:val="en-US" w:eastAsia="ru-RU"/>
                    </w:rPr>
                  </w:pPr>
                  <w:r w:rsidRPr="0008738C">
                    <w:rPr>
                      <w:rFonts w:asciiTheme="minorHAnsi" w:hAnsiTheme="minorHAnsi"/>
                      <w:sz w:val="22"/>
                      <w:lang w:val="en-US"/>
                    </w:rPr>
                    <w:t>Oral exam</w:t>
                  </w:r>
                </w:p>
              </w:tc>
              <w:tc>
                <w:tcPr>
                  <w:tcW w:w="2566" w:type="dxa"/>
                  <w:vAlign w:val="center"/>
                </w:tcPr>
                <w:p w:rsidR="00142B1E" w:rsidRPr="0008738C" w:rsidRDefault="00142B1E" w:rsidP="006439B2">
                  <w:pPr>
                    <w:jc w:val="center"/>
                    <w:rPr>
                      <w:rFonts w:asciiTheme="minorHAnsi" w:eastAsia="Calibri" w:hAnsiTheme="minorHAnsi" w:cs="Calibri"/>
                      <w:bCs/>
                      <w:sz w:val="22"/>
                      <w:lang w:val="en-US" w:eastAsia="ru-RU"/>
                    </w:rPr>
                  </w:pPr>
                  <w:r w:rsidRPr="0008738C">
                    <w:rPr>
                      <w:rFonts w:asciiTheme="minorHAnsi" w:hAnsiTheme="minorHAnsi"/>
                      <w:sz w:val="22"/>
                      <w:lang w:val="en-US"/>
                    </w:rPr>
                    <w:t>0.4</w:t>
                  </w:r>
                </w:p>
              </w:tc>
            </w:tr>
          </w:tbl>
          <w:p w:rsidR="00142B1E" w:rsidRPr="0008738C" w:rsidRDefault="00142B1E" w:rsidP="006439B2">
            <w:pPr>
              <w:spacing w:after="0" w:line="240" w:lineRule="auto"/>
              <w:rPr>
                <w:rFonts w:asciiTheme="minorHAnsi" w:hAnsiTheme="minorHAnsi" w:cs="Calibri"/>
                <w:bCs/>
                <w:color w:val="FF0000"/>
                <w:sz w:val="22"/>
                <w:lang w:val="en-US" w:eastAsia="ru-RU"/>
              </w:rPr>
            </w:pPr>
          </w:p>
        </w:tc>
      </w:tr>
    </w:tbl>
    <w:p w:rsidR="00F76E98" w:rsidRDefault="00F76E98" w:rsidP="0051784A">
      <w:pPr>
        <w:rPr>
          <w:lang w:val="en-US"/>
        </w:rPr>
      </w:pPr>
      <w:bookmarkStart w:id="0" w:name="_GoBack"/>
      <w:bookmarkEnd w:id="0"/>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879C5"/>
    <w:rsid w:val="001956E6"/>
    <w:rsid w:val="001A3A67"/>
    <w:rsid w:val="001B26CF"/>
    <w:rsid w:val="001B70DF"/>
    <w:rsid w:val="001C3AC6"/>
    <w:rsid w:val="001C3C39"/>
    <w:rsid w:val="001E1902"/>
    <w:rsid w:val="001F54BB"/>
    <w:rsid w:val="001F7DCA"/>
    <w:rsid w:val="0020426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1784A"/>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70BD9"/>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96887"/>
    <w:rsid w:val="007A068B"/>
    <w:rsid w:val="007A4C90"/>
    <w:rsid w:val="007C61FA"/>
    <w:rsid w:val="007D0B2F"/>
    <w:rsid w:val="007D2DA2"/>
    <w:rsid w:val="007E024A"/>
    <w:rsid w:val="007E26E9"/>
    <w:rsid w:val="007E4085"/>
    <w:rsid w:val="007F29B2"/>
    <w:rsid w:val="00814884"/>
    <w:rsid w:val="00832D96"/>
    <w:rsid w:val="00833261"/>
    <w:rsid w:val="00836844"/>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2615"/>
    <w:rsid w:val="00AC3709"/>
    <w:rsid w:val="00AE4368"/>
    <w:rsid w:val="00AE7020"/>
    <w:rsid w:val="00AF5A03"/>
    <w:rsid w:val="00B00971"/>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D95"/>
    <w:rsid w:val="00C70E80"/>
    <w:rsid w:val="00C75A76"/>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8743F"/>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073B7-C378-42BD-BC88-7D99862F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4</cp:revision>
  <dcterms:created xsi:type="dcterms:W3CDTF">2017-04-03T08:04:00Z</dcterms:created>
  <dcterms:modified xsi:type="dcterms:W3CDTF">2017-04-03T09:08:00Z</dcterms:modified>
</cp:coreProperties>
</file>