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E" w:rsidRDefault="0023640E" w:rsidP="0023640E">
      <w:pPr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Course abstract, </w:t>
      </w:r>
      <w:r>
        <w:rPr>
          <w:rFonts w:ascii="Calibri" w:hAnsi="Calibri"/>
          <w:b/>
          <w:sz w:val="22"/>
        </w:rPr>
        <w:t>Б</w:t>
      </w:r>
      <w:r w:rsidRPr="006402F3">
        <w:rPr>
          <w:rFonts w:ascii="Calibri" w:hAnsi="Calibri"/>
          <w:b/>
          <w:sz w:val="22"/>
          <w:lang w:val="en-US"/>
        </w:rPr>
        <w:t>.</w:t>
      </w:r>
      <w:proofErr w:type="spellStart"/>
      <w:r>
        <w:rPr>
          <w:rFonts w:ascii="Calibri" w:hAnsi="Calibri"/>
          <w:b/>
          <w:sz w:val="22"/>
        </w:rPr>
        <w:t>Пр</w:t>
      </w:r>
      <w:proofErr w:type="spellEnd"/>
      <w:r w:rsidRPr="006402F3">
        <w:rPr>
          <w:rFonts w:ascii="Calibri" w:hAnsi="Calibri"/>
          <w:b/>
          <w:sz w:val="22"/>
          <w:lang w:val="en-US"/>
        </w:rPr>
        <w:t>.</w:t>
      </w:r>
      <w:r>
        <w:rPr>
          <w:rFonts w:ascii="Calibri" w:hAnsi="Calibri"/>
          <w:b/>
          <w:sz w:val="22"/>
        </w:rPr>
        <w:t>В</w:t>
      </w:r>
      <w:r w:rsidRPr="006402F3">
        <w:rPr>
          <w:rFonts w:ascii="Calibri" w:hAnsi="Calibri"/>
          <w:b/>
          <w:sz w:val="22"/>
          <w:lang w:val="en-US"/>
        </w:rPr>
        <w:t>.</w:t>
      </w:r>
      <w:r>
        <w:rPr>
          <w:rFonts w:ascii="Calibri" w:hAnsi="Calibri"/>
          <w:b/>
          <w:sz w:val="22"/>
        </w:rPr>
        <w:t>П</w:t>
      </w:r>
      <w:r w:rsidRPr="006402F3">
        <w:rPr>
          <w:rFonts w:ascii="Calibri" w:hAnsi="Calibri"/>
          <w:b/>
          <w:sz w:val="22"/>
          <w:lang w:val="en-US"/>
        </w:rPr>
        <w:t>.</w:t>
      </w:r>
      <w:r w:rsidRPr="00A641DA">
        <w:rPr>
          <w:rFonts w:ascii="Calibri" w:hAnsi="Calibri"/>
          <w:b/>
          <w:sz w:val="22"/>
          <w:lang w:val="en-US"/>
        </w:rPr>
        <w:t>2.3</w:t>
      </w:r>
      <w:r w:rsidRPr="006402F3">
        <w:rPr>
          <w:rFonts w:ascii="Calibri" w:hAnsi="Calibri"/>
          <w:b/>
          <w:sz w:val="22"/>
          <w:lang w:val="en-US"/>
        </w:rPr>
        <w:t xml:space="preserve">, </w:t>
      </w:r>
      <w:r>
        <w:rPr>
          <w:rFonts w:ascii="Calibri" w:hAnsi="Calibri"/>
          <w:b/>
          <w:sz w:val="22"/>
          <w:lang w:val="en-US"/>
        </w:rPr>
        <w:t>Financial Managem</w:t>
      </w:r>
      <w:bookmarkStart w:id="0" w:name="_GoBack"/>
      <w:bookmarkEnd w:id="0"/>
      <w:r>
        <w:rPr>
          <w:rFonts w:ascii="Calibri" w:hAnsi="Calibri"/>
          <w:b/>
          <w:sz w:val="22"/>
          <w:lang w:val="en-US"/>
        </w:rPr>
        <w:t>ent in Public Sector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A641DA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A641DA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 xml:space="preserve"> </w:t>
            </w:r>
            <w:r w:rsidRPr="00A641DA">
              <w:rPr>
                <w:rFonts w:ascii="Calibri" w:hAnsi="Calibri"/>
                <w:b/>
                <w:sz w:val="22"/>
                <w:u w:val="single"/>
              </w:rPr>
              <w:t>Б</w:t>
            </w:r>
            <w:r w:rsidRPr="00A641DA">
              <w:rPr>
                <w:rFonts w:ascii="Calibri" w:hAnsi="Calibri"/>
                <w:b/>
                <w:sz w:val="22"/>
                <w:u w:val="single"/>
                <w:lang w:val="en-US"/>
              </w:rPr>
              <w:t>.</w:t>
            </w:r>
            <w:proofErr w:type="spellStart"/>
            <w:r w:rsidRPr="00A641DA">
              <w:rPr>
                <w:rFonts w:ascii="Calibri" w:hAnsi="Calibri"/>
                <w:b/>
                <w:sz w:val="22"/>
                <w:u w:val="single"/>
              </w:rPr>
              <w:t>Пр</w:t>
            </w:r>
            <w:proofErr w:type="spellEnd"/>
            <w:r w:rsidRPr="00A641DA">
              <w:rPr>
                <w:rFonts w:ascii="Calibri" w:hAnsi="Calibri"/>
                <w:b/>
                <w:sz w:val="22"/>
                <w:u w:val="single"/>
                <w:lang w:val="en-US"/>
              </w:rPr>
              <w:t>.</w:t>
            </w:r>
            <w:r w:rsidRPr="00A641DA">
              <w:rPr>
                <w:rFonts w:ascii="Calibri" w:hAnsi="Calibri"/>
                <w:b/>
                <w:sz w:val="22"/>
                <w:u w:val="single"/>
              </w:rPr>
              <w:t>В</w:t>
            </w:r>
            <w:r w:rsidRPr="00A641DA">
              <w:rPr>
                <w:rFonts w:ascii="Calibri" w:hAnsi="Calibri"/>
                <w:b/>
                <w:sz w:val="22"/>
                <w:u w:val="single"/>
                <w:lang w:val="en-US"/>
              </w:rPr>
              <w:t>.</w:t>
            </w:r>
            <w:r w:rsidRPr="00A641DA">
              <w:rPr>
                <w:rFonts w:ascii="Calibri" w:hAnsi="Calibri"/>
                <w:b/>
                <w:sz w:val="22"/>
                <w:u w:val="single"/>
              </w:rPr>
              <w:t>П</w:t>
            </w:r>
            <w:r w:rsidRPr="00A641DA">
              <w:rPr>
                <w:rFonts w:ascii="Calibri" w:hAnsi="Calibri"/>
                <w:b/>
                <w:sz w:val="22"/>
                <w:u w:val="single"/>
                <w:lang w:val="en-US"/>
              </w:rPr>
              <w:t xml:space="preserve">.2.3, </w:t>
            </w:r>
            <w:r w:rsidRPr="00A641DA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Financial Management in Public Sector</w:t>
            </w:r>
            <w:r w:rsidRPr="00A641DA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  4 ECTS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Course of specialization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Lectures –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20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26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Contact Hours –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46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– </w:t>
            </w:r>
            <w:r w:rsidRPr="002364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10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6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Mr. Alexey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Lavrov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>., PhD in Sciences, Professor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Mrs. Tatyana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Saakyan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192A92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Senior Lecturer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Mrs.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Veronika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Sergeeva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PhD, </w:t>
            </w:r>
            <w:r w:rsidRPr="00192A92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Associate Professor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Mr. Marat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Shamyunov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192A92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Senior Lecturer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/>
              </w:rPr>
              <w:t>Studying this discipline is based on following subjects:</w:t>
            </w:r>
          </w:p>
          <w:p w:rsidR="0023640E" w:rsidRDefault="0023640E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.3. General Management </w:t>
            </w:r>
          </w:p>
          <w:p w:rsidR="0023640E" w:rsidRPr="006E2450" w:rsidRDefault="0023640E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.4, 10. </w:t>
            </w:r>
            <w:r>
              <w:rPr>
                <w:rFonts w:asciiTheme="minorHAnsi" w:hAnsiTheme="minorHAnsi"/>
                <w:sz w:val="22"/>
                <w:lang w:val="en-US" w:eastAsia="ru-RU"/>
              </w:rPr>
              <w:t>Law – 1, 2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.5. Economic and Social Statistics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.9. </w:t>
            </w: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Public Finance.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The course "</w:t>
            </w:r>
            <w:r w:rsidRPr="00192A92">
              <w:rPr>
                <w:rFonts w:asciiTheme="minorHAnsi" w:hAnsiTheme="minorHAnsi" w:cs="Calibri"/>
                <w:bCs/>
                <w:sz w:val="22"/>
                <w:lang w:val="en-US"/>
              </w:rPr>
              <w:t>Financial Management in Public Sector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>" has the following main objectives: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students’ understanding of modern approaches in budget expenditures administration;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introduce the concept of public debt;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teach the main stages of budget system establishment and latest reforming;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the knowledge about the administration of regional and municipal finances;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introduce the system of state financial control;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form the understanding of main directions of public finance development;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the ability to analyze the financial state of public legal entities and determine the shortcomings of their budgetary activities, as well as to develop possible improvements;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192A92">
              <w:rPr>
                <w:rFonts w:asciiTheme="minorHAnsi" w:hAnsiTheme="minorHAnsi"/>
                <w:sz w:val="22"/>
                <w:lang w:val="en-US"/>
              </w:rPr>
              <w:t>to</w:t>
            </w:r>
            <w:proofErr w:type="gram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teach the implementing of the acquired knowledge for effective public (municipal) finances administration.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course, students should be able: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know the structure of budgetary organizations and its features;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recognize different types of budgetary organizations;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understand the methods for justifying budget allocations;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learn cash services for the execution of budgets and treasury support;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possess main principles of the activity of budgetary institutions;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analyze the stages and outcomes of the budget process reforms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conduct analogies during different stages of  the budgetary system development in Russia;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receive and imply the information for solving main budget problems;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perform a discussion on the system of state and municipal finance;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gain the experience on the organizing of budgets;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192A92">
              <w:rPr>
                <w:rFonts w:asciiTheme="minorHAnsi" w:hAnsiTheme="minorHAnsi"/>
                <w:sz w:val="22"/>
                <w:lang w:val="en-US"/>
              </w:rPr>
              <w:t>to</w:t>
            </w:r>
            <w:proofErr w:type="gram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define the drawbacks of financial state of public legal entities and suggest possible improvements.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This discipline is dedicated to the study of the main methods of public finance administration. </w:t>
            </w:r>
          </w:p>
        </w:tc>
      </w:tr>
      <w:tr w:rsidR="0023640E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forms of activity are used: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workshops;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case studies;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lastRenderedPageBreak/>
              <w:t>writing an essay;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solving</w:t>
            </w:r>
            <w:proofErr w:type="gramEnd"/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tasks.</w:t>
            </w:r>
          </w:p>
        </w:tc>
      </w:tr>
      <w:tr w:rsidR="0023640E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lastRenderedPageBreak/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Section1. Management of budgetary expenses.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Budget planning by expenditures.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Execution of the budget by expenditures.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Main definitions. 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Detailing of expenses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Organization of budget execution.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Justification of budgetary allocations.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Budget execution.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Cash planning.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Cash services for the execution of budgets.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Treasury support.</w:t>
            </w:r>
          </w:p>
          <w:p w:rsidR="0023640E" w:rsidRPr="00192A92" w:rsidRDefault="0023640E" w:rsidP="0023640E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Activity of budgetary organizations.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2. Administration of budget income. Features of income administration in modern conditions.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3. State (municipal) debt and financial (non-financial) assets.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3.1. State (municipal) debt: types, structure, sources of restriction.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3.2. Administration of financial and non-financial assets: methods, tools.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4. Features of management of regional (municipal) finances.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4.1. Studying the structure of regional and municipal finance.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4.2. Division of expenditure obligations of public entities and the division of income sources between budgets of the Russian Federation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4.3. The concept of "tax procuration."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4.4. Classification of tax bases.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4.5. Concept "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interbudgetary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transfers", their forms and features.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4.6. The process of equalization of budgetary security and the procedure of distribution of subsidies.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4.7. Methods of distribution of subsidies and subventions.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Section 5.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5.1. State (municipal) financial control, internal control and audit.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5.2. Organization of financial control. Changes in the system of state financial control.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5.3. Sphere of legal regulation of financial control.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5.4. Budgetary control functions. Principles of budgetary control.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5.5. Activity of the Accounts Chamber, Federal Treasury.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5.6. Methods of financial control and responsibility for budget offences. Internal financial control and its improvement.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6. Preparation and review of budgetary reporting.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6.1. The role of budgetary reporting in the Budgetary process.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6.2. Budgetary reporting in the Budget Code of the Russian Federation.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7 New edition of the Budget Code.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7.1. Features of the new edition. Main changes and consequences.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7.2. Evolution of budget legislation.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7.3. Changes in the concepts and principles of the budget system.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7.4. Development of public obligations.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7.5. Creation of conditions for increasing accessibility and quality of public services.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7.6. Increase transparency and effectiveness of budget investments.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7.7. Improvement of intergovernmental relations, the system of indicators of fiscal sustainability.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7.8. Changes in the functions of participants in the budget process and the format of the federal budget.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8 Development of the public finance management system.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8.1. Study of the "Program to improve the effectiveness of public finance 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lastRenderedPageBreak/>
              <w:t>administration."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8.2. “New Public Management” ideology. Three basics for public finance administration.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8.3. The long-term balance and stability of the budgetary system as the main reason for the implementation and possible success of budget reforms.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8.4. Budgetary rules in Russia.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8.5. Reform of intergovernmental fiscal relations - from the division of resources to the division of functions.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8.6. Strategic concept of budget-planning development.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8.7. Methods for estimating expenditure obligations.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8.8. The concept of state-run programs.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8.9. The reform of the budget network - from the content of state institutions to the financing of public services. </w:t>
            </w:r>
          </w:p>
          <w:p w:rsidR="0023640E" w:rsidRPr="00192A92" w:rsidRDefault="0023640E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8.10. Development of standards for financial support of state-run programs. 8.11. The explanation of budget reforms.</w:t>
            </w:r>
          </w:p>
        </w:tc>
      </w:tr>
      <w:tr w:rsidR="0023640E" w:rsidRPr="0023640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9. 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192A92">
              <w:rPr>
                <w:rFonts w:asciiTheme="minorHAnsi" w:hAnsiTheme="minorHAnsi"/>
                <w:b/>
                <w:sz w:val="22"/>
              </w:rPr>
              <w:t>Academic</w:t>
            </w:r>
            <w:proofErr w:type="spellEnd"/>
            <w:r w:rsidRPr="00192A92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192A92">
              <w:rPr>
                <w:rFonts w:asciiTheme="minorHAnsi" w:hAnsiTheme="minorHAnsi"/>
                <w:b/>
                <w:sz w:val="22"/>
              </w:rPr>
              <w:t>literature</w:t>
            </w:r>
            <w:proofErr w:type="spellEnd"/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clear" w:pos="1429"/>
                <w:tab w:val="left" w:pos="284"/>
                <w:tab w:val="num" w:pos="99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Афанасьев М.П.  Модернизация государственных финансов: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/ М.П. Афанасьев, И.В.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Кривогов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; Предисловие А.Л. - 2-е изд. - М.: ГУ ВШЭ, 2007. - 439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Афанасьев М.П. Бюджет и бюджетная система: Учебник / М.П. Афанасьев, А.А. 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Беленчук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И.В.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Кривогов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; Предисловие А.Л. Кудрин; Ред. М.П. Афанасьев. - 2-е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и доп. - М.: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Юрайт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2011. - (Университеты России). - 777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Бюджетная система Российской Федерации: учебник / Г.И. Золотарёва, Н.И.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Смородинова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КНОРУС, 2011. – 232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Ковалева Т.М. Бюджетная политика и бюджетное планирование в Российской Федерации. М.: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КноРус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2009 г.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Лавров А.М.  Руководство по управлению общественными финансами на региональном и муниципальном уровне. Под ред.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А.М.Лаврова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ДипЛит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2008, в 7 т.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А.С. Бюджетная система Российской Федерации: Учебник для вузов / А.С. 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.- 8-е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испр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доп. - М.: Дашков и К., 2009. - 320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Подъяблонская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Л.М. Финансы, </w:t>
            </w:r>
            <w:r w:rsidRPr="00192A92">
              <w:rPr>
                <w:rFonts w:asciiTheme="minorHAnsi" w:hAnsiTheme="minorHAnsi"/>
                <w:sz w:val="22"/>
              </w:rPr>
              <w:t>ЮНИТИ-ДАНА</w:t>
            </w:r>
            <w:r w:rsidRPr="00192A92">
              <w:rPr>
                <w:rFonts w:asciiTheme="minorHAnsi" w:hAnsiTheme="minorHAnsi"/>
                <w:bCs/>
                <w:sz w:val="22"/>
              </w:rPr>
              <w:t>, 2013. – 407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Поляк Г.Б. Бюджетная система России.: Учебник для вузов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Р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ед. Г.Б. Поляк.   - 3-е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и доп. - М.: ЮНИТИ-ДАНА, 2013. - 703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Поляк Г.Б. Бюджетное право: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для вузов / Ред. Г.Б. Поляк, С.Н. Бочаров, Д.А.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Ремиханова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- 8-е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,д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оп. - М.: Закон и право; ЮНИТИ-ДАНА, 2012. - 311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Программный бюджет: учеб. пособие / под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.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ред. проф. М.П. Афанасьева. – М.: Магистр: ИНФРА-М, 2012. – 384 с.</w:t>
            </w:r>
          </w:p>
          <w:p w:rsidR="0023640E" w:rsidRPr="00192A92" w:rsidRDefault="0023640E" w:rsidP="0023640E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Титова Л.Н., Синельникова О.П. Государственные финансы России. Учебное пособие. М.: РУДН, 2009 г.</w:t>
            </w:r>
          </w:p>
          <w:p w:rsidR="0023640E" w:rsidRPr="00192A92" w:rsidRDefault="0023640E" w:rsidP="00AB6406">
            <w:pPr>
              <w:pStyle w:val="2"/>
              <w:tabs>
                <w:tab w:val="num" w:pos="425"/>
              </w:tabs>
              <w:spacing w:before="0" w:line="240" w:lineRule="auto"/>
              <w:ind w:left="284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A9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Additional</w:t>
            </w:r>
            <w:r w:rsidRPr="00192A9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92A9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literature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Анализ развития муниципальных финансов России в 1992-2002 годах. / Чернявский А.В. – М.: Фонд «Институт экономики города», 2003. – 114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О.Г. Повышение эффективности бюджетных расходов: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/ О.Г.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Д.С.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Хворостухина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и др.; Общ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.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р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ед. А.А. Климов и др. - М.: Дело; АНХ, 2009. - 520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Д. Теория государственных финансов: Перевод седьмого немецкого издания /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Д.; Ред. А.Л. Кудрин, В.Д.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Пионер-Пресс, 2002. - 480 с.: табл.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Бюджетный процесс как инструмент эффективного управления. Под ред.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Ю.Юнгмана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2005.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Бюджетный федерализм: Экономика и практика: Монография / Т.Д. </w:t>
            </w:r>
            <w:r w:rsidRPr="00192A92">
              <w:rPr>
                <w:rFonts w:asciiTheme="minorHAnsi" w:hAnsiTheme="minorHAnsi"/>
                <w:bCs/>
                <w:sz w:val="22"/>
              </w:rPr>
              <w:lastRenderedPageBreak/>
              <w:t xml:space="preserve">Мамсуров, Л.Я.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Кессельбренер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М.: ЮНИТИ-ДАНА, Закон и право, 2004. – 383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Крохина Ю.А. Бюджетное право и российский федерализм / Ю.А. Крохина. - М.: НОРМА, 2001. - 351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Лавров А.М. Бюджетная реформа в России: От управления затратами к управлению результатами / А.М. Лавров. - М.: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КомКнига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2005. - 555 с.: табл.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Р.А. Государственные финансы: теория и практика: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.с</w:t>
            </w:r>
            <w:proofErr w:type="spellEnd"/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 англ. / Р.А.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П.Б.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; Общ. ред. Т.Г. Нестеренко, Р.Е.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Артюхин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В.Д.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Бизнес Атлас, 2009. - 716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Н.Л. Государственная власть и местное самоуправление в России: Проблемы развития конституционно-правовой модели / Н.Л.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СТАТУТ, 2007. - 461 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К.И. Актуальные проблемы укрепления региональных финансов/ Науч. ред. Н.Г. Сычев, К.И.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Академия бюджета и казначейства МФ РФ и др. - М.: Финансы, 2004. - 416 с.: ил.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Федорович В.А., Патрон А.П. США: государство и экономика – М.: Международные отношения, 2007.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Финансово-экономические проблемы муниципальных образований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од ред. д.э.н., проф. Н.Г. Сычева и д.э.н., проф. К.И.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М.: Финансы и статистика, 2002. – 704 с.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Целевые бюджетные и внебюджетные фонды: Учебное пособие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од ред. проф. В.В.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Карчевского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– М.: Вузовский учебник, 2011.</w:t>
            </w:r>
          </w:p>
          <w:p w:rsidR="0023640E" w:rsidRPr="00192A92" w:rsidRDefault="0023640E" w:rsidP="00AB6406">
            <w:pPr>
              <w:tabs>
                <w:tab w:val="num" w:pos="42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sz w:val="22"/>
                <w:lang w:eastAsia="ru-RU"/>
              </w:rPr>
            </w:pPr>
            <w:r w:rsidRPr="00192A92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Regulatory</w:t>
            </w:r>
            <w:r w:rsidRPr="00192A92">
              <w:rPr>
                <w:rFonts w:asciiTheme="minorHAnsi" w:hAnsiTheme="minorHAnsi"/>
                <w:b/>
                <w:bCs/>
                <w:iCs/>
                <w:sz w:val="22"/>
              </w:rPr>
              <w:t xml:space="preserve"> </w:t>
            </w:r>
            <w:r w:rsidRPr="00192A92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acts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Конституция Российской Федерации, принятая всенародным голосованием 12.12.1993;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Бюджетный кодекс Российской Федерации от 31 июля 1998 г. № 145-ФЗ;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первая) от 31 июля 1998 г. № 146-ФЗ;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вторая) от 5 августа 2000 г. № 117-ФЗ;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Часть первая Гражданского кодекса Российской Федерации. 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14.11.2002 № 161-ФЗ «О государственных (муниципальных) унитарных предприятиях».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 Федеральный закон от 6 октября 2003 г. № 131-ФЗ "Об общих принципах организации местного самоуправления в Российской Федерации";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12.01.1996 № 7-ФЗ "О некоммерческих организациях";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192A92">
              <w:rPr>
                <w:rFonts w:asciiTheme="minorHAnsi" w:hAnsiTheme="minorHAnsi"/>
                <w:sz w:val="22"/>
              </w:rPr>
              <w:t>Федеральный закон от 18 июля 2011 года № 223-ФЗ «О закупках товаров, работ, услуг отдельными видами юридических лиц»;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Ежегодные федеральные законы о федеральном бюджете, бюджете государственного внебюджетного фонда Российской Федерации  на очередной финансовый год и на плановый период;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Ежегодные федеральные законы об исполнении федерального бюджета, бюджета государственного внебюджетного фонда Российской Федерации  за отчетный год;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 Постановление Правительства Российской Федерации от 30 июля 1998 г. № 862</w:t>
            </w:r>
            <w:r w:rsidRPr="00192A92">
              <w:rPr>
                <w:rFonts w:asciiTheme="minorHAnsi" w:hAnsiTheme="minorHAnsi"/>
                <w:bCs/>
                <w:sz w:val="22"/>
              </w:rPr>
              <w:br/>
            </w:r>
            <w:r w:rsidRPr="00192A92">
              <w:rPr>
                <w:rFonts w:asciiTheme="minorHAnsi" w:hAnsiTheme="minorHAnsi"/>
                <w:bCs/>
                <w:sz w:val="22"/>
              </w:rPr>
              <w:lastRenderedPageBreak/>
              <w:t>"О Концепции реформирования межбюджетных отношений в Российской Федерации в 1999 - 2001 годах";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Постановление Правительства Российской Федерации от 15 августа 2001 г. № 584 "О Программе развития бюджетного федерализма в Российской Федерации на период до 2005 года";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 апреля 2006 г. № 467-р "О Концепции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17 ноября 2008 г. № 1662-р "О Концепции долгосрочного социально-экономического развития Российской Федерации на период до 2020 года";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8 августа 2009 г. № 1123-р "О Концепции межбюджетных отношений и организации бюджетного процесса в субъектах Российской Федерации и муниципальных образованиях до 2013 года";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30 июня 2010 г. № 1101-р  "Об утверждении Программы Правительства Российской Федерации по повышению эффективности бюджетных расходов на период до 2012 года";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 от 04.03.2013 № 293-р "Об утверждении государственной программы Российской Федерации "Управление государственными финансами";</w:t>
            </w:r>
          </w:p>
          <w:p w:rsidR="0023640E" w:rsidRPr="00192A92" w:rsidRDefault="0023640E" w:rsidP="0023640E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Приказ Минфина Российской Федерации от 3 декабря 2010 г. № 552 "О порядке осуществления мониторинга и оценки качества управления региональными финансами".</w:t>
            </w:r>
          </w:p>
          <w:p w:rsidR="0023640E" w:rsidRPr="00192A92" w:rsidRDefault="0023640E" w:rsidP="00AB6406">
            <w:pPr>
              <w:tabs>
                <w:tab w:val="num" w:pos="360"/>
                <w:tab w:val="left" w:pos="567"/>
                <w:tab w:val="left" w:pos="1418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b/>
                <w:sz w:val="22"/>
                <w:lang w:val="en-US"/>
              </w:rPr>
              <w:t>Web sources:</w:t>
            </w:r>
          </w:p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The discipline may require the use of special web sources: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6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www.asozd.duma.gov.ru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- Automated system of legislative support;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7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www.pravo.gov.ru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Official Internet portal of regulatory acts;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8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www.gks.ru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Federal State Statistics Service;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9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www.faip.economy.gov.ru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– Russian Federal Targeted Investment Program;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0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www.info.minfin.ru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- Information and Analysis Section of the Russian Federation Ministry of Finance;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Style w:val="a8"/>
                <w:rFonts w:asciiTheme="minorHAnsi" w:hAnsiTheme="minorHAnsi"/>
                <w:sz w:val="22"/>
                <w:lang w:val="en-US"/>
              </w:rPr>
              <w:t xml:space="preserve">www.budget.mos.ru 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Moscow Open Budget;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1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www.roskazna.ru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Federal Treasury;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2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www.ecsocman.hse.ru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Federal Educational Portal of Economics, Sociology, Management;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3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www.opec.ru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Expert portal of the Higher School of Economics;</w:t>
            </w:r>
          </w:p>
          <w:p w:rsidR="0023640E" w:rsidRPr="00192A92" w:rsidRDefault="0023640E" w:rsidP="002364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4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www.eeg.ru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Economic Expert Group.</w:t>
            </w:r>
          </w:p>
        </w:tc>
      </w:tr>
      <w:tr w:rsidR="0023640E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23640E" w:rsidRPr="0023640E" w:rsidTr="00AB6406">
              <w:trPr>
                <w:jc w:val="center"/>
              </w:trPr>
              <w:tc>
                <w:tcPr>
                  <w:tcW w:w="4267" w:type="dxa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23640E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23640E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  <w:t>Group work and group discussions</w:t>
                  </w:r>
                </w:p>
              </w:tc>
              <w:tc>
                <w:tcPr>
                  <w:tcW w:w="2566" w:type="dxa"/>
                  <w:vAlign w:val="center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23640E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Written 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23640E" w:rsidRPr="00192A92" w:rsidRDefault="0023640E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23640E" w:rsidRPr="00192A92" w:rsidRDefault="0023640E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C63256" w:rsidRPr="0023640E" w:rsidRDefault="00C63256" w:rsidP="0023640E"/>
    <w:sectPr w:rsidR="00C63256" w:rsidRPr="0023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3240583"/>
    <w:multiLevelType w:val="hybridMultilevel"/>
    <w:tmpl w:val="D200D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7EBA"/>
    <w:multiLevelType w:val="hybridMultilevel"/>
    <w:tmpl w:val="F7F28FA2"/>
    <w:lvl w:ilvl="0" w:tplc="8B56E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B12D18"/>
    <w:multiLevelType w:val="multilevel"/>
    <w:tmpl w:val="3DBE1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A11973"/>
    <w:multiLevelType w:val="hybridMultilevel"/>
    <w:tmpl w:val="3F6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24E1"/>
    <w:multiLevelType w:val="hybridMultilevel"/>
    <w:tmpl w:val="B2BA1CB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4660"/>
    <w:multiLevelType w:val="hybridMultilevel"/>
    <w:tmpl w:val="5ED6C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006F47"/>
    <w:rsid w:val="000232AD"/>
    <w:rsid w:val="000465A1"/>
    <w:rsid w:val="001E2B6B"/>
    <w:rsid w:val="0023640E"/>
    <w:rsid w:val="00311007"/>
    <w:rsid w:val="00354A54"/>
    <w:rsid w:val="003850A9"/>
    <w:rsid w:val="00471050"/>
    <w:rsid w:val="004D7F59"/>
    <w:rsid w:val="00596F39"/>
    <w:rsid w:val="0069481A"/>
    <w:rsid w:val="006D4108"/>
    <w:rsid w:val="006F02F7"/>
    <w:rsid w:val="007A16AF"/>
    <w:rsid w:val="0083068B"/>
    <w:rsid w:val="008312B0"/>
    <w:rsid w:val="00851314"/>
    <w:rsid w:val="00960EED"/>
    <w:rsid w:val="009912E0"/>
    <w:rsid w:val="009C07CD"/>
    <w:rsid w:val="00A11D64"/>
    <w:rsid w:val="00A948EE"/>
    <w:rsid w:val="00AA6C7D"/>
    <w:rsid w:val="00B005E2"/>
    <w:rsid w:val="00B63687"/>
    <w:rsid w:val="00BF762A"/>
    <w:rsid w:val="00C2302C"/>
    <w:rsid w:val="00C63256"/>
    <w:rsid w:val="00C749A1"/>
    <w:rsid w:val="00CE1DE7"/>
    <w:rsid w:val="00D323EA"/>
    <w:rsid w:val="00D97D4D"/>
    <w:rsid w:val="00E06730"/>
    <w:rsid w:val="00E2042D"/>
    <w:rsid w:val="00E85DB5"/>
    <w:rsid w:val="00E913E6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  <w:style w:type="character" w:customStyle="1" w:styleId="nowrap">
    <w:name w:val="nowrap"/>
    <w:basedOn w:val="a1"/>
    <w:uiPriority w:val="99"/>
    <w:rsid w:val="00C749A1"/>
  </w:style>
  <w:style w:type="character" w:customStyle="1" w:styleId="a-size-extra-large">
    <w:name w:val="a-size-extra-large"/>
    <w:basedOn w:val="a1"/>
    <w:rsid w:val="00C749A1"/>
  </w:style>
  <w:style w:type="character" w:customStyle="1" w:styleId="a-size-smalla-color-secondary">
    <w:name w:val="a-size-small a-color-secondary"/>
    <w:basedOn w:val="a1"/>
    <w:rsid w:val="00C749A1"/>
  </w:style>
  <w:style w:type="character" w:customStyle="1" w:styleId="authornotfaded">
    <w:name w:val="author notfaded"/>
    <w:basedOn w:val="a1"/>
    <w:rsid w:val="00C749A1"/>
  </w:style>
  <w:style w:type="paragraph" w:styleId="ac">
    <w:name w:val="Body Text Indent"/>
    <w:basedOn w:val="a0"/>
    <w:link w:val="ad"/>
    <w:uiPriority w:val="99"/>
    <w:semiHidden/>
    <w:unhideWhenUsed/>
    <w:rsid w:val="000465A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465A1"/>
    <w:rPr>
      <w:rFonts w:ascii="Times New Roman" w:eastAsia="Times New Roman" w:hAnsi="Times New Roman" w:cs="Times New Roman"/>
      <w:sz w:val="24"/>
    </w:rPr>
  </w:style>
  <w:style w:type="character" w:customStyle="1" w:styleId="person-appointment-title">
    <w:name w:val="person-appointment-title"/>
    <w:basedOn w:val="a1"/>
    <w:rsid w:val="00E913E6"/>
  </w:style>
  <w:style w:type="paragraph" w:styleId="ae">
    <w:name w:val="Body Text"/>
    <w:basedOn w:val="a0"/>
    <w:link w:val="af"/>
    <w:uiPriority w:val="99"/>
    <w:semiHidden/>
    <w:unhideWhenUsed/>
    <w:rsid w:val="00CE1DE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CE1DE7"/>
    <w:rPr>
      <w:rFonts w:ascii="Times New Roman" w:eastAsia="Times New Roman" w:hAnsi="Times New Roman" w:cs="Times New Roman"/>
      <w:sz w:val="24"/>
    </w:rPr>
  </w:style>
  <w:style w:type="paragraph" w:styleId="3">
    <w:name w:val="Body Text Indent 3"/>
    <w:basedOn w:val="a0"/>
    <w:link w:val="30"/>
    <w:uiPriority w:val="99"/>
    <w:semiHidden/>
    <w:unhideWhenUsed/>
    <w:rsid w:val="00CE1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E1DE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  <w:style w:type="character" w:customStyle="1" w:styleId="nowrap">
    <w:name w:val="nowrap"/>
    <w:basedOn w:val="a1"/>
    <w:uiPriority w:val="99"/>
    <w:rsid w:val="00C749A1"/>
  </w:style>
  <w:style w:type="character" w:customStyle="1" w:styleId="a-size-extra-large">
    <w:name w:val="a-size-extra-large"/>
    <w:basedOn w:val="a1"/>
    <w:rsid w:val="00C749A1"/>
  </w:style>
  <w:style w:type="character" w:customStyle="1" w:styleId="a-size-smalla-color-secondary">
    <w:name w:val="a-size-small a-color-secondary"/>
    <w:basedOn w:val="a1"/>
    <w:rsid w:val="00C749A1"/>
  </w:style>
  <w:style w:type="character" w:customStyle="1" w:styleId="authornotfaded">
    <w:name w:val="author notfaded"/>
    <w:basedOn w:val="a1"/>
    <w:rsid w:val="00C749A1"/>
  </w:style>
  <w:style w:type="paragraph" w:styleId="ac">
    <w:name w:val="Body Text Indent"/>
    <w:basedOn w:val="a0"/>
    <w:link w:val="ad"/>
    <w:uiPriority w:val="99"/>
    <w:semiHidden/>
    <w:unhideWhenUsed/>
    <w:rsid w:val="000465A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465A1"/>
    <w:rPr>
      <w:rFonts w:ascii="Times New Roman" w:eastAsia="Times New Roman" w:hAnsi="Times New Roman" w:cs="Times New Roman"/>
      <w:sz w:val="24"/>
    </w:rPr>
  </w:style>
  <w:style w:type="character" w:customStyle="1" w:styleId="person-appointment-title">
    <w:name w:val="person-appointment-title"/>
    <w:basedOn w:val="a1"/>
    <w:rsid w:val="00E913E6"/>
  </w:style>
  <w:style w:type="paragraph" w:styleId="ae">
    <w:name w:val="Body Text"/>
    <w:basedOn w:val="a0"/>
    <w:link w:val="af"/>
    <w:uiPriority w:val="99"/>
    <w:semiHidden/>
    <w:unhideWhenUsed/>
    <w:rsid w:val="00CE1DE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CE1DE7"/>
    <w:rPr>
      <w:rFonts w:ascii="Times New Roman" w:eastAsia="Times New Roman" w:hAnsi="Times New Roman" w:cs="Times New Roman"/>
      <w:sz w:val="24"/>
    </w:rPr>
  </w:style>
  <w:style w:type="paragraph" w:styleId="3">
    <w:name w:val="Body Text Indent 3"/>
    <w:basedOn w:val="a0"/>
    <w:link w:val="30"/>
    <w:uiPriority w:val="99"/>
    <w:semiHidden/>
    <w:unhideWhenUsed/>
    <w:rsid w:val="00CE1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E1D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ope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Education2\&#1050;&#1091;&#1088;&#1089;&#1099;\&#1050;&#1091;&#1088;&#1089;%20&#1052;&#1041;&#1054;\&#1055;&#1088;&#1086;&#1075;&#1088;&#1072;&#1084;&#1084;&#1072;\www.pravo.gov.ru" TargetMode="External"/><Relationship Id="rId12" Type="http://schemas.openxmlformats.org/officeDocument/2006/relationships/hyperlink" Target="http://www.ecsocman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ozd.duma.gov.ru" TargetMode="External"/><Relationship Id="rId11" Type="http://schemas.openxmlformats.org/officeDocument/2006/relationships/hyperlink" Target="http://www.roskaz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p.economy.gov.ru" TargetMode="External"/><Relationship Id="rId14" Type="http://schemas.openxmlformats.org/officeDocument/2006/relationships/hyperlink" Target="http://www.e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2017-04-11T13:49:00Z</dcterms:created>
  <dcterms:modified xsi:type="dcterms:W3CDTF">2017-04-11T13:49:00Z</dcterms:modified>
</cp:coreProperties>
</file>