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76" w:rsidRDefault="00C85F76" w:rsidP="00C85F76">
      <w:pPr>
        <w:pStyle w:val="2"/>
        <w:ind w:firstLine="708"/>
        <w:jc w:val="center"/>
        <w:rPr>
          <w:b/>
          <w:szCs w:val="28"/>
        </w:rPr>
      </w:pPr>
    </w:p>
    <w:p w:rsidR="00C85F76" w:rsidRDefault="00C85F76" w:rsidP="00C85F76">
      <w:pPr>
        <w:pStyle w:val="2"/>
        <w:ind w:firstLine="708"/>
        <w:jc w:val="center"/>
        <w:rPr>
          <w:b/>
          <w:szCs w:val="28"/>
        </w:rPr>
      </w:pPr>
    </w:p>
    <w:p w:rsidR="00C85F76" w:rsidRDefault="00C85F76" w:rsidP="00C85F76">
      <w:pPr>
        <w:pStyle w:val="2"/>
        <w:ind w:firstLine="708"/>
        <w:jc w:val="center"/>
        <w:rPr>
          <w:b/>
          <w:szCs w:val="28"/>
        </w:rPr>
      </w:pPr>
      <w:r>
        <w:rPr>
          <w:b/>
          <w:szCs w:val="28"/>
        </w:rPr>
        <w:t>Презентация нового научного издания Российской академии художеств ,</w:t>
      </w:r>
    </w:p>
    <w:p w:rsidR="00C85F76" w:rsidRDefault="00C85F76" w:rsidP="00C85F76">
      <w:pPr>
        <w:pStyle w:val="2"/>
        <w:ind w:firstLine="708"/>
        <w:jc w:val="center"/>
        <w:rPr>
          <w:b/>
          <w:szCs w:val="28"/>
        </w:rPr>
      </w:pPr>
      <w:r>
        <w:rPr>
          <w:b/>
          <w:szCs w:val="28"/>
        </w:rPr>
        <w:t>К 260-летнему юбилею РАХ</w:t>
      </w:r>
    </w:p>
    <w:p w:rsidR="00C85F76" w:rsidRDefault="00C85F76" w:rsidP="00C85F76">
      <w:pPr>
        <w:pStyle w:val="2"/>
        <w:ind w:firstLine="708"/>
        <w:jc w:val="center"/>
        <w:rPr>
          <w:b/>
          <w:szCs w:val="28"/>
        </w:rPr>
      </w:pPr>
      <w:r>
        <w:rPr>
          <w:b/>
          <w:szCs w:val="28"/>
        </w:rPr>
        <w:t>14 сентября в Белом зале РАХ в 17:30</w:t>
      </w:r>
    </w:p>
    <w:p w:rsidR="00C85F76" w:rsidRDefault="00C85F76" w:rsidP="00C85F76">
      <w:pPr>
        <w:pStyle w:val="2"/>
        <w:ind w:firstLine="708"/>
        <w:jc w:val="center"/>
        <w:rPr>
          <w:b/>
          <w:szCs w:val="28"/>
        </w:rPr>
      </w:pPr>
    </w:p>
    <w:p w:rsidR="00C85F76" w:rsidRPr="007907CC" w:rsidRDefault="00C85F76" w:rsidP="00C85F76">
      <w:pPr>
        <w:pStyle w:val="2"/>
        <w:ind w:firstLine="708"/>
        <w:jc w:val="center"/>
        <w:rPr>
          <w:szCs w:val="28"/>
        </w:rPr>
      </w:pPr>
      <w:r w:rsidRPr="007907CC">
        <w:rPr>
          <w:b/>
          <w:szCs w:val="28"/>
        </w:rPr>
        <w:t>Святая Вода в иеротопии и иконографии христианского мира.</w:t>
      </w:r>
    </w:p>
    <w:p w:rsidR="00C85F76" w:rsidRPr="00C85F76" w:rsidRDefault="00C85F76" w:rsidP="00C85F76">
      <w:pPr>
        <w:pStyle w:val="2"/>
        <w:ind w:firstLine="708"/>
        <w:jc w:val="center"/>
        <w:rPr>
          <w:szCs w:val="28"/>
          <w:lang w:val="en-US"/>
        </w:rPr>
      </w:pPr>
      <w:r w:rsidRPr="007907CC">
        <w:rPr>
          <w:szCs w:val="28"/>
        </w:rPr>
        <w:t>Редактор</w:t>
      </w:r>
      <w:r w:rsidRPr="00C85F76">
        <w:rPr>
          <w:szCs w:val="28"/>
        </w:rPr>
        <w:t>-</w:t>
      </w:r>
      <w:r w:rsidRPr="007907CC">
        <w:rPr>
          <w:szCs w:val="28"/>
        </w:rPr>
        <w:t>составитель</w:t>
      </w:r>
      <w:r w:rsidRPr="00C85F76">
        <w:rPr>
          <w:szCs w:val="28"/>
        </w:rPr>
        <w:t xml:space="preserve"> </w:t>
      </w:r>
      <w:r w:rsidRPr="007907CC">
        <w:rPr>
          <w:szCs w:val="28"/>
        </w:rPr>
        <w:t>А</w:t>
      </w:r>
      <w:r w:rsidRPr="00C85F76">
        <w:rPr>
          <w:szCs w:val="28"/>
        </w:rPr>
        <w:t>.</w:t>
      </w:r>
      <w:r w:rsidRPr="007907CC">
        <w:rPr>
          <w:szCs w:val="28"/>
        </w:rPr>
        <w:t>М</w:t>
      </w:r>
      <w:r w:rsidRPr="00C85F76">
        <w:rPr>
          <w:szCs w:val="28"/>
        </w:rPr>
        <w:t xml:space="preserve">. </w:t>
      </w:r>
      <w:r w:rsidRPr="007907CC">
        <w:rPr>
          <w:szCs w:val="28"/>
        </w:rPr>
        <w:t>Лидов</w:t>
      </w:r>
      <w:r>
        <w:rPr>
          <w:szCs w:val="28"/>
        </w:rPr>
        <w:t>. М</w:t>
      </w:r>
      <w:r w:rsidRPr="00C85F76">
        <w:rPr>
          <w:szCs w:val="28"/>
          <w:lang w:val="en-US"/>
        </w:rPr>
        <w:t xml:space="preserve">., </w:t>
      </w:r>
      <w:r>
        <w:rPr>
          <w:szCs w:val="28"/>
        </w:rPr>
        <w:t>Феория</w:t>
      </w:r>
      <w:r w:rsidRPr="00C85F76">
        <w:rPr>
          <w:szCs w:val="28"/>
          <w:lang w:val="en-US"/>
        </w:rPr>
        <w:t xml:space="preserve">, 2017, 760 </w:t>
      </w:r>
      <w:r>
        <w:rPr>
          <w:szCs w:val="28"/>
        </w:rPr>
        <w:t>с</w:t>
      </w:r>
      <w:r w:rsidRPr="00C85F76">
        <w:rPr>
          <w:szCs w:val="28"/>
          <w:lang w:val="en-US"/>
        </w:rPr>
        <w:t xml:space="preserve">., 278 </w:t>
      </w:r>
      <w:r>
        <w:rPr>
          <w:szCs w:val="28"/>
        </w:rPr>
        <w:t>иллс</w:t>
      </w:r>
    </w:p>
    <w:p w:rsidR="00C85F76" w:rsidRPr="00C85F76" w:rsidRDefault="00C85F76" w:rsidP="00C85F76">
      <w:pPr>
        <w:pStyle w:val="2"/>
        <w:ind w:left="708" w:firstLine="0"/>
        <w:jc w:val="center"/>
        <w:rPr>
          <w:b/>
          <w:iCs/>
          <w:color w:val="800000"/>
          <w:szCs w:val="28"/>
          <w:lang w:val="en-US"/>
        </w:rPr>
      </w:pPr>
      <w:r w:rsidRPr="00C85F76">
        <w:rPr>
          <w:b/>
          <w:iCs/>
          <w:color w:val="800000"/>
          <w:szCs w:val="28"/>
          <w:lang w:val="en-US"/>
        </w:rPr>
        <w:t xml:space="preserve"> </w:t>
      </w:r>
    </w:p>
    <w:p w:rsidR="00C85F76" w:rsidRPr="007907CC" w:rsidRDefault="00C85F76" w:rsidP="00C85F76">
      <w:pPr>
        <w:pStyle w:val="2"/>
        <w:ind w:left="708" w:firstLine="0"/>
        <w:jc w:val="center"/>
        <w:rPr>
          <w:b/>
          <w:iCs/>
          <w:color w:val="800000"/>
          <w:szCs w:val="28"/>
          <w:lang w:val="en-GB"/>
        </w:rPr>
      </w:pPr>
      <w:r w:rsidRPr="007907CC">
        <w:rPr>
          <w:b/>
          <w:iCs/>
          <w:color w:val="800000"/>
          <w:szCs w:val="28"/>
          <w:lang w:val="en-US"/>
        </w:rPr>
        <w:t xml:space="preserve">The Holy </w:t>
      </w:r>
      <w:r w:rsidRPr="007907CC">
        <w:rPr>
          <w:b/>
          <w:iCs/>
          <w:color w:val="800000"/>
          <w:szCs w:val="28"/>
          <w:lang w:val="en-GB"/>
        </w:rPr>
        <w:t>Water in the Hierotopy and Iconography of the Christian World</w:t>
      </w:r>
    </w:p>
    <w:p w:rsidR="00C85F76" w:rsidRPr="007907CC" w:rsidRDefault="00C85F76" w:rsidP="00C85F76">
      <w:pPr>
        <w:pStyle w:val="2"/>
        <w:ind w:left="708" w:firstLine="0"/>
        <w:jc w:val="center"/>
        <w:rPr>
          <w:iCs/>
          <w:color w:val="800000"/>
          <w:szCs w:val="28"/>
          <w:lang w:val="en-GB"/>
        </w:rPr>
      </w:pPr>
      <w:r w:rsidRPr="007907CC">
        <w:rPr>
          <w:iCs/>
          <w:color w:val="800000"/>
          <w:szCs w:val="28"/>
          <w:lang w:val="en-GB"/>
        </w:rPr>
        <w:t>Edited by Alexei LIDOV</w:t>
      </w:r>
    </w:p>
    <w:p w:rsidR="00C85F76" w:rsidRPr="00C85F76" w:rsidRDefault="00C85F76" w:rsidP="00C85F76">
      <w:pPr>
        <w:pStyle w:val="2"/>
        <w:ind w:left="3600" w:firstLine="0"/>
        <w:rPr>
          <w:iCs/>
          <w:color w:val="800000"/>
          <w:szCs w:val="28"/>
        </w:rPr>
      </w:pPr>
      <w:r w:rsidRPr="007907CC">
        <w:rPr>
          <w:iCs/>
          <w:color w:val="800000"/>
          <w:szCs w:val="28"/>
        </w:rPr>
        <w:t>Москва</w:t>
      </w:r>
      <w:r w:rsidRPr="00C85F76">
        <w:rPr>
          <w:iCs/>
          <w:color w:val="800000"/>
          <w:szCs w:val="28"/>
        </w:rPr>
        <w:t xml:space="preserve"> / </w:t>
      </w:r>
      <w:r w:rsidRPr="007907CC">
        <w:rPr>
          <w:iCs/>
          <w:color w:val="800000"/>
          <w:szCs w:val="28"/>
          <w:lang w:val="en-US"/>
        </w:rPr>
        <w:t>Moscow</w:t>
      </w:r>
      <w:r w:rsidRPr="00C85F76">
        <w:rPr>
          <w:iCs/>
          <w:color w:val="800000"/>
          <w:szCs w:val="28"/>
        </w:rPr>
        <w:t xml:space="preserve"> 2017</w:t>
      </w:r>
      <w:r>
        <w:rPr>
          <w:iCs/>
          <w:color w:val="800000"/>
          <w:szCs w:val="28"/>
        </w:rPr>
        <w:t xml:space="preserve">, 760 </w:t>
      </w:r>
      <w:r>
        <w:rPr>
          <w:iCs/>
          <w:color w:val="800000"/>
          <w:szCs w:val="28"/>
          <w:lang w:val="en-US"/>
        </w:rPr>
        <w:t>pp</w:t>
      </w:r>
      <w:r w:rsidRPr="00C85F76">
        <w:rPr>
          <w:iCs/>
          <w:color w:val="800000"/>
          <w:szCs w:val="28"/>
        </w:rPr>
        <w:t xml:space="preserve">., 278 </w:t>
      </w:r>
      <w:r>
        <w:rPr>
          <w:iCs/>
          <w:color w:val="800000"/>
          <w:szCs w:val="28"/>
          <w:lang w:val="en-US"/>
        </w:rPr>
        <w:t>ills</w:t>
      </w:r>
    </w:p>
    <w:p w:rsidR="00C85F76" w:rsidRPr="007907CC" w:rsidRDefault="00C85F76" w:rsidP="00C85F76">
      <w:pPr>
        <w:pStyle w:val="2"/>
        <w:ind w:firstLine="708"/>
        <w:jc w:val="both"/>
        <w:rPr>
          <w:szCs w:val="28"/>
        </w:rPr>
      </w:pPr>
      <w:r w:rsidRPr="007907CC">
        <w:rPr>
          <w:szCs w:val="28"/>
        </w:rPr>
        <w:t>Сборник впервые в мировой науке посвящен проблематике воды как важнейшего средства в создании сакральных пространств, преимущественно в византийско-древнерусской традиции, рассматриваемой в широком историческом и географическом контексте. Сборник носит междисциплинарн</w:t>
      </w:r>
      <w:r>
        <w:rPr>
          <w:szCs w:val="28"/>
        </w:rPr>
        <w:t xml:space="preserve">ый характер. При этом внимание </w:t>
      </w:r>
      <w:r w:rsidRPr="007907CC">
        <w:rPr>
          <w:szCs w:val="28"/>
        </w:rPr>
        <w:t xml:space="preserve">сосредоточено на сакрально-символических аспектах использования воды и на методологии историко-культурных исследований. Концепция </w:t>
      </w:r>
      <w:r>
        <w:rPr>
          <w:szCs w:val="28"/>
        </w:rPr>
        <w:t xml:space="preserve">книги связана с новой областью </w:t>
      </w:r>
      <w:bookmarkStart w:id="0" w:name="_GoBack"/>
      <w:bookmarkEnd w:id="0"/>
      <w:r w:rsidRPr="007907CC">
        <w:rPr>
          <w:szCs w:val="28"/>
        </w:rPr>
        <w:t>гуманитарного знания, получившей название иеротопия (наука о создании сакральных пространств). Она продолжает серию изданий, в которую входят ранее опубликованные книги: «Новые Иерусалимы. Иеротопия и иконография сакральных пространств» (М.,2009), «Пространственные иконы. Перформативное в Византии и на Руси» (М., 2011), «Иеротопия Огня и Света в культуре византийского мира» (М., 2013). Сборник  включает 34 статьи как отечественных исследователей, так и ведущих зарубежных авторов, которые публикуются на русском и английском языках в соответствии с языком оригинала.</w:t>
      </w:r>
    </w:p>
    <w:p w:rsidR="00C85F76" w:rsidRPr="007907CC" w:rsidRDefault="00C85F76" w:rsidP="00C85F76">
      <w:pPr>
        <w:pStyle w:val="2"/>
        <w:ind w:firstLine="708"/>
        <w:jc w:val="both"/>
        <w:rPr>
          <w:szCs w:val="28"/>
        </w:rPr>
      </w:pPr>
      <w:r w:rsidRPr="007907CC">
        <w:rPr>
          <w:szCs w:val="28"/>
        </w:rPr>
        <w:lastRenderedPageBreak/>
        <w:t>Книга адресована историкам культуры, религиоведам и искусствоведам, а также всем интересующемся проблематикой Византии и христианского средневековья, особенно, теорией и практикой создания сакральных пространств.</w:t>
      </w:r>
    </w:p>
    <w:p w:rsidR="00C85F76" w:rsidRPr="007907CC" w:rsidRDefault="00C85F76" w:rsidP="00C85F76">
      <w:pPr>
        <w:pStyle w:val="2"/>
        <w:ind w:firstLine="708"/>
        <w:jc w:val="both"/>
        <w:rPr>
          <w:szCs w:val="28"/>
        </w:rPr>
      </w:pPr>
    </w:p>
    <w:p w:rsidR="00C85F76" w:rsidRDefault="00C85F76" w:rsidP="00C85F76">
      <w:pPr>
        <w:pStyle w:val="2"/>
        <w:spacing w:line="312" w:lineRule="auto"/>
        <w:ind w:firstLine="708"/>
        <w:jc w:val="both"/>
        <w:rPr>
          <w:szCs w:val="28"/>
          <w:lang w:val="en-GB"/>
        </w:rPr>
      </w:pPr>
      <w:r w:rsidRPr="007907CC">
        <w:rPr>
          <w:szCs w:val="28"/>
          <w:lang w:val="en-GB"/>
        </w:rPr>
        <w:t xml:space="preserve">For the first time the Collection tackles the subject of water as a means of creating sacred spaces, with a focus on the Byzantine-Russian tradition. Nonetheless, Eastern Christian practices will also be considered within broad historical and geographical context. The Collection is multi-and -interdisciplinary in nature, embracing scholars with various research interests and academic backgrounds. The book will explore the often overlooked cultural and artistic aspects of sacred water, as well as scrutinising the – as yet – under developed methodology of the subject in modern cultural history. The Collection is the result of many years of continuous research, dedicated to the hierotopy, or to the creation of sacred spaces as a distinct form of artistic and spiritual creativity. Within the framework of this research project, a number of international symposia have been held and books published, e.g.  </w:t>
      </w:r>
      <w:r w:rsidRPr="007907CC">
        <w:rPr>
          <w:i/>
          <w:iCs/>
          <w:szCs w:val="28"/>
          <w:lang w:val="en-GB"/>
        </w:rPr>
        <w:t>Hierotopy. The Creation of Sacred Spaces in Byzantium and Russia</w:t>
      </w:r>
      <w:r w:rsidRPr="007907CC">
        <w:rPr>
          <w:szCs w:val="28"/>
          <w:lang w:val="en-GB"/>
        </w:rPr>
        <w:t xml:space="preserve">. Moscow, 2006; </w:t>
      </w:r>
      <w:r w:rsidRPr="007907CC">
        <w:rPr>
          <w:i/>
          <w:iCs/>
          <w:szCs w:val="28"/>
          <w:lang w:val="en-GB"/>
        </w:rPr>
        <w:t xml:space="preserve">New Jerusalems. Hierotopy and Iconography of Sacred Spaces. </w:t>
      </w:r>
      <w:r w:rsidRPr="007907CC">
        <w:rPr>
          <w:szCs w:val="28"/>
          <w:lang w:val="en-GB"/>
        </w:rPr>
        <w:t xml:space="preserve">Moscow, 2009; </w:t>
      </w:r>
      <w:r w:rsidRPr="007907CC">
        <w:rPr>
          <w:i/>
          <w:iCs/>
          <w:szCs w:val="28"/>
          <w:lang w:val="en-GB"/>
        </w:rPr>
        <w:t xml:space="preserve">Spatial Icons. Performativity in Byzantium and Russia. </w:t>
      </w:r>
      <w:r w:rsidRPr="007907CC">
        <w:rPr>
          <w:szCs w:val="28"/>
          <w:lang w:val="en-GB"/>
        </w:rPr>
        <w:t xml:space="preserve">Moscow, 2011; </w:t>
      </w:r>
      <w:r w:rsidRPr="007907CC">
        <w:rPr>
          <w:i/>
          <w:szCs w:val="28"/>
          <w:lang w:val="en-GB"/>
        </w:rPr>
        <w:t>Hierotopy of Light and Fire in the Culture of the Byzantine World</w:t>
      </w:r>
      <w:r w:rsidRPr="007907CC">
        <w:rPr>
          <w:szCs w:val="28"/>
          <w:lang w:val="en-GB"/>
        </w:rPr>
        <w:t>. Moscow, 2013.</w:t>
      </w:r>
    </w:p>
    <w:p w:rsidR="00C85F76" w:rsidRPr="007907CC" w:rsidRDefault="00C85F76" w:rsidP="00C85F76">
      <w:pPr>
        <w:pStyle w:val="2"/>
        <w:spacing w:line="312" w:lineRule="auto"/>
        <w:ind w:firstLine="708"/>
        <w:jc w:val="both"/>
        <w:rPr>
          <w:szCs w:val="28"/>
          <w:lang w:val="en-US"/>
        </w:rPr>
      </w:pPr>
      <w:r>
        <w:rPr>
          <w:szCs w:val="28"/>
          <w:lang w:val="en-GB"/>
        </w:rPr>
        <w:t>The Collection consists of 34 papers of scholars from various countries, which are published in their original language, English or Russian, and supplemented  by the abstracts at the end of each article.</w:t>
      </w:r>
    </w:p>
    <w:p w:rsidR="000C2FF4" w:rsidRPr="00C85F76" w:rsidRDefault="000C2FF4">
      <w:pPr>
        <w:rPr>
          <w:lang w:val="en-US"/>
        </w:rPr>
      </w:pPr>
    </w:p>
    <w:sectPr w:rsidR="000C2FF4" w:rsidRPr="00C85F76" w:rsidSect="006E4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0"/>
    <w:rsid w:val="0000021E"/>
    <w:rsid w:val="00006F7C"/>
    <w:rsid w:val="000341B3"/>
    <w:rsid w:val="000372B4"/>
    <w:rsid w:val="0004195D"/>
    <w:rsid w:val="0007072F"/>
    <w:rsid w:val="0007233B"/>
    <w:rsid w:val="00073F94"/>
    <w:rsid w:val="00075030"/>
    <w:rsid w:val="00086E39"/>
    <w:rsid w:val="0008768F"/>
    <w:rsid w:val="00096222"/>
    <w:rsid w:val="000A2CDC"/>
    <w:rsid w:val="000A4C40"/>
    <w:rsid w:val="000A6C4D"/>
    <w:rsid w:val="000B6274"/>
    <w:rsid w:val="000C2FF4"/>
    <w:rsid w:val="000D225D"/>
    <w:rsid w:val="000D342D"/>
    <w:rsid w:val="0011057E"/>
    <w:rsid w:val="001351A9"/>
    <w:rsid w:val="00141260"/>
    <w:rsid w:val="00167BA2"/>
    <w:rsid w:val="00173295"/>
    <w:rsid w:val="001739FA"/>
    <w:rsid w:val="00183AD6"/>
    <w:rsid w:val="00196F4F"/>
    <w:rsid w:val="001A22DB"/>
    <w:rsid w:val="001E145A"/>
    <w:rsid w:val="001E74CC"/>
    <w:rsid w:val="001F0621"/>
    <w:rsid w:val="001F33D2"/>
    <w:rsid w:val="001F3CC7"/>
    <w:rsid w:val="002122E2"/>
    <w:rsid w:val="0022162F"/>
    <w:rsid w:val="00223DC9"/>
    <w:rsid w:val="0022502B"/>
    <w:rsid w:val="00225C4D"/>
    <w:rsid w:val="00225E5B"/>
    <w:rsid w:val="00231980"/>
    <w:rsid w:val="00251BB3"/>
    <w:rsid w:val="00255D64"/>
    <w:rsid w:val="00266ADE"/>
    <w:rsid w:val="0029456D"/>
    <w:rsid w:val="002A3380"/>
    <w:rsid w:val="002B0E64"/>
    <w:rsid w:val="002B4C7D"/>
    <w:rsid w:val="002C2326"/>
    <w:rsid w:val="002C4463"/>
    <w:rsid w:val="002C4BCB"/>
    <w:rsid w:val="002D23AF"/>
    <w:rsid w:val="002D342E"/>
    <w:rsid w:val="002D5EDF"/>
    <w:rsid w:val="00300784"/>
    <w:rsid w:val="00303B1A"/>
    <w:rsid w:val="0032498D"/>
    <w:rsid w:val="003311DC"/>
    <w:rsid w:val="003346D7"/>
    <w:rsid w:val="003442D2"/>
    <w:rsid w:val="003504C7"/>
    <w:rsid w:val="003651C2"/>
    <w:rsid w:val="003A77CA"/>
    <w:rsid w:val="003A7958"/>
    <w:rsid w:val="003B48A5"/>
    <w:rsid w:val="003B67E6"/>
    <w:rsid w:val="004040F7"/>
    <w:rsid w:val="00414AD2"/>
    <w:rsid w:val="00433580"/>
    <w:rsid w:val="00457ABA"/>
    <w:rsid w:val="004647F4"/>
    <w:rsid w:val="00465E56"/>
    <w:rsid w:val="00477D08"/>
    <w:rsid w:val="00497C4C"/>
    <w:rsid w:val="004C35F1"/>
    <w:rsid w:val="004D01B9"/>
    <w:rsid w:val="004D040D"/>
    <w:rsid w:val="004F61C6"/>
    <w:rsid w:val="00510CA5"/>
    <w:rsid w:val="00512B5C"/>
    <w:rsid w:val="0052317C"/>
    <w:rsid w:val="00561006"/>
    <w:rsid w:val="005673F5"/>
    <w:rsid w:val="005706F8"/>
    <w:rsid w:val="0058468C"/>
    <w:rsid w:val="005A727A"/>
    <w:rsid w:val="005C1F3A"/>
    <w:rsid w:val="005D31BB"/>
    <w:rsid w:val="005D5326"/>
    <w:rsid w:val="005D6CF2"/>
    <w:rsid w:val="005E223D"/>
    <w:rsid w:val="005E7F5A"/>
    <w:rsid w:val="00604E0D"/>
    <w:rsid w:val="00630693"/>
    <w:rsid w:val="00640DF1"/>
    <w:rsid w:val="00642133"/>
    <w:rsid w:val="006432EE"/>
    <w:rsid w:val="006556FD"/>
    <w:rsid w:val="0066721A"/>
    <w:rsid w:val="0067217F"/>
    <w:rsid w:val="00676B40"/>
    <w:rsid w:val="006850D6"/>
    <w:rsid w:val="006873BE"/>
    <w:rsid w:val="006A1C20"/>
    <w:rsid w:val="006C770F"/>
    <w:rsid w:val="006D33C1"/>
    <w:rsid w:val="006E4621"/>
    <w:rsid w:val="006E55C0"/>
    <w:rsid w:val="006F1AFE"/>
    <w:rsid w:val="006F20B1"/>
    <w:rsid w:val="0073487A"/>
    <w:rsid w:val="00740835"/>
    <w:rsid w:val="0074757B"/>
    <w:rsid w:val="007608EC"/>
    <w:rsid w:val="00766AB7"/>
    <w:rsid w:val="00786F67"/>
    <w:rsid w:val="007A4C24"/>
    <w:rsid w:val="007B2803"/>
    <w:rsid w:val="007D2B7D"/>
    <w:rsid w:val="007D6B39"/>
    <w:rsid w:val="007F5167"/>
    <w:rsid w:val="008026BF"/>
    <w:rsid w:val="0081483E"/>
    <w:rsid w:val="00815C6F"/>
    <w:rsid w:val="00815FAC"/>
    <w:rsid w:val="00816F2F"/>
    <w:rsid w:val="00825DB2"/>
    <w:rsid w:val="00827489"/>
    <w:rsid w:val="00827F6D"/>
    <w:rsid w:val="00833001"/>
    <w:rsid w:val="0085129A"/>
    <w:rsid w:val="00855BE1"/>
    <w:rsid w:val="00870644"/>
    <w:rsid w:val="00874633"/>
    <w:rsid w:val="008853CA"/>
    <w:rsid w:val="008C4F20"/>
    <w:rsid w:val="008C570E"/>
    <w:rsid w:val="008C7722"/>
    <w:rsid w:val="008E1057"/>
    <w:rsid w:val="009158DF"/>
    <w:rsid w:val="00954F37"/>
    <w:rsid w:val="00977705"/>
    <w:rsid w:val="00980300"/>
    <w:rsid w:val="009851CB"/>
    <w:rsid w:val="00992910"/>
    <w:rsid w:val="00994AAB"/>
    <w:rsid w:val="009A1122"/>
    <w:rsid w:val="009A5A01"/>
    <w:rsid w:val="009D1A06"/>
    <w:rsid w:val="00A02764"/>
    <w:rsid w:val="00A200E5"/>
    <w:rsid w:val="00A30774"/>
    <w:rsid w:val="00A320C9"/>
    <w:rsid w:val="00A37163"/>
    <w:rsid w:val="00A47687"/>
    <w:rsid w:val="00A500BD"/>
    <w:rsid w:val="00A55330"/>
    <w:rsid w:val="00A60D05"/>
    <w:rsid w:val="00A80D72"/>
    <w:rsid w:val="00A90805"/>
    <w:rsid w:val="00A91E5F"/>
    <w:rsid w:val="00AB7C6E"/>
    <w:rsid w:val="00AC104D"/>
    <w:rsid w:val="00AE4033"/>
    <w:rsid w:val="00AF53DD"/>
    <w:rsid w:val="00B03C42"/>
    <w:rsid w:val="00B102E7"/>
    <w:rsid w:val="00B16B62"/>
    <w:rsid w:val="00B57C76"/>
    <w:rsid w:val="00B601F0"/>
    <w:rsid w:val="00B75592"/>
    <w:rsid w:val="00B7704F"/>
    <w:rsid w:val="00B93911"/>
    <w:rsid w:val="00B956DC"/>
    <w:rsid w:val="00BB3EAB"/>
    <w:rsid w:val="00BB48D6"/>
    <w:rsid w:val="00BB6EF8"/>
    <w:rsid w:val="00BC2325"/>
    <w:rsid w:val="00C143E1"/>
    <w:rsid w:val="00C1774F"/>
    <w:rsid w:val="00C2431E"/>
    <w:rsid w:val="00C2792E"/>
    <w:rsid w:val="00C43623"/>
    <w:rsid w:val="00C54AFC"/>
    <w:rsid w:val="00C60ACD"/>
    <w:rsid w:val="00C62E00"/>
    <w:rsid w:val="00C640A7"/>
    <w:rsid w:val="00C74798"/>
    <w:rsid w:val="00C758BC"/>
    <w:rsid w:val="00C8562D"/>
    <w:rsid w:val="00C85F76"/>
    <w:rsid w:val="00C942F4"/>
    <w:rsid w:val="00CA2EB4"/>
    <w:rsid w:val="00CC52EB"/>
    <w:rsid w:val="00CD0065"/>
    <w:rsid w:val="00CD3392"/>
    <w:rsid w:val="00CE3272"/>
    <w:rsid w:val="00CE4289"/>
    <w:rsid w:val="00CF0413"/>
    <w:rsid w:val="00CF4820"/>
    <w:rsid w:val="00CF512C"/>
    <w:rsid w:val="00D007F5"/>
    <w:rsid w:val="00D03732"/>
    <w:rsid w:val="00D06175"/>
    <w:rsid w:val="00D2677F"/>
    <w:rsid w:val="00D44E3E"/>
    <w:rsid w:val="00D669D2"/>
    <w:rsid w:val="00D8385B"/>
    <w:rsid w:val="00D92674"/>
    <w:rsid w:val="00D9611F"/>
    <w:rsid w:val="00DA3ADF"/>
    <w:rsid w:val="00DB07B4"/>
    <w:rsid w:val="00DB37E7"/>
    <w:rsid w:val="00DF4F8D"/>
    <w:rsid w:val="00E279B9"/>
    <w:rsid w:val="00E411A3"/>
    <w:rsid w:val="00E4233A"/>
    <w:rsid w:val="00E444C3"/>
    <w:rsid w:val="00E47703"/>
    <w:rsid w:val="00E6510D"/>
    <w:rsid w:val="00EA0EB0"/>
    <w:rsid w:val="00EB0D0D"/>
    <w:rsid w:val="00EB196A"/>
    <w:rsid w:val="00ED1CE7"/>
    <w:rsid w:val="00ED584C"/>
    <w:rsid w:val="00ED5FCF"/>
    <w:rsid w:val="00ED6507"/>
    <w:rsid w:val="00EF3457"/>
    <w:rsid w:val="00EF419D"/>
    <w:rsid w:val="00F030A4"/>
    <w:rsid w:val="00F03702"/>
    <w:rsid w:val="00F44F09"/>
    <w:rsid w:val="00F52D56"/>
    <w:rsid w:val="00F5364B"/>
    <w:rsid w:val="00F54FB9"/>
    <w:rsid w:val="00F60C48"/>
    <w:rsid w:val="00F719DC"/>
    <w:rsid w:val="00FB50DC"/>
    <w:rsid w:val="00FB6F86"/>
    <w:rsid w:val="00FC2503"/>
    <w:rsid w:val="00FD1BEE"/>
    <w:rsid w:val="00FE0384"/>
    <w:rsid w:val="00FE7BBB"/>
  </w:rsids>
  <m:mathPr>
    <m:mathFont m:val="Cambria Math"/>
    <m:brkBin m:val="before"/>
    <m:brkBinSub m:val="--"/>
    <m:smallFrac m:val="0"/>
    <m:dispDef/>
    <m:lMargin m:val="0"/>
    <m:rMargin m:val="0"/>
    <m:defJc m:val="centerGroup"/>
    <m:wrapIndent m:val="1440"/>
    <m:intLim m:val="subSup"/>
    <m:naryLim m:val="undOvr"/>
  </m:mathPr>
  <w:themeFontLang w:val="ru-RU"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2486"/>
  <w15:chartTrackingRefBased/>
  <w15:docId w15:val="{99C768E4-9ECE-426F-A24C-F33B71AD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C85F76"/>
    <w:pPr>
      <w:spacing w:after="0" w:line="360" w:lineRule="auto"/>
      <w:ind w:firstLine="709"/>
    </w:pPr>
    <w:rPr>
      <w:rFonts w:ascii="Times New Roman"/>
      <w:sz w:val="28"/>
      <w:szCs w:val="24"/>
    </w:rPr>
  </w:style>
  <w:style w:type="character" w:customStyle="1" w:styleId="20">
    <w:name w:val="Основной текст с отступом 2 Знак"/>
    <w:basedOn w:val="a0"/>
    <w:link w:val="2"/>
    <w:rsid w:val="00C85F76"/>
    <w:rPr>
      <w:rFonts w:asci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 Lidov</dc:creator>
  <cp:keywords/>
  <dc:description/>
  <cp:lastModifiedBy>Alexei Lidov</cp:lastModifiedBy>
  <cp:revision>2</cp:revision>
  <dcterms:created xsi:type="dcterms:W3CDTF">2017-08-31T23:58:00Z</dcterms:created>
  <dcterms:modified xsi:type="dcterms:W3CDTF">2017-09-01T00:02:00Z</dcterms:modified>
</cp:coreProperties>
</file>