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41F64" w14:textId="77777777" w:rsidR="007A1802" w:rsidRDefault="007A1802" w:rsidP="00BE28D0">
      <w:pPr>
        <w:spacing w:line="360" w:lineRule="auto"/>
        <w:ind w:right="-432"/>
        <w:jc w:val="right"/>
        <w:rPr>
          <w:b/>
        </w:rPr>
      </w:pPr>
      <w:bookmarkStart w:id="0" w:name="_GoBack"/>
      <w:bookmarkEnd w:id="0"/>
      <w:r>
        <w:rPr>
          <w:b/>
        </w:rPr>
        <w:t>Мареева С.В.</w:t>
      </w:r>
    </w:p>
    <w:p w14:paraId="15EB81AE" w14:textId="14D1D79C" w:rsidR="008446D7" w:rsidRPr="00751D36" w:rsidRDefault="00562BFB" w:rsidP="00BE28D0">
      <w:pPr>
        <w:spacing w:line="360" w:lineRule="auto"/>
        <w:ind w:right="-432"/>
        <w:jc w:val="center"/>
        <w:rPr>
          <w:b/>
        </w:rPr>
      </w:pPr>
      <w:r>
        <w:rPr>
          <w:b/>
        </w:rPr>
        <w:t>Среднедоходные</w:t>
      </w:r>
      <w:r w:rsidR="007A1802" w:rsidRPr="007A1802">
        <w:rPr>
          <w:b/>
        </w:rPr>
        <w:t xml:space="preserve"> </w:t>
      </w:r>
      <w:r>
        <w:rPr>
          <w:b/>
        </w:rPr>
        <w:t>слои</w:t>
      </w:r>
      <w:r w:rsidR="007A1802" w:rsidRPr="007A1802">
        <w:rPr>
          <w:b/>
        </w:rPr>
        <w:t xml:space="preserve"> в российском обществе: положение и динамика</w:t>
      </w:r>
    </w:p>
    <w:p w14:paraId="2AD83D75" w14:textId="53478A8A" w:rsidR="00772434" w:rsidRPr="00772434" w:rsidRDefault="00D974EC" w:rsidP="00BE28D0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Доходная стратификация является </w:t>
      </w:r>
      <w:r w:rsidR="00BE28D0">
        <w:rPr>
          <w:rFonts w:eastAsia="Calibri"/>
        </w:rPr>
        <w:t>важным срезом анализа</w:t>
      </w:r>
      <w:r w:rsidR="00772434">
        <w:rPr>
          <w:rFonts w:eastAsia="Calibri"/>
        </w:rPr>
        <w:t xml:space="preserve"> общей модели </w:t>
      </w:r>
      <w:r w:rsidR="00BE28D0">
        <w:rPr>
          <w:rFonts w:eastAsia="Calibri"/>
        </w:rPr>
        <w:t xml:space="preserve">социальной структуры </w:t>
      </w:r>
      <w:r w:rsidR="00772434">
        <w:rPr>
          <w:rFonts w:eastAsia="Calibri"/>
        </w:rPr>
        <w:t>общества, сложившейся в стране.  Однако как в российской, так и в зарубежной литературе при</w:t>
      </w:r>
      <w:r w:rsidR="00BE28D0">
        <w:rPr>
          <w:rFonts w:eastAsia="Calibri"/>
        </w:rPr>
        <w:t xml:space="preserve"> рассмотрении проблематики доходной стратификации </w:t>
      </w:r>
      <w:r w:rsidR="00772434">
        <w:rPr>
          <w:rFonts w:eastAsia="Calibri"/>
        </w:rPr>
        <w:t xml:space="preserve">внимание исследователей </w:t>
      </w:r>
      <w:r w:rsidR="00BE28D0">
        <w:rPr>
          <w:rFonts w:eastAsia="Calibri"/>
        </w:rPr>
        <w:t>часто</w:t>
      </w:r>
      <w:r w:rsidR="00772434">
        <w:rPr>
          <w:rFonts w:eastAsia="Calibri"/>
        </w:rPr>
        <w:t xml:space="preserve"> сосредоточено </w:t>
      </w:r>
      <w:r w:rsidR="00BE28D0">
        <w:rPr>
          <w:rFonts w:eastAsia="Calibri"/>
        </w:rPr>
        <w:t>лишь</w:t>
      </w:r>
      <w:r w:rsidR="00772434">
        <w:rPr>
          <w:rFonts w:eastAsia="Calibri"/>
        </w:rPr>
        <w:t xml:space="preserve"> на отдельных группах в составе структуры</w:t>
      </w:r>
      <w:r w:rsidR="00BE28D0">
        <w:rPr>
          <w:rFonts w:eastAsia="Calibri"/>
        </w:rPr>
        <w:t xml:space="preserve"> общества по доходам. Н</w:t>
      </w:r>
      <w:r w:rsidR="00772434">
        <w:rPr>
          <w:rFonts w:eastAsia="Calibri"/>
        </w:rPr>
        <w:t xml:space="preserve">аиболее часто </w:t>
      </w:r>
      <w:r w:rsidR="00BE28D0">
        <w:rPr>
          <w:rFonts w:eastAsia="Calibri"/>
        </w:rPr>
        <w:t>фокусом рассмотрения выступают</w:t>
      </w:r>
      <w:r w:rsidR="00772434">
        <w:rPr>
          <w:rFonts w:eastAsia="Calibri"/>
        </w:rPr>
        <w:t xml:space="preserve"> бедные, реже </w:t>
      </w:r>
      <w:r w:rsidR="00BE28D0">
        <w:rPr>
          <w:rFonts w:eastAsia="Calibri"/>
        </w:rPr>
        <w:t>– богатые. Однако не менее важно</w:t>
      </w:r>
      <w:r w:rsidR="00772434">
        <w:rPr>
          <w:rFonts w:eastAsia="Calibri"/>
        </w:rPr>
        <w:t xml:space="preserve"> </w:t>
      </w:r>
      <w:r w:rsidR="00BE28D0">
        <w:rPr>
          <w:rFonts w:eastAsia="Calibri"/>
        </w:rPr>
        <w:t xml:space="preserve">понимание особенностей положения </w:t>
      </w:r>
      <w:r w:rsidR="00772434">
        <w:rPr>
          <w:rFonts w:eastAsia="Calibri"/>
        </w:rPr>
        <w:t xml:space="preserve">среднедоходных слоев, которые, во-первых, </w:t>
      </w:r>
      <w:r w:rsidR="00BE28D0">
        <w:rPr>
          <w:rFonts w:eastAsia="Calibri"/>
        </w:rPr>
        <w:t>репрезентируют</w:t>
      </w:r>
      <w:r w:rsidR="00772434">
        <w:rPr>
          <w:rFonts w:eastAsia="Calibri"/>
        </w:rPr>
        <w:t xml:space="preserve"> </w:t>
      </w:r>
      <w:r w:rsidR="00BE28D0">
        <w:rPr>
          <w:rFonts w:eastAsia="Calibri"/>
        </w:rPr>
        <w:t>тот</w:t>
      </w:r>
      <w:r w:rsidR="00772434">
        <w:rPr>
          <w:rFonts w:eastAsia="Calibri"/>
        </w:rPr>
        <w:t xml:space="preserve"> </w:t>
      </w:r>
      <w:r w:rsidR="00BE28D0">
        <w:rPr>
          <w:rFonts w:eastAsia="Calibri"/>
        </w:rPr>
        <w:t>уровень и качество жизни, которые свойственны</w:t>
      </w:r>
      <w:r w:rsidR="00772434">
        <w:rPr>
          <w:rFonts w:eastAsia="Calibri"/>
        </w:rPr>
        <w:t xml:space="preserve"> «рядовому россиянину», а во-вторых – выступают основными (хотя в ряде случаев </w:t>
      </w:r>
      <w:r w:rsidR="00BE28D0">
        <w:rPr>
          <w:rFonts w:eastAsia="Calibri"/>
        </w:rPr>
        <w:t>–</w:t>
      </w:r>
      <w:r w:rsidR="00772434">
        <w:rPr>
          <w:rFonts w:eastAsia="Calibri"/>
        </w:rPr>
        <w:t xml:space="preserve"> </w:t>
      </w:r>
      <w:r w:rsidR="00BE28D0">
        <w:rPr>
          <w:rFonts w:eastAsia="Calibri"/>
        </w:rPr>
        <w:t xml:space="preserve">пока </w:t>
      </w:r>
      <w:r w:rsidR="00772434">
        <w:rPr>
          <w:rFonts w:eastAsia="Calibri"/>
        </w:rPr>
        <w:t xml:space="preserve">потенциальными) </w:t>
      </w:r>
      <w:proofErr w:type="spellStart"/>
      <w:r w:rsidR="00772434">
        <w:rPr>
          <w:rFonts w:eastAsia="Calibri"/>
        </w:rPr>
        <w:t>соинвесторами</w:t>
      </w:r>
      <w:proofErr w:type="spellEnd"/>
      <w:r w:rsidR="00772434">
        <w:rPr>
          <w:rFonts w:eastAsia="Calibri"/>
        </w:rPr>
        <w:t xml:space="preserve"> государства в социальной сфер</w:t>
      </w:r>
      <w:r w:rsidR="00BE28D0">
        <w:rPr>
          <w:rFonts w:eastAsia="Calibri"/>
        </w:rPr>
        <w:t>е</w:t>
      </w:r>
      <w:r w:rsidR="00772434">
        <w:rPr>
          <w:rFonts w:eastAsia="Calibri"/>
        </w:rPr>
        <w:t xml:space="preserve">. Кроме того, динамика численности среднедоходных </w:t>
      </w:r>
      <w:r w:rsidR="001E6057">
        <w:rPr>
          <w:rFonts w:eastAsia="Calibri"/>
        </w:rPr>
        <w:t>слоев</w:t>
      </w:r>
      <w:r w:rsidR="00772434">
        <w:rPr>
          <w:rFonts w:eastAsia="Calibri"/>
        </w:rPr>
        <w:t xml:space="preserve"> по сравнению с другими </w:t>
      </w:r>
      <w:r w:rsidR="003F18BC">
        <w:rPr>
          <w:rFonts w:eastAsia="Calibri"/>
        </w:rPr>
        <w:t xml:space="preserve">доходными </w:t>
      </w:r>
      <w:r w:rsidR="001E6057">
        <w:rPr>
          <w:rFonts w:eastAsia="Calibri"/>
        </w:rPr>
        <w:t>слоями</w:t>
      </w:r>
      <w:r w:rsidR="00772434">
        <w:rPr>
          <w:rFonts w:eastAsia="Calibri"/>
        </w:rPr>
        <w:t xml:space="preserve"> населения демонстрирует</w:t>
      </w:r>
      <w:r w:rsidR="001E6057">
        <w:rPr>
          <w:rFonts w:eastAsia="Calibri"/>
        </w:rPr>
        <w:t xml:space="preserve"> общий вектор развития общества и</w:t>
      </w:r>
      <w:r w:rsidR="00772434">
        <w:rPr>
          <w:rFonts w:eastAsia="Calibri"/>
        </w:rPr>
        <w:t xml:space="preserve"> позволяет диагностировать потенциальные точки социальной напряженности. В данной работе на основании данных Российского мониторинга экономического положения и здоровья населения (РМЭЗ НИУ ВШЭ) </w:t>
      </w:r>
      <w:r w:rsidR="003F18BC">
        <w:rPr>
          <w:rFonts w:eastAsia="Calibri"/>
        </w:rPr>
        <w:t>рассмотрено</w:t>
      </w:r>
      <w:r w:rsidR="00772434">
        <w:rPr>
          <w:rFonts w:eastAsia="Calibri"/>
        </w:rPr>
        <w:t xml:space="preserve"> изменение численности среднедоходных слоев за период 1994</w:t>
      </w:r>
      <w:r w:rsidR="00691324">
        <w:rPr>
          <w:rFonts w:eastAsia="Calibri"/>
        </w:rPr>
        <w:t>-2016</w:t>
      </w:r>
      <w:r w:rsidR="00772434">
        <w:rPr>
          <w:rFonts w:eastAsia="Calibri"/>
        </w:rPr>
        <w:t xml:space="preserve"> гг.</w:t>
      </w:r>
      <w:r w:rsidR="003F18BC">
        <w:rPr>
          <w:rFonts w:eastAsia="Calibri"/>
        </w:rPr>
        <w:t xml:space="preserve"> в </w:t>
      </w:r>
      <w:r w:rsidR="001E6057">
        <w:rPr>
          <w:rFonts w:eastAsia="Calibri"/>
        </w:rPr>
        <w:t xml:space="preserve">рамках </w:t>
      </w:r>
      <w:r w:rsidR="003F18BC">
        <w:rPr>
          <w:rFonts w:eastAsia="Calibri"/>
        </w:rPr>
        <w:t>общей модели доходной стратификации российского общества</w:t>
      </w:r>
      <w:r w:rsidR="00772434">
        <w:rPr>
          <w:rFonts w:eastAsia="Calibri"/>
        </w:rPr>
        <w:t xml:space="preserve">, а также </w:t>
      </w:r>
      <w:r w:rsidR="003F18BC">
        <w:rPr>
          <w:rFonts w:eastAsia="Calibri"/>
        </w:rPr>
        <w:t>охарактеризовано</w:t>
      </w:r>
      <w:r w:rsidR="00772434">
        <w:rPr>
          <w:rFonts w:eastAsia="Calibri"/>
        </w:rPr>
        <w:t xml:space="preserve"> их текущее положение. </w:t>
      </w:r>
    </w:p>
    <w:p w14:paraId="06DAB1A1" w14:textId="09773BD3" w:rsidR="007A1802" w:rsidRDefault="00772434" w:rsidP="00BE28D0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>Для построения модели</w:t>
      </w:r>
      <w:r w:rsidR="007A1802" w:rsidRPr="00BC49F0">
        <w:rPr>
          <w:rFonts w:eastAsia="Calibri"/>
        </w:rPr>
        <w:t xml:space="preserve"> доходной стратификации</w:t>
      </w:r>
      <w:r w:rsidR="003F18BC">
        <w:rPr>
          <w:rFonts w:eastAsia="Calibri"/>
        </w:rPr>
        <w:t xml:space="preserve"> российского общества</w:t>
      </w:r>
      <w:r w:rsidR="007A1802" w:rsidRPr="00BC49F0">
        <w:rPr>
          <w:rFonts w:eastAsia="Calibri"/>
        </w:rPr>
        <w:t xml:space="preserve"> </w:t>
      </w:r>
      <w:r w:rsidR="003F18BC">
        <w:rPr>
          <w:rFonts w:eastAsia="Calibri"/>
        </w:rPr>
        <w:t xml:space="preserve">была </w:t>
      </w:r>
      <w:r>
        <w:rPr>
          <w:rFonts w:eastAsia="Calibri"/>
        </w:rPr>
        <w:t>использована версия относительного подхода</w:t>
      </w:r>
      <w:r w:rsidR="00246144">
        <w:rPr>
          <w:rFonts w:eastAsia="Calibri"/>
        </w:rPr>
        <w:t xml:space="preserve">, </w:t>
      </w:r>
      <w:r>
        <w:rPr>
          <w:rFonts w:eastAsia="Calibri"/>
        </w:rPr>
        <w:t>границы отдельных доходных групп</w:t>
      </w:r>
      <w:r w:rsidR="00246144">
        <w:rPr>
          <w:rFonts w:eastAsia="Calibri"/>
        </w:rPr>
        <w:t xml:space="preserve"> в рамках </w:t>
      </w:r>
      <w:r w:rsidR="003F18BC">
        <w:rPr>
          <w:rFonts w:eastAsia="Calibri"/>
        </w:rPr>
        <w:t>которой</w:t>
      </w:r>
      <w:r>
        <w:rPr>
          <w:rFonts w:eastAsia="Calibri"/>
        </w:rPr>
        <w:t xml:space="preserve"> были разработаны на основании теоретико-методологического анализа</w:t>
      </w:r>
      <w:r w:rsidR="00246144">
        <w:rPr>
          <w:rFonts w:eastAsia="Calibri"/>
        </w:rPr>
        <w:t xml:space="preserve"> </w:t>
      </w:r>
      <w:r>
        <w:rPr>
          <w:rFonts w:eastAsia="Calibri"/>
        </w:rPr>
        <w:t>и результатов статистических проверок</w:t>
      </w:r>
      <w:r w:rsidR="003F18BC">
        <w:rPr>
          <w:rFonts w:eastAsia="Calibri"/>
        </w:rPr>
        <w:t xml:space="preserve"> на эмпирических данных общероссийских исследований</w:t>
      </w:r>
      <w:r w:rsidR="00717CDF">
        <w:rPr>
          <w:rFonts w:eastAsia="Calibri"/>
        </w:rPr>
        <w:t xml:space="preserve"> (</w:t>
      </w:r>
      <w:proofErr w:type="spellStart"/>
      <w:r w:rsidR="00717CDF">
        <w:rPr>
          <w:rFonts w:eastAsia="Calibri"/>
        </w:rPr>
        <w:t>Anikin</w:t>
      </w:r>
      <w:proofErr w:type="spellEnd"/>
      <w:r w:rsidR="00717CDF">
        <w:rPr>
          <w:rFonts w:eastAsia="Calibri"/>
        </w:rPr>
        <w:t xml:space="preserve"> </w:t>
      </w:r>
      <w:proofErr w:type="spellStart"/>
      <w:r w:rsidR="00717CDF">
        <w:rPr>
          <w:rFonts w:eastAsia="Calibri"/>
        </w:rPr>
        <w:t>et</w:t>
      </w:r>
      <w:proofErr w:type="spellEnd"/>
      <w:r w:rsidR="00717CDF">
        <w:rPr>
          <w:rFonts w:eastAsia="Calibri"/>
        </w:rPr>
        <w:t xml:space="preserve"> </w:t>
      </w:r>
      <w:proofErr w:type="spellStart"/>
      <w:r w:rsidR="00717CDF">
        <w:rPr>
          <w:rFonts w:eastAsia="Calibri"/>
        </w:rPr>
        <w:t>al</w:t>
      </w:r>
      <w:proofErr w:type="spellEnd"/>
      <w:r w:rsidR="00717CDF">
        <w:rPr>
          <w:rFonts w:eastAsia="Calibri"/>
          <w:lang w:val="en-US"/>
        </w:rPr>
        <w:t xml:space="preserve">., </w:t>
      </w:r>
      <w:r w:rsidR="00717CDF">
        <w:rPr>
          <w:rFonts w:eastAsia="Calibri"/>
        </w:rPr>
        <w:t>2016)</w:t>
      </w:r>
      <w:r w:rsidR="003F18BC">
        <w:rPr>
          <w:rFonts w:eastAsia="Calibri"/>
        </w:rPr>
        <w:t>. В рамках предложенного подхода</w:t>
      </w:r>
      <w:r>
        <w:rPr>
          <w:rFonts w:eastAsia="Calibri"/>
        </w:rPr>
        <w:t xml:space="preserve"> </w:t>
      </w:r>
      <w:r w:rsidR="00246144">
        <w:rPr>
          <w:rFonts w:eastAsia="Calibri"/>
        </w:rPr>
        <w:t>были выделены пять доходных групп: бедные (</w:t>
      </w:r>
      <w:r w:rsidR="003F18BC">
        <w:rPr>
          <w:rFonts w:eastAsia="Calibri"/>
        </w:rPr>
        <w:t xml:space="preserve">имеющие </w:t>
      </w:r>
      <w:r w:rsidR="00246144">
        <w:rPr>
          <w:rFonts w:eastAsia="Calibri"/>
        </w:rPr>
        <w:t xml:space="preserve">доходы менее 0,5 медианы доходного распределения по стране в целом), уязвимые (0,5 – 0,75 медианы), медианная группа (0,75 – 1,25 медианы), </w:t>
      </w:r>
      <w:r w:rsidR="0043343B">
        <w:rPr>
          <w:rFonts w:eastAsia="Calibri"/>
        </w:rPr>
        <w:t>«средний класс»</w:t>
      </w:r>
      <w:r w:rsidR="00845A2C">
        <w:rPr>
          <w:rStyle w:val="a5"/>
          <w:rFonts w:eastAsia="Calibri"/>
        </w:rPr>
        <w:footnoteReference w:id="1"/>
      </w:r>
      <w:r w:rsidR="00246144">
        <w:rPr>
          <w:rFonts w:eastAsia="Calibri"/>
        </w:rPr>
        <w:t xml:space="preserve"> (1,25 -2 медианы) и высокодоходные (более 2 медиан доходного распределения). Для учета экономии от масштаба </w:t>
      </w:r>
      <w:r w:rsidR="0043343B">
        <w:rPr>
          <w:rFonts w:eastAsia="Calibri"/>
        </w:rPr>
        <w:t xml:space="preserve">при расчете </w:t>
      </w:r>
      <w:r w:rsidR="003F18BC">
        <w:rPr>
          <w:rFonts w:eastAsia="Calibri"/>
        </w:rPr>
        <w:t xml:space="preserve">среднедушевых </w:t>
      </w:r>
      <w:r w:rsidR="0043343B">
        <w:rPr>
          <w:rFonts w:eastAsia="Calibri"/>
        </w:rPr>
        <w:t xml:space="preserve">доходов </w:t>
      </w:r>
      <w:r w:rsidR="00246144">
        <w:rPr>
          <w:rFonts w:eastAsia="Calibri"/>
        </w:rPr>
        <w:t>была использована шкала эквивалентно</w:t>
      </w:r>
      <w:r w:rsidR="0043343B">
        <w:rPr>
          <w:rFonts w:eastAsia="Calibri"/>
        </w:rPr>
        <w:t xml:space="preserve">сти, применяющаяся </w:t>
      </w:r>
      <w:proofErr w:type="spellStart"/>
      <w:r w:rsidR="0043343B">
        <w:rPr>
          <w:rFonts w:eastAsia="Calibri"/>
        </w:rPr>
        <w:t>Евростатом</w:t>
      </w:r>
      <w:proofErr w:type="spellEnd"/>
      <w:r w:rsidR="0043343B">
        <w:rPr>
          <w:rFonts w:eastAsia="Calibri"/>
        </w:rPr>
        <w:t xml:space="preserve"> (модифицированная шкала ОЭСР), согласно которой первый взрослый индивид</w:t>
      </w:r>
      <w:r w:rsidR="00E064C6">
        <w:rPr>
          <w:rFonts w:eastAsia="Calibri"/>
        </w:rPr>
        <w:t xml:space="preserve"> (старше 14 лет)</w:t>
      </w:r>
      <w:r w:rsidR="0043343B">
        <w:rPr>
          <w:rFonts w:eastAsia="Calibri"/>
        </w:rPr>
        <w:t xml:space="preserve"> в домохозяйстве получает вес, ра</w:t>
      </w:r>
      <w:r w:rsidR="00751D36">
        <w:rPr>
          <w:rFonts w:eastAsia="Calibri"/>
        </w:rPr>
        <w:t>в</w:t>
      </w:r>
      <w:r w:rsidR="0043343B">
        <w:rPr>
          <w:rFonts w:eastAsia="Calibri"/>
        </w:rPr>
        <w:t>ный 1, каждый последующий взрослый – 0,5, а ребенок</w:t>
      </w:r>
      <w:r w:rsidR="00845A2C">
        <w:rPr>
          <w:rFonts w:eastAsia="Calibri"/>
        </w:rPr>
        <w:t xml:space="preserve"> до 14 лет</w:t>
      </w:r>
      <w:r w:rsidR="0043343B">
        <w:rPr>
          <w:rFonts w:eastAsia="Calibri"/>
        </w:rPr>
        <w:t xml:space="preserve"> – 0,3. </w:t>
      </w:r>
    </w:p>
    <w:p w14:paraId="7D77ED4A" w14:textId="0E4A12C0" w:rsidR="00293E61" w:rsidRDefault="0043343B" w:rsidP="00F145C8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lastRenderedPageBreak/>
        <w:t>Модель доходной стратификации, построенная н</w:t>
      </w:r>
      <w:r w:rsidR="00751D36">
        <w:rPr>
          <w:rFonts w:eastAsia="Calibri"/>
        </w:rPr>
        <w:t>а основании разработанного подх</w:t>
      </w:r>
      <w:r>
        <w:rPr>
          <w:rFonts w:eastAsia="Calibri"/>
        </w:rPr>
        <w:t xml:space="preserve">ода, характеризовалась доминированием </w:t>
      </w:r>
      <w:r w:rsidR="00751D36">
        <w:rPr>
          <w:rFonts w:eastAsia="Calibri"/>
        </w:rPr>
        <w:t>средне</w:t>
      </w:r>
      <w:r w:rsidR="00845A2C">
        <w:rPr>
          <w:rFonts w:eastAsia="Calibri"/>
        </w:rPr>
        <w:t>доходных слоев</w:t>
      </w:r>
      <w:r>
        <w:rPr>
          <w:rFonts w:eastAsia="Calibri"/>
        </w:rPr>
        <w:t xml:space="preserve"> населения (медианной группы и «среднего класса»). Однако нижняя </w:t>
      </w:r>
      <w:r w:rsidR="00845A2C">
        <w:rPr>
          <w:rFonts w:eastAsia="Calibri"/>
        </w:rPr>
        <w:t>их</w:t>
      </w:r>
      <w:r>
        <w:rPr>
          <w:rFonts w:eastAsia="Calibri"/>
        </w:rPr>
        <w:t xml:space="preserve"> подгруппа численно доминировала над верхней</w:t>
      </w:r>
      <w:r w:rsidR="00845A2C">
        <w:rPr>
          <w:rFonts w:eastAsia="Calibri"/>
        </w:rPr>
        <w:t xml:space="preserve"> (по данным РМЭЗ НИУ ВШЭ 2015 г., медианная группа объединила в себе 37,3% россиян, «средний класс» - 25,7%)</w:t>
      </w:r>
      <w:r w:rsidR="00C7561D">
        <w:rPr>
          <w:rFonts w:eastAsia="Calibri"/>
        </w:rPr>
        <w:t xml:space="preserve">. При использовании не </w:t>
      </w:r>
      <w:proofErr w:type="spellStart"/>
      <w:r w:rsidR="00C7561D">
        <w:rPr>
          <w:rFonts w:eastAsia="Calibri"/>
        </w:rPr>
        <w:t>общестрановой</w:t>
      </w:r>
      <w:proofErr w:type="spellEnd"/>
      <w:r w:rsidR="00C7561D">
        <w:rPr>
          <w:rFonts w:eastAsia="Calibri"/>
        </w:rPr>
        <w:t xml:space="preserve"> медианы доходов, а медианы по типу поселения или медианы по региону, что позволяет учесть пространственную неравномерность уровня и стоимости жизни, </w:t>
      </w:r>
      <w:r w:rsidR="00293E61">
        <w:rPr>
          <w:rFonts w:eastAsia="Calibri"/>
        </w:rPr>
        <w:t xml:space="preserve">доля среднедоходных слоев оказывалась еще выше (см. таблицу 1). </w:t>
      </w:r>
    </w:p>
    <w:p w14:paraId="5C92A97D" w14:textId="56F19E13" w:rsidR="00293E61" w:rsidRPr="00293E61" w:rsidRDefault="00F145C8" w:rsidP="00293E61">
      <w:pPr>
        <w:pStyle w:val="a6"/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1 - </w:t>
      </w:r>
      <w:r w:rsidR="00293E61" w:rsidRPr="004B25F9">
        <w:rPr>
          <w:rFonts w:ascii="Times New Roman" w:hAnsi="Times New Roman"/>
          <w:b/>
          <w:sz w:val="24"/>
          <w:szCs w:val="24"/>
        </w:rPr>
        <w:t xml:space="preserve">Модель доходной </w:t>
      </w:r>
      <w:r w:rsidR="00293E61">
        <w:rPr>
          <w:rFonts w:ascii="Times New Roman" w:hAnsi="Times New Roman"/>
          <w:b/>
          <w:sz w:val="24"/>
          <w:szCs w:val="24"/>
        </w:rPr>
        <w:t>стратификации</w:t>
      </w:r>
      <w:r w:rsidR="00293E61" w:rsidRPr="004B25F9">
        <w:rPr>
          <w:rFonts w:ascii="Times New Roman" w:hAnsi="Times New Roman"/>
          <w:b/>
          <w:sz w:val="24"/>
          <w:szCs w:val="24"/>
        </w:rPr>
        <w:t xml:space="preserve"> с использованием </w:t>
      </w:r>
      <w:proofErr w:type="spellStart"/>
      <w:r w:rsidR="00293E61">
        <w:rPr>
          <w:rFonts w:ascii="Times New Roman" w:hAnsi="Times New Roman"/>
          <w:b/>
          <w:sz w:val="24"/>
          <w:szCs w:val="24"/>
        </w:rPr>
        <w:t>общестрановой</w:t>
      </w:r>
      <w:proofErr w:type="spellEnd"/>
      <w:r w:rsidR="00293E61">
        <w:rPr>
          <w:rFonts w:ascii="Times New Roman" w:hAnsi="Times New Roman"/>
          <w:b/>
          <w:sz w:val="24"/>
          <w:szCs w:val="24"/>
        </w:rPr>
        <w:t xml:space="preserve">, </w:t>
      </w:r>
      <w:r w:rsidR="00293E61" w:rsidRPr="004B25F9">
        <w:rPr>
          <w:rFonts w:ascii="Times New Roman" w:hAnsi="Times New Roman"/>
          <w:b/>
          <w:sz w:val="24"/>
          <w:szCs w:val="24"/>
        </w:rPr>
        <w:t xml:space="preserve">региональной и поселенческой медиан, данные РМЭЗ – НИУ ВШЭ, 2015 г., % </w:t>
      </w:r>
    </w:p>
    <w:tbl>
      <w:tblPr>
        <w:tblW w:w="9235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7"/>
        <w:gridCol w:w="3261"/>
        <w:gridCol w:w="1417"/>
        <w:gridCol w:w="1134"/>
        <w:gridCol w:w="1276"/>
      </w:tblGrid>
      <w:tr w:rsidR="00293E61" w:rsidRPr="00B8263B" w14:paraId="33E5C4AB" w14:textId="77777777" w:rsidTr="00293E61">
        <w:trPr>
          <w:trHeight w:val="400"/>
        </w:trPr>
        <w:tc>
          <w:tcPr>
            <w:tcW w:w="2147" w:type="dxa"/>
            <w:vMerge w:val="restart"/>
            <w:shd w:val="clear" w:color="auto" w:fill="FFFFFF"/>
            <w:vAlign w:val="center"/>
          </w:tcPr>
          <w:p w14:paraId="5BADF110" w14:textId="2A2B10E5" w:rsidR="00293E61" w:rsidRPr="00293E61" w:rsidRDefault="00293E61" w:rsidP="00293E61">
            <w:pPr>
              <w:ind w:hanging="22"/>
              <w:jc w:val="center"/>
              <w:rPr>
                <w:b/>
                <w:sz w:val="22"/>
                <w:szCs w:val="22"/>
              </w:rPr>
            </w:pPr>
            <w:r w:rsidRPr="00293E61">
              <w:rPr>
                <w:rFonts w:eastAsia="Calibri"/>
                <w:b/>
                <w:sz w:val="22"/>
                <w:szCs w:val="22"/>
              </w:rPr>
              <w:t>Доходные группы</w:t>
            </w:r>
          </w:p>
        </w:tc>
        <w:tc>
          <w:tcPr>
            <w:tcW w:w="3261" w:type="dxa"/>
            <w:vMerge w:val="restart"/>
            <w:shd w:val="clear" w:color="auto" w:fill="FFFFFF"/>
            <w:vAlign w:val="center"/>
          </w:tcPr>
          <w:p w14:paraId="3B05CCE0" w14:textId="78E2CE8B" w:rsidR="00293E61" w:rsidRPr="00293E61" w:rsidRDefault="00293E61" w:rsidP="00293E61">
            <w:pPr>
              <w:ind w:hanging="22"/>
              <w:jc w:val="center"/>
              <w:rPr>
                <w:b/>
                <w:sz w:val="22"/>
                <w:szCs w:val="22"/>
              </w:rPr>
            </w:pPr>
            <w:r w:rsidRPr="00293E61">
              <w:rPr>
                <w:rFonts w:eastAsia="Calibri"/>
                <w:b/>
                <w:sz w:val="22"/>
                <w:szCs w:val="22"/>
              </w:rPr>
              <w:t>Доход домохозяйства относительно медианного (с использованием шкалы эквивалентности ОЭСР)</w:t>
            </w:r>
            <w:r w:rsidRPr="00293E6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</w:tcPr>
          <w:p w14:paraId="689193F3" w14:textId="72AA8324" w:rsidR="00293E61" w:rsidRPr="00293E61" w:rsidRDefault="00293E61" w:rsidP="00293E61">
            <w:pPr>
              <w:ind w:hanging="22"/>
              <w:jc w:val="center"/>
              <w:rPr>
                <w:b/>
                <w:sz w:val="22"/>
                <w:szCs w:val="22"/>
              </w:rPr>
            </w:pPr>
            <w:r w:rsidRPr="00293E61">
              <w:rPr>
                <w:rFonts w:eastAsia="Calibri"/>
                <w:b/>
                <w:sz w:val="22"/>
                <w:szCs w:val="22"/>
              </w:rPr>
              <w:t xml:space="preserve">Тип </w:t>
            </w:r>
            <w:r>
              <w:rPr>
                <w:rFonts w:eastAsia="Calibri"/>
                <w:b/>
                <w:sz w:val="22"/>
                <w:szCs w:val="22"/>
              </w:rPr>
              <w:t xml:space="preserve">используемой </w:t>
            </w:r>
            <w:r w:rsidRPr="00293E61">
              <w:rPr>
                <w:rFonts w:eastAsia="Calibri"/>
                <w:b/>
                <w:sz w:val="22"/>
                <w:szCs w:val="22"/>
              </w:rPr>
              <w:t>медианы доходного распределения</w:t>
            </w:r>
          </w:p>
        </w:tc>
      </w:tr>
      <w:tr w:rsidR="00293E61" w:rsidRPr="00B8263B" w14:paraId="198312EC" w14:textId="77777777" w:rsidTr="00293E61">
        <w:trPr>
          <w:trHeight w:val="701"/>
        </w:trPr>
        <w:tc>
          <w:tcPr>
            <w:tcW w:w="2147" w:type="dxa"/>
            <w:vMerge/>
            <w:shd w:val="clear" w:color="auto" w:fill="FFFFFF"/>
            <w:vAlign w:val="center"/>
          </w:tcPr>
          <w:p w14:paraId="10B6A379" w14:textId="77777777" w:rsidR="00293E61" w:rsidRPr="00293E61" w:rsidRDefault="00293E61" w:rsidP="00293E61">
            <w:pPr>
              <w:ind w:hanging="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FFFFFF"/>
            <w:vAlign w:val="center"/>
          </w:tcPr>
          <w:p w14:paraId="49AA1A25" w14:textId="77777777" w:rsidR="00293E61" w:rsidRPr="00293E61" w:rsidRDefault="00293E61" w:rsidP="00293E61">
            <w:pPr>
              <w:ind w:hanging="2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DB9D855" w14:textId="5B218C41" w:rsidR="00293E61" w:rsidRPr="00293E61" w:rsidRDefault="00293E61" w:rsidP="00293E61">
            <w:pPr>
              <w:ind w:hanging="22"/>
              <w:jc w:val="center"/>
              <w:rPr>
                <w:b/>
                <w:sz w:val="22"/>
                <w:szCs w:val="22"/>
              </w:rPr>
            </w:pPr>
            <w:proofErr w:type="spellStart"/>
            <w:r w:rsidRPr="00293E61">
              <w:rPr>
                <w:rFonts w:eastAsia="Calibri"/>
                <w:b/>
                <w:sz w:val="22"/>
                <w:szCs w:val="22"/>
              </w:rPr>
              <w:t>Общестрановая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14:paraId="7DACF504" w14:textId="6F1A4069" w:rsidR="00293E61" w:rsidRPr="00293E61" w:rsidRDefault="00293E61" w:rsidP="00293E61">
            <w:pPr>
              <w:ind w:hanging="22"/>
              <w:jc w:val="center"/>
              <w:rPr>
                <w:b/>
                <w:sz w:val="22"/>
                <w:szCs w:val="22"/>
              </w:rPr>
            </w:pPr>
            <w:r w:rsidRPr="00293E61">
              <w:rPr>
                <w:rFonts w:eastAsia="Calibri"/>
                <w:b/>
                <w:sz w:val="22"/>
                <w:szCs w:val="22"/>
              </w:rPr>
              <w:t>По типу поселения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F4086DF" w14:textId="118E9F47" w:rsidR="00293E61" w:rsidRPr="00293E61" w:rsidRDefault="00293E61" w:rsidP="00293E61">
            <w:pPr>
              <w:ind w:hanging="22"/>
              <w:jc w:val="center"/>
              <w:rPr>
                <w:b/>
                <w:sz w:val="22"/>
                <w:szCs w:val="22"/>
              </w:rPr>
            </w:pPr>
            <w:r w:rsidRPr="00293E61">
              <w:rPr>
                <w:rFonts w:eastAsia="Calibri"/>
                <w:b/>
                <w:sz w:val="22"/>
                <w:szCs w:val="22"/>
              </w:rPr>
              <w:t>По региону</w:t>
            </w:r>
          </w:p>
        </w:tc>
      </w:tr>
      <w:tr w:rsidR="00293E61" w:rsidRPr="00B8263B" w14:paraId="014764A1" w14:textId="77777777" w:rsidTr="00293E61">
        <w:trPr>
          <w:trHeight w:val="421"/>
        </w:trPr>
        <w:tc>
          <w:tcPr>
            <w:tcW w:w="2147" w:type="dxa"/>
            <w:shd w:val="clear" w:color="auto" w:fill="FFFFFF"/>
            <w:vAlign w:val="center"/>
          </w:tcPr>
          <w:p w14:paraId="5479AF97" w14:textId="1CA64EDC" w:rsidR="00293E61" w:rsidRPr="00293E61" w:rsidRDefault="00293E61" w:rsidP="00293E61">
            <w:pPr>
              <w:ind w:hanging="22"/>
            </w:pPr>
            <w:r w:rsidRPr="00293E61">
              <w:rPr>
                <w:rFonts w:eastAsia="Calibri"/>
              </w:rPr>
              <w:t>Бедные</w:t>
            </w:r>
          </w:p>
        </w:tc>
        <w:tc>
          <w:tcPr>
            <w:tcW w:w="3261" w:type="dxa"/>
            <w:vAlign w:val="center"/>
          </w:tcPr>
          <w:p w14:paraId="5B52151C" w14:textId="61CAD6A4" w:rsidR="00293E61" w:rsidRPr="00293E61" w:rsidRDefault="00293E61" w:rsidP="00293E61">
            <w:pPr>
              <w:ind w:hanging="22"/>
              <w:jc w:val="center"/>
            </w:pPr>
            <w:r w:rsidRPr="00293E61">
              <w:rPr>
                <w:rFonts w:eastAsia="Calibri"/>
              </w:rPr>
              <w:t>Не более</w:t>
            </w:r>
            <w:r w:rsidRPr="00293E61">
              <w:t xml:space="preserve"> 0.5 </w:t>
            </w:r>
            <w:r w:rsidRPr="00293E61">
              <w:rPr>
                <w:rFonts w:eastAsia="Calibri"/>
              </w:rPr>
              <w:t>медианы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700CA88" w14:textId="77777777" w:rsidR="00293E61" w:rsidRPr="00293E61" w:rsidRDefault="00293E61" w:rsidP="00293E61">
            <w:pPr>
              <w:ind w:hanging="22"/>
              <w:jc w:val="center"/>
            </w:pPr>
            <w:r w:rsidRPr="00293E61">
              <w:t>8.6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466AACE" w14:textId="77777777" w:rsidR="00293E61" w:rsidRPr="00293E61" w:rsidRDefault="00293E61" w:rsidP="00293E61">
            <w:pPr>
              <w:ind w:hanging="22"/>
              <w:jc w:val="center"/>
            </w:pPr>
            <w:r w:rsidRPr="00293E61">
              <w:t>7.0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1B39427" w14:textId="77777777" w:rsidR="00293E61" w:rsidRPr="00293E61" w:rsidRDefault="00293E61" w:rsidP="00293E61">
            <w:pPr>
              <w:ind w:hanging="22"/>
              <w:jc w:val="center"/>
            </w:pPr>
            <w:r w:rsidRPr="00293E61">
              <w:t>6.4</w:t>
            </w:r>
          </w:p>
        </w:tc>
      </w:tr>
      <w:tr w:rsidR="00293E61" w:rsidRPr="00B8263B" w14:paraId="3B09ECC9" w14:textId="77777777" w:rsidTr="00293E61">
        <w:trPr>
          <w:trHeight w:val="280"/>
        </w:trPr>
        <w:tc>
          <w:tcPr>
            <w:tcW w:w="2147" w:type="dxa"/>
            <w:shd w:val="clear" w:color="auto" w:fill="FFFFFF"/>
            <w:vAlign w:val="center"/>
          </w:tcPr>
          <w:p w14:paraId="2AEC1A67" w14:textId="3DC7EEFD" w:rsidR="00293E61" w:rsidRPr="00293E61" w:rsidRDefault="00293E61" w:rsidP="00293E61">
            <w:pPr>
              <w:ind w:hanging="22"/>
            </w:pPr>
            <w:r w:rsidRPr="00293E61">
              <w:rPr>
                <w:rFonts w:eastAsia="Calibri"/>
              </w:rPr>
              <w:t>Уязвимые</w:t>
            </w:r>
          </w:p>
        </w:tc>
        <w:tc>
          <w:tcPr>
            <w:tcW w:w="3261" w:type="dxa"/>
            <w:vAlign w:val="center"/>
          </w:tcPr>
          <w:p w14:paraId="3EBDB7D0" w14:textId="77777777" w:rsidR="00293E61" w:rsidRPr="00293E61" w:rsidRDefault="00293E61" w:rsidP="00293E61">
            <w:pPr>
              <w:ind w:hanging="22"/>
              <w:jc w:val="center"/>
            </w:pPr>
            <w:r w:rsidRPr="00293E61">
              <w:t>0.5 - 0.75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F41761A" w14:textId="77777777" w:rsidR="00293E61" w:rsidRPr="00293E61" w:rsidRDefault="00293E61" w:rsidP="00293E61">
            <w:pPr>
              <w:ind w:hanging="22"/>
              <w:jc w:val="center"/>
            </w:pPr>
            <w:r w:rsidRPr="00293E61">
              <w:t>15.5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D5C82D5" w14:textId="77777777" w:rsidR="00293E61" w:rsidRPr="00293E61" w:rsidRDefault="00293E61" w:rsidP="00293E61">
            <w:pPr>
              <w:ind w:hanging="22"/>
              <w:jc w:val="center"/>
            </w:pPr>
            <w:r w:rsidRPr="00293E61">
              <w:t>15.9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11418D8" w14:textId="77777777" w:rsidR="00293E61" w:rsidRPr="00293E61" w:rsidRDefault="00293E61" w:rsidP="00293E61">
            <w:pPr>
              <w:ind w:hanging="22"/>
              <w:jc w:val="center"/>
            </w:pPr>
            <w:r w:rsidRPr="00293E61">
              <w:t>15.3</w:t>
            </w:r>
          </w:p>
        </w:tc>
      </w:tr>
      <w:tr w:rsidR="00293E61" w:rsidRPr="00B8263B" w14:paraId="374768B4" w14:textId="77777777" w:rsidTr="00293E61">
        <w:trPr>
          <w:trHeight w:val="360"/>
        </w:trPr>
        <w:tc>
          <w:tcPr>
            <w:tcW w:w="2147" w:type="dxa"/>
            <w:tcBorders>
              <w:left w:val="single" w:sz="4" w:space="0" w:color="000000"/>
            </w:tcBorders>
            <w:shd w:val="clear" w:color="auto" w:fill="E7E6E6" w:themeFill="background2"/>
            <w:vAlign w:val="center"/>
          </w:tcPr>
          <w:p w14:paraId="06CDBE74" w14:textId="1F217782" w:rsidR="00293E61" w:rsidRPr="00293E61" w:rsidRDefault="00293E61" w:rsidP="00293E61">
            <w:pPr>
              <w:ind w:hanging="22"/>
            </w:pPr>
            <w:r w:rsidRPr="00293E61">
              <w:rPr>
                <w:rFonts w:eastAsia="Calibri"/>
              </w:rPr>
              <w:t>Медианная группа</w:t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14:paraId="1E101D0B" w14:textId="77777777" w:rsidR="00293E61" w:rsidRPr="00293E61" w:rsidRDefault="00293E61" w:rsidP="00293E61">
            <w:pPr>
              <w:ind w:hanging="22"/>
              <w:jc w:val="center"/>
            </w:pPr>
            <w:r w:rsidRPr="00293E61">
              <w:t>0.75 - 1.25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6B36EB9C" w14:textId="77777777" w:rsidR="00293E61" w:rsidRPr="00293E61" w:rsidRDefault="00293E61" w:rsidP="00293E61">
            <w:pPr>
              <w:ind w:hanging="22"/>
              <w:jc w:val="center"/>
            </w:pPr>
            <w:r w:rsidRPr="00293E61">
              <w:t>37.3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4F9BDDA" w14:textId="77777777" w:rsidR="00293E61" w:rsidRPr="00293E61" w:rsidRDefault="00293E61" w:rsidP="00293E61">
            <w:pPr>
              <w:ind w:hanging="22"/>
              <w:jc w:val="center"/>
            </w:pPr>
            <w:r w:rsidRPr="00293E61">
              <w:t>39.4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BF52989" w14:textId="77777777" w:rsidR="00293E61" w:rsidRPr="00293E61" w:rsidRDefault="00293E61" w:rsidP="00293E61">
            <w:pPr>
              <w:ind w:hanging="22"/>
              <w:jc w:val="center"/>
            </w:pPr>
            <w:r w:rsidRPr="00293E61">
              <w:t>42.4</w:t>
            </w:r>
          </w:p>
        </w:tc>
      </w:tr>
      <w:tr w:rsidR="00293E61" w:rsidRPr="00B8263B" w14:paraId="4CE1B9A5" w14:textId="77777777" w:rsidTr="00293E61">
        <w:trPr>
          <w:trHeight w:val="280"/>
        </w:trPr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98885A6" w14:textId="2B1B7639" w:rsidR="00293E61" w:rsidRPr="00293E61" w:rsidRDefault="00293E61" w:rsidP="00293E61">
            <w:pPr>
              <w:ind w:hanging="22"/>
            </w:pPr>
            <w:r w:rsidRPr="00293E61">
              <w:rPr>
                <w:rFonts w:eastAsia="Calibri"/>
              </w:rPr>
              <w:t>“Средний класс”</w:t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14:paraId="157C1D5B" w14:textId="77777777" w:rsidR="00293E61" w:rsidRPr="00293E61" w:rsidRDefault="00293E61" w:rsidP="00293E61">
            <w:pPr>
              <w:ind w:hanging="22"/>
              <w:jc w:val="center"/>
            </w:pPr>
            <w:r w:rsidRPr="00293E61">
              <w:t>1.25 - 2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557EDCB0" w14:textId="77777777" w:rsidR="00293E61" w:rsidRPr="00293E61" w:rsidRDefault="00293E61" w:rsidP="00293E61">
            <w:pPr>
              <w:ind w:hanging="22"/>
              <w:jc w:val="center"/>
            </w:pPr>
            <w:r w:rsidRPr="00293E61">
              <w:t>25.7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EE5215A" w14:textId="77777777" w:rsidR="00293E61" w:rsidRPr="00293E61" w:rsidRDefault="00293E61" w:rsidP="00293E61">
            <w:pPr>
              <w:ind w:hanging="22"/>
              <w:jc w:val="center"/>
            </w:pPr>
            <w:r w:rsidRPr="00293E61">
              <w:t>26.4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373D7C99" w14:textId="77777777" w:rsidR="00293E61" w:rsidRPr="00293E61" w:rsidRDefault="00293E61" w:rsidP="00293E61">
            <w:pPr>
              <w:ind w:hanging="22"/>
              <w:jc w:val="center"/>
            </w:pPr>
            <w:r w:rsidRPr="00293E61">
              <w:t>27.2</w:t>
            </w:r>
          </w:p>
        </w:tc>
      </w:tr>
      <w:tr w:rsidR="00293E61" w:rsidRPr="00B8263B" w14:paraId="2CE238A9" w14:textId="77777777" w:rsidTr="00293E61">
        <w:trPr>
          <w:trHeight w:val="340"/>
        </w:trPr>
        <w:tc>
          <w:tcPr>
            <w:tcW w:w="2147" w:type="dxa"/>
            <w:shd w:val="clear" w:color="auto" w:fill="FFFFFF"/>
            <w:vAlign w:val="center"/>
          </w:tcPr>
          <w:p w14:paraId="0A9BD466" w14:textId="61F27550" w:rsidR="00293E61" w:rsidRPr="00293E61" w:rsidRDefault="00293E61" w:rsidP="00293E61">
            <w:pPr>
              <w:ind w:hanging="22"/>
            </w:pPr>
            <w:r w:rsidRPr="00293E61">
              <w:rPr>
                <w:rFonts w:eastAsia="Calibri"/>
              </w:rPr>
              <w:t>Высокодоходные</w:t>
            </w:r>
          </w:p>
        </w:tc>
        <w:tc>
          <w:tcPr>
            <w:tcW w:w="3261" w:type="dxa"/>
            <w:vAlign w:val="center"/>
          </w:tcPr>
          <w:p w14:paraId="172FFE49" w14:textId="61A3C9F2" w:rsidR="00293E61" w:rsidRPr="00293E61" w:rsidRDefault="00293E61" w:rsidP="00293E61">
            <w:pPr>
              <w:ind w:hanging="22"/>
              <w:jc w:val="center"/>
            </w:pPr>
            <w:r w:rsidRPr="00293E61">
              <w:rPr>
                <w:rFonts w:eastAsia="Calibri"/>
              </w:rPr>
              <w:t>Более</w:t>
            </w:r>
            <w:r w:rsidRPr="00293E61">
              <w:t xml:space="preserve"> 2 </w:t>
            </w:r>
            <w:r w:rsidRPr="00293E61">
              <w:rPr>
                <w:rFonts w:eastAsia="Calibri"/>
              </w:rPr>
              <w:t>медиан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73AF6F6" w14:textId="77777777" w:rsidR="00293E61" w:rsidRPr="00293E61" w:rsidRDefault="00293E61" w:rsidP="00293E61">
            <w:pPr>
              <w:ind w:hanging="22"/>
              <w:jc w:val="center"/>
            </w:pPr>
            <w:r w:rsidRPr="00293E61">
              <w:t>12.9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20F6F0" w14:textId="77777777" w:rsidR="00293E61" w:rsidRPr="00293E61" w:rsidRDefault="00293E61" w:rsidP="00293E61">
            <w:pPr>
              <w:ind w:hanging="22"/>
              <w:jc w:val="center"/>
            </w:pPr>
            <w:r w:rsidRPr="00293E61">
              <w:t>11.3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7AE182D" w14:textId="77777777" w:rsidR="00293E61" w:rsidRPr="00293E61" w:rsidRDefault="00293E61" w:rsidP="00293E61">
            <w:pPr>
              <w:ind w:hanging="22"/>
              <w:jc w:val="center"/>
            </w:pPr>
            <w:r w:rsidRPr="00293E61">
              <w:t>8.6</w:t>
            </w:r>
          </w:p>
        </w:tc>
      </w:tr>
    </w:tbl>
    <w:p w14:paraId="4935590D" w14:textId="77777777" w:rsidR="00C7561D" w:rsidRDefault="00C7561D" w:rsidP="00BE28D0">
      <w:pPr>
        <w:spacing w:line="360" w:lineRule="auto"/>
        <w:ind w:firstLine="708"/>
        <w:jc w:val="both"/>
        <w:rPr>
          <w:rFonts w:eastAsia="Calibri"/>
        </w:rPr>
      </w:pPr>
    </w:p>
    <w:p w14:paraId="24ED4E13" w14:textId="626B5CA6" w:rsidR="00F145C8" w:rsidRPr="00F145C8" w:rsidRDefault="00293E61" w:rsidP="00F145C8">
      <w:pPr>
        <w:spacing w:line="360" w:lineRule="auto"/>
        <w:ind w:firstLine="708"/>
        <w:jc w:val="both"/>
        <w:rPr>
          <w:rFonts w:eastAsia="Calibri"/>
        </w:rPr>
      </w:pPr>
      <w:r w:rsidRPr="00F145C8">
        <w:rPr>
          <w:rFonts w:eastAsia="Calibri"/>
        </w:rPr>
        <w:t>Однако</w:t>
      </w:r>
      <w:r w:rsidR="0043343B" w:rsidRPr="00F145C8">
        <w:rPr>
          <w:rFonts w:eastAsia="Calibri"/>
        </w:rPr>
        <w:t xml:space="preserve"> </w:t>
      </w:r>
      <w:r w:rsidR="00F145C8" w:rsidRPr="00F145C8">
        <w:rPr>
          <w:rFonts w:eastAsia="Calibri"/>
        </w:rPr>
        <w:t>тот стандарт жизни, который демонстрирует медианная группа и который в силу методики ее определения является типичным для населения страны в целом, можно охарактеризовать как достаточно скромный – доля удовлетворенных своим материальным положением составляет в ней только 1/5; возможности качественного улучшения потребительского аспекта своей жизни для ее представителей практически недоступны, а запас прочности невысок – сколь-либо значимый объем сбережений имеют среди них менее четверти. С другой стороны, стандарт жизни этой группы населения, как и стандарт жизни бедных и уязвимых в российском обществе – это далеко уже не стандарт выживания. Так, даже среди бедных подавляющее большинство имеет собственные мобильные телефоны, более 60% имеют в домохозяйстве стиральные машины, более половины - компьютеры, и более трети – автомобили; треть представителей этой группы может оплатить дополнительные образовательные услуги для детей</w:t>
      </w:r>
      <w:r w:rsidR="00F145C8">
        <w:rPr>
          <w:rFonts w:eastAsia="Calibri"/>
        </w:rPr>
        <w:t xml:space="preserve"> (см. таблицу 2)</w:t>
      </w:r>
      <w:r w:rsidR="00F145C8" w:rsidRPr="00F145C8">
        <w:rPr>
          <w:rFonts w:eastAsia="Calibri"/>
        </w:rPr>
        <w:t xml:space="preserve">. </w:t>
      </w:r>
    </w:p>
    <w:p w14:paraId="27B890D9" w14:textId="40F16C08" w:rsidR="00F145C8" w:rsidRPr="00F145C8" w:rsidRDefault="003F18BC" w:rsidP="00F145C8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Только начиная со </w:t>
      </w:r>
      <w:r w:rsidR="00845A2C">
        <w:rPr>
          <w:rFonts w:eastAsia="Calibri"/>
        </w:rPr>
        <w:t>«среднего класса</w:t>
      </w:r>
      <w:r>
        <w:rPr>
          <w:rFonts w:eastAsia="Calibri"/>
        </w:rPr>
        <w:t>»</w:t>
      </w:r>
      <w:r w:rsidR="00845A2C">
        <w:rPr>
          <w:rFonts w:eastAsia="Calibri"/>
        </w:rPr>
        <w:t xml:space="preserve">, </w:t>
      </w:r>
      <w:r>
        <w:rPr>
          <w:rFonts w:eastAsia="Calibri"/>
        </w:rPr>
        <w:t xml:space="preserve">россиянам </w:t>
      </w:r>
      <w:r w:rsidR="00845A2C">
        <w:rPr>
          <w:rFonts w:eastAsia="Calibri"/>
        </w:rPr>
        <w:t>становится доступным стилевое потребление, выбор той или иной потребительской модели направления расходования свободных средств после удовл</w:t>
      </w:r>
      <w:r w:rsidR="00FF52FA">
        <w:rPr>
          <w:rFonts w:eastAsia="Calibri"/>
        </w:rPr>
        <w:t>етворения б</w:t>
      </w:r>
      <w:r w:rsidR="00B76BDC">
        <w:rPr>
          <w:rFonts w:eastAsia="Calibri"/>
        </w:rPr>
        <w:t>азовых потребностей, возможность</w:t>
      </w:r>
      <w:r w:rsidR="00FF52FA">
        <w:rPr>
          <w:rFonts w:eastAsia="Calibri"/>
        </w:rPr>
        <w:t xml:space="preserve"> формирования «подушки безопасности» и пр.</w:t>
      </w:r>
      <w:r w:rsidR="00F145C8">
        <w:rPr>
          <w:rFonts w:eastAsia="Calibri"/>
        </w:rPr>
        <w:t xml:space="preserve"> В частности, это </w:t>
      </w:r>
      <w:r w:rsidR="00F145C8" w:rsidRPr="00F145C8">
        <w:rPr>
          <w:rFonts w:eastAsia="Calibri"/>
        </w:rPr>
        <w:t xml:space="preserve">проявляется в наличии у них относительно редких товаров длительного пользования (смартфонов, планшетов) и </w:t>
      </w:r>
      <w:r w:rsidR="00F145C8" w:rsidRPr="00F145C8">
        <w:rPr>
          <w:rFonts w:eastAsia="Calibri"/>
        </w:rPr>
        <w:lastRenderedPageBreak/>
        <w:t>потребительских возможностей, не свойственных в целом российскому населению – осуществление круп</w:t>
      </w:r>
      <w:r w:rsidR="00F145C8">
        <w:rPr>
          <w:rFonts w:eastAsia="Calibri"/>
        </w:rPr>
        <w:t>ных покупок, отпуск за границей (см. таблицу 2).</w:t>
      </w:r>
      <w:r w:rsidR="00F145C8" w:rsidRPr="00F145C8">
        <w:rPr>
          <w:rFonts w:eastAsia="Calibri"/>
        </w:rPr>
        <w:t xml:space="preserve">  </w:t>
      </w:r>
    </w:p>
    <w:p w14:paraId="5255CDE5" w14:textId="435606F9" w:rsidR="00F145C8" w:rsidRPr="00F145C8" w:rsidRDefault="00F145C8" w:rsidP="00F145C8">
      <w:pPr>
        <w:pStyle w:val="a6"/>
        <w:spacing w:before="0" w:beforeAutospacing="0" w:after="0" w:afterAutospacing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45C8">
        <w:rPr>
          <w:rFonts w:ascii="Times New Roman" w:hAnsi="Times New Roman"/>
          <w:b/>
          <w:color w:val="000000" w:themeColor="text1"/>
          <w:sz w:val="24"/>
          <w:szCs w:val="24"/>
        </w:rPr>
        <w:t>Таблица 2 – Некоторые характеристики уровня жизни среднедоходных слоев на фоне других доходных групп,  данные РМЭЗ – НИУ ВШЭ, 2015 г., %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480"/>
        <w:gridCol w:w="899"/>
        <w:gridCol w:w="1156"/>
        <w:gridCol w:w="1249"/>
        <w:gridCol w:w="1008"/>
        <w:gridCol w:w="1773"/>
      </w:tblGrid>
      <w:tr w:rsidR="00BF30F6" w:rsidRPr="00BF30F6" w14:paraId="52A88F73" w14:textId="77777777" w:rsidTr="00BF30F6">
        <w:tc>
          <w:tcPr>
            <w:tcW w:w="2547" w:type="pct"/>
            <w:vMerge w:val="restart"/>
            <w:vAlign w:val="center"/>
          </w:tcPr>
          <w:p w14:paraId="40C8A275" w14:textId="4A889F21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F30F6">
              <w:rPr>
                <w:b/>
                <w:bCs/>
                <w:color w:val="000000" w:themeColor="text1"/>
              </w:rPr>
              <w:t>Аспекты уровня жизни</w:t>
            </w:r>
          </w:p>
        </w:tc>
        <w:tc>
          <w:tcPr>
            <w:tcW w:w="2453" w:type="pct"/>
            <w:gridSpan w:val="5"/>
            <w:vAlign w:val="center"/>
          </w:tcPr>
          <w:p w14:paraId="6C0D3B4B" w14:textId="16A14162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F30F6">
              <w:rPr>
                <w:b/>
                <w:bCs/>
                <w:color w:val="000000" w:themeColor="text1"/>
              </w:rPr>
              <w:t>Доходные группы</w:t>
            </w:r>
          </w:p>
        </w:tc>
      </w:tr>
      <w:tr w:rsidR="00BF30F6" w:rsidRPr="00BF30F6" w14:paraId="5E17B6CD" w14:textId="77777777" w:rsidTr="00BF30F6">
        <w:tc>
          <w:tcPr>
            <w:tcW w:w="2547" w:type="pct"/>
            <w:vMerge/>
          </w:tcPr>
          <w:p w14:paraId="27941B80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490" w:type="pct"/>
            <w:vAlign w:val="center"/>
          </w:tcPr>
          <w:p w14:paraId="77EFC67A" w14:textId="46A36E85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F30F6">
              <w:rPr>
                <w:rFonts w:eastAsia="Helvetica"/>
                <w:b/>
                <w:bCs/>
                <w:color w:val="000000" w:themeColor="text1"/>
              </w:rPr>
              <w:t>Бедные</w:t>
            </w:r>
          </w:p>
        </w:tc>
        <w:tc>
          <w:tcPr>
            <w:tcW w:w="490" w:type="pct"/>
            <w:vAlign w:val="center"/>
          </w:tcPr>
          <w:p w14:paraId="449E3360" w14:textId="01DFD0FA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F30F6">
              <w:rPr>
                <w:rFonts w:eastAsia="Helvetica"/>
                <w:b/>
                <w:bCs/>
                <w:color w:val="000000" w:themeColor="text1"/>
              </w:rPr>
              <w:t>Уязвимые</w:t>
            </w:r>
          </w:p>
        </w:tc>
        <w:tc>
          <w:tcPr>
            <w:tcW w:w="491" w:type="pct"/>
            <w:shd w:val="clear" w:color="auto" w:fill="E7E6E6" w:themeFill="background2"/>
            <w:vAlign w:val="center"/>
          </w:tcPr>
          <w:p w14:paraId="0425C9DD" w14:textId="55225869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F30F6">
              <w:rPr>
                <w:rFonts w:eastAsia="Helvetica"/>
                <w:b/>
                <w:bCs/>
                <w:color w:val="000000" w:themeColor="text1"/>
              </w:rPr>
              <w:t>Медианная группа</w:t>
            </w:r>
          </w:p>
        </w:tc>
        <w:tc>
          <w:tcPr>
            <w:tcW w:w="490" w:type="pct"/>
            <w:shd w:val="clear" w:color="auto" w:fill="E7E6E6" w:themeFill="background2"/>
            <w:vAlign w:val="center"/>
          </w:tcPr>
          <w:p w14:paraId="38BDCA8C" w14:textId="5B713F4F" w:rsidR="00F145C8" w:rsidRPr="00BF30F6" w:rsidRDefault="00F145C8" w:rsidP="00F145C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F30F6">
              <w:rPr>
                <w:rFonts w:eastAsia="Helvetica"/>
                <w:b/>
                <w:bCs/>
                <w:color w:val="000000" w:themeColor="text1"/>
              </w:rPr>
              <w:t>Средний класс</w:t>
            </w:r>
          </w:p>
        </w:tc>
        <w:tc>
          <w:tcPr>
            <w:tcW w:w="491" w:type="pct"/>
            <w:vAlign w:val="center"/>
          </w:tcPr>
          <w:p w14:paraId="64103D97" w14:textId="0EDEC759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F30F6">
              <w:rPr>
                <w:rFonts w:eastAsia="Helvetica"/>
                <w:b/>
                <w:bCs/>
                <w:color w:val="000000" w:themeColor="text1"/>
              </w:rPr>
              <w:t>Высокодохо</w:t>
            </w:r>
            <w:r w:rsidR="00BF30F6" w:rsidRPr="00BF30F6">
              <w:rPr>
                <w:rFonts w:eastAsia="Helvetica"/>
                <w:b/>
                <w:bCs/>
                <w:color w:val="000000" w:themeColor="text1"/>
              </w:rPr>
              <w:t>дные</w:t>
            </w:r>
          </w:p>
        </w:tc>
      </w:tr>
      <w:tr w:rsidR="00BF30F6" w:rsidRPr="00BF30F6" w14:paraId="1E2FF7C1" w14:textId="77777777" w:rsidTr="00BF30F6">
        <w:tc>
          <w:tcPr>
            <w:tcW w:w="5000" w:type="pct"/>
            <w:gridSpan w:val="6"/>
          </w:tcPr>
          <w:p w14:paraId="4ECCB45B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Удовлетворенность материальным положением</w:t>
            </w:r>
          </w:p>
        </w:tc>
      </w:tr>
      <w:tr w:rsidR="00BF30F6" w:rsidRPr="00BF30F6" w14:paraId="50F19FF8" w14:textId="77777777" w:rsidTr="00BF30F6">
        <w:tc>
          <w:tcPr>
            <w:tcW w:w="2547" w:type="pct"/>
          </w:tcPr>
          <w:p w14:paraId="314061C9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Полностью или скорее удовлетворены материальным положением</w:t>
            </w:r>
          </w:p>
        </w:tc>
        <w:tc>
          <w:tcPr>
            <w:tcW w:w="490" w:type="pct"/>
            <w:vAlign w:val="center"/>
          </w:tcPr>
          <w:p w14:paraId="0DF4181E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15.8</w:t>
            </w:r>
          </w:p>
        </w:tc>
        <w:tc>
          <w:tcPr>
            <w:tcW w:w="490" w:type="pct"/>
            <w:vAlign w:val="center"/>
          </w:tcPr>
          <w:p w14:paraId="684DDDEF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17.7</w:t>
            </w:r>
          </w:p>
        </w:tc>
        <w:tc>
          <w:tcPr>
            <w:tcW w:w="491" w:type="pct"/>
            <w:shd w:val="clear" w:color="auto" w:fill="E7E6E6" w:themeFill="background2"/>
            <w:vAlign w:val="center"/>
          </w:tcPr>
          <w:p w14:paraId="0E480C05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20.8</w:t>
            </w:r>
          </w:p>
        </w:tc>
        <w:tc>
          <w:tcPr>
            <w:tcW w:w="490" w:type="pct"/>
            <w:shd w:val="clear" w:color="auto" w:fill="E7E6E6" w:themeFill="background2"/>
            <w:vAlign w:val="center"/>
          </w:tcPr>
          <w:p w14:paraId="7D01C865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26.1</w:t>
            </w:r>
          </w:p>
        </w:tc>
        <w:tc>
          <w:tcPr>
            <w:tcW w:w="491" w:type="pct"/>
            <w:vAlign w:val="center"/>
          </w:tcPr>
          <w:p w14:paraId="4871CDD1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30.3</w:t>
            </w:r>
          </w:p>
        </w:tc>
      </w:tr>
      <w:tr w:rsidR="00BF30F6" w:rsidRPr="00BF30F6" w14:paraId="11AFF269" w14:textId="77777777" w:rsidTr="00BF30F6">
        <w:tc>
          <w:tcPr>
            <w:tcW w:w="2547" w:type="pct"/>
          </w:tcPr>
          <w:p w14:paraId="6092CD26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 испытывают беспокойства по поводу возможности обеспечивать себя самым необходимым в ближайшие 12 месяцев</w:t>
            </w:r>
          </w:p>
        </w:tc>
        <w:tc>
          <w:tcPr>
            <w:tcW w:w="490" w:type="pct"/>
            <w:vAlign w:val="center"/>
          </w:tcPr>
          <w:p w14:paraId="7AD525C2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12.9</w:t>
            </w:r>
          </w:p>
        </w:tc>
        <w:tc>
          <w:tcPr>
            <w:tcW w:w="490" w:type="pct"/>
            <w:vAlign w:val="center"/>
          </w:tcPr>
          <w:p w14:paraId="5E168673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17.9</w:t>
            </w:r>
          </w:p>
        </w:tc>
        <w:tc>
          <w:tcPr>
            <w:tcW w:w="491" w:type="pct"/>
            <w:shd w:val="clear" w:color="auto" w:fill="E7E6E6" w:themeFill="background2"/>
            <w:vAlign w:val="center"/>
          </w:tcPr>
          <w:p w14:paraId="2130D71A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16.6</w:t>
            </w:r>
          </w:p>
        </w:tc>
        <w:tc>
          <w:tcPr>
            <w:tcW w:w="490" w:type="pct"/>
            <w:shd w:val="clear" w:color="auto" w:fill="E7E6E6" w:themeFill="background2"/>
            <w:vAlign w:val="center"/>
          </w:tcPr>
          <w:p w14:paraId="69B8B471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20.8</w:t>
            </w:r>
          </w:p>
        </w:tc>
        <w:tc>
          <w:tcPr>
            <w:tcW w:w="491" w:type="pct"/>
            <w:vAlign w:val="center"/>
          </w:tcPr>
          <w:p w14:paraId="6DEF5580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31.0</w:t>
            </w:r>
          </w:p>
        </w:tc>
      </w:tr>
      <w:tr w:rsidR="00BF30F6" w:rsidRPr="00BF30F6" w14:paraId="026909F5" w14:textId="77777777" w:rsidTr="00BF30F6">
        <w:trPr>
          <w:trHeight w:val="282"/>
        </w:trPr>
        <w:tc>
          <w:tcPr>
            <w:tcW w:w="5000" w:type="pct"/>
            <w:gridSpan w:val="6"/>
          </w:tcPr>
          <w:p w14:paraId="25F350A1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Потребительские возможности</w:t>
            </w:r>
          </w:p>
        </w:tc>
      </w:tr>
      <w:tr w:rsidR="00BF30F6" w:rsidRPr="00BF30F6" w14:paraId="16EA785F" w14:textId="77777777" w:rsidTr="00BF30F6">
        <w:trPr>
          <w:trHeight w:val="408"/>
        </w:trPr>
        <w:tc>
          <w:tcPr>
            <w:tcW w:w="2547" w:type="pct"/>
          </w:tcPr>
          <w:p w14:paraId="12AFAAD6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Имеют возможность при желании улучшить жилищные условия</w:t>
            </w:r>
          </w:p>
        </w:tc>
        <w:tc>
          <w:tcPr>
            <w:tcW w:w="490" w:type="pct"/>
            <w:vAlign w:val="center"/>
          </w:tcPr>
          <w:p w14:paraId="78399B5F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3.0</w:t>
            </w:r>
          </w:p>
        </w:tc>
        <w:tc>
          <w:tcPr>
            <w:tcW w:w="490" w:type="pct"/>
            <w:vAlign w:val="center"/>
          </w:tcPr>
          <w:p w14:paraId="550A953B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4.0</w:t>
            </w:r>
          </w:p>
        </w:tc>
        <w:tc>
          <w:tcPr>
            <w:tcW w:w="491" w:type="pct"/>
            <w:shd w:val="clear" w:color="auto" w:fill="E7E6E6" w:themeFill="background2"/>
            <w:vAlign w:val="center"/>
          </w:tcPr>
          <w:p w14:paraId="120BCCE2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4.0</w:t>
            </w:r>
          </w:p>
        </w:tc>
        <w:tc>
          <w:tcPr>
            <w:tcW w:w="490" w:type="pct"/>
            <w:shd w:val="clear" w:color="auto" w:fill="E7E6E6" w:themeFill="background2"/>
            <w:vAlign w:val="center"/>
          </w:tcPr>
          <w:p w14:paraId="69BFA269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9.2</w:t>
            </w:r>
          </w:p>
        </w:tc>
        <w:tc>
          <w:tcPr>
            <w:tcW w:w="491" w:type="pct"/>
            <w:vAlign w:val="center"/>
          </w:tcPr>
          <w:p w14:paraId="77C68BB4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15.4</w:t>
            </w:r>
          </w:p>
        </w:tc>
      </w:tr>
      <w:tr w:rsidR="00BF30F6" w:rsidRPr="00BF30F6" w14:paraId="5933F341" w14:textId="77777777" w:rsidTr="00BF30F6">
        <w:tc>
          <w:tcPr>
            <w:tcW w:w="2547" w:type="pct"/>
          </w:tcPr>
          <w:p w14:paraId="3C189147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Имеют возможность при желании откладывать деньги на крупные покупки</w:t>
            </w:r>
          </w:p>
        </w:tc>
        <w:tc>
          <w:tcPr>
            <w:tcW w:w="490" w:type="pct"/>
            <w:vAlign w:val="center"/>
          </w:tcPr>
          <w:p w14:paraId="158A368C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3.1</w:t>
            </w:r>
          </w:p>
        </w:tc>
        <w:tc>
          <w:tcPr>
            <w:tcW w:w="490" w:type="pct"/>
            <w:vAlign w:val="center"/>
          </w:tcPr>
          <w:p w14:paraId="725B65F5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5.0</w:t>
            </w:r>
          </w:p>
        </w:tc>
        <w:tc>
          <w:tcPr>
            <w:tcW w:w="491" w:type="pct"/>
            <w:shd w:val="clear" w:color="auto" w:fill="E7E6E6" w:themeFill="background2"/>
            <w:vAlign w:val="center"/>
          </w:tcPr>
          <w:p w14:paraId="376364AF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8.9</w:t>
            </w:r>
          </w:p>
        </w:tc>
        <w:tc>
          <w:tcPr>
            <w:tcW w:w="490" w:type="pct"/>
            <w:shd w:val="clear" w:color="auto" w:fill="E7E6E6" w:themeFill="background2"/>
            <w:vAlign w:val="center"/>
          </w:tcPr>
          <w:p w14:paraId="7B1A7100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23.6</w:t>
            </w:r>
          </w:p>
        </w:tc>
        <w:tc>
          <w:tcPr>
            <w:tcW w:w="491" w:type="pct"/>
            <w:vAlign w:val="center"/>
          </w:tcPr>
          <w:p w14:paraId="406E0EA0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36.8</w:t>
            </w:r>
          </w:p>
        </w:tc>
      </w:tr>
      <w:tr w:rsidR="00BF30F6" w:rsidRPr="00BF30F6" w14:paraId="168319E0" w14:textId="77777777" w:rsidTr="00BF30F6">
        <w:tc>
          <w:tcPr>
            <w:tcW w:w="2547" w:type="pct"/>
          </w:tcPr>
          <w:p w14:paraId="3907EA5E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Имеют возможность при желании провести всей семьей отпуск за границей</w:t>
            </w:r>
          </w:p>
        </w:tc>
        <w:tc>
          <w:tcPr>
            <w:tcW w:w="490" w:type="pct"/>
            <w:vAlign w:val="center"/>
          </w:tcPr>
          <w:p w14:paraId="7FB6E53F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1.7</w:t>
            </w:r>
          </w:p>
        </w:tc>
        <w:tc>
          <w:tcPr>
            <w:tcW w:w="490" w:type="pct"/>
            <w:vAlign w:val="center"/>
          </w:tcPr>
          <w:p w14:paraId="26859E92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3.1</w:t>
            </w:r>
          </w:p>
        </w:tc>
        <w:tc>
          <w:tcPr>
            <w:tcW w:w="491" w:type="pct"/>
            <w:shd w:val="clear" w:color="auto" w:fill="E7E6E6" w:themeFill="background2"/>
            <w:vAlign w:val="center"/>
          </w:tcPr>
          <w:p w14:paraId="6F21041A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6.4</w:t>
            </w:r>
          </w:p>
        </w:tc>
        <w:tc>
          <w:tcPr>
            <w:tcW w:w="490" w:type="pct"/>
            <w:shd w:val="clear" w:color="auto" w:fill="E7E6E6" w:themeFill="background2"/>
            <w:vAlign w:val="center"/>
          </w:tcPr>
          <w:p w14:paraId="60A75B12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20.1</w:t>
            </w:r>
          </w:p>
        </w:tc>
        <w:tc>
          <w:tcPr>
            <w:tcW w:w="491" w:type="pct"/>
            <w:vAlign w:val="center"/>
          </w:tcPr>
          <w:p w14:paraId="0F5DA4AC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37.6</w:t>
            </w:r>
          </w:p>
        </w:tc>
      </w:tr>
      <w:tr w:rsidR="00BF30F6" w:rsidRPr="00BF30F6" w14:paraId="2707F390" w14:textId="77777777" w:rsidTr="00BF30F6">
        <w:tc>
          <w:tcPr>
            <w:tcW w:w="2547" w:type="pct"/>
          </w:tcPr>
          <w:p w14:paraId="3E84737A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Имеют возможность при желании оплачивать обучение ребенка в ВУЗе</w:t>
            </w:r>
          </w:p>
        </w:tc>
        <w:tc>
          <w:tcPr>
            <w:tcW w:w="490" w:type="pct"/>
            <w:vAlign w:val="center"/>
          </w:tcPr>
          <w:p w14:paraId="7A4EE5A2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11.7</w:t>
            </w:r>
          </w:p>
        </w:tc>
        <w:tc>
          <w:tcPr>
            <w:tcW w:w="490" w:type="pct"/>
            <w:vAlign w:val="center"/>
          </w:tcPr>
          <w:p w14:paraId="3FCC81A5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26.0</w:t>
            </w:r>
          </w:p>
        </w:tc>
        <w:tc>
          <w:tcPr>
            <w:tcW w:w="491" w:type="pct"/>
            <w:shd w:val="clear" w:color="auto" w:fill="E7E6E6" w:themeFill="background2"/>
            <w:vAlign w:val="center"/>
          </w:tcPr>
          <w:p w14:paraId="23967248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29.3</w:t>
            </w:r>
          </w:p>
        </w:tc>
        <w:tc>
          <w:tcPr>
            <w:tcW w:w="490" w:type="pct"/>
            <w:shd w:val="clear" w:color="auto" w:fill="E7E6E6" w:themeFill="background2"/>
            <w:vAlign w:val="center"/>
          </w:tcPr>
          <w:p w14:paraId="5DAAF7BD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40.9</w:t>
            </w:r>
          </w:p>
        </w:tc>
        <w:tc>
          <w:tcPr>
            <w:tcW w:w="491" w:type="pct"/>
            <w:vAlign w:val="center"/>
          </w:tcPr>
          <w:p w14:paraId="02EF07B9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61.0</w:t>
            </w:r>
          </w:p>
        </w:tc>
      </w:tr>
      <w:tr w:rsidR="00BF30F6" w:rsidRPr="00BF30F6" w14:paraId="1A6B6CCA" w14:textId="77777777" w:rsidTr="00BF30F6">
        <w:trPr>
          <w:trHeight w:val="575"/>
        </w:trPr>
        <w:tc>
          <w:tcPr>
            <w:tcW w:w="2547" w:type="pct"/>
          </w:tcPr>
          <w:p w14:paraId="7717AD5C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Имеют возможность при желании оплачивать дополнительные занятия детей</w:t>
            </w:r>
          </w:p>
        </w:tc>
        <w:tc>
          <w:tcPr>
            <w:tcW w:w="490" w:type="pct"/>
            <w:vAlign w:val="center"/>
          </w:tcPr>
          <w:p w14:paraId="62628F4A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30.6</w:t>
            </w:r>
          </w:p>
        </w:tc>
        <w:tc>
          <w:tcPr>
            <w:tcW w:w="490" w:type="pct"/>
            <w:vAlign w:val="center"/>
          </w:tcPr>
          <w:p w14:paraId="7A20073C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49.4</w:t>
            </w:r>
          </w:p>
        </w:tc>
        <w:tc>
          <w:tcPr>
            <w:tcW w:w="491" w:type="pct"/>
            <w:shd w:val="clear" w:color="auto" w:fill="E7E6E6" w:themeFill="background2"/>
            <w:vAlign w:val="center"/>
          </w:tcPr>
          <w:p w14:paraId="39C28494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56.0</w:t>
            </w:r>
          </w:p>
        </w:tc>
        <w:tc>
          <w:tcPr>
            <w:tcW w:w="490" w:type="pct"/>
            <w:shd w:val="clear" w:color="auto" w:fill="E7E6E6" w:themeFill="background2"/>
            <w:vAlign w:val="center"/>
          </w:tcPr>
          <w:p w14:paraId="7664FE4D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70.5</w:t>
            </w:r>
          </w:p>
        </w:tc>
        <w:tc>
          <w:tcPr>
            <w:tcW w:w="491" w:type="pct"/>
            <w:vAlign w:val="center"/>
          </w:tcPr>
          <w:p w14:paraId="1B7CB654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85.7</w:t>
            </w:r>
          </w:p>
        </w:tc>
      </w:tr>
      <w:tr w:rsidR="00BF30F6" w:rsidRPr="00BF30F6" w14:paraId="7E0C324D" w14:textId="77777777" w:rsidTr="00BF30F6">
        <w:tc>
          <w:tcPr>
            <w:tcW w:w="5000" w:type="pct"/>
            <w:gridSpan w:val="6"/>
          </w:tcPr>
          <w:p w14:paraId="263944AC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имущества и товаров длительного пользования</w:t>
            </w:r>
          </w:p>
        </w:tc>
      </w:tr>
      <w:tr w:rsidR="00BF30F6" w:rsidRPr="00BF30F6" w14:paraId="43F27404" w14:textId="77777777" w:rsidTr="00BF30F6">
        <w:tc>
          <w:tcPr>
            <w:tcW w:w="2547" w:type="pct"/>
          </w:tcPr>
          <w:p w14:paraId="34F2C08A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в домохозяйстве телевизора</w:t>
            </w:r>
          </w:p>
        </w:tc>
        <w:tc>
          <w:tcPr>
            <w:tcW w:w="490" w:type="pct"/>
            <w:vAlign w:val="center"/>
          </w:tcPr>
          <w:p w14:paraId="5FD13EAE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98.0</w:t>
            </w:r>
          </w:p>
        </w:tc>
        <w:tc>
          <w:tcPr>
            <w:tcW w:w="490" w:type="pct"/>
            <w:vAlign w:val="center"/>
          </w:tcPr>
          <w:p w14:paraId="795E7D29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99.7</w:t>
            </w:r>
          </w:p>
        </w:tc>
        <w:tc>
          <w:tcPr>
            <w:tcW w:w="491" w:type="pct"/>
            <w:shd w:val="clear" w:color="auto" w:fill="E7E6E6" w:themeFill="background2"/>
            <w:vAlign w:val="center"/>
          </w:tcPr>
          <w:p w14:paraId="38F499F0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98.9</w:t>
            </w:r>
          </w:p>
        </w:tc>
        <w:tc>
          <w:tcPr>
            <w:tcW w:w="490" w:type="pct"/>
            <w:shd w:val="clear" w:color="auto" w:fill="E7E6E6" w:themeFill="background2"/>
            <w:vAlign w:val="center"/>
          </w:tcPr>
          <w:p w14:paraId="1AC25266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98.5</w:t>
            </w:r>
          </w:p>
        </w:tc>
        <w:tc>
          <w:tcPr>
            <w:tcW w:w="491" w:type="pct"/>
            <w:vAlign w:val="center"/>
          </w:tcPr>
          <w:p w14:paraId="2BDFCE1A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99.4</w:t>
            </w:r>
          </w:p>
        </w:tc>
      </w:tr>
      <w:tr w:rsidR="00BF30F6" w:rsidRPr="00BF30F6" w14:paraId="5D7E736D" w14:textId="77777777" w:rsidTr="00BF30F6">
        <w:tc>
          <w:tcPr>
            <w:tcW w:w="2547" w:type="pct"/>
          </w:tcPr>
          <w:p w14:paraId="47599C9D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в домохозяйстве стиральной машины</w:t>
            </w:r>
          </w:p>
        </w:tc>
        <w:tc>
          <w:tcPr>
            <w:tcW w:w="490" w:type="pct"/>
            <w:vAlign w:val="center"/>
          </w:tcPr>
          <w:p w14:paraId="53DA00BC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62.0</w:t>
            </w:r>
          </w:p>
        </w:tc>
        <w:tc>
          <w:tcPr>
            <w:tcW w:w="490" w:type="pct"/>
            <w:vAlign w:val="center"/>
          </w:tcPr>
          <w:p w14:paraId="6D5B13FF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73.6</w:t>
            </w:r>
          </w:p>
        </w:tc>
        <w:tc>
          <w:tcPr>
            <w:tcW w:w="491" w:type="pct"/>
            <w:shd w:val="clear" w:color="auto" w:fill="E7E6E6" w:themeFill="background2"/>
            <w:vAlign w:val="center"/>
          </w:tcPr>
          <w:p w14:paraId="5A1B0676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87.5</w:t>
            </w:r>
          </w:p>
        </w:tc>
        <w:tc>
          <w:tcPr>
            <w:tcW w:w="490" w:type="pct"/>
            <w:shd w:val="clear" w:color="auto" w:fill="E7E6E6" w:themeFill="background2"/>
            <w:vAlign w:val="center"/>
          </w:tcPr>
          <w:p w14:paraId="59D3BB33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93.7</w:t>
            </w:r>
          </w:p>
        </w:tc>
        <w:tc>
          <w:tcPr>
            <w:tcW w:w="491" w:type="pct"/>
            <w:vAlign w:val="center"/>
          </w:tcPr>
          <w:p w14:paraId="2AC187AB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96.4</w:t>
            </w:r>
          </w:p>
        </w:tc>
      </w:tr>
      <w:tr w:rsidR="00BF30F6" w:rsidRPr="00BF30F6" w14:paraId="5504EFA7" w14:textId="77777777" w:rsidTr="00BF30F6">
        <w:tc>
          <w:tcPr>
            <w:tcW w:w="2547" w:type="pct"/>
          </w:tcPr>
          <w:p w14:paraId="571F014D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в домохозяйстве посудомоечной машины</w:t>
            </w:r>
          </w:p>
        </w:tc>
        <w:tc>
          <w:tcPr>
            <w:tcW w:w="490" w:type="pct"/>
            <w:vAlign w:val="center"/>
          </w:tcPr>
          <w:p w14:paraId="5B81C59B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0.2</w:t>
            </w:r>
          </w:p>
        </w:tc>
        <w:tc>
          <w:tcPr>
            <w:tcW w:w="490" w:type="pct"/>
            <w:vAlign w:val="center"/>
          </w:tcPr>
          <w:p w14:paraId="1C86B4F6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0.3</w:t>
            </w:r>
          </w:p>
        </w:tc>
        <w:tc>
          <w:tcPr>
            <w:tcW w:w="491" w:type="pct"/>
            <w:shd w:val="clear" w:color="auto" w:fill="E7E6E6" w:themeFill="background2"/>
            <w:vAlign w:val="center"/>
          </w:tcPr>
          <w:p w14:paraId="76D8F930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2.8</w:t>
            </w:r>
          </w:p>
        </w:tc>
        <w:tc>
          <w:tcPr>
            <w:tcW w:w="490" w:type="pct"/>
            <w:shd w:val="clear" w:color="auto" w:fill="E7E6E6" w:themeFill="background2"/>
            <w:vAlign w:val="center"/>
          </w:tcPr>
          <w:p w14:paraId="7CDC8CA3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5.9</w:t>
            </w:r>
          </w:p>
        </w:tc>
        <w:tc>
          <w:tcPr>
            <w:tcW w:w="491" w:type="pct"/>
            <w:vAlign w:val="center"/>
          </w:tcPr>
          <w:p w14:paraId="340C4021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13.1</w:t>
            </w:r>
          </w:p>
        </w:tc>
      </w:tr>
      <w:tr w:rsidR="00BF30F6" w:rsidRPr="00BF30F6" w14:paraId="00FA96B7" w14:textId="77777777" w:rsidTr="00BF30F6">
        <w:tc>
          <w:tcPr>
            <w:tcW w:w="2547" w:type="pct"/>
          </w:tcPr>
          <w:p w14:paraId="396AC651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в домохозяйстве компьютера, ноутбука</w:t>
            </w:r>
          </w:p>
        </w:tc>
        <w:tc>
          <w:tcPr>
            <w:tcW w:w="490" w:type="pct"/>
            <w:vAlign w:val="center"/>
          </w:tcPr>
          <w:p w14:paraId="5046D370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55.2</w:t>
            </w:r>
          </w:p>
        </w:tc>
        <w:tc>
          <w:tcPr>
            <w:tcW w:w="490" w:type="pct"/>
            <w:vAlign w:val="center"/>
          </w:tcPr>
          <w:p w14:paraId="482A4A80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66.9</w:t>
            </w:r>
          </w:p>
        </w:tc>
        <w:tc>
          <w:tcPr>
            <w:tcW w:w="491" w:type="pct"/>
            <w:shd w:val="clear" w:color="auto" w:fill="E7E6E6" w:themeFill="background2"/>
            <w:vAlign w:val="center"/>
          </w:tcPr>
          <w:p w14:paraId="1978F009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74.5</w:t>
            </w:r>
          </w:p>
        </w:tc>
        <w:tc>
          <w:tcPr>
            <w:tcW w:w="490" w:type="pct"/>
            <w:shd w:val="clear" w:color="auto" w:fill="E7E6E6" w:themeFill="background2"/>
            <w:vAlign w:val="center"/>
          </w:tcPr>
          <w:p w14:paraId="4F9D5373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87.7</w:t>
            </w:r>
          </w:p>
        </w:tc>
        <w:tc>
          <w:tcPr>
            <w:tcW w:w="491" w:type="pct"/>
            <w:vAlign w:val="center"/>
          </w:tcPr>
          <w:p w14:paraId="619735DF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95.0</w:t>
            </w:r>
          </w:p>
        </w:tc>
      </w:tr>
      <w:tr w:rsidR="00BF30F6" w:rsidRPr="00BF30F6" w14:paraId="07038D18" w14:textId="77777777" w:rsidTr="00BF30F6">
        <w:tc>
          <w:tcPr>
            <w:tcW w:w="2547" w:type="pct"/>
          </w:tcPr>
          <w:p w14:paraId="287490C5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собственного мобильного телефона</w:t>
            </w:r>
          </w:p>
        </w:tc>
        <w:tc>
          <w:tcPr>
            <w:tcW w:w="490" w:type="pct"/>
            <w:vAlign w:val="center"/>
          </w:tcPr>
          <w:p w14:paraId="1AE2A871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79.9</w:t>
            </w:r>
          </w:p>
        </w:tc>
        <w:tc>
          <w:tcPr>
            <w:tcW w:w="490" w:type="pct"/>
            <w:vAlign w:val="center"/>
          </w:tcPr>
          <w:p w14:paraId="0464B1FC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81.3</w:t>
            </w:r>
          </w:p>
        </w:tc>
        <w:tc>
          <w:tcPr>
            <w:tcW w:w="491" w:type="pct"/>
            <w:shd w:val="clear" w:color="auto" w:fill="E7E6E6" w:themeFill="background2"/>
            <w:vAlign w:val="center"/>
          </w:tcPr>
          <w:p w14:paraId="260CD1D9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79.8</w:t>
            </w:r>
          </w:p>
        </w:tc>
        <w:tc>
          <w:tcPr>
            <w:tcW w:w="490" w:type="pct"/>
            <w:shd w:val="clear" w:color="auto" w:fill="E7E6E6" w:themeFill="background2"/>
            <w:vAlign w:val="center"/>
          </w:tcPr>
          <w:p w14:paraId="54DB43FD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74.0</w:t>
            </w:r>
          </w:p>
        </w:tc>
        <w:tc>
          <w:tcPr>
            <w:tcW w:w="491" w:type="pct"/>
            <w:vAlign w:val="center"/>
          </w:tcPr>
          <w:p w14:paraId="7ACC3469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64.9</w:t>
            </w:r>
          </w:p>
        </w:tc>
      </w:tr>
      <w:tr w:rsidR="00BF30F6" w:rsidRPr="00BF30F6" w14:paraId="14A4B2EE" w14:textId="77777777" w:rsidTr="00BF30F6">
        <w:tc>
          <w:tcPr>
            <w:tcW w:w="2547" w:type="pct"/>
          </w:tcPr>
          <w:p w14:paraId="2E488964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собственного смартфона</w:t>
            </w:r>
          </w:p>
        </w:tc>
        <w:tc>
          <w:tcPr>
            <w:tcW w:w="490" w:type="pct"/>
            <w:vAlign w:val="center"/>
          </w:tcPr>
          <w:p w14:paraId="2FCB9998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7.3</w:t>
            </w:r>
          </w:p>
        </w:tc>
        <w:tc>
          <w:tcPr>
            <w:tcW w:w="490" w:type="pct"/>
            <w:vAlign w:val="center"/>
          </w:tcPr>
          <w:p w14:paraId="30D03503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11.0</w:t>
            </w:r>
          </w:p>
        </w:tc>
        <w:tc>
          <w:tcPr>
            <w:tcW w:w="491" w:type="pct"/>
            <w:shd w:val="clear" w:color="auto" w:fill="E7E6E6" w:themeFill="background2"/>
            <w:vAlign w:val="center"/>
          </w:tcPr>
          <w:p w14:paraId="3E8E70EF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18.0</w:t>
            </w:r>
          </w:p>
        </w:tc>
        <w:tc>
          <w:tcPr>
            <w:tcW w:w="490" w:type="pct"/>
            <w:shd w:val="clear" w:color="auto" w:fill="E7E6E6" w:themeFill="background2"/>
            <w:vAlign w:val="center"/>
          </w:tcPr>
          <w:p w14:paraId="798F472E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32.1</w:t>
            </w:r>
          </w:p>
        </w:tc>
        <w:tc>
          <w:tcPr>
            <w:tcW w:w="491" w:type="pct"/>
            <w:vAlign w:val="center"/>
          </w:tcPr>
          <w:p w14:paraId="08AA9F0F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47.9</w:t>
            </w:r>
          </w:p>
        </w:tc>
      </w:tr>
      <w:tr w:rsidR="00BF30F6" w:rsidRPr="00BF30F6" w14:paraId="7EEAA1F6" w14:textId="77777777" w:rsidTr="00BF30F6">
        <w:tc>
          <w:tcPr>
            <w:tcW w:w="2547" w:type="pct"/>
          </w:tcPr>
          <w:p w14:paraId="0D711BF2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собственного планшета</w:t>
            </w:r>
          </w:p>
        </w:tc>
        <w:tc>
          <w:tcPr>
            <w:tcW w:w="490" w:type="pct"/>
            <w:vAlign w:val="center"/>
          </w:tcPr>
          <w:p w14:paraId="4749D154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12.3</w:t>
            </w:r>
          </w:p>
        </w:tc>
        <w:tc>
          <w:tcPr>
            <w:tcW w:w="490" w:type="pct"/>
            <w:vAlign w:val="center"/>
          </w:tcPr>
          <w:p w14:paraId="75F0691E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17.4</w:t>
            </w:r>
          </w:p>
        </w:tc>
        <w:tc>
          <w:tcPr>
            <w:tcW w:w="491" w:type="pct"/>
            <w:shd w:val="clear" w:color="auto" w:fill="E7E6E6" w:themeFill="background2"/>
            <w:vAlign w:val="center"/>
          </w:tcPr>
          <w:p w14:paraId="22FD896E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22.1</w:t>
            </w:r>
          </w:p>
        </w:tc>
        <w:tc>
          <w:tcPr>
            <w:tcW w:w="490" w:type="pct"/>
            <w:shd w:val="clear" w:color="auto" w:fill="E7E6E6" w:themeFill="background2"/>
            <w:vAlign w:val="center"/>
          </w:tcPr>
          <w:p w14:paraId="738DF93B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34.0</w:t>
            </w:r>
          </w:p>
        </w:tc>
        <w:tc>
          <w:tcPr>
            <w:tcW w:w="491" w:type="pct"/>
            <w:vAlign w:val="center"/>
          </w:tcPr>
          <w:p w14:paraId="289F3616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48.1</w:t>
            </w:r>
          </w:p>
        </w:tc>
      </w:tr>
      <w:tr w:rsidR="00BF30F6" w:rsidRPr="00BF30F6" w14:paraId="46402D73" w14:textId="77777777" w:rsidTr="00BF30F6">
        <w:tc>
          <w:tcPr>
            <w:tcW w:w="2547" w:type="pct"/>
          </w:tcPr>
          <w:p w14:paraId="0A544E82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в домохозяйстве автомобиля</w:t>
            </w:r>
          </w:p>
        </w:tc>
        <w:tc>
          <w:tcPr>
            <w:tcW w:w="490" w:type="pct"/>
            <w:vAlign w:val="center"/>
          </w:tcPr>
          <w:p w14:paraId="5F5499AE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34.8</w:t>
            </w:r>
          </w:p>
        </w:tc>
        <w:tc>
          <w:tcPr>
            <w:tcW w:w="490" w:type="pct"/>
            <w:vAlign w:val="center"/>
          </w:tcPr>
          <w:p w14:paraId="4B989ADA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42.8</w:t>
            </w:r>
          </w:p>
        </w:tc>
        <w:tc>
          <w:tcPr>
            <w:tcW w:w="491" w:type="pct"/>
            <w:shd w:val="clear" w:color="auto" w:fill="E7E6E6" w:themeFill="background2"/>
            <w:vAlign w:val="center"/>
          </w:tcPr>
          <w:p w14:paraId="38797397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46.6</w:t>
            </w:r>
          </w:p>
        </w:tc>
        <w:tc>
          <w:tcPr>
            <w:tcW w:w="490" w:type="pct"/>
            <w:shd w:val="clear" w:color="auto" w:fill="E7E6E6" w:themeFill="background2"/>
            <w:vAlign w:val="center"/>
          </w:tcPr>
          <w:p w14:paraId="26542BE4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61.6</w:t>
            </w:r>
          </w:p>
        </w:tc>
        <w:tc>
          <w:tcPr>
            <w:tcW w:w="491" w:type="pct"/>
            <w:vAlign w:val="center"/>
          </w:tcPr>
          <w:p w14:paraId="0624A0F9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74.5</w:t>
            </w:r>
          </w:p>
        </w:tc>
      </w:tr>
      <w:tr w:rsidR="00BF30F6" w:rsidRPr="00BF30F6" w14:paraId="07F7BEA5" w14:textId="77777777" w:rsidTr="00BF30F6">
        <w:tc>
          <w:tcPr>
            <w:tcW w:w="5000" w:type="pct"/>
            <w:gridSpan w:val="6"/>
          </w:tcPr>
          <w:p w14:paraId="271C6913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сбережений</w:t>
            </w:r>
          </w:p>
        </w:tc>
      </w:tr>
      <w:tr w:rsidR="00BF30F6" w:rsidRPr="00BF30F6" w14:paraId="13A188F5" w14:textId="77777777" w:rsidTr="00BF30F6">
        <w:tc>
          <w:tcPr>
            <w:tcW w:w="2547" w:type="pct"/>
          </w:tcPr>
          <w:p w14:paraId="46597105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у домохозяйства </w:t>
            </w: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сбережений, позволяющих прожить на них полгода и больше</w:t>
            </w:r>
          </w:p>
        </w:tc>
        <w:tc>
          <w:tcPr>
            <w:tcW w:w="490" w:type="pct"/>
            <w:vAlign w:val="center"/>
          </w:tcPr>
          <w:p w14:paraId="7051A5AE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1.4</w:t>
            </w:r>
          </w:p>
        </w:tc>
        <w:tc>
          <w:tcPr>
            <w:tcW w:w="490" w:type="pct"/>
            <w:vAlign w:val="center"/>
          </w:tcPr>
          <w:p w14:paraId="074DEE63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0.9</w:t>
            </w:r>
          </w:p>
        </w:tc>
        <w:tc>
          <w:tcPr>
            <w:tcW w:w="491" w:type="pct"/>
            <w:shd w:val="clear" w:color="auto" w:fill="E7E6E6" w:themeFill="background2"/>
            <w:vAlign w:val="center"/>
          </w:tcPr>
          <w:p w14:paraId="53BF0E47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2.3</w:t>
            </w:r>
          </w:p>
        </w:tc>
        <w:tc>
          <w:tcPr>
            <w:tcW w:w="490" w:type="pct"/>
            <w:shd w:val="clear" w:color="auto" w:fill="E7E6E6" w:themeFill="background2"/>
            <w:vAlign w:val="center"/>
          </w:tcPr>
          <w:p w14:paraId="63938A1D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3.2</w:t>
            </w:r>
          </w:p>
        </w:tc>
        <w:tc>
          <w:tcPr>
            <w:tcW w:w="491" w:type="pct"/>
            <w:vAlign w:val="center"/>
          </w:tcPr>
          <w:p w14:paraId="2E266FF3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7.6</w:t>
            </w:r>
          </w:p>
        </w:tc>
      </w:tr>
      <w:tr w:rsidR="00BF30F6" w:rsidRPr="00BF30F6" w14:paraId="37D3E47F" w14:textId="77777777" w:rsidTr="00BF30F6">
        <w:tc>
          <w:tcPr>
            <w:tcW w:w="2547" w:type="pct"/>
          </w:tcPr>
          <w:p w14:paraId="370FE404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Наличие у домохозяйства сбережений, позволяющих прожить несколько месяцев, но менее полугода</w:t>
            </w:r>
          </w:p>
        </w:tc>
        <w:tc>
          <w:tcPr>
            <w:tcW w:w="490" w:type="pct"/>
            <w:vAlign w:val="center"/>
          </w:tcPr>
          <w:p w14:paraId="77AB2C17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7.6</w:t>
            </w:r>
          </w:p>
        </w:tc>
        <w:tc>
          <w:tcPr>
            <w:tcW w:w="490" w:type="pct"/>
            <w:vAlign w:val="center"/>
          </w:tcPr>
          <w:p w14:paraId="7CC768DC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17.1</w:t>
            </w:r>
          </w:p>
        </w:tc>
        <w:tc>
          <w:tcPr>
            <w:tcW w:w="491" w:type="pct"/>
            <w:shd w:val="clear" w:color="auto" w:fill="E7E6E6" w:themeFill="background2"/>
            <w:vAlign w:val="center"/>
          </w:tcPr>
          <w:p w14:paraId="090EBF87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22.1</w:t>
            </w:r>
          </w:p>
        </w:tc>
        <w:tc>
          <w:tcPr>
            <w:tcW w:w="490" w:type="pct"/>
            <w:shd w:val="clear" w:color="auto" w:fill="E7E6E6" w:themeFill="background2"/>
            <w:vAlign w:val="center"/>
          </w:tcPr>
          <w:p w14:paraId="15D65E69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26.4</w:t>
            </w:r>
          </w:p>
        </w:tc>
        <w:tc>
          <w:tcPr>
            <w:tcW w:w="491" w:type="pct"/>
            <w:vAlign w:val="center"/>
          </w:tcPr>
          <w:p w14:paraId="5BF096BE" w14:textId="77777777" w:rsidR="00F145C8" w:rsidRPr="00BF30F6" w:rsidRDefault="00F145C8" w:rsidP="000D4999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F30F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34.7</w:t>
            </w:r>
          </w:p>
        </w:tc>
      </w:tr>
    </w:tbl>
    <w:p w14:paraId="51D16652" w14:textId="09193951" w:rsidR="0043343B" w:rsidRDefault="0043343B" w:rsidP="00BE28D0">
      <w:pPr>
        <w:spacing w:line="360" w:lineRule="auto"/>
        <w:ind w:firstLine="708"/>
        <w:jc w:val="both"/>
        <w:rPr>
          <w:rFonts w:eastAsia="Calibri"/>
        </w:rPr>
      </w:pPr>
    </w:p>
    <w:p w14:paraId="0603F604" w14:textId="16B10DB7" w:rsidR="00F145C8" w:rsidRDefault="00BF30F6" w:rsidP="00B76BDC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целом </w:t>
      </w:r>
      <w:r w:rsidR="00F145C8">
        <w:rPr>
          <w:rFonts w:eastAsia="Calibri"/>
        </w:rPr>
        <w:t xml:space="preserve">анализ характеристик уровня жизни и потребительских возможностей, имеющихся у различных доходных групп населения, </w:t>
      </w:r>
      <w:r>
        <w:rPr>
          <w:rFonts w:eastAsia="Calibri"/>
        </w:rPr>
        <w:t>позволяет</w:t>
      </w:r>
      <w:r w:rsidR="00F145C8">
        <w:rPr>
          <w:rFonts w:eastAsia="Calibri"/>
        </w:rPr>
        <w:t xml:space="preserve"> сделать вывод о том, что среднедоходные слои в современной России гетерогенны, и, более того, граница между благополучной и неблагополучной в целом частями населения, соотношение которых сегодня </w:t>
      </w:r>
      <w:r w:rsidR="00F145C8" w:rsidRPr="00845A2C">
        <w:rPr>
          <w:rFonts w:eastAsia="Calibri"/>
        </w:rPr>
        <w:t xml:space="preserve">составляет </w:t>
      </w:r>
      <w:r w:rsidR="00F145C8">
        <w:rPr>
          <w:rFonts w:eastAsia="Calibri"/>
        </w:rPr>
        <w:t xml:space="preserve">примерно </w:t>
      </w:r>
      <w:r w:rsidR="00F145C8">
        <w:rPr>
          <w:rFonts w:eastAsia="Calibri"/>
          <w:lang w:val="en-US"/>
        </w:rPr>
        <w:t>40/6</w:t>
      </w:r>
      <w:r w:rsidR="00F145C8" w:rsidRPr="00845A2C">
        <w:rPr>
          <w:rFonts w:eastAsia="Calibri"/>
          <w:lang w:val="en-US"/>
        </w:rPr>
        <w:t>0</w:t>
      </w:r>
      <w:r w:rsidR="00F145C8" w:rsidRPr="00845A2C">
        <w:rPr>
          <w:rFonts w:eastAsia="Calibri"/>
        </w:rPr>
        <w:t>,  проходит</w:t>
      </w:r>
      <w:r w:rsidR="00F145C8">
        <w:rPr>
          <w:rFonts w:eastAsia="Calibri"/>
        </w:rPr>
        <w:t xml:space="preserve"> именно в среднедоходных слоях – между медианной группой и «средним классом».</w:t>
      </w:r>
      <w:r w:rsidR="00691324">
        <w:rPr>
          <w:rFonts w:eastAsia="Calibri"/>
        </w:rPr>
        <w:t xml:space="preserve"> Однако по </w:t>
      </w:r>
      <w:r w:rsidR="00691324">
        <w:rPr>
          <w:color w:val="000000" w:themeColor="text1"/>
        </w:rPr>
        <w:t>ряду аспектов</w:t>
      </w:r>
      <w:r w:rsidR="00691324" w:rsidRPr="00B86A7B">
        <w:rPr>
          <w:color w:val="000000" w:themeColor="text1"/>
        </w:rPr>
        <w:t xml:space="preserve"> жизни медианная группа выходит из границ неблагополучия, занимая скорее промежуточное положение на границе неблагополучного и благополучного населения</w:t>
      </w:r>
      <w:r w:rsidR="00691324">
        <w:rPr>
          <w:color w:val="000000" w:themeColor="text1"/>
        </w:rPr>
        <w:t>, что отражает и общее состояние неустойчивого и скромного благополучия как типичного для населения современной России</w:t>
      </w:r>
      <w:r w:rsidR="00691324" w:rsidRPr="00B86A7B">
        <w:rPr>
          <w:color w:val="000000" w:themeColor="text1"/>
        </w:rPr>
        <w:t>. Кроме того, благополучное население также неоднородно - уровень жизни среднедоходных и высокодоходных россиян очень различается.</w:t>
      </w:r>
      <w:r w:rsidR="00691324">
        <w:rPr>
          <w:color w:val="000000" w:themeColor="text1"/>
        </w:rPr>
        <w:t xml:space="preserve"> Важно, что п</w:t>
      </w:r>
      <w:r w:rsidR="00691324" w:rsidRPr="00B86A7B">
        <w:rPr>
          <w:color w:val="000000" w:themeColor="text1"/>
        </w:rPr>
        <w:t>редставители различных доходных групп характеризуются не только заметно отличающимися жизненными шансами в сферах потребления и более высоким «запасом прочности», но и разными возможностями добиться желаемой модели жизни в целом, даже в тех ее аспектах, которые не связаны напрямую с уровнем доходов (социальное окружение, социально-психологическое состояние, положение в системе производственных отношений и пр.).</w:t>
      </w:r>
    </w:p>
    <w:p w14:paraId="2E102264" w14:textId="5DF63ED0" w:rsidR="00691324" w:rsidRDefault="0043343B" w:rsidP="00B76BDC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Динамика численности среднедоходных </w:t>
      </w:r>
      <w:r w:rsidR="00FF52FA">
        <w:rPr>
          <w:rFonts w:eastAsia="Calibri"/>
        </w:rPr>
        <w:t>слоев</w:t>
      </w:r>
      <w:r>
        <w:rPr>
          <w:rFonts w:eastAsia="Calibri"/>
        </w:rPr>
        <w:t xml:space="preserve"> по сравнению с </w:t>
      </w:r>
      <w:r w:rsidR="00FF52FA">
        <w:rPr>
          <w:rFonts w:eastAsia="Calibri"/>
        </w:rPr>
        <w:t>другими доходными слоями</w:t>
      </w:r>
      <w:r>
        <w:rPr>
          <w:rFonts w:eastAsia="Calibri"/>
        </w:rPr>
        <w:t xml:space="preserve"> </w:t>
      </w:r>
      <w:r w:rsidR="008D425E">
        <w:rPr>
          <w:rFonts w:eastAsia="Calibri"/>
        </w:rPr>
        <w:t xml:space="preserve">показывает, что за последние два десятилетия их доля в общей структуре населения заметно увеличилась. </w:t>
      </w:r>
      <w:r w:rsidR="00845A2C">
        <w:rPr>
          <w:rFonts w:eastAsia="Calibri"/>
        </w:rPr>
        <w:t>Медианная группа в</w:t>
      </w:r>
      <w:r w:rsidR="00691324">
        <w:rPr>
          <w:rFonts w:eastAsia="Calibri"/>
        </w:rPr>
        <w:t>ыросла с 26,0% в 1994 году до 36,6% в 2016</w:t>
      </w:r>
      <w:r w:rsidR="00845A2C">
        <w:rPr>
          <w:rFonts w:eastAsia="Calibri"/>
        </w:rPr>
        <w:t xml:space="preserve"> году</w:t>
      </w:r>
      <w:r w:rsidR="00845A2C" w:rsidRPr="00746D69">
        <w:rPr>
          <w:rFonts w:eastAsia="Calibri"/>
        </w:rPr>
        <w:t>; численность “среднего класса”</w:t>
      </w:r>
      <w:r w:rsidR="0025012E" w:rsidRPr="00746D69">
        <w:rPr>
          <w:rFonts w:eastAsia="Calibri"/>
        </w:rPr>
        <w:t xml:space="preserve"> возросла с 19,6% до 25,7%.</w:t>
      </w:r>
      <w:r w:rsidR="00845A2C" w:rsidRPr="00746D69">
        <w:rPr>
          <w:rFonts w:eastAsia="Calibri"/>
        </w:rPr>
        <w:t xml:space="preserve"> </w:t>
      </w:r>
      <w:r w:rsidR="00746D69" w:rsidRPr="00746D69">
        <w:rPr>
          <w:rFonts w:eastAsia="Calibri"/>
        </w:rPr>
        <w:t>Полярные группы  - с доходами ниже 0,5 медианы и более 2 медиан за этот период заметно сократились: если в 1994 году доля пе</w:t>
      </w:r>
      <w:r w:rsidR="00691324">
        <w:rPr>
          <w:rFonts w:eastAsia="Calibri"/>
        </w:rPr>
        <w:t>рвой составляла 19,0%, то к 2016 году она снизилась до 8,4</w:t>
      </w:r>
      <w:r w:rsidR="00746D69" w:rsidRPr="00746D69">
        <w:rPr>
          <w:rFonts w:eastAsia="Calibri"/>
        </w:rPr>
        <w:t>%; во второй групп</w:t>
      </w:r>
      <w:r w:rsidR="00691324">
        <w:rPr>
          <w:rFonts w:eastAsia="Calibri"/>
        </w:rPr>
        <w:t>е эти доли составили 20,0 и 12,6</w:t>
      </w:r>
      <w:r w:rsidR="00746D69" w:rsidRPr="00746D69">
        <w:rPr>
          <w:rFonts w:eastAsia="Calibri"/>
        </w:rPr>
        <w:t xml:space="preserve">%, соответственно. </w:t>
      </w:r>
      <w:r w:rsidR="00746D69">
        <w:rPr>
          <w:rFonts w:eastAsia="Calibri"/>
        </w:rPr>
        <w:t>Таким образом, процесс формирования среднедоходных слоев как наиболее массовых</w:t>
      </w:r>
      <w:r w:rsidR="008D425E">
        <w:rPr>
          <w:rFonts w:eastAsia="Calibri"/>
        </w:rPr>
        <w:t xml:space="preserve"> сопровождался сокращением не только наиболее низкодоходного населения, но и </w:t>
      </w:r>
      <w:r w:rsidR="00845A2C">
        <w:rPr>
          <w:rFonts w:eastAsia="Calibri"/>
        </w:rPr>
        <w:t xml:space="preserve">заметным </w:t>
      </w:r>
      <w:r w:rsidR="008D425E">
        <w:rPr>
          <w:rFonts w:eastAsia="Calibri"/>
        </w:rPr>
        <w:t>сужением зоны благополучия</w:t>
      </w:r>
      <w:r w:rsidR="00845A2C">
        <w:rPr>
          <w:rFonts w:eastAsia="Calibri"/>
        </w:rPr>
        <w:t xml:space="preserve"> (важно отметить, что, поскольку </w:t>
      </w:r>
      <w:r w:rsidR="00FF52FA">
        <w:rPr>
          <w:rFonts w:eastAsia="Calibri"/>
        </w:rPr>
        <w:t xml:space="preserve">используются данные </w:t>
      </w:r>
      <w:r w:rsidR="00845A2C">
        <w:rPr>
          <w:rFonts w:eastAsia="Calibri"/>
        </w:rPr>
        <w:t xml:space="preserve">выборочных обследований, эта зона благополучия </w:t>
      </w:r>
      <w:r w:rsidR="001E6057">
        <w:rPr>
          <w:rFonts w:eastAsia="Calibri"/>
        </w:rPr>
        <w:t xml:space="preserve">также </w:t>
      </w:r>
      <w:r w:rsidR="00845A2C">
        <w:rPr>
          <w:rFonts w:eastAsia="Calibri"/>
        </w:rPr>
        <w:t>характеризует массовое население, а не верхние 3-4% сверхбогатых, которые не попада</w:t>
      </w:r>
      <w:r w:rsidR="0025012E">
        <w:rPr>
          <w:rFonts w:eastAsia="Calibri"/>
        </w:rPr>
        <w:t>ют в выборки).</w:t>
      </w:r>
      <w:r w:rsidR="00845A2C">
        <w:rPr>
          <w:rFonts w:eastAsia="Calibri"/>
        </w:rPr>
        <w:t xml:space="preserve"> </w:t>
      </w:r>
    </w:p>
    <w:p w14:paraId="232F6BCE" w14:textId="3C04181E" w:rsidR="00746D69" w:rsidRDefault="00691324" w:rsidP="00691324">
      <w:pPr>
        <w:spacing w:line="360" w:lineRule="auto"/>
        <w:rPr>
          <w:rFonts w:eastAsia="Calibri"/>
        </w:rPr>
      </w:pPr>
      <w:r>
        <w:rPr>
          <w:rFonts w:eastAsia="Calibri"/>
          <w:noProof/>
        </w:rPr>
        <w:lastRenderedPageBreak/>
        <w:drawing>
          <wp:inline distT="0" distB="0" distL="0" distR="0" wp14:anchorId="2851C417" wp14:editId="7392B360">
            <wp:extent cx="5932805" cy="2860040"/>
            <wp:effectExtent l="0" t="0" r="10795" b="10160"/>
            <wp:docPr id="1" name="Изображение 1" descr="../../../../Desktop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9A0B9" w14:textId="039FC685" w:rsidR="00691324" w:rsidRPr="00691324" w:rsidRDefault="00691324" w:rsidP="00691324">
      <w:pPr>
        <w:jc w:val="both"/>
        <w:rPr>
          <w:rFonts w:eastAsia="Calibri"/>
          <w:b/>
          <w:lang w:val="en-US"/>
        </w:rPr>
      </w:pPr>
      <w:r w:rsidRPr="00691324">
        <w:rPr>
          <w:rFonts w:eastAsia="Calibri"/>
          <w:b/>
        </w:rPr>
        <w:t xml:space="preserve">Рисунок 1. Динамика доли среднедоходных слоев и других доходных групп в российском обществе, данные </w:t>
      </w:r>
      <w:r w:rsidRPr="00691324">
        <w:rPr>
          <w:b/>
        </w:rPr>
        <w:t>РМЭЗ – НИУ ВШЭ.</w:t>
      </w:r>
      <w:r w:rsidRPr="00691324">
        <w:rPr>
          <w:rFonts w:eastAsia="Calibri"/>
          <w:b/>
        </w:rPr>
        <w:t xml:space="preserve"> 1994-2016 гг., </w:t>
      </w:r>
      <w:r w:rsidRPr="00691324">
        <w:rPr>
          <w:rFonts w:eastAsia="Calibri"/>
          <w:b/>
          <w:lang w:val="en-US"/>
        </w:rPr>
        <w:t>%</w:t>
      </w:r>
    </w:p>
    <w:p w14:paraId="63F7A209" w14:textId="77777777" w:rsidR="00691324" w:rsidRDefault="00691324" w:rsidP="00B76BDC">
      <w:pPr>
        <w:spacing w:line="360" w:lineRule="auto"/>
        <w:ind w:firstLine="708"/>
        <w:jc w:val="both"/>
        <w:rPr>
          <w:rFonts w:eastAsia="Calibri"/>
        </w:rPr>
      </w:pPr>
    </w:p>
    <w:p w14:paraId="51D0F1B9" w14:textId="7DBF96A8" w:rsidR="007A1802" w:rsidRDefault="00746D69" w:rsidP="00B76BDC">
      <w:pPr>
        <w:spacing w:line="360" w:lineRule="auto"/>
        <w:ind w:firstLine="708"/>
        <w:jc w:val="both"/>
        <w:rPr>
          <w:rFonts w:eastAsia="Calibri"/>
        </w:rPr>
      </w:pPr>
      <w:r>
        <w:rPr>
          <w:rFonts w:eastAsia="Calibri"/>
        </w:rPr>
        <w:t>Подобные</w:t>
      </w:r>
      <w:r w:rsidR="0025012E">
        <w:rPr>
          <w:rFonts w:eastAsia="Calibri"/>
        </w:rPr>
        <w:t xml:space="preserve"> тенденции </w:t>
      </w:r>
      <w:r w:rsidR="0025012E" w:rsidRPr="0025012E">
        <w:rPr>
          <w:rFonts w:eastAsia="Calibri"/>
        </w:rPr>
        <w:t xml:space="preserve">трансформации </w:t>
      </w:r>
      <w:r w:rsidR="0025012E">
        <w:rPr>
          <w:rFonts w:eastAsia="Calibri"/>
        </w:rPr>
        <w:t xml:space="preserve">модели доходной </w:t>
      </w:r>
      <w:r w:rsidR="00FF52FA">
        <w:rPr>
          <w:rFonts w:eastAsia="Calibri"/>
        </w:rPr>
        <w:t xml:space="preserve">стратификации, с одной стороны, должны </w:t>
      </w:r>
      <w:r w:rsidR="001E6057">
        <w:rPr>
          <w:rFonts w:eastAsia="Calibri"/>
        </w:rPr>
        <w:t xml:space="preserve">были бы </w:t>
      </w:r>
      <w:r w:rsidR="00FF52FA">
        <w:rPr>
          <w:rFonts w:eastAsia="Calibri"/>
        </w:rPr>
        <w:t xml:space="preserve">снижать социальную напряженность </w:t>
      </w:r>
      <w:r w:rsidR="00FF52FA" w:rsidRPr="0025012E">
        <w:rPr>
          <w:rFonts w:eastAsia="Calibri"/>
        </w:rPr>
        <w:t xml:space="preserve">в группах населения с низким и средним уровнем доходов, поскольку неравенство </w:t>
      </w:r>
      <w:r w:rsidR="00FF52FA">
        <w:rPr>
          <w:rFonts w:eastAsia="Calibri"/>
        </w:rPr>
        <w:t xml:space="preserve">является одной из наиболее острых </w:t>
      </w:r>
      <w:r w:rsidR="00FF52FA" w:rsidRPr="0025012E">
        <w:rPr>
          <w:rFonts w:eastAsia="Calibri"/>
        </w:rPr>
        <w:t>социальных проблем современного российского общества</w:t>
      </w:r>
      <w:r w:rsidR="001E6057">
        <w:rPr>
          <w:rFonts w:eastAsia="Calibri"/>
        </w:rPr>
        <w:t xml:space="preserve"> в восприятии </w:t>
      </w:r>
      <w:r w:rsidR="00FF52FA">
        <w:rPr>
          <w:rFonts w:eastAsia="Calibri"/>
        </w:rPr>
        <w:t>населения. Однако</w:t>
      </w:r>
      <w:r w:rsidR="0025012E" w:rsidRPr="0025012E">
        <w:rPr>
          <w:rFonts w:eastAsia="Calibri"/>
        </w:rPr>
        <w:t>, как показывают эмпирические исследования</w:t>
      </w:r>
      <w:r w:rsidR="00BF30F6">
        <w:rPr>
          <w:rFonts w:eastAsia="Calibri"/>
        </w:rPr>
        <w:t xml:space="preserve"> (Мареева, Тихонова, 2016)</w:t>
      </w:r>
      <w:r w:rsidR="0025012E" w:rsidRPr="0025012E">
        <w:rPr>
          <w:rFonts w:eastAsia="Calibri"/>
        </w:rPr>
        <w:t>, россияне озабочены не столько неравенством как таковым</w:t>
      </w:r>
      <w:r w:rsidR="00B76BDC">
        <w:rPr>
          <w:rFonts w:eastAsia="Calibri"/>
        </w:rPr>
        <w:t xml:space="preserve"> (и скорее склонны считать его необходимым для общества)</w:t>
      </w:r>
      <w:r w:rsidR="0025012E" w:rsidRPr="0025012E">
        <w:rPr>
          <w:rFonts w:eastAsia="Calibri"/>
        </w:rPr>
        <w:t xml:space="preserve">, сколько </w:t>
      </w:r>
      <w:proofErr w:type="spellStart"/>
      <w:r w:rsidR="0025012E">
        <w:rPr>
          <w:rFonts w:eastAsia="Calibri"/>
        </w:rPr>
        <w:t>нелегитимностью</w:t>
      </w:r>
      <w:proofErr w:type="spellEnd"/>
      <w:r w:rsidR="0025012E" w:rsidRPr="0025012E">
        <w:rPr>
          <w:rFonts w:eastAsia="Calibri"/>
        </w:rPr>
        <w:t xml:space="preserve"> его основ</w:t>
      </w:r>
      <w:r w:rsidR="00B76BDC">
        <w:rPr>
          <w:rFonts w:eastAsia="Calibri"/>
        </w:rPr>
        <w:t>аний. Острую реакцию вызывает в этой связи, в первую очередь,</w:t>
      </w:r>
      <w:r w:rsidR="00FF52FA">
        <w:rPr>
          <w:rFonts w:eastAsia="Calibri"/>
        </w:rPr>
        <w:t xml:space="preserve"> «</w:t>
      </w:r>
      <w:r w:rsidR="00B76BDC">
        <w:rPr>
          <w:rFonts w:eastAsia="Calibri"/>
        </w:rPr>
        <w:t>отрыв</w:t>
      </w:r>
      <w:r w:rsidR="00FF52FA">
        <w:rPr>
          <w:rFonts w:eastAsia="Calibri"/>
        </w:rPr>
        <w:t xml:space="preserve">» </w:t>
      </w:r>
      <w:r w:rsidR="00B76BDC">
        <w:rPr>
          <w:rFonts w:eastAsia="Calibri"/>
        </w:rPr>
        <w:t xml:space="preserve">немногочисленной «верхушки» от остальных массовых групп населения, </w:t>
      </w:r>
      <w:r w:rsidR="0025012E">
        <w:rPr>
          <w:rFonts w:eastAsia="Calibri"/>
        </w:rPr>
        <w:t xml:space="preserve">а не степень неравенства между </w:t>
      </w:r>
      <w:r w:rsidR="00B76BDC">
        <w:rPr>
          <w:rFonts w:eastAsia="Calibri"/>
        </w:rPr>
        <w:t>ними</w:t>
      </w:r>
      <w:r w:rsidR="00001E0C">
        <w:rPr>
          <w:rFonts w:eastAsia="Calibri"/>
        </w:rPr>
        <w:t>.</w:t>
      </w:r>
      <w:r w:rsidR="0025012E">
        <w:rPr>
          <w:rFonts w:eastAsia="Calibri"/>
        </w:rPr>
        <w:t xml:space="preserve"> </w:t>
      </w:r>
      <w:r w:rsidR="00001E0C">
        <w:rPr>
          <w:rFonts w:eastAsia="Calibri"/>
        </w:rPr>
        <w:t>С</w:t>
      </w:r>
      <w:r w:rsidR="0025012E">
        <w:rPr>
          <w:rFonts w:eastAsia="Calibri"/>
        </w:rPr>
        <w:t>окращение</w:t>
      </w:r>
      <w:r w:rsidR="00001E0C">
        <w:rPr>
          <w:rFonts w:eastAsia="Calibri"/>
        </w:rPr>
        <w:t xml:space="preserve"> относительного доходного</w:t>
      </w:r>
      <w:r w:rsidR="0025012E">
        <w:rPr>
          <w:rFonts w:eastAsia="Calibri"/>
        </w:rPr>
        <w:t xml:space="preserve"> неравенства и </w:t>
      </w:r>
      <w:r w:rsidR="00001E0C">
        <w:rPr>
          <w:rFonts w:eastAsia="Calibri"/>
        </w:rPr>
        <w:t>тенденция к выравниванию</w:t>
      </w:r>
      <w:r w:rsidR="0025012E">
        <w:rPr>
          <w:rFonts w:eastAsia="Calibri"/>
        </w:rPr>
        <w:t xml:space="preserve"> за счет снижения </w:t>
      </w:r>
      <w:r w:rsidR="0025012E" w:rsidRPr="0025012E">
        <w:rPr>
          <w:rFonts w:eastAsia="Calibri"/>
        </w:rPr>
        <w:t xml:space="preserve">доли </w:t>
      </w:r>
      <w:r w:rsidR="0025012E">
        <w:rPr>
          <w:rFonts w:eastAsia="Calibri"/>
        </w:rPr>
        <w:t xml:space="preserve">не только низкодоходных, но и высокодоходных россиян, </w:t>
      </w:r>
      <w:r w:rsidR="00FF52FA">
        <w:rPr>
          <w:rFonts w:eastAsia="Calibri"/>
        </w:rPr>
        <w:t>не</w:t>
      </w:r>
      <w:r w:rsidR="0025012E">
        <w:rPr>
          <w:rFonts w:eastAsia="Calibri"/>
        </w:rPr>
        <w:t xml:space="preserve"> отвечает </w:t>
      </w:r>
      <w:r w:rsidR="00B76BDC">
        <w:rPr>
          <w:rFonts w:eastAsia="Calibri"/>
        </w:rPr>
        <w:t>запросу со стороны</w:t>
      </w:r>
      <w:r w:rsidR="0025012E">
        <w:rPr>
          <w:rFonts w:eastAsia="Calibri"/>
        </w:rPr>
        <w:t xml:space="preserve"> </w:t>
      </w:r>
      <w:r w:rsidR="00B76BDC">
        <w:rPr>
          <w:rFonts w:eastAsia="Calibri"/>
        </w:rPr>
        <w:t>наиболее</w:t>
      </w:r>
      <w:r w:rsidR="00B76BDC" w:rsidRPr="0025012E">
        <w:rPr>
          <w:rFonts w:eastAsia="Calibri"/>
        </w:rPr>
        <w:t xml:space="preserve"> об</w:t>
      </w:r>
      <w:r w:rsidR="00B76BDC">
        <w:rPr>
          <w:rFonts w:eastAsia="Calibri"/>
        </w:rPr>
        <w:t>разованной и квалифицированной части населения, поскольку демонстрирует процесс закрытия социальных лифтов и снижение шансов на качественное улучшение своего положения.</w:t>
      </w:r>
    </w:p>
    <w:p w14:paraId="07F6A3E7" w14:textId="77777777" w:rsidR="00717CDF" w:rsidRDefault="00717CDF" w:rsidP="005D3ABF">
      <w:pPr>
        <w:spacing w:line="360" w:lineRule="auto"/>
        <w:jc w:val="both"/>
        <w:rPr>
          <w:rFonts w:eastAsia="Calibri"/>
        </w:rPr>
      </w:pPr>
    </w:p>
    <w:p w14:paraId="1BFA9ACB" w14:textId="5721250C" w:rsidR="00717CDF" w:rsidRPr="00691324" w:rsidRDefault="00717CDF" w:rsidP="00691324">
      <w:pPr>
        <w:spacing w:line="360" w:lineRule="auto"/>
        <w:ind w:firstLine="708"/>
        <w:jc w:val="center"/>
        <w:rPr>
          <w:rFonts w:eastAsia="Calibri"/>
          <w:b/>
        </w:rPr>
      </w:pPr>
      <w:r w:rsidRPr="00691324">
        <w:rPr>
          <w:rFonts w:eastAsia="Calibri"/>
          <w:b/>
        </w:rPr>
        <w:t>Список литературы</w:t>
      </w:r>
    </w:p>
    <w:p w14:paraId="2F1BE17A" w14:textId="77777777" w:rsidR="005D3ABF" w:rsidRPr="00717CDF" w:rsidRDefault="005D3ABF" w:rsidP="005D3ABF">
      <w:pPr>
        <w:widowControl w:val="0"/>
        <w:numPr>
          <w:ilvl w:val="0"/>
          <w:numId w:val="1"/>
        </w:numPr>
        <w:spacing w:line="360" w:lineRule="auto"/>
        <w:ind w:left="0" w:hanging="360"/>
        <w:contextualSpacing/>
        <w:jc w:val="both"/>
        <w:rPr>
          <w:rFonts w:eastAsia="Calibri"/>
          <w:color w:val="1A1A1A"/>
          <w:lang w:val="en-US"/>
        </w:rPr>
      </w:pPr>
      <w:proofErr w:type="spellStart"/>
      <w:r w:rsidRPr="00717CDF">
        <w:rPr>
          <w:rFonts w:eastAsia="Calibri"/>
          <w:color w:val="1A1A1A"/>
          <w:lang w:val="en-US"/>
        </w:rPr>
        <w:t>Anikin</w:t>
      </w:r>
      <w:proofErr w:type="spellEnd"/>
      <w:r w:rsidRPr="00717CDF">
        <w:rPr>
          <w:rFonts w:eastAsia="Calibri"/>
          <w:color w:val="1A1A1A"/>
          <w:lang w:val="en-US"/>
        </w:rPr>
        <w:t xml:space="preserve"> V. A., </w:t>
      </w:r>
      <w:proofErr w:type="spellStart"/>
      <w:r w:rsidRPr="00717CDF">
        <w:rPr>
          <w:rFonts w:eastAsia="Calibri"/>
          <w:color w:val="1A1A1A"/>
          <w:lang w:val="en-US"/>
        </w:rPr>
        <w:t>Lezhnina</w:t>
      </w:r>
      <w:proofErr w:type="spellEnd"/>
      <w:r w:rsidRPr="00717CDF">
        <w:rPr>
          <w:rFonts w:eastAsia="Calibri"/>
          <w:color w:val="1A1A1A"/>
          <w:lang w:val="en-US"/>
        </w:rPr>
        <w:t xml:space="preserve"> Y. P., Mareeva S., </w:t>
      </w:r>
      <w:proofErr w:type="spellStart"/>
      <w:r w:rsidRPr="00717CDF">
        <w:rPr>
          <w:rFonts w:eastAsia="Calibri"/>
          <w:color w:val="1A1A1A"/>
          <w:lang w:val="en-US"/>
        </w:rPr>
        <w:t>Slobodenyuk</w:t>
      </w:r>
      <w:proofErr w:type="spellEnd"/>
      <w:r w:rsidRPr="00717CDF">
        <w:rPr>
          <w:rFonts w:eastAsia="Calibri"/>
          <w:color w:val="1A1A1A"/>
          <w:lang w:val="en-US"/>
        </w:rPr>
        <w:t xml:space="preserve"> E. D., Tikhonova N. E. </w:t>
      </w:r>
      <w:r w:rsidRPr="00717CDF">
        <w:rPr>
          <w:rFonts w:eastAsia="Calibri"/>
          <w:i/>
          <w:color w:val="1A1A1A"/>
          <w:lang w:val="en-US"/>
        </w:rPr>
        <w:t>Income Stratification: Key Approaches and Their Application to Russia</w:t>
      </w:r>
      <w:r w:rsidRPr="00717CDF">
        <w:rPr>
          <w:rFonts w:eastAsia="Calibri"/>
          <w:color w:val="1A1A1A"/>
          <w:lang w:val="en-US"/>
        </w:rPr>
        <w:t xml:space="preserve"> / NRU HSE. Series WP BRP / PSP "Public and Social Policy". 2016. No. WP BRP 02/PSP/2016.</w:t>
      </w:r>
    </w:p>
    <w:p w14:paraId="5BA5DA96" w14:textId="77777777" w:rsidR="005D3ABF" w:rsidRPr="005D3ABF" w:rsidRDefault="005D3ABF" w:rsidP="005D3ABF">
      <w:pPr>
        <w:widowControl w:val="0"/>
        <w:numPr>
          <w:ilvl w:val="0"/>
          <w:numId w:val="1"/>
        </w:numPr>
        <w:spacing w:line="360" w:lineRule="auto"/>
        <w:ind w:left="0" w:hanging="360"/>
        <w:contextualSpacing/>
        <w:jc w:val="both"/>
        <w:rPr>
          <w:lang w:val="en-US"/>
        </w:rPr>
      </w:pPr>
      <w:r>
        <w:rPr>
          <w:rFonts w:eastAsia="Times New Roman"/>
          <w:shd w:val="clear" w:color="auto" w:fill="FFFFFF"/>
          <w:lang w:val="en-GB"/>
        </w:rPr>
        <w:t>Easterly</w:t>
      </w:r>
      <w:r w:rsidRPr="00C43C64">
        <w:rPr>
          <w:rFonts w:eastAsia="Times New Roman"/>
          <w:shd w:val="clear" w:color="auto" w:fill="FFFFFF"/>
          <w:lang w:val="en-GB"/>
        </w:rPr>
        <w:t xml:space="preserve"> W. (2001). The </w:t>
      </w:r>
      <w:r w:rsidRPr="00C43C64">
        <w:rPr>
          <w:rFonts w:eastAsia="Times New Roman"/>
          <w:noProof/>
          <w:shd w:val="clear" w:color="auto" w:fill="FFFFFF"/>
          <w:lang w:val="en-GB"/>
        </w:rPr>
        <w:t>middle class</w:t>
      </w:r>
      <w:r w:rsidRPr="00C43C64">
        <w:rPr>
          <w:rFonts w:eastAsia="Times New Roman"/>
          <w:shd w:val="clear" w:color="auto" w:fill="FFFFFF"/>
          <w:lang w:val="en-GB"/>
        </w:rPr>
        <w:t xml:space="preserve"> consensus and economic development. </w:t>
      </w:r>
      <w:r w:rsidRPr="00C43C64">
        <w:rPr>
          <w:rFonts w:eastAsia="Times New Roman"/>
          <w:i/>
          <w:shd w:val="clear" w:color="auto" w:fill="FFFFFF"/>
          <w:lang w:val="en-GB"/>
        </w:rPr>
        <w:t>Journal of economic growth</w:t>
      </w:r>
      <w:r>
        <w:rPr>
          <w:rFonts w:eastAsia="Times New Roman"/>
          <w:shd w:val="clear" w:color="auto" w:fill="FFFFFF"/>
          <w:lang w:val="en-GB"/>
        </w:rPr>
        <w:t xml:space="preserve">, </w:t>
      </w:r>
      <w:r w:rsidRPr="00C43C64">
        <w:rPr>
          <w:rFonts w:eastAsia="Times New Roman"/>
          <w:shd w:val="clear" w:color="auto" w:fill="FFFFFF"/>
          <w:lang w:val="en-GB"/>
        </w:rPr>
        <w:t>6(4), pp. 317-335.</w:t>
      </w:r>
    </w:p>
    <w:p w14:paraId="04BFA176" w14:textId="77777777" w:rsidR="005D3ABF" w:rsidRPr="00746D69" w:rsidRDefault="005D3ABF" w:rsidP="005D3ABF">
      <w:pPr>
        <w:widowControl w:val="0"/>
        <w:numPr>
          <w:ilvl w:val="0"/>
          <w:numId w:val="1"/>
        </w:numPr>
        <w:spacing w:line="360" w:lineRule="auto"/>
        <w:ind w:left="0" w:hanging="360"/>
        <w:contextualSpacing/>
        <w:jc w:val="both"/>
        <w:rPr>
          <w:lang w:val="en-US"/>
        </w:rPr>
      </w:pPr>
      <w:r>
        <w:rPr>
          <w:rFonts w:eastAsia="Calibri"/>
          <w:color w:val="1A1A1A"/>
          <w:lang w:val="en-US"/>
        </w:rPr>
        <w:lastRenderedPageBreak/>
        <w:t>World Bank</w:t>
      </w:r>
      <w:r w:rsidRPr="00717CDF">
        <w:rPr>
          <w:color w:val="1A1A1A"/>
          <w:lang w:val="en-US"/>
        </w:rPr>
        <w:t xml:space="preserve"> (2014) </w:t>
      </w:r>
      <w:r w:rsidRPr="00717CDF">
        <w:rPr>
          <w:rFonts w:eastAsia="Calibri"/>
          <w:i/>
          <w:lang w:val="en-US"/>
        </w:rPr>
        <w:t>Confidence</w:t>
      </w:r>
      <w:r w:rsidRPr="00717CDF">
        <w:rPr>
          <w:i/>
          <w:lang w:val="en-US"/>
        </w:rPr>
        <w:t xml:space="preserve"> </w:t>
      </w:r>
      <w:r w:rsidRPr="00717CDF">
        <w:rPr>
          <w:rFonts w:eastAsia="Calibri"/>
          <w:i/>
          <w:lang w:val="en-US"/>
        </w:rPr>
        <w:t>Crisis</w:t>
      </w:r>
      <w:r w:rsidRPr="00717CDF">
        <w:rPr>
          <w:i/>
          <w:lang w:val="en-US"/>
        </w:rPr>
        <w:t xml:space="preserve"> </w:t>
      </w:r>
      <w:r w:rsidRPr="00717CDF">
        <w:rPr>
          <w:rFonts w:eastAsia="Calibri"/>
          <w:i/>
          <w:lang w:val="en-US"/>
        </w:rPr>
        <w:t>Exposes</w:t>
      </w:r>
      <w:r w:rsidRPr="00717CDF">
        <w:rPr>
          <w:i/>
          <w:lang w:val="en-US"/>
        </w:rPr>
        <w:t xml:space="preserve"> </w:t>
      </w:r>
      <w:r w:rsidRPr="00717CDF">
        <w:rPr>
          <w:rFonts w:eastAsia="Calibri"/>
          <w:i/>
          <w:lang w:val="en-US"/>
        </w:rPr>
        <w:t>Economic</w:t>
      </w:r>
      <w:r w:rsidRPr="00717CDF">
        <w:rPr>
          <w:i/>
          <w:lang w:val="en-US"/>
        </w:rPr>
        <w:t xml:space="preserve"> </w:t>
      </w:r>
      <w:r w:rsidRPr="00717CDF">
        <w:rPr>
          <w:rFonts w:eastAsia="Calibri"/>
          <w:i/>
          <w:lang w:val="en-US"/>
        </w:rPr>
        <w:t>Weakness</w:t>
      </w:r>
      <w:r w:rsidRPr="00717CDF">
        <w:rPr>
          <w:lang w:val="en-US"/>
        </w:rPr>
        <w:t xml:space="preserve">. </w:t>
      </w:r>
      <w:r w:rsidRPr="00B8263B">
        <w:rPr>
          <w:rFonts w:eastAsia="Calibri"/>
          <w:lang w:val="en-US"/>
        </w:rPr>
        <w:t>Russia</w:t>
      </w:r>
      <w:r w:rsidRPr="00B8263B">
        <w:rPr>
          <w:lang w:val="en-US"/>
        </w:rPr>
        <w:t xml:space="preserve"> </w:t>
      </w:r>
      <w:r w:rsidRPr="00B8263B">
        <w:rPr>
          <w:rFonts w:eastAsia="Calibri"/>
          <w:lang w:val="en-US"/>
        </w:rPr>
        <w:t>economic</w:t>
      </w:r>
      <w:r w:rsidRPr="00B8263B">
        <w:rPr>
          <w:lang w:val="en-US"/>
        </w:rPr>
        <w:t xml:space="preserve"> </w:t>
      </w:r>
      <w:r w:rsidRPr="00B8263B">
        <w:rPr>
          <w:rFonts w:eastAsia="Calibri"/>
          <w:lang w:val="en-US"/>
        </w:rPr>
        <w:t>report</w:t>
      </w:r>
      <w:r w:rsidRPr="00B8263B">
        <w:rPr>
          <w:lang w:val="en-US"/>
        </w:rPr>
        <w:t xml:space="preserve">, </w:t>
      </w:r>
      <w:r w:rsidRPr="00B8263B">
        <w:rPr>
          <w:rFonts w:eastAsia="Calibri"/>
          <w:lang w:val="en-US"/>
        </w:rPr>
        <w:t>No</w:t>
      </w:r>
      <w:r>
        <w:rPr>
          <w:lang w:val="en-US"/>
        </w:rPr>
        <w:t>. 31</w:t>
      </w:r>
      <w:r w:rsidRPr="00B8263B">
        <w:rPr>
          <w:lang w:val="en-US"/>
        </w:rPr>
        <w:t xml:space="preserve">. </w:t>
      </w:r>
      <w:r w:rsidRPr="00B8263B">
        <w:rPr>
          <w:rFonts w:eastAsia="Calibri"/>
          <w:lang w:val="en-US"/>
        </w:rPr>
        <w:t>Washington</w:t>
      </w:r>
      <w:r w:rsidRPr="00B8263B">
        <w:rPr>
          <w:lang w:val="en-US"/>
        </w:rPr>
        <w:t xml:space="preserve">, </w:t>
      </w:r>
      <w:r w:rsidRPr="00B8263B">
        <w:rPr>
          <w:rFonts w:eastAsia="Calibri"/>
          <w:lang w:val="en-US"/>
        </w:rPr>
        <w:t>DC</w:t>
      </w:r>
      <w:r w:rsidRPr="00B8263B">
        <w:rPr>
          <w:lang w:val="en-US"/>
        </w:rPr>
        <w:t xml:space="preserve">: </w:t>
      </w:r>
      <w:r w:rsidRPr="00B8263B">
        <w:rPr>
          <w:rFonts w:eastAsia="Calibri"/>
          <w:lang w:val="en-US"/>
        </w:rPr>
        <w:t>World</w:t>
      </w:r>
      <w:r w:rsidRPr="00B8263B">
        <w:rPr>
          <w:lang w:val="en-US"/>
        </w:rPr>
        <w:t xml:space="preserve"> </w:t>
      </w:r>
      <w:r w:rsidRPr="00B8263B">
        <w:rPr>
          <w:rFonts w:eastAsia="Calibri"/>
          <w:lang w:val="en-US"/>
        </w:rPr>
        <w:t>Bank</w:t>
      </w:r>
      <w:r w:rsidRPr="00B8263B">
        <w:rPr>
          <w:lang w:val="en-US"/>
        </w:rPr>
        <w:t xml:space="preserve"> </w:t>
      </w:r>
      <w:r w:rsidRPr="00B8263B">
        <w:rPr>
          <w:rFonts w:eastAsia="Calibri"/>
          <w:lang w:val="en-US"/>
        </w:rPr>
        <w:t>Group</w:t>
      </w:r>
      <w:r w:rsidRPr="00B8263B">
        <w:rPr>
          <w:lang w:val="en-US"/>
        </w:rPr>
        <w:t xml:space="preserve">. </w:t>
      </w:r>
    </w:p>
    <w:p w14:paraId="46A1CDBC" w14:textId="77777777" w:rsidR="005D3ABF" w:rsidRPr="00717CDF" w:rsidRDefault="005D3ABF" w:rsidP="005D3ABF">
      <w:pPr>
        <w:widowControl w:val="0"/>
        <w:numPr>
          <w:ilvl w:val="0"/>
          <w:numId w:val="1"/>
        </w:numPr>
        <w:spacing w:line="360" w:lineRule="auto"/>
        <w:ind w:left="0" w:hanging="360"/>
        <w:contextualSpacing/>
        <w:jc w:val="both"/>
        <w:rPr>
          <w:lang w:val="en-US"/>
        </w:rPr>
      </w:pPr>
      <w:r>
        <w:rPr>
          <w:rFonts w:eastAsia="Calibri"/>
          <w:lang w:val="en-US"/>
        </w:rPr>
        <w:t>World Bank</w:t>
      </w:r>
      <w:r w:rsidRPr="00B8263B">
        <w:rPr>
          <w:lang w:val="en-US"/>
        </w:rPr>
        <w:t xml:space="preserve"> (2015) </w:t>
      </w:r>
      <w:r w:rsidRPr="00B8263B">
        <w:rPr>
          <w:rFonts w:eastAsia="Calibri"/>
          <w:i/>
          <w:lang w:val="en-US"/>
        </w:rPr>
        <w:t>Russia</w:t>
      </w:r>
      <w:r w:rsidRPr="00B8263B">
        <w:rPr>
          <w:i/>
          <w:lang w:val="en-US"/>
        </w:rPr>
        <w:t xml:space="preserve"> </w:t>
      </w:r>
      <w:r w:rsidRPr="00B8263B">
        <w:rPr>
          <w:rFonts w:eastAsia="Calibri"/>
          <w:i/>
          <w:lang w:val="en-US"/>
        </w:rPr>
        <w:t>economic</w:t>
      </w:r>
      <w:r w:rsidRPr="00B8263B">
        <w:rPr>
          <w:i/>
          <w:lang w:val="en-US"/>
        </w:rPr>
        <w:t xml:space="preserve"> </w:t>
      </w:r>
      <w:r w:rsidRPr="00B8263B">
        <w:rPr>
          <w:rFonts w:eastAsia="Calibri"/>
          <w:i/>
          <w:lang w:val="en-US"/>
        </w:rPr>
        <w:t>report</w:t>
      </w:r>
      <w:r w:rsidRPr="00B8263B">
        <w:rPr>
          <w:i/>
          <w:lang w:val="en-US"/>
        </w:rPr>
        <w:t xml:space="preserve">: </w:t>
      </w:r>
      <w:r w:rsidRPr="00B8263B">
        <w:rPr>
          <w:rFonts w:eastAsia="Calibri"/>
          <w:i/>
          <w:lang w:val="en-US"/>
        </w:rPr>
        <w:t>the</w:t>
      </w:r>
      <w:r w:rsidRPr="00B8263B">
        <w:rPr>
          <w:i/>
          <w:lang w:val="en-US"/>
        </w:rPr>
        <w:t xml:space="preserve"> </w:t>
      </w:r>
      <w:r w:rsidRPr="00B8263B">
        <w:rPr>
          <w:rFonts w:eastAsia="Calibri"/>
          <w:i/>
          <w:lang w:val="en-US"/>
        </w:rPr>
        <w:t>dawn</w:t>
      </w:r>
      <w:r w:rsidRPr="00B8263B">
        <w:rPr>
          <w:i/>
          <w:lang w:val="en-US"/>
        </w:rPr>
        <w:t xml:space="preserve"> </w:t>
      </w:r>
      <w:r w:rsidRPr="00B8263B">
        <w:rPr>
          <w:rFonts w:eastAsia="Calibri"/>
          <w:i/>
          <w:lang w:val="en-US"/>
        </w:rPr>
        <w:t>of</w:t>
      </w:r>
      <w:r w:rsidRPr="00B8263B">
        <w:rPr>
          <w:i/>
          <w:lang w:val="en-US"/>
        </w:rPr>
        <w:t xml:space="preserve"> </w:t>
      </w:r>
      <w:r w:rsidRPr="00B8263B">
        <w:rPr>
          <w:rFonts w:eastAsia="Calibri"/>
          <w:i/>
          <w:lang w:val="en-US"/>
        </w:rPr>
        <w:t>a</w:t>
      </w:r>
      <w:r w:rsidRPr="00B8263B">
        <w:rPr>
          <w:i/>
          <w:lang w:val="en-US"/>
        </w:rPr>
        <w:t xml:space="preserve"> </w:t>
      </w:r>
      <w:r w:rsidRPr="00B8263B">
        <w:rPr>
          <w:rFonts w:eastAsia="Calibri"/>
          <w:i/>
          <w:lang w:val="en-US"/>
        </w:rPr>
        <w:t>new</w:t>
      </w:r>
      <w:r w:rsidRPr="00B8263B">
        <w:rPr>
          <w:i/>
          <w:lang w:val="en-US"/>
        </w:rPr>
        <w:t xml:space="preserve"> </w:t>
      </w:r>
      <w:r w:rsidRPr="00B8263B">
        <w:rPr>
          <w:rFonts w:eastAsia="Calibri"/>
          <w:i/>
          <w:lang w:val="en-US"/>
        </w:rPr>
        <w:t>economic</w:t>
      </w:r>
      <w:r w:rsidRPr="00B8263B">
        <w:rPr>
          <w:i/>
          <w:lang w:val="en-US"/>
        </w:rPr>
        <w:t xml:space="preserve"> </w:t>
      </w:r>
      <w:r w:rsidRPr="00B8263B">
        <w:rPr>
          <w:rFonts w:eastAsia="Calibri"/>
          <w:i/>
          <w:lang w:val="en-US"/>
        </w:rPr>
        <w:t>era</w:t>
      </w:r>
      <w:r w:rsidRPr="00B8263B">
        <w:rPr>
          <w:i/>
          <w:lang w:val="en-US"/>
        </w:rPr>
        <w:t>?</w:t>
      </w:r>
      <w:r w:rsidRPr="00B8263B">
        <w:rPr>
          <w:lang w:val="en-US"/>
        </w:rPr>
        <w:t xml:space="preserve"> </w:t>
      </w:r>
      <w:r w:rsidRPr="00B8263B">
        <w:rPr>
          <w:rFonts w:eastAsia="Calibri"/>
          <w:lang w:val="en-US"/>
        </w:rPr>
        <w:t>Russia</w:t>
      </w:r>
      <w:r w:rsidRPr="00B8263B">
        <w:rPr>
          <w:lang w:val="en-US"/>
        </w:rPr>
        <w:t xml:space="preserve"> </w:t>
      </w:r>
      <w:r w:rsidRPr="00B8263B">
        <w:rPr>
          <w:rFonts w:eastAsia="Calibri"/>
          <w:lang w:val="en-US"/>
        </w:rPr>
        <w:t>economic</w:t>
      </w:r>
      <w:r w:rsidRPr="00B8263B">
        <w:rPr>
          <w:lang w:val="en-US"/>
        </w:rPr>
        <w:t xml:space="preserve"> </w:t>
      </w:r>
      <w:r w:rsidRPr="00B8263B">
        <w:rPr>
          <w:rFonts w:eastAsia="Calibri"/>
          <w:lang w:val="en-US"/>
        </w:rPr>
        <w:t>report</w:t>
      </w:r>
      <w:r w:rsidRPr="00B8263B">
        <w:rPr>
          <w:lang w:val="en-US"/>
        </w:rPr>
        <w:t xml:space="preserve">, </w:t>
      </w:r>
      <w:r w:rsidRPr="00B8263B">
        <w:rPr>
          <w:rFonts w:eastAsia="Calibri"/>
          <w:lang w:val="en-US"/>
        </w:rPr>
        <w:t>No</w:t>
      </w:r>
      <w:r w:rsidRPr="00B8263B">
        <w:rPr>
          <w:lang w:val="en-US"/>
        </w:rPr>
        <w:t xml:space="preserve">. 33. </w:t>
      </w:r>
      <w:r w:rsidRPr="00B8263B">
        <w:rPr>
          <w:rFonts w:eastAsia="Calibri"/>
          <w:lang w:val="en-US"/>
        </w:rPr>
        <w:t>Washington</w:t>
      </w:r>
      <w:r w:rsidRPr="00B8263B">
        <w:rPr>
          <w:lang w:val="en-US"/>
        </w:rPr>
        <w:t xml:space="preserve">, </w:t>
      </w:r>
      <w:r w:rsidRPr="00B8263B">
        <w:rPr>
          <w:rFonts w:eastAsia="Calibri"/>
          <w:lang w:val="en-US"/>
        </w:rPr>
        <w:t>DC</w:t>
      </w:r>
      <w:r w:rsidRPr="00B8263B">
        <w:rPr>
          <w:lang w:val="en-US"/>
        </w:rPr>
        <w:t xml:space="preserve">: </w:t>
      </w:r>
      <w:r w:rsidRPr="00B8263B">
        <w:rPr>
          <w:rFonts w:eastAsia="Calibri"/>
          <w:lang w:val="en-US"/>
        </w:rPr>
        <w:t>World</w:t>
      </w:r>
      <w:r w:rsidRPr="00B8263B">
        <w:rPr>
          <w:lang w:val="en-US"/>
        </w:rPr>
        <w:t xml:space="preserve"> </w:t>
      </w:r>
      <w:r w:rsidRPr="00B8263B">
        <w:rPr>
          <w:rFonts w:eastAsia="Calibri"/>
          <w:lang w:val="en-US"/>
        </w:rPr>
        <w:t>Bank</w:t>
      </w:r>
      <w:r w:rsidRPr="00B8263B">
        <w:rPr>
          <w:lang w:val="en-US"/>
        </w:rPr>
        <w:t xml:space="preserve"> </w:t>
      </w:r>
      <w:r w:rsidRPr="00B8263B">
        <w:rPr>
          <w:rFonts w:eastAsia="Calibri"/>
          <w:lang w:val="en-US"/>
        </w:rPr>
        <w:t>Group</w:t>
      </w:r>
      <w:r w:rsidRPr="00B8263B">
        <w:rPr>
          <w:lang w:val="en-US"/>
        </w:rPr>
        <w:t xml:space="preserve">. </w:t>
      </w:r>
    </w:p>
    <w:p w14:paraId="485E8308" w14:textId="77777777" w:rsidR="005D3ABF" w:rsidRPr="00C43C64" w:rsidRDefault="005D3ABF" w:rsidP="005D3ABF">
      <w:pPr>
        <w:widowControl w:val="0"/>
        <w:numPr>
          <w:ilvl w:val="0"/>
          <w:numId w:val="1"/>
        </w:numPr>
        <w:spacing w:line="360" w:lineRule="auto"/>
        <w:ind w:left="0" w:hanging="360"/>
        <w:contextualSpacing/>
        <w:jc w:val="both"/>
        <w:rPr>
          <w:lang w:val="en-US"/>
        </w:rPr>
      </w:pPr>
      <w:r>
        <w:rPr>
          <w:rFonts w:eastAsia="Calibri"/>
          <w:color w:val="1A1A1A"/>
          <w:lang w:val="en-US"/>
        </w:rPr>
        <w:t xml:space="preserve">Мареева </w:t>
      </w:r>
      <w:r>
        <w:rPr>
          <w:rFonts w:eastAsia="Calibri"/>
          <w:color w:val="1A1A1A"/>
        </w:rPr>
        <w:t>С.В.</w:t>
      </w:r>
      <w:r>
        <w:rPr>
          <w:rFonts w:eastAsia="Calibri"/>
          <w:color w:val="1A1A1A"/>
          <w:lang w:val="en-US"/>
        </w:rPr>
        <w:t xml:space="preserve">, Тихонова Н.Е. (2016) </w:t>
      </w:r>
      <w:proofErr w:type="spellStart"/>
      <w:r>
        <w:rPr>
          <w:rFonts w:eastAsia="Calibri"/>
          <w:color w:val="1A1A1A"/>
          <w:lang w:val="en-US"/>
        </w:rPr>
        <w:t>Бедность</w:t>
      </w:r>
      <w:proofErr w:type="spellEnd"/>
      <w:r>
        <w:rPr>
          <w:rFonts w:eastAsia="Calibri"/>
          <w:color w:val="1A1A1A"/>
          <w:lang w:val="en-US"/>
        </w:rPr>
        <w:t xml:space="preserve"> и </w:t>
      </w:r>
      <w:proofErr w:type="spellStart"/>
      <w:r>
        <w:rPr>
          <w:rFonts w:eastAsia="Calibri"/>
          <w:color w:val="1A1A1A"/>
          <w:lang w:val="en-US"/>
        </w:rPr>
        <w:t>социальные</w:t>
      </w:r>
      <w:proofErr w:type="spellEnd"/>
      <w:r>
        <w:rPr>
          <w:rFonts w:eastAsia="Calibri"/>
          <w:color w:val="1A1A1A"/>
          <w:lang w:val="en-US"/>
        </w:rPr>
        <w:t xml:space="preserve"> </w:t>
      </w:r>
      <w:proofErr w:type="spellStart"/>
      <w:r>
        <w:rPr>
          <w:rFonts w:eastAsia="Calibri"/>
          <w:color w:val="1A1A1A"/>
          <w:lang w:val="en-US"/>
        </w:rPr>
        <w:t>неравенства</w:t>
      </w:r>
      <w:proofErr w:type="spellEnd"/>
      <w:r>
        <w:rPr>
          <w:rFonts w:eastAsia="Calibri"/>
          <w:color w:val="1A1A1A"/>
          <w:lang w:val="en-US"/>
        </w:rPr>
        <w:t xml:space="preserve"> в </w:t>
      </w:r>
      <w:proofErr w:type="spellStart"/>
      <w:r>
        <w:rPr>
          <w:rFonts w:eastAsia="Calibri"/>
          <w:color w:val="1A1A1A"/>
          <w:lang w:val="en-US"/>
        </w:rPr>
        <w:t>России</w:t>
      </w:r>
      <w:proofErr w:type="spellEnd"/>
      <w:r>
        <w:rPr>
          <w:rFonts w:eastAsia="Calibri"/>
          <w:color w:val="1A1A1A"/>
          <w:lang w:val="en-US"/>
        </w:rPr>
        <w:t xml:space="preserve"> в </w:t>
      </w:r>
      <w:proofErr w:type="spellStart"/>
      <w:r>
        <w:rPr>
          <w:rFonts w:eastAsia="Calibri"/>
          <w:color w:val="1A1A1A"/>
          <w:lang w:val="en-US"/>
        </w:rPr>
        <w:t>общественном</w:t>
      </w:r>
      <w:proofErr w:type="spellEnd"/>
      <w:r>
        <w:rPr>
          <w:rFonts w:eastAsia="Calibri"/>
          <w:color w:val="1A1A1A"/>
          <w:lang w:val="en-US"/>
        </w:rPr>
        <w:t xml:space="preserve"> </w:t>
      </w:r>
      <w:proofErr w:type="spellStart"/>
      <w:r>
        <w:rPr>
          <w:rFonts w:eastAsia="Calibri"/>
          <w:color w:val="1A1A1A"/>
          <w:lang w:val="en-US"/>
        </w:rPr>
        <w:t>сознании</w:t>
      </w:r>
      <w:proofErr w:type="spellEnd"/>
      <w:r>
        <w:rPr>
          <w:rFonts w:eastAsia="Calibri"/>
          <w:color w:val="1A1A1A"/>
          <w:lang w:val="en-US"/>
        </w:rPr>
        <w:t xml:space="preserve">. </w:t>
      </w:r>
      <w:proofErr w:type="spellStart"/>
      <w:r w:rsidRPr="00C43C64">
        <w:rPr>
          <w:rFonts w:eastAsia="Calibri"/>
          <w:i/>
          <w:color w:val="1A1A1A"/>
          <w:lang w:val="en-US"/>
        </w:rPr>
        <w:t>Мир</w:t>
      </w:r>
      <w:proofErr w:type="spellEnd"/>
      <w:r w:rsidRPr="00C43C64">
        <w:rPr>
          <w:rFonts w:eastAsia="Calibri"/>
          <w:i/>
          <w:color w:val="1A1A1A"/>
          <w:lang w:val="en-US"/>
        </w:rPr>
        <w:t xml:space="preserve"> </w:t>
      </w:r>
      <w:proofErr w:type="spellStart"/>
      <w:r w:rsidRPr="00C43C64">
        <w:rPr>
          <w:rFonts w:eastAsia="Calibri"/>
          <w:i/>
          <w:color w:val="1A1A1A"/>
          <w:lang w:val="en-US"/>
        </w:rPr>
        <w:t>России</w:t>
      </w:r>
      <w:proofErr w:type="spellEnd"/>
      <w:r>
        <w:rPr>
          <w:rFonts w:eastAsia="Calibri"/>
          <w:color w:val="1A1A1A"/>
          <w:lang w:val="en-US"/>
        </w:rPr>
        <w:t>, 25(2), 37-67.</w:t>
      </w:r>
    </w:p>
    <w:sectPr w:rsidR="005D3ABF" w:rsidRPr="00C43C64" w:rsidSect="0086128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40E4D" w14:textId="77777777" w:rsidR="005E26F5" w:rsidRDefault="005E26F5" w:rsidP="00845A2C">
      <w:r>
        <w:separator/>
      </w:r>
    </w:p>
  </w:endnote>
  <w:endnote w:type="continuationSeparator" w:id="0">
    <w:p w14:paraId="0746D528" w14:textId="77777777" w:rsidR="005E26F5" w:rsidRDefault="005E26F5" w:rsidP="0084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6597F" w14:textId="77777777" w:rsidR="005E26F5" w:rsidRDefault="005E26F5" w:rsidP="00845A2C">
      <w:r>
        <w:separator/>
      </w:r>
    </w:p>
  </w:footnote>
  <w:footnote w:type="continuationSeparator" w:id="0">
    <w:p w14:paraId="2F2E1C68" w14:textId="77777777" w:rsidR="005E26F5" w:rsidRDefault="005E26F5" w:rsidP="00845A2C">
      <w:r>
        <w:continuationSeparator/>
      </w:r>
    </w:p>
  </w:footnote>
  <w:footnote w:id="1">
    <w:p w14:paraId="3B7B660A" w14:textId="039A0BE8" w:rsidR="00845A2C" w:rsidRPr="00845A2C" w:rsidRDefault="00845A2C" w:rsidP="00845A2C">
      <w:pPr>
        <w:pStyle w:val="a3"/>
        <w:jc w:val="both"/>
        <w:rPr>
          <w:sz w:val="20"/>
          <w:szCs w:val="20"/>
        </w:rPr>
      </w:pPr>
      <w:r w:rsidRPr="00845A2C">
        <w:rPr>
          <w:rStyle w:val="a5"/>
          <w:sz w:val="20"/>
          <w:szCs w:val="20"/>
        </w:rPr>
        <w:footnoteRef/>
      </w:r>
      <w:r w:rsidRPr="00845A2C">
        <w:rPr>
          <w:sz w:val="20"/>
          <w:szCs w:val="20"/>
        </w:rPr>
        <w:t xml:space="preserve"> В данном случае мы используем термин «средний класс» исключительно в его экономическом понимании</w:t>
      </w:r>
      <w:r w:rsidR="00717CDF">
        <w:rPr>
          <w:sz w:val="20"/>
          <w:szCs w:val="20"/>
        </w:rPr>
        <w:t xml:space="preserve"> (см., например, </w:t>
      </w:r>
      <w:r w:rsidR="00746D69">
        <w:rPr>
          <w:rFonts w:eastAsia="Calibri"/>
          <w:color w:val="1A1A1A"/>
          <w:sz w:val="20"/>
          <w:szCs w:val="20"/>
          <w:lang w:val="en-US"/>
        </w:rPr>
        <w:t>World Bank</w:t>
      </w:r>
      <w:r w:rsidR="00717CDF" w:rsidRPr="007734E3">
        <w:rPr>
          <w:color w:val="1A1A1A"/>
          <w:sz w:val="20"/>
          <w:szCs w:val="20"/>
          <w:lang w:val="en-US"/>
        </w:rPr>
        <w:t>, 2014</w:t>
      </w:r>
      <w:r w:rsidR="00746D69">
        <w:rPr>
          <w:sz w:val="20"/>
          <w:szCs w:val="20"/>
          <w:lang w:val="en-US"/>
        </w:rPr>
        <w:t>, 2015;</w:t>
      </w:r>
      <w:r w:rsidR="00717CDF">
        <w:rPr>
          <w:sz w:val="20"/>
          <w:szCs w:val="20"/>
          <w:lang w:val="en-US"/>
        </w:rPr>
        <w:t xml:space="preserve"> </w:t>
      </w:r>
      <w:r w:rsidR="00717CDF" w:rsidRPr="007734E3">
        <w:rPr>
          <w:sz w:val="20"/>
          <w:szCs w:val="20"/>
          <w:lang w:val="en-US"/>
        </w:rPr>
        <w:t>Easterly, 2001</w:t>
      </w:r>
      <w:r w:rsidR="00717CDF" w:rsidRPr="007734E3">
        <w:rPr>
          <w:rFonts w:eastAsia="Calibri"/>
          <w:sz w:val="20"/>
          <w:szCs w:val="20"/>
          <w:lang w:val="en-US"/>
        </w:rPr>
        <w:t>)</w:t>
      </w:r>
      <w:r w:rsidRPr="00845A2C">
        <w:rPr>
          <w:sz w:val="20"/>
          <w:szCs w:val="20"/>
        </w:rPr>
        <w:t xml:space="preserve">, выделяя эту группу только по критерию дохода, </w:t>
      </w:r>
      <w:r w:rsidR="003F18BC">
        <w:rPr>
          <w:sz w:val="20"/>
          <w:szCs w:val="20"/>
        </w:rPr>
        <w:t>в отличие от</w:t>
      </w:r>
      <w:r w:rsidRPr="00845A2C">
        <w:rPr>
          <w:sz w:val="20"/>
          <w:szCs w:val="20"/>
        </w:rPr>
        <w:t xml:space="preserve"> традиционной социологической </w:t>
      </w:r>
      <w:r w:rsidR="003F18BC">
        <w:rPr>
          <w:sz w:val="20"/>
          <w:szCs w:val="20"/>
        </w:rPr>
        <w:t>трактовки,</w:t>
      </w:r>
      <w:r w:rsidRPr="00845A2C">
        <w:rPr>
          <w:sz w:val="20"/>
          <w:szCs w:val="20"/>
        </w:rPr>
        <w:t xml:space="preserve"> предполагающей использование многомерной стратификации, учитывающей социально-профессиональное положение, уровень образования и пр.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636EE"/>
    <w:multiLevelType w:val="hybridMultilevel"/>
    <w:tmpl w:val="0E286034"/>
    <w:lvl w:ilvl="0" w:tplc="16CCF0BC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209A5"/>
    <w:multiLevelType w:val="multilevel"/>
    <w:tmpl w:val="841827D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02"/>
    <w:rsid w:val="00001E0C"/>
    <w:rsid w:val="000A790B"/>
    <w:rsid w:val="001E6057"/>
    <w:rsid w:val="00246144"/>
    <w:rsid w:val="0025012E"/>
    <w:rsid w:val="00293E61"/>
    <w:rsid w:val="003F18BC"/>
    <w:rsid w:val="0043343B"/>
    <w:rsid w:val="00562BFB"/>
    <w:rsid w:val="00582F06"/>
    <w:rsid w:val="005D3ABF"/>
    <w:rsid w:val="005E26F5"/>
    <w:rsid w:val="00691324"/>
    <w:rsid w:val="006B430C"/>
    <w:rsid w:val="00717CDF"/>
    <w:rsid w:val="007269EC"/>
    <w:rsid w:val="00746D69"/>
    <w:rsid w:val="00750E14"/>
    <w:rsid w:val="00751D36"/>
    <w:rsid w:val="00772434"/>
    <w:rsid w:val="007A1802"/>
    <w:rsid w:val="0083531C"/>
    <w:rsid w:val="008446D7"/>
    <w:rsid w:val="00845A2C"/>
    <w:rsid w:val="00861287"/>
    <w:rsid w:val="008D425E"/>
    <w:rsid w:val="00A70F46"/>
    <w:rsid w:val="00A92091"/>
    <w:rsid w:val="00B76BDC"/>
    <w:rsid w:val="00BE28D0"/>
    <w:rsid w:val="00BF30F6"/>
    <w:rsid w:val="00C43C64"/>
    <w:rsid w:val="00C7561D"/>
    <w:rsid w:val="00D974EC"/>
    <w:rsid w:val="00E064C6"/>
    <w:rsid w:val="00F145C8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1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02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45A2C"/>
  </w:style>
  <w:style w:type="character" w:customStyle="1" w:styleId="a4">
    <w:name w:val="Текст сноски Знак"/>
    <w:basedOn w:val="a0"/>
    <w:link w:val="a3"/>
    <w:uiPriority w:val="99"/>
    <w:rsid w:val="00845A2C"/>
    <w:rPr>
      <w:rFonts w:ascii="Times New Roman" w:hAnsi="Times New Roman" w:cs="Times New Roman"/>
      <w:lang w:eastAsia="ru-RU"/>
    </w:rPr>
  </w:style>
  <w:style w:type="character" w:styleId="a5">
    <w:name w:val="footnote reference"/>
    <w:basedOn w:val="a0"/>
    <w:uiPriority w:val="99"/>
    <w:unhideWhenUsed/>
    <w:rsid w:val="00845A2C"/>
    <w:rPr>
      <w:vertAlign w:val="superscript"/>
    </w:rPr>
  </w:style>
  <w:style w:type="paragraph" w:styleId="a6">
    <w:name w:val="Normal (Web)"/>
    <w:basedOn w:val="a"/>
    <w:uiPriority w:val="99"/>
    <w:unhideWhenUsed/>
    <w:rsid w:val="00293E6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table" w:styleId="a7">
    <w:name w:val="Table Grid"/>
    <w:basedOn w:val="a1"/>
    <w:uiPriority w:val="39"/>
    <w:rsid w:val="00F145C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 литературы1"/>
    <w:basedOn w:val="a"/>
    <w:rsid w:val="00C43C64"/>
    <w:pPr>
      <w:numPr>
        <w:numId w:val="2"/>
      </w:numPr>
      <w:spacing w:line="480" w:lineRule="auto"/>
      <w:ind w:hanging="720"/>
      <w:jc w:val="both"/>
    </w:pPr>
    <w:rPr>
      <w:rFonts w:eastAsia="Times New Roman"/>
      <w:shd w:val="clear" w:color="auto" w:fill="FFFFFF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02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45A2C"/>
  </w:style>
  <w:style w:type="character" w:customStyle="1" w:styleId="a4">
    <w:name w:val="Текст сноски Знак"/>
    <w:basedOn w:val="a0"/>
    <w:link w:val="a3"/>
    <w:uiPriority w:val="99"/>
    <w:rsid w:val="00845A2C"/>
    <w:rPr>
      <w:rFonts w:ascii="Times New Roman" w:hAnsi="Times New Roman" w:cs="Times New Roman"/>
      <w:lang w:eastAsia="ru-RU"/>
    </w:rPr>
  </w:style>
  <w:style w:type="character" w:styleId="a5">
    <w:name w:val="footnote reference"/>
    <w:basedOn w:val="a0"/>
    <w:uiPriority w:val="99"/>
    <w:unhideWhenUsed/>
    <w:rsid w:val="00845A2C"/>
    <w:rPr>
      <w:vertAlign w:val="superscript"/>
    </w:rPr>
  </w:style>
  <w:style w:type="paragraph" w:styleId="a6">
    <w:name w:val="Normal (Web)"/>
    <w:basedOn w:val="a"/>
    <w:uiPriority w:val="99"/>
    <w:unhideWhenUsed/>
    <w:rsid w:val="00293E6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table" w:styleId="a7">
    <w:name w:val="Table Grid"/>
    <w:basedOn w:val="a1"/>
    <w:uiPriority w:val="39"/>
    <w:rsid w:val="00F145C8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писок литературы1"/>
    <w:basedOn w:val="a"/>
    <w:rsid w:val="00C43C64"/>
    <w:pPr>
      <w:numPr>
        <w:numId w:val="2"/>
      </w:numPr>
      <w:spacing w:line="480" w:lineRule="auto"/>
      <w:ind w:hanging="720"/>
      <w:jc w:val="both"/>
    </w:pPr>
    <w:rPr>
      <w:rFonts w:eastAsia="Times New Roman"/>
      <w:shd w:val="clear" w:color="auto" w:fill="FFFFF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Шепелева Елена</cp:lastModifiedBy>
  <cp:revision>2</cp:revision>
  <dcterms:created xsi:type="dcterms:W3CDTF">2018-04-25T10:08:00Z</dcterms:created>
  <dcterms:modified xsi:type="dcterms:W3CDTF">2018-04-25T10:08:00Z</dcterms:modified>
</cp:coreProperties>
</file>