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0" w:rsidRPr="00C9611B" w:rsidRDefault="00196FD0" w:rsidP="00196FD0">
      <w:pPr>
        <w:tabs>
          <w:tab w:val="left" w:pos="2490"/>
          <w:tab w:val="left" w:pos="4253"/>
        </w:tabs>
        <w:ind w:left="5387"/>
      </w:pPr>
      <w:r w:rsidRPr="006F180D">
        <w:rPr>
          <w:noProof/>
        </w:rPr>
        <w:t>Annex</w:t>
      </w:r>
      <w:r w:rsidRPr="00C9611B">
        <w:t xml:space="preserve"> No. 5</w:t>
      </w:r>
      <w:bookmarkStart w:id="0" w:name="_GoBack"/>
      <w:bookmarkEnd w:id="0"/>
    </w:p>
    <w:p w:rsidR="00825D37" w:rsidRPr="006F180D" w:rsidRDefault="00196FD0" w:rsidP="00825D37">
      <w:pPr>
        <w:ind w:left="5387"/>
        <w:contextualSpacing/>
        <w:jc w:val="both"/>
        <w:rPr>
          <w:lang w:val="en-US"/>
        </w:rPr>
      </w:pPr>
      <w:r w:rsidRPr="006F180D">
        <w:rPr>
          <w:noProof/>
        </w:rPr>
        <w:t>to</w:t>
      </w:r>
      <w:r w:rsidR="006F180D">
        <w:rPr>
          <w:noProof/>
        </w:rPr>
        <w:t xml:space="preserve"> </w:t>
      </w:r>
      <w:r w:rsidRPr="00C9611B">
        <w:t>Regulations on Scholarships and Other Forms of Financial Support for HSE Students</w:t>
      </w:r>
      <w:r w:rsidR="00825D37" w:rsidRPr="00C9611B">
        <w:t xml:space="preserve"> </w:t>
      </w:r>
    </w:p>
    <w:p w:rsidR="00825D37" w:rsidRPr="006F180D" w:rsidRDefault="00825D37" w:rsidP="00825D37">
      <w:pPr>
        <w:ind w:left="5387"/>
        <w:contextualSpacing/>
        <w:jc w:val="both"/>
        <w:rPr>
          <w:lang w:val="en-US"/>
        </w:rPr>
      </w:pP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with</w:t>
      </w:r>
      <w:proofErr w:type="gramEnd"/>
      <w:r w:rsidRPr="003B2D4B">
        <w:t xml:space="preserve"> amendments approved by </w:t>
      </w: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the</w:t>
      </w:r>
      <w:proofErr w:type="gramEnd"/>
      <w:r w:rsidRPr="003B2D4B">
        <w:t xml:space="preserve"> HSE Academic Council</w:t>
      </w:r>
    </w:p>
    <w:p w:rsidR="00825D37" w:rsidRPr="003B2D4B" w:rsidRDefault="00825D37" w:rsidP="00825D37">
      <w:pPr>
        <w:ind w:left="5387"/>
        <w:contextualSpacing/>
        <w:jc w:val="both"/>
      </w:pPr>
      <w:r w:rsidRPr="003B2D4B">
        <w:t xml:space="preserve">Minutes No. 5, dated April 28, 2017 </w:t>
      </w: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enacted</w:t>
      </w:r>
      <w:proofErr w:type="gramEnd"/>
      <w:r w:rsidRPr="003B2D4B">
        <w:t xml:space="preserve"> by HSE Directive 6.18.1-01/3005-21</w:t>
      </w:r>
      <w:r>
        <w:t xml:space="preserve"> </w:t>
      </w:r>
      <w:r w:rsidRPr="003B2D4B">
        <w:t>dated May 30, 2017</w:t>
      </w:r>
    </w:p>
    <w:p w:rsidR="00825D37" w:rsidRPr="003B2D4B" w:rsidRDefault="00825D37" w:rsidP="00825D37">
      <w:pPr>
        <w:ind w:left="5387" w:firstLine="709"/>
        <w:contextualSpacing/>
        <w:jc w:val="both"/>
      </w:pP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with</w:t>
      </w:r>
      <w:proofErr w:type="gramEnd"/>
      <w:r w:rsidRPr="003B2D4B">
        <w:t xml:space="preserve"> amendments approved by </w:t>
      </w: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the</w:t>
      </w:r>
      <w:proofErr w:type="gramEnd"/>
      <w:r w:rsidRPr="003B2D4B">
        <w:t xml:space="preserve"> HSE Academic Council</w:t>
      </w:r>
    </w:p>
    <w:p w:rsidR="00825D37" w:rsidRPr="003B2D4B" w:rsidRDefault="00825D37" w:rsidP="00825D37">
      <w:pPr>
        <w:ind w:left="5387"/>
        <w:contextualSpacing/>
        <w:jc w:val="both"/>
      </w:pPr>
      <w:r w:rsidRPr="003B2D4B">
        <w:t xml:space="preserve">Minutes No. 11, dated November 24, </w:t>
      </w:r>
      <w:r w:rsidRPr="00A65E66">
        <w:rPr>
          <w:noProof/>
        </w:rPr>
        <w:t>2017</w:t>
      </w:r>
      <w:r>
        <w:rPr>
          <w:noProof/>
        </w:rPr>
        <w:t>,</w:t>
      </w:r>
      <w:r w:rsidRPr="003B2D4B">
        <w:t xml:space="preserve"> enacted by HSE Directive 6.18.1-01/1312-07</w:t>
      </w:r>
      <w:r>
        <w:t xml:space="preserve"> </w:t>
      </w:r>
      <w:r w:rsidRPr="003B2D4B">
        <w:t>dated December 13, 2017</w:t>
      </w:r>
    </w:p>
    <w:p w:rsidR="00825D37" w:rsidRPr="003B2D4B" w:rsidRDefault="00825D37" w:rsidP="00825D37">
      <w:pPr>
        <w:ind w:left="5387" w:firstLine="709"/>
        <w:contextualSpacing/>
        <w:jc w:val="both"/>
      </w:pP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with</w:t>
      </w:r>
      <w:proofErr w:type="gramEnd"/>
      <w:r w:rsidRPr="003B2D4B">
        <w:t xml:space="preserve"> amendments approved by </w:t>
      </w:r>
    </w:p>
    <w:p w:rsidR="00825D37" w:rsidRPr="003B2D4B" w:rsidRDefault="00825D37" w:rsidP="00825D37">
      <w:pPr>
        <w:ind w:left="5387"/>
        <w:contextualSpacing/>
        <w:jc w:val="both"/>
      </w:pPr>
      <w:proofErr w:type="gramStart"/>
      <w:r w:rsidRPr="003B2D4B">
        <w:t>the</w:t>
      </w:r>
      <w:proofErr w:type="gramEnd"/>
      <w:r w:rsidRPr="003B2D4B">
        <w:t xml:space="preserve"> HSE Academic Council</w:t>
      </w:r>
    </w:p>
    <w:p w:rsidR="00825D37" w:rsidRPr="003B2D4B" w:rsidRDefault="00825D37" w:rsidP="00825D37">
      <w:pPr>
        <w:ind w:left="5387"/>
        <w:contextualSpacing/>
        <w:jc w:val="both"/>
      </w:pPr>
      <w:r w:rsidRPr="003B2D4B">
        <w:t xml:space="preserve">Minutes No. </w:t>
      </w:r>
      <w:r>
        <w:t>3</w:t>
      </w:r>
      <w:r w:rsidRPr="003B2D4B">
        <w:t xml:space="preserve">, dated </w:t>
      </w:r>
      <w:r>
        <w:t>April 19</w:t>
      </w:r>
      <w:r w:rsidRPr="003B2D4B">
        <w:t xml:space="preserve">, 2018 </w:t>
      </w:r>
    </w:p>
    <w:p w:rsidR="00825D37" w:rsidRPr="008D3131" w:rsidRDefault="00825D37" w:rsidP="00825D37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lang w:val="en-US"/>
        </w:rPr>
      </w:pPr>
      <w:proofErr w:type="gramStart"/>
      <w:r w:rsidRPr="003B2D4B">
        <w:t>enacted</w:t>
      </w:r>
      <w:proofErr w:type="gramEnd"/>
      <w:r w:rsidRPr="003B2D4B">
        <w:t xml:space="preserve"> by HSE Directive </w:t>
      </w:r>
      <w:r>
        <w:t xml:space="preserve"> </w:t>
      </w:r>
      <w:r w:rsidRPr="00FF6BA4">
        <w:t>6.18.1-01/1904-10</w:t>
      </w:r>
      <w:r>
        <w:rPr>
          <w:sz w:val="26"/>
          <w:szCs w:val="26"/>
        </w:rPr>
        <w:t xml:space="preserve"> </w:t>
      </w:r>
      <w:r w:rsidRPr="003B2D4B">
        <w:t xml:space="preserve">dated </w:t>
      </w:r>
      <w:r>
        <w:t>April</w:t>
      </w:r>
      <w:r w:rsidRPr="003B2D4B">
        <w:t xml:space="preserve"> 19, 2018</w:t>
      </w:r>
    </w:p>
    <w:p w:rsidR="00196FD0" w:rsidRPr="00825D37" w:rsidRDefault="00196FD0" w:rsidP="00196FD0">
      <w:pPr>
        <w:tabs>
          <w:tab w:val="left" w:pos="2490"/>
          <w:tab w:val="left" w:pos="4253"/>
        </w:tabs>
        <w:ind w:left="5387"/>
        <w:rPr>
          <w:bCs/>
          <w:sz w:val="26"/>
          <w:szCs w:val="26"/>
          <w:lang w:val="en-US"/>
        </w:rPr>
      </w:pPr>
    </w:p>
    <w:p w:rsidR="00196FD0" w:rsidRPr="003B75E2" w:rsidRDefault="00196FD0" w:rsidP="00196FD0">
      <w:pPr>
        <w:pStyle w:val="text"/>
        <w:spacing w:before="0" w:after="0"/>
        <w:ind w:firstLine="709"/>
        <w:rPr>
          <w:sz w:val="26"/>
          <w:szCs w:val="26"/>
        </w:rPr>
      </w:pPr>
    </w:p>
    <w:p w:rsidR="00196FD0" w:rsidRPr="003B75E2" w:rsidRDefault="00196FD0" w:rsidP="00196FD0">
      <w:pPr>
        <w:pStyle w:val="a7"/>
        <w:spacing w:before="0" w:after="0"/>
        <w:ind w:firstLine="709"/>
        <w:jc w:val="center"/>
        <w:rPr>
          <w:sz w:val="26"/>
          <w:szCs w:val="26"/>
        </w:rPr>
      </w:pPr>
      <w:r w:rsidRPr="003B75E2">
        <w:rPr>
          <w:sz w:val="26"/>
          <w:szCs w:val="26"/>
        </w:rPr>
        <w:t>Eligibility Criteria and Procedure of Competition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Scholarships for Sports Achievements</w:t>
      </w:r>
      <w:r w:rsidRPr="003B75E2">
        <w:rPr>
          <w:rStyle w:val="a5"/>
          <w:sz w:val="26"/>
          <w:szCs w:val="26"/>
        </w:rPr>
        <w:footnoteReference w:id="1"/>
      </w:r>
    </w:p>
    <w:p w:rsidR="00196FD0" w:rsidRPr="003B75E2" w:rsidRDefault="00196FD0" w:rsidP="00196FD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96FD0" w:rsidRPr="003B75E2" w:rsidRDefault="00196FD0" w:rsidP="00196FD0">
      <w:pPr>
        <w:pStyle w:val="a7"/>
        <w:spacing w:before="0" w:after="0"/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t xml:space="preserve">1. Increased state academic scholarships for </w:t>
      </w:r>
      <w:r>
        <w:rPr>
          <w:sz w:val="26"/>
          <w:szCs w:val="26"/>
        </w:rPr>
        <w:t xml:space="preserve">a </w:t>
      </w:r>
      <w:r w:rsidRPr="003B75E2">
        <w:rPr>
          <w:sz w:val="26"/>
          <w:szCs w:val="26"/>
        </w:rPr>
        <w:t xml:space="preserve">student’s sports achievements shall </w:t>
      </w:r>
      <w:r w:rsidR="00C9611B">
        <w:rPr>
          <w:sz w:val="26"/>
          <w:szCs w:val="26"/>
        </w:rPr>
        <w:t>b</w:t>
      </w:r>
      <w:r w:rsidRPr="003B75E2">
        <w:rPr>
          <w:sz w:val="26"/>
          <w:szCs w:val="26"/>
        </w:rPr>
        <w:t xml:space="preserve">e awarded in case such activities </w:t>
      </w:r>
      <w:r>
        <w:rPr>
          <w:sz w:val="26"/>
          <w:szCs w:val="26"/>
        </w:rPr>
        <w:t>meet 1 (</w:t>
      </w:r>
      <w:r w:rsidRPr="003B75E2">
        <w:rPr>
          <w:sz w:val="26"/>
          <w:szCs w:val="26"/>
        </w:rPr>
        <w:t>one</w:t>
      </w:r>
      <w:r>
        <w:rPr>
          <w:sz w:val="26"/>
          <w:szCs w:val="26"/>
        </w:rPr>
        <w:t>)</w:t>
      </w:r>
      <w:r w:rsidRPr="003B75E2">
        <w:rPr>
          <w:sz w:val="26"/>
          <w:szCs w:val="26"/>
        </w:rPr>
        <w:t xml:space="preserve"> or several of the following criteria:</w:t>
      </w:r>
    </w:p>
    <w:p w:rsidR="00196FD0" w:rsidRPr="003B75E2" w:rsidRDefault="00196FD0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a) if</w:t>
      </w:r>
      <w:r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during the </w:t>
      </w:r>
      <w:r w:rsidR="00E83008">
        <w:rPr>
          <w:sz w:val="26"/>
          <w:szCs w:val="26"/>
        </w:rPr>
        <w:t xml:space="preserve">previous </w:t>
      </w:r>
      <w:r w:rsidRPr="003B75E2">
        <w:rPr>
          <w:sz w:val="26"/>
          <w:szCs w:val="26"/>
        </w:rPr>
        <w:t>year</w:t>
      </w:r>
      <w:r w:rsidR="00C9611B">
        <w:rPr>
          <w:rStyle w:val="a5"/>
          <w:sz w:val="26"/>
          <w:szCs w:val="26"/>
        </w:rPr>
        <w:footnoteReference w:id="2"/>
      </w:r>
      <w:r w:rsidRPr="003B75E2">
        <w:rPr>
          <w:sz w:val="26"/>
          <w:szCs w:val="26"/>
        </w:rPr>
        <w:t xml:space="preserve">, the student received an award (prize) for sports achievements at international, </w:t>
      </w:r>
      <w:r w:rsidR="00E83008">
        <w:rPr>
          <w:sz w:val="26"/>
          <w:szCs w:val="26"/>
        </w:rPr>
        <w:t>nation</w:t>
      </w:r>
      <w:r w:rsidRPr="003B75E2">
        <w:rPr>
          <w:sz w:val="26"/>
          <w:szCs w:val="26"/>
        </w:rPr>
        <w:t xml:space="preserve">-wide, industry-specific or regional sports events, held </w:t>
      </w:r>
      <w:r>
        <w:rPr>
          <w:sz w:val="26"/>
          <w:szCs w:val="26"/>
        </w:rPr>
        <w:t xml:space="preserve">either </w:t>
      </w:r>
      <w:r w:rsidRPr="003B75E2">
        <w:rPr>
          <w:sz w:val="26"/>
          <w:szCs w:val="26"/>
        </w:rPr>
        <w:t>at HSE or other educational organizations engaged in physical training, sports and tourism, as well as</w:t>
      </w:r>
      <w:r>
        <w:rPr>
          <w:sz w:val="26"/>
          <w:szCs w:val="26"/>
        </w:rPr>
        <w:t xml:space="preserve"> any</w:t>
      </w:r>
      <w:r w:rsidRPr="003B75E2">
        <w:rPr>
          <w:sz w:val="26"/>
          <w:szCs w:val="26"/>
        </w:rPr>
        <w:t xml:space="preserve"> other organizations; </w:t>
      </w:r>
    </w:p>
    <w:p w:rsidR="00196FD0" w:rsidRPr="003B75E2" w:rsidRDefault="00196FD0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b) if</w:t>
      </w:r>
      <w:r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during the </w:t>
      </w:r>
      <w:r w:rsidR="00E83008">
        <w:rPr>
          <w:sz w:val="26"/>
          <w:szCs w:val="26"/>
        </w:rPr>
        <w:t xml:space="preserve">previous </w:t>
      </w:r>
      <w:r w:rsidRPr="003B75E2">
        <w:rPr>
          <w:sz w:val="26"/>
          <w:szCs w:val="26"/>
        </w:rPr>
        <w:t xml:space="preserve">year, the student took part in organizing (conducting) sports activities of </w:t>
      </w:r>
      <w:r>
        <w:rPr>
          <w:sz w:val="26"/>
          <w:szCs w:val="26"/>
        </w:rPr>
        <w:t xml:space="preserve">an </w:t>
      </w:r>
      <w:r w:rsidRPr="003B75E2">
        <w:rPr>
          <w:sz w:val="26"/>
          <w:szCs w:val="26"/>
        </w:rPr>
        <w:t xml:space="preserve">educational or </w:t>
      </w:r>
      <w:r>
        <w:rPr>
          <w:sz w:val="26"/>
          <w:szCs w:val="26"/>
        </w:rPr>
        <w:t>promotional</w:t>
      </w:r>
      <w:r w:rsidRPr="003B75E2">
        <w:rPr>
          <w:sz w:val="26"/>
          <w:szCs w:val="26"/>
        </w:rPr>
        <w:t xml:space="preserve"> nature, as well as </w:t>
      </w:r>
      <w:r>
        <w:rPr>
          <w:sz w:val="26"/>
          <w:szCs w:val="26"/>
        </w:rPr>
        <w:t xml:space="preserve">any </w:t>
      </w:r>
      <w:r w:rsidRPr="003B75E2">
        <w:rPr>
          <w:sz w:val="26"/>
          <w:szCs w:val="26"/>
        </w:rPr>
        <w:t xml:space="preserve">other socially important sports events, held at HSE and supported by the physical education department; </w:t>
      </w:r>
    </w:p>
    <w:p w:rsidR="00196FD0" w:rsidRPr="003B75E2" w:rsidRDefault="00196FD0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c) if the student</w:t>
      </w:r>
      <w:r>
        <w:rPr>
          <w:sz w:val="26"/>
          <w:szCs w:val="26"/>
        </w:rPr>
        <w:t xml:space="preserve"> meets the</w:t>
      </w:r>
      <w:r w:rsidRPr="003B75E2">
        <w:rPr>
          <w:sz w:val="26"/>
          <w:szCs w:val="26"/>
        </w:rPr>
        <w:t xml:space="preserve"> standards and requirements </w:t>
      </w:r>
      <w:r>
        <w:rPr>
          <w:sz w:val="26"/>
          <w:szCs w:val="26"/>
        </w:rPr>
        <w:t>for receiving the</w:t>
      </w:r>
      <w:r w:rsidRPr="003B75E2">
        <w:rPr>
          <w:sz w:val="26"/>
          <w:szCs w:val="26"/>
        </w:rPr>
        <w:t xml:space="preserve"> golden distinction badge of the All-Russian Physical Training and Sports Complex “Ready for Labour and Defen</w:t>
      </w:r>
      <w:r>
        <w:rPr>
          <w:sz w:val="26"/>
          <w:szCs w:val="26"/>
        </w:rPr>
        <w:t>c</w:t>
      </w:r>
      <w:r w:rsidRPr="003B75E2">
        <w:rPr>
          <w:sz w:val="26"/>
          <w:szCs w:val="26"/>
        </w:rPr>
        <w:t xml:space="preserve">e” (RLD) of the relevant age group as of the date </w:t>
      </w:r>
      <w:r w:rsidR="009E3760">
        <w:rPr>
          <w:sz w:val="26"/>
          <w:szCs w:val="26"/>
        </w:rPr>
        <w:t xml:space="preserve">of </w:t>
      </w:r>
      <w:r w:rsidR="006F180D">
        <w:rPr>
          <w:sz w:val="26"/>
          <w:szCs w:val="26"/>
        </w:rPr>
        <w:t xml:space="preserve">the </w:t>
      </w:r>
      <w:r w:rsidR="009E3760" w:rsidRPr="006F180D">
        <w:rPr>
          <w:noProof/>
          <w:sz w:val="26"/>
          <w:szCs w:val="26"/>
        </w:rPr>
        <w:t>competition</w:t>
      </w:r>
      <w:r w:rsidRPr="003B75E2">
        <w:rPr>
          <w:sz w:val="26"/>
          <w:szCs w:val="26"/>
        </w:rPr>
        <w:t xml:space="preserve">. </w:t>
      </w:r>
    </w:p>
    <w:p w:rsidR="009E56F4" w:rsidRDefault="00196FD0" w:rsidP="009E56F4">
      <w:pPr>
        <w:pStyle w:val="text"/>
        <w:spacing w:before="0" w:after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lastRenderedPageBreak/>
        <w:t xml:space="preserve">2. In order to take part in </w:t>
      </w:r>
      <w:r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 competition for increased academic scholarships</w:t>
      </w:r>
      <w:r>
        <w:rPr>
          <w:sz w:val="26"/>
          <w:szCs w:val="26"/>
        </w:rPr>
        <w:t xml:space="preserve"> for</w:t>
      </w:r>
      <w:r w:rsidR="009E3760">
        <w:rPr>
          <w:sz w:val="26"/>
          <w:szCs w:val="26"/>
        </w:rPr>
        <w:t xml:space="preserve"> s</w:t>
      </w:r>
      <w:r w:rsidRPr="003B75E2">
        <w:rPr>
          <w:sz w:val="26"/>
          <w:szCs w:val="26"/>
        </w:rPr>
        <w:t xml:space="preserve">ports achievements, </w:t>
      </w:r>
      <w:r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 candidate must submit documents confirming </w:t>
      </w:r>
      <w:r>
        <w:rPr>
          <w:sz w:val="26"/>
          <w:szCs w:val="26"/>
        </w:rPr>
        <w:t>his/her</w:t>
      </w:r>
      <w:r w:rsidRPr="003B75E2">
        <w:rPr>
          <w:sz w:val="26"/>
          <w:szCs w:val="26"/>
        </w:rPr>
        <w:t xml:space="preserve"> eligibility to tak</w:t>
      </w:r>
      <w:r>
        <w:rPr>
          <w:sz w:val="26"/>
          <w:szCs w:val="26"/>
        </w:rPr>
        <w:t>e</w:t>
      </w:r>
      <w:r w:rsidRPr="003B75E2">
        <w:rPr>
          <w:sz w:val="26"/>
          <w:szCs w:val="26"/>
        </w:rPr>
        <w:t xml:space="preserve"> part in the competition, as </w:t>
      </w:r>
      <w:r>
        <w:rPr>
          <w:sz w:val="26"/>
          <w:szCs w:val="26"/>
        </w:rPr>
        <w:t>specified in</w:t>
      </w:r>
      <w:r w:rsidRPr="003B75E2">
        <w:rPr>
          <w:sz w:val="26"/>
          <w:szCs w:val="26"/>
        </w:rPr>
        <w:t xml:space="preserve"> p. 1</w:t>
      </w:r>
      <w:r w:rsidR="009E3760">
        <w:rPr>
          <w:sz w:val="26"/>
          <w:szCs w:val="26"/>
        </w:rPr>
        <w:t xml:space="preserve"> hereof</w:t>
      </w:r>
      <w:r w:rsidRPr="003B75E2">
        <w:rPr>
          <w:sz w:val="26"/>
          <w:szCs w:val="26"/>
        </w:rPr>
        <w:t>.</w:t>
      </w:r>
    </w:p>
    <w:p w:rsidR="00196FD0" w:rsidRPr="003B75E2" w:rsidRDefault="00196FD0" w:rsidP="009E56F4">
      <w:pPr>
        <w:pStyle w:val="text"/>
        <w:spacing w:before="0" w:after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3. If </w:t>
      </w:r>
      <w:r>
        <w:rPr>
          <w:sz w:val="26"/>
          <w:szCs w:val="26"/>
        </w:rPr>
        <w:t>an</w:t>
      </w:r>
      <w:r w:rsidRPr="003B75E2">
        <w:rPr>
          <w:sz w:val="26"/>
          <w:szCs w:val="26"/>
        </w:rPr>
        <w:t xml:space="preserve"> increased state academic scholarship of this type </w:t>
      </w:r>
      <w:r>
        <w:rPr>
          <w:sz w:val="26"/>
          <w:szCs w:val="26"/>
        </w:rPr>
        <w:t>has already been</w:t>
      </w:r>
      <w:r w:rsidRPr="003B75E2">
        <w:rPr>
          <w:sz w:val="26"/>
          <w:szCs w:val="26"/>
        </w:rPr>
        <w:t xml:space="preserve"> awarded, the candidate cannot provide already submitted documents for taking part in other competitions for increased state academic scholarships for</w:t>
      </w:r>
      <w:r>
        <w:rPr>
          <w:sz w:val="26"/>
          <w:szCs w:val="26"/>
        </w:rPr>
        <w:t xml:space="preserve"> his/her</w:t>
      </w:r>
      <w:r w:rsidRPr="003B75E2">
        <w:rPr>
          <w:sz w:val="26"/>
          <w:szCs w:val="26"/>
        </w:rPr>
        <w:t xml:space="preserve"> sports achievements.</w:t>
      </w:r>
    </w:p>
    <w:p w:rsidR="00196FD0" w:rsidRPr="003B75E2" w:rsidRDefault="00196FD0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4. Increased scholarships for </w:t>
      </w:r>
      <w:r w:rsidR="009E56F4">
        <w:rPr>
          <w:sz w:val="26"/>
          <w:szCs w:val="26"/>
        </w:rPr>
        <w:t>outstanding</w:t>
      </w:r>
      <w:r w:rsidRPr="003B75E2">
        <w:rPr>
          <w:sz w:val="26"/>
          <w:szCs w:val="26"/>
        </w:rPr>
        <w:t xml:space="preserve"> sports achievements </w:t>
      </w:r>
      <w:r w:rsidR="009E3760">
        <w:rPr>
          <w:sz w:val="26"/>
          <w:szCs w:val="26"/>
        </w:rPr>
        <w:t>shall not be</w:t>
      </w:r>
      <w:r w:rsidRPr="003B75E2">
        <w:rPr>
          <w:sz w:val="26"/>
          <w:szCs w:val="26"/>
        </w:rPr>
        <w:t xml:space="preserve"> awarded to HSE students who </w:t>
      </w:r>
      <w:r w:rsidR="009E3760">
        <w:rPr>
          <w:sz w:val="26"/>
          <w:szCs w:val="26"/>
        </w:rPr>
        <w:t>are</w:t>
      </w:r>
      <w:r>
        <w:rPr>
          <w:sz w:val="26"/>
          <w:szCs w:val="26"/>
        </w:rPr>
        <w:t xml:space="preserve"> already </w:t>
      </w:r>
      <w:r w:rsidR="009E3760">
        <w:rPr>
          <w:sz w:val="26"/>
          <w:szCs w:val="26"/>
        </w:rPr>
        <w:t>receiving</w:t>
      </w:r>
      <w:r w:rsidRPr="003B75E2">
        <w:rPr>
          <w:sz w:val="26"/>
          <w:szCs w:val="26"/>
        </w:rPr>
        <w:t xml:space="preserve"> scholarships of the President of the Russian Federation</w:t>
      </w:r>
      <w:r>
        <w:rPr>
          <w:sz w:val="26"/>
          <w:szCs w:val="26"/>
        </w:rPr>
        <w:t xml:space="preserve">, </w:t>
      </w:r>
      <w:r w:rsidRPr="003B75E2">
        <w:rPr>
          <w:sz w:val="26"/>
          <w:szCs w:val="26"/>
        </w:rPr>
        <w:t xml:space="preserve">pursuant to </w:t>
      </w:r>
      <w:hyperlink r:id="rId8">
        <w:r w:rsidRPr="003B75E2">
          <w:rPr>
            <w:rStyle w:val="a6"/>
            <w:sz w:val="26"/>
            <w:szCs w:val="26"/>
          </w:rPr>
          <w:t>Directive</w:t>
        </w:r>
      </w:hyperlink>
      <w:r w:rsidRPr="003B75E2">
        <w:rPr>
          <w:sz w:val="26"/>
          <w:szCs w:val="26"/>
        </w:rPr>
        <w:t xml:space="preserve"> of the President of the Russian Federation No. 368</w:t>
      </w:r>
      <w:r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dated March 03, 2011 “On 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cholarships of the President of the Russian Federation </w:t>
      </w:r>
      <w:r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warded to </w:t>
      </w:r>
      <w:r>
        <w:rPr>
          <w:sz w:val="26"/>
          <w:szCs w:val="26"/>
        </w:rPr>
        <w:t>Athletes</w:t>
      </w:r>
      <w:r w:rsidRPr="003B75E2">
        <w:rPr>
          <w:sz w:val="26"/>
          <w:szCs w:val="26"/>
        </w:rPr>
        <w:t xml:space="preserve">, </w:t>
      </w:r>
      <w:r>
        <w:rPr>
          <w:sz w:val="26"/>
          <w:szCs w:val="26"/>
        </w:rPr>
        <w:t>T</w:t>
      </w:r>
      <w:r w:rsidRPr="003B75E2">
        <w:rPr>
          <w:sz w:val="26"/>
          <w:szCs w:val="26"/>
        </w:rPr>
        <w:t xml:space="preserve">rainers and </w:t>
      </w:r>
      <w:r>
        <w:rPr>
          <w:sz w:val="26"/>
          <w:szCs w:val="26"/>
        </w:rPr>
        <w:t>O</w:t>
      </w:r>
      <w:r w:rsidRPr="003B75E2">
        <w:rPr>
          <w:sz w:val="26"/>
          <w:szCs w:val="26"/>
        </w:rPr>
        <w:t xml:space="preserve">ther 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pecialists of 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>port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3B75E2">
        <w:rPr>
          <w:sz w:val="26"/>
          <w:szCs w:val="26"/>
        </w:rPr>
        <w:t xml:space="preserve">eams of the Russian Federation in 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>port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3B75E2">
        <w:rPr>
          <w:sz w:val="26"/>
          <w:szCs w:val="26"/>
        </w:rPr>
        <w:t xml:space="preserve">vents included in </w:t>
      </w:r>
      <w:r>
        <w:rPr>
          <w:sz w:val="26"/>
          <w:szCs w:val="26"/>
        </w:rPr>
        <w:t xml:space="preserve">the </w:t>
      </w:r>
      <w:r w:rsidR="00BF6F83">
        <w:rPr>
          <w:sz w:val="26"/>
          <w:szCs w:val="26"/>
        </w:rPr>
        <w:t>P</w:t>
      </w:r>
      <w:r w:rsidRPr="003B75E2">
        <w:rPr>
          <w:sz w:val="26"/>
          <w:szCs w:val="26"/>
        </w:rPr>
        <w:t xml:space="preserve">rogrammes of the Olympic Games, Paralympic Games and </w:t>
      </w:r>
      <w:proofErr w:type="spellStart"/>
      <w:r w:rsidRPr="003B75E2">
        <w:rPr>
          <w:sz w:val="26"/>
          <w:szCs w:val="26"/>
        </w:rPr>
        <w:t>Surdolympic</w:t>
      </w:r>
      <w:proofErr w:type="spellEnd"/>
      <w:r w:rsidRPr="003B75E2">
        <w:rPr>
          <w:sz w:val="26"/>
          <w:szCs w:val="26"/>
        </w:rPr>
        <w:t xml:space="preserve"> Games, and </w:t>
      </w:r>
      <w:r>
        <w:rPr>
          <w:sz w:val="26"/>
          <w:szCs w:val="26"/>
        </w:rPr>
        <w:t>C</w:t>
      </w:r>
      <w:r w:rsidRPr="003B75E2">
        <w:rPr>
          <w:sz w:val="26"/>
          <w:szCs w:val="26"/>
        </w:rPr>
        <w:t>hampions of the Olympic Games, Paralympic Games</w:t>
      </w:r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and </w:t>
      </w:r>
      <w:proofErr w:type="spellStart"/>
      <w:r w:rsidRPr="003B75E2">
        <w:rPr>
          <w:sz w:val="26"/>
          <w:szCs w:val="26"/>
        </w:rPr>
        <w:t>Surdolympic</w:t>
      </w:r>
      <w:proofErr w:type="spellEnd"/>
      <w:r w:rsidRPr="003B75E2">
        <w:rPr>
          <w:sz w:val="26"/>
          <w:szCs w:val="26"/>
        </w:rPr>
        <w:t xml:space="preserve"> Games.</w:t>
      </w:r>
      <w:r>
        <w:rPr>
          <w:sz w:val="26"/>
          <w:szCs w:val="26"/>
        </w:rPr>
        <w:t>”</w:t>
      </w:r>
    </w:p>
    <w:p w:rsidR="00196FD0" w:rsidRDefault="00196FD0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5. </w:t>
      </w:r>
      <w:r w:rsidR="00BF6F83">
        <w:rPr>
          <w:sz w:val="26"/>
          <w:szCs w:val="26"/>
        </w:rPr>
        <w:t>Evaluation c</w:t>
      </w:r>
      <w:r w:rsidRPr="003B75E2">
        <w:rPr>
          <w:sz w:val="26"/>
          <w:szCs w:val="26"/>
        </w:rPr>
        <w:t>riteria for candidate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awarded for sports achievements</w:t>
      </w:r>
      <w:r w:rsidR="00BF6F83">
        <w:rPr>
          <w:sz w:val="26"/>
          <w:szCs w:val="26"/>
        </w:rPr>
        <w:t xml:space="preserve"> are as follows:</w:t>
      </w:r>
    </w:p>
    <w:p w:rsidR="00BF6F83" w:rsidRPr="003B75E2" w:rsidRDefault="00BF6F83" w:rsidP="00196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955"/>
        <w:gridCol w:w="1134"/>
        <w:gridCol w:w="1277"/>
        <w:gridCol w:w="1134"/>
      </w:tblGrid>
      <w:tr w:rsidR="00196FD0" w:rsidRPr="003B75E2" w:rsidTr="00C155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BF6F83" w:rsidRDefault="00196FD0" w:rsidP="007B41E2">
            <w:pPr>
              <w:suppressAutoHyphens/>
              <w:ind w:firstLine="709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BF6F83">
              <w:rPr>
                <w:sz w:val="20"/>
                <w:szCs w:val="20"/>
              </w:rPr>
              <w:t>N</w:t>
            </w:r>
            <w:r w:rsidR="00BF6F83" w:rsidRPr="00BF6F83">
              <w:rPr>
                <w:sz w:val="20"/>
                <w:szCs w:val="20"/>
              </w:rPr>
              <w:t>N</w:t>
            </w:r>
            <w:r w:rsidRPr="00BF6F83">
              <w:rPr>
                <w:sz w:val="20"/>
                <w:szCs w:val="20"/>
              </w:rPr>
              <w:t>o</w:t>
            </w:r>
            <w:proofErr w:type="spellEnd"/>
            <w:r w:rsidRPr="00BF6F83">
              <w:rPr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Criteria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Scores</w:t>
            </w:r>
          </w:p>
        </w:tc>
      </w:tr>
      <w:tr w:rsidR="00196FD0" w:rsidRPr="003B75E2" w:rsidTr="00C1552B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</w:t>
            </w:r>
          </w:p>
          <w:p w:rsidR="00196FD0" w:rsidRPr="003B75E2" w:rsidRDefault="00196FD0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0" w:rsidRPr="003B75E2" w:rsidRDefault="00BF6F83" w:rsidP="007B41E2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Outstanding r</w:t>
            </w:r>
            <w:r w:rsidR="00196FD0" w:rsidRPr="003B75E2">
              <w:rPr>
                <w:sz w:val="26"/>
                <w:szCs w:val="26"/>
              </w:rPr>
              <w:t xml:space="preserve">esults </w:t>
            </w:r>
            <w:r>
              <w:rPr>
                <w:sz w:val="26"/>
                <w:szCs w:val="26"/>
              </w:rPr>
              <w:t xml:space="preserve">demonstrated </w:t>
            </w:r>
            <w:r w:rsidRPr="003B75E2">
              <w:rPr>
                <w:sz w:val="26"/>
                <w:szCs w:val="26"/>
              </w:rPr>
              <w:t xml:space="preserve">during the </w:t>
            </w:r>
            <w:r>
              <w:rPr>
                <w:sz w:val="26"/>
                <w:szCs w:val="26"/>
              </w:rPr>
              <w:t xml:space="preserve">previous </w:t>
            </w:r>
            <w:r w:rsidRPr="003B75E2">
              <w:rPr>
                <w:sz w:val="26"/>
                <w:szCs w:val="26"/>
              </w:rPr>
              <w:t xml:space="preserve">year </w:t>
            </w:r>
            <w:r>
              <w:rPr>
                <w:sz w:val="26"/>
                <w:szCs w:val="26"/>
              </w:rPr>
              <w:t>at</w:t>
            </w:r>
            <w:r w:rsidR="00196FD0" w:rsidRPr="003B75E2">
              <w:rPr>
                <w:sz w:val="26"/>
                <w:szCs w:val="26"/>
              </w:rPr>
              <w:t xml:space="preserve"> sports competitions/contests, held at HSE or </w:t>
            </w:r>
            <w:r w:rsidR="00196FD0">
              <w:rPr>
                <w:sz w:val="26"/>
                <w:szCs w:val="26"/>
              </w:rPr>
              <w:t>an</w:t>
            </w:r>
            <w:r w:rsidR="00196FD0" w:rsidRPr="003B75E2">
              <w:rPr>
                <w:sz w:val="26"/>
                <w:szCs w:val="26"/>
              </w:rPr>
              <w:t xml:space="preserve">other educational organization engaged in physical training, sports and tourism, as well as other organizations at the: </w:t>
            </w:r>
          </w:p>
          <w:p w:rsidR="00196FD0" w:rsidRPr="003B75E2" w:rsidRDefault="00196FD0" w:rsidP="007B41E2">
            <w:pPr>
              <w:jc w:val="both"/>
              <w:rPr>
                <w:sz w:val="26"/>
                <w:szCs w:val="26"/>
              </w:rPr>
            </w:pPr>
          </w:p>
          <w:p w:rsidR="00196FD0" w:rsidRPr="003B75E2" w:rsidRDefault="00196FD0" w:rsidP="007B41E2">
            <w:pPr>
              <w:jc w:val="both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– </w:t>
            </w:r>
            <w:r w:rsidR="00BF6F83">
              <w:rPr>
                <w:sz w:val="26"/>
                <w:szCs w:val="26"/>
              </w:rPr>
              <w:t xml:space="preserve">  </w:t>
            </w:r>
            <w:r w:rsidRPr="003B75E2">
              <w:rPr>
                <w:sz w:val="26"/>
                <w:szCs w:val="26"/>
              </w:rPr>
              <w:t xml:space="preserve">international or </w:t>
            </w:r>
            <w:r w:rsidR="00BF6F83">
              <w:rPr>
                <w:sz w:val="26"/>
                <w:szCs w:val="26"/>
              </w:rPr>
              <w:t>nation-</w:t>
            </w:r>
            <w:r w:rsidRPr="003B75E2">
              <w:rPr>
                <w:sz w:val="26"/>
                <w:szCs w:val="26"/>
              </w:rPr>
              <w:t>wide level</w:t>
            </w:r>
            <w:r w:rsidR="00C1552B">
              <w:rPr>
                <w:rStyle w:val="a5"/>
                <w:sz w:val="26"/>
                <w:szCs w:val="26"/>
              </w:rPr>
              <w:footnoteReference w:id="3"/>
            </w:r>
            <w:r>
              <w:rPr>
                <w:sz w:val="26"/>
                <w:szCs w:val="26"/>
              </w:rPr>
              <w:t>;</w:t>
            </w:r>
          </w:p>
          <w:p w:rsidR="00196FD0" w:rsidRPr="003B75E2" w:rsidRDefault="00196FD0" w:rsidP="007B41E2">
            <w:pPr>
              <w:jc w:val="both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– </w:t>
            </w:r>
            <w:r w:rsidR="00BF6F83">
              <w:rPr>
                <w:sz w:val="26"/>
                <w:szCs w:val="26"/>
              </w:rPr>
              <w:t xml:space="preserve">  </w:t>
            </w:r>
            <w:r w:rsidRPr="003B75E2">
              <w:rPr>
                <w:sz w:val="26"/>
                <w:szCs w:val="26"/>
              </w:rPr>
              <w:t>regional level</w:t>
            </w:r>
            <w:r w:rsidR="00C9611B">
              <w:rPr>
                <w:rStyle w:val="a5"/>
                <w:sz w:val="26"/>
                <w:szCs w:val="26"/>
              </w:rPr>
              <w:footnoteReference w:id="4"/>
            </w:r>
            <w:r w:rsidRPr="003B75E2">
              <w:rPr>
                <w:sz w:val="26"/>
                <w:szCs w:val="26"/>
              </w:rPr>
              <w:t>;</w:t>
            </w:r>
          </w:p>
          <w:p w:rsidR="00196FD0" w:rsidRPr="003B75E2" w:rsidRDefault="00196FD0" w:rsidP="007B41E2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– </w:t>
            </w:r>
            <w:proofErr w:type="gramStart"/>
            <w:r>
              <w:rPr>
                <w:sz w:val="26"/>
                <w:szCs w:val="26"/>
              </w:rPr>
              <w:t>at</w:t>
            </w:r>
            <w:proofErr w:type="gramEnd"/>
            <w:r w:rsidRPr="003B75E2">
              <w:rPr>
                <w:sz w:val="26"/>
                <w:szCs w:val="26"/>
              </w:rPr>
              <w:t xml:space="preserve"> the level of HSE, another university, or organi</w:t>
            </w:r>
            <w:r>
              <w:rPr>
                <w:sz w:val="26"/>
                <w:szCs w:val="26"/>
              </w:rPr>
              <w:t>z</w:t>
            </w:r>
            <w:r w:rsidRPr="003B75E2">
              <w:rPr>
                <w:sz w:val="26"/>
                <w:szCs w:val="26"/>
              </w:rPr>
              <w:t>ation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Winner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Prize-winner</w:t>
            </w:r>
          </w:p>
          <w:p w:rsidR="00196FD0" w:rsidRPr="003B75E2" w:rsidRDefault="00196FD0" w:rsidP="00BF6F83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(2</w:t>
            </w:r>
            <w:r w:rsidR="00BF6F83" w:rsidRPr="00BF6F83">
              <w:rPr>
                <w:sz w:val="26"/>
                <w:szCs w:val="26"/>
                <w:vertAlign w:val="superscript"/>
              </w:rPr>
              <w:t>nd</w:t>
            </w:r>
            <w:r w:rsidR="00BF6F83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or 3</w:t>
            </w:r>
            <w:r w:rsidR="00BF6F83" w:rsidRPr="00BF6F83">
              <w:rPr>
                <w:sz w:val="26"/>
                <w:szCs w:val="26"/>
                <w:vertAlign w:val="superscript"/>
              </w:rPr>
              <w:t>rd</w:t>
            </w:r>
            <w:r w:rsidR="00BF6F83">
              <w:rPr>
                <w:sz w:val="26"/>
                <w:szCs w:val="26"/>
              </w:rPr>
              <w:t xml:space="preserve"> place</w:t>
            </w:r>
            <w:r w:rsidRPr="003B75E2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Participant</w:t>
            </w:r>
          </w:p>
        </w:tc>
      </w:tr>
      <w:tr w:rsidR="00196FD0" w:rsidRPr="003B75E2" w:rsidTr="00C1552B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D0" w:rsidRPr="003B75E2" w:rsidRDefault="00196FD0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D0" w:rsidRPr="003B75E2" w:rsidRDefault="00196FD0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0" w:rsidRPr="003B75E2" w:rsidRDefault="00196FD0" w:rsidP="005712F5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:rsidR="005712F5" w:rsidRDefault="005712F5" w:rsidP="005712F5">
            <w:pPr>
              <w:jc w:val="center"/>
              <w:rPr>
                <w:sz w:val="26"/>
                <w:szCs w:val="26"/>
              </w:rPr>
            </w:pPr>
          </w:p>
          <w:p w:rsidR="00196FD0" w:rsidRPr="003B75E2" w:rsidRDefault="00196FD0" w:rsidP="005712F5">
            <w:pPr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50</w:t>
            </w:r>
          </w:p>
          <w:p w:rsidR="00196FD0" w:rsidRPr="003B75E2" w:rsidRDefault="00196FD0" w:rsidP="005712F5">
            <w:pPr>
              <w:ind w:hanging="108"/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30</w:t>
            </w:r>
          </w:p>
          <w:p w:rsidR="00196FD0" w:rsidRPr="003B75E2" w:rsidRDefault="00196FD0" w:rsidP="005712F5">
            <w:pPr>
              <w:ind w:hanging="108"/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20</w:t>
            </w:r>
          </w:p>
          <w:p w:rsidR="00196FD0" w:rsidRPr="003B75E2" w:rsidRDefault="00196FD0" w:rsidP="005712F5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0" w:rsidRPr="003B75E2" w:rsidRDefault="00196FD0" w:rsidP="005712F5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:rsidR="00196FD0" w:rsidRPr="003B75E2" w:rsidRDefault="00196FD0" w:rsidP="005712F5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196FD0" w:rsidRPr="003B75E2" w:rsidRDefault="00196FD0" w:rsidP="005712F5">
            <w:pPr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40</w:t>
            </w:r>
          </w:p>
          <w:p w:rsidR="00196FD0" w:rsidRPr="003B75E2" w:rsidRDefault="00196FD0" w:rsidP="005712F5">
            <w:pPr>
              <w:ind w:firstLine="34"/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20</w:t>
            </w:r>
          </w:p>
          <w:p w:rsidR="00196FD0" w:rsidRPr="003B75E2" w:rsidRDefault="00196FD0" w:rsidP="005712F5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0" w:rsidRPr="003B75E2" w:rsidRDefault="00196FD0" w:rsidP="005712F5">
            <w:pPr>
              <w:ind w:firstLine="34"/>
              <w:jc w:val="center"/>
              <w:rPr>
                <w:kern w:val="2"/>
                <w:sz w:val="26"/>
                <w:szCs w:val="26"/>
              </w:rPr>
            </w:pPr>
          </w:p>
          <w:p w:rsidR="00196FD0" w:rsidRPr="003B75E2" w:rsidRDefault="00196FD0" w:rsidP="005712F5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196FD0" w:rsidRPr="003B75E2" w:rsidRDefault="00196FD0" w:rsidP="005712F5">
            <w:pPr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30</w:t>
            </w:r>
          </w:p>
          <w:p w:rsidR="00196FD0" w:rsidRPr="003B75E2" w:rsidRDefault="00196FD0" w:rsidP="005712F5">
            <w:pPr>
              <w:ind w:firstLine="34"/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10</w:t>
            </w:r>
          </w:p>
          <w:p w:rsidR="00196FD0" w:rsidRPr="003B75E2" w:rsidRDefault="00196FD0" w:rsidP="005712F5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5</w:t>
            </w:r>
          </w:p>
        </w:tc>
      </w:tr>
      <w:tr w:rsidR="00196FD0" w:rsidRPr="003B75E2" w:rsidTr="00C155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</w:t>
            </w:r>
          </w:p>
          <w:p w:rsidR="00196FD0" w:rsidRPr="003B75E2" w:rsidRDefault="00196FD0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5712F5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A s</w:t>
            </w:r>
            <w:r w:rsidRPr="003B75E2">
              <w:rPr>
                <w:sz w:val="26"/>
                <w:szCs w:val="26"/>
              </w:rPr>
              <w:t xml:space="preserve">tudent’s </w:t>
            </w:r>
            <w:r w:rsidR="005712F5">
              <w:rPr>
                <w:sz w:val="26"/>
                <w:szCs w:val="26"/>
              </w:rPr>
              <w:t>regular</w:t>
            </w:r>
            <w:r w:rsidRPr="003B75E2">
              <w:rPr>
                <w:sz w:val="26"/>
                <w:szCs w:val="26"/>
              </w:rPr>
              <w:t xml:space="preserve"> participation in sports activities of</w:t>
            </w:r>
            <w:r>
              <w:rPr>
                <w:sz w:val="26"/>
                <w:szCs w:val="26"/>
              </w:rPr>
              <w:t xml:space="preserve"> an</w:t>
            </w:r>
            <w:r w:rsidRPr="003B75E2">
              <w:rPr>
                <w:sz w:val="26"/>
                <w:szCs w:val="26"/>
              </w:rPr>
              <w:t xml:space="preserve"> educational or </w:t>
            </w:r>
            <w:r>
              <w:rPr>
                <w:sz w:val="26"/>
                <w:szCs w:val="26"/>
              </w:rPr>
              <w:t>promotional</w:t>
            </w:r>
            <w:r w:rsidRPr="003B75E2">
              <w:rPr>
                <w:sz w:val="26"/>
                <w:szCs w:val="26"/>
              </w:rPr>
              <w:t xml:space="preserve"> nature, as well as other socially important sports events (on the recommendation of </w:t>
            </w:r>
            <w:r>
              <w:rPr>
                <w:sz w:val="26"/>
                <w:szCs w:val="26"/>
              </w:rPr>
              <w:t>a</w:t>
            </w:r>
            <w:r w:rsidRPr="003B75E2">
              <w:rPr>
                <w:sz w:val="26"/>
                <w:szCs w:val="26"/>
              </w:rPr>
              <w:t xml:space="preserve"> physical education department</w:t>
            </w:r>
            <w:r w:rsidR="005712F5">
              <w:rPr>
                <w:sz w:val="26"/>
                <w:szCs w:val="26"/>
              </w:rPr>
              <w:t xml:space="preserve"> of HSE Moscow campus or regional campuses</w:t>
            </w:r>
            <w:r w:rsidR="00C9611B">
              <w:rPr>
                <w:rStyle w:val="a5"/>
                <w:sz w:val="26"/>
                <w:szCs w:val="26"/>
              </w:rPr>
              <w:footnoteReference w:id="5"/>
            </w:r>
            <w:r w:rsidRPr="003B75E2">
              <w:rPr>
                <w:sz w:val="26"/>
                <w:szCs w:val="26"/>
              </w:rPr>
              <w:t xml:space="preserve">) during the </w:t>
            </w:r>
            <w:r w:rsidR="005712F5">
              <w:rPr>
                <w:sz w:val="26"/>
                <w:szCs w:val="26"/>
              </w:rPr>
              <w:t xml:space="preserve">previous </w:t>
            </w:r>
            <w:r w:rsidRPr="003B75E2">
              <w:rPr>
                <w:sz w:val="26"/>
                <w:szCs w:val="26"/>
              </w:rPr>
              <w:t>year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5</w:t>
            </w:r>
          </w:p>
        </w:tc>
      </w:tr>
      <w:tr w:rsidR="00196FD0" w:rsidRPr="003B75E2" w:rsidTr="00C155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</w:p>
          <w:p w:rsidR="00196FD0" w:rsidRPr="003B75E2" w:rsidRDefault="00196FD0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9E56F4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Compliance with</w:t>
            </w:r>
            <w:r w:rsidRPr="003B75E2">
              <w:rPr>
                <w:sz w:val="26"/>
                <w:szCs w:val="26"/>
              </w:rPr>
              <w:t xml:space="preserve"> standards and requirements </w:t>
            </w:r>
            <w:r>
              <w:rPr>
                <w:sz w:val="26"/>
                <w:szCs w:val="26"/>
              </w:rPr>
              <w:t>for the</w:t>
            </w:r>
            <w:r w:rsidRPr="003B75E2">
              <w:rPr>
                <w:sz w:val="26"/>
                <w:szCs w:val="26"/>
              </w:rPr>
              <w:t xml:space="preserve"> award of the golden distinction badge of the All-Russian Physical Training and Sports Complex “Ready for Labour and Defen</w:t>
            </w:r>
            <w:r>
              <w:rPr>
                <w:sz w:val="26"/>
                <w:szCs w:val="26"/>
              </w:rPr>
              <w:t>c</w:t>
            </w:r>
            <w:r w:rsidRPr="003B75E2">
              <w:rPr>
                <w:sz w:val="26"/>
                <w:szCs w:val="26"/>
              </w:rPr>
              <w:t xml:space="preserve">e” (RLD) </w:t>
            </w:r>
            <w:r>
              <w:rPr>
                <w:sz w:val="26"/>
                <w:szCs w:val="26"/>
              </w:rPr>
              <w:t>within</w:t>
            </w:r>
            <w:r w:rsidR="009E56F4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the</w:t>
            </w:r>
            <w:r w:rsidR="00405BAF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relevant age group as of the date </w:t>
            </w:r>
            <w:r w:rsidR="005712F5">
              <w:rPr>
                <w:sz w:val="26"/>
                <w:szCs w:val="26"/>
              </w:rPr>
              <w:t xml:space="preserve">of </w:t>
            </w:r>
            <w:r w:rsidR="006F180D">
              <w:rPr>
                <w:sz w:val="26"/>
                <w:szCs w:val="26"/>
              </w:rPr>
              <w:t xml:space="preserve">the </w:t>
            </w:r>
            <w:r w:rsidR="005712F5" w:rsidRPr="006F180D">
              <w:rPr>
                <w:noProof/>
                <w:sz w:val="26"/>
                <w:szCs w:val="26"/>
              </w:rPr>
              <w:t>competition</w:t>
            </w:r>
            <w:r w:rsidRPr="003B75E2">
              <w:rPr>
                <w:sz w:val="26"/>
                <w:szCs w:val="26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D0" w:rsidRPr="003B75E2" w:rsidRDefault="00196FD0" w:rsidP="007B41E2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5</w:t>
            </w:r>
          </w:p>
        </w:tc>
      </w:tr>
      <w:tr w:rsidR="005712F5" w:rsidRPr="003B75E2" w:rsidTr="00C155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F5" w:rsidRPr="003B75E2" w:rsidRDefault="005712F5" w:rsidP="007B41E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2B" w:rsidRPr="00C1552B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lastRenderedPageBreak/>
              <w:t xml:space="preserve">During the previous year at HSE, the student has been </w:t>
            </w:r>
            <w:r w:rsidRPr="00C1552B">
              <w:rPr>
                <w:sz w:val="26"/>
                <w:szCs w:val="26"/>
              </w:rPr>
              <w:lastRenderedPageBreak/>
              <w:t>granted one of the following ranks and titles:</w:t>
            </w:r>
          </w:p>
          <w:p w:rsidR="00C1552B" w:rsidRPr="00C1552B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t>- Master of Sports title, international level</w:t>
            </w:r>
          </w:p>
          <w:p w:rsidR="00C1552B" w:rsidRPr="00C1552B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t>- Master of Sports title</w:t>
            </w:r>
          </w:p>
          <w:p w:rsidR="00C1552B" w:rsidRPr="00C1552B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t xml:space="preserve">- Candidate </w:t>
            </w:r>
            <w:r w:rsidR="00405BAF">
              <w:rPr>
                <w:sz w:val="26"/>
                <w:szCs w:val="26"/>
              </w:rPr>
              <w:t>to</w:t>
            </w:r>
            <w:r w:rsidRPr="00C1552B">
              <w:rPr>
                <w:sz w:val="26"/>
                <w:szCs w:val="26"/>
              </w:rPr>
              <w:t xml:space="preserve"> Master of Sports title</w:t>
            </w:r>
          </w:p>
          <w:p w:rsidR="00C1552B" w:rsidRPr="00C1552B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t>- 1-4-class athletic titles</w:t>
            </w:r>
          </w:p>
          <w:p w:rsidR="005712F5" w:rsidRDefault="00C1552B" w:rsidP="00C1552B">
            <w:pPr>
              <w:suppressAutoHyphens/>
              <w:jc w:val="both"/>
              <w:rPr>
                <w:sz w:val="26"/>
                <w:szCs w:val="26"/>
              </w:rPr>
            </w:pPr>
            <w:r w:rsidRPr="00C1552B">
              <w:rPr>
                <w:sz w:val="26"/>
                <w:szCs w:val="26"/>
              </w:rPr>
              <w:t>- 1-3-class junior athletic titles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2B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:rsidR="00C1552B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</w:p>
          <w:p w:rsidR="00C1552B" w:rsidRPr="00D929C1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 w:rsidRPr="00D929C1">
              <w:rPr>
                <w:bCs/>
                <w:sz w:val="26"/>
                <w:szCs w:val="26"/>
              </w:rPr>
              <w:t>25</w:t>
            </w:r>
          </w:p>
          <w:p w:rsidR="00C1552B" w:rsidRPr="00D929C1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 w:rsidRPr="00D929C1">
              <w:rPr>
                <w:bCs/>
                <w:sz w:val="26"/>
                <w:szCs w:val="26"/>
              </w:rPr>
              <w:t>20</w:t>
            </w:r>
          </w:p>
          <w:p w:rsidR="00C1552B" w:rsidRPr="00D929C1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 w:rsidRPr="00D929C1">
              <w:rPr>
                <w:bCs/>
                <w:sz w:val="26"/>
                <w:szCs w:val="26"/>
              </w:rPr>
              <w:t>15</w:t>
            </w:r>
          </w:p>
          <w:p w:rsidR="00C1552B" w:rsidRPr="00D929C1" w:rsidRDefault="00C1552B" w:rsidP="00C1552B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Cs/>
                <w:sz w:val="26"/>
                <w:szCs w:val="26"/>
              </w:rPr>
            </w:pPr>
            <w:r w:rsidRPr="00D929C1">
              <w:rPr>
                <w:bCs/>
                <w:sz w:val="26"/>
                <w:szCs w:val="26"/>
              </w:rPr>
              <w:t>10</w:t>
            </w:r>
          </w:p>
          <w:p w:rsidR="005712F5" w:rsidRPr="003B75E2" w:rsidRDefault="00C1552B" w:rsidP="00C1552B">
            <w:pPr>
              <w:suppressAutoHyphens/>
              <w:jc w:val="center"/>
              <w:rPr>
                <w:sz w:val="26"/>
                <w:szCs w:val="26"/>
              </w:rPr>
            </w:pPr>
            <w:r w:rsidRPr="00D929C1">
              <w:rPr>
                <w:bCs/>
                <w:sz w:val="26"/>
                <w:szCs w:val="26"/>
              </w:rPr>
              <w:t>5</w:t>
            </w:r>
          </w:p>
        </w:tc>
      </w:tr>
      <w:tr w:rsidR="00C1552B" w:rsidRPr="003B75E2" w:rsidTr="00C155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2B" w:rsidRPr="003B75E2" w:rsidRDefault="00C1552B" w:rsidP="007B41E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2B" w:rsidRPr="00C1552B" w:rsidRDefault="00C1552B" w:rsidP="00C1552B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Regular</w:t>
            </w:r>
            <w:r w:rsidRPr="00C1552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participation</w:t>
            </w:r>
            <w:r w:rsidRPr="00C1552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in</w:t>
            </w:r>
            <w:r w:rsidRPr="00C1552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sports</w:t>
            </w:r>
            <w:r w:rsidRPr="00C1552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events</w:t>
            </w:r>
            <w:r w:rsidRPr="00C1552B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  <w:lang w:val="en-US"/>
              </w:rPr>
              <w:t>competitions, contests, championships, etc.) as a player on HSE sports team</w:t>
            </w:r>
            <w:r w:rsidR="00405BAF">
              <w:rPr>
                <w:bCs/>
                <w:sz w:val="26"/>
                <w:szCs w:val="26"/>
                <w:lang w:val="en-US"/>
              </w:rPr>
              <w:t>s</w:t>
            </w:r>
            <w:r w:rsidRPr="00C1552B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  <w:lang w:val="en-US"/>
              </w:rPr>
              <w:t>at least three times during the previous year</w:t>
            </w:r>
            <w:r w:rsidRPr="00C1552B">
              <w:rPr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2B" w:rsidRPr="00D929C1" w:rsidRDefault="00C1552B" w:rsidP="00DA08DB">
            <w:pPr>
              <w:jc w:val="center"/>
              <w:rPr>
                <w:sz w:val="26"/>
                <w:szCs w:val="26"/>
              </w:rPr>
            </w:pPr>
            <w:r w:rsidRPr="00D929C1">
              <w:rPr>
                <w:sz w:val="26"/>
                <w:szCs w:val="26"/>
              </w:rPr>
              <w:t>5</w:t>
            </w:r>
          </w:p>
        </w:tc>
      </w:tr>
    </w:tbl>
    <w:p w:rsidR="006D6120" w:rsidRDefault="006D6120"/>
    <w:sectPr w:rsidR="006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D0" w:rsidRDefault="00196FD0" w:rsidP="00196FD0">
      <w:r>
        <w:separator/>
      </w:r>
    </w:p>
  </w:endnote>
  <w:endnote w:type="continuationSeparator" w:id="0">
    <w:p w:rsidR="00196FD0" w:rsidRDefault="00196FD0" w:rsidP="001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D0" w:rsidRDefault="00196FD0" w:rsidP="00196FD0">
      <w:r>
        <w:separator/>
      </w:r>
    </w:p>
  </w:footnote>
  <w:footnote w:type="continuationSeparator" w:id="0">
    <w:p w:rsidR="00196FD0" w:rsidRDefault="00196FD0" w:rsidP="00196FD0">
      <w:r>
        <w:continuationSeparator/>
      </w:r>
    </w:p>
  </w:footnote>
  <w:footnote w:id="1">
    <w:p w:rsidR="00196FD0" w:rsidRPr="00E023EC" w:rsidRDefault="00196FD0" w:rsidP="00196FD0">
      <w:pPr>
        <w:pStyle w:val="a3"/>
        <w:jc w:val="both"/>
        <w:rPr>
          <w:sz w:val="26"/>
          <w:szCs w:val="26"/>
          <w:lang w:val="en-US"/>
        </w:rPr>
      </w:pPr>
      <w:r>
        <w:rPr>
          <w:rStyle w:val="a5"/>
        </w:rPr>
        <w:footnoteRef/>
      </w:r>
      <w:r>
        <w:t xml:space="preserve"> “Sports activities” refer to competitions organized according to the relevant rules for assessing physical and/or intellectual capabilities, including chess, </w:t>
      </w:r>
      <w:r w:rsidR="00E83008">
        <w:t xml:space="preserve">Go game, </w:t>
      </w:r>
      <w:r>
        <w:t>“</w:t>
      </w:r>
      <w:proofErr w:type="spellStart"/>
      <w:r>
        <w:t>Chto</w:t>
      </w:r>
      <w:proofErr w:type="spellEnd"/>
      <w:r>
        <w:t xml:space="preserve">? </w:t>
      </w:r>
      <w:proofErr w:type="spellStart"/>
      <w:proofErr w:type="gramStart"/>
      <w:r>
        <w:t>Gde</w:t>
      </w:r>
      <w:proofErr w:type="spellEnd"/>
      <w:r>
        <w:t>?</w:t>
      </w:r>
      <w:proofErr w:type="gramEnd"/>
      <w:r>
        <w:t xml:space="preserve"> </w:t>
      </w:r>
      <w:proofErr w:type="spellStart"/>
      <w:r>
        <w:t>Kogda</w:t>
      </w:r>
      <w:proofErr w:type="spellEnd"/>
      <w:r>
        <w:t xml:space="preserve">?” </w:t>
      </w:r>
      <w:r w:rsidR="00E83008">
        <w:t xml:space="preserve">game </w:t>
      </w:r>
      <w:r>
        <w:t>and cyber-sports activities</w:t>
      </w:r>
    </w:p>
  </w:footnote>
  <w:footnote w:id="2">
    <w:p w:rsidR="00C9611B" w:rsidRPr="00C9611B" w:rsidRDefault="00C9611B">
      <w:pPr>
        <w:pStyle w:val="a3"/>
      </w:pPr>
      <w:r>
        <w:rPr>
          <w:rStyle w:val="a5"/>
        </w:rPr>
        <w:footnoteRef/>
      </w:r>
      <w:r>
        <w:t xml:space="preserve"> For the purposes of this document, “previous year” refers to 365 days preceding the competition dates.</w:t>
      </w:r>
    </w:p>
  </w:footnote>
  <w:footnote w:id="3">
    <w:p w:rsidR="00C1552B" w:rsidRPr="00C1552B" w:rsidRDefault="00C1552B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 xml:space="preserve">Scores shall be assigned </w:t>
      </w:r>
      <w:r w:rsidR="00AD6058">
        <w:rPr>
          <w:lang w:val="en-US"/>
        </w:rPr>
        <w:t>for each result (at HSE Moscow campus).</w:t>
      </w:r>
    </w:p>
  </w:footnote>
  <w:footnote w:id="4">
    <w:p w:rsidR="00C9611B" w:rsidRPr="00C9611B" w:rsidRDefault="00C9611B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C9611B">
        <w:t xml:space="preserve">Scores shall be assigned for participation in the scheduled competitions held by </w:t>
      </w:r>
      <w:proofErr w:type="spellStart"/>
      <w:r w:rsidRPr="00C9611B">
        <w:t>Moskomsport</w:t>
      </w:r>
      <w:proofErr w:type="spellEnd"/>
      <w:r w:rsidRPr="00C9611B">
        <w:t xml:space="preserve"> and under the auspices of the Moscow regional branch of the "Russian Student Sports Union" (Moscow Student Sports Games.) Scores shall be assigned for each time a student has taken part in such event.</w:t>
      </w:r>
    </w:p>
  </w:footnote>
  <w:footnote w:id="5">
    <w:p w:rsidR="00C9611B" w:rsidRPr="00C9611B" w:rsidRDefault="00C9611B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For events recommended by the department, scores shall be assigned for each event.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DGysDAwMjc2NTVS0lEKTi0uzszPAykwqgUA5mIyzSwAAAA="/>
  </w:docVars>
  <w:rsids>
    <w:rsidRoot w:val="00196FD0"/>
    <w:rsid w:val="00196FD0"/>
    <w:rsid w:val="00405BAF"/>
    <w:rsid w:val="005712F5"/>
    <w:rsid w:val="006D6120"/>
    <w:rsid w:val="006F180D"/>
    <w:rsid w:val="00825D37"/>
    <w:rsid w:val="009E3760"/>
    <w:rsid w:val="009E56F4"/>
    <w:rsid w:val="00AD6058"/>
    <w:rsid w:val="00BF6F83"/>
    <w:rsid w:val="00C1552B"/>
    <w:rsid w:val="00C9611B"/>
    <w:rsid w:val="00E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96FD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96FD0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196FD0"/>
    <w:rPr>
      <w:rFonts w:cs="Times New Roman"/>
      <w:vertAlign w:val="superscript"/>
    </w:rPr>
  </w:style>
  <w:style w:type="character" w:styleId="a6">
    <w:name w:val="Hyperlink"/>
    <w:uiPriority w:val="99"/>
    <w:rsid w:val="00196FD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96FD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196F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96FD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96FD0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196FD0"/>
    <w:rPr>
      <w:rFonts w:cs="Times New Roman"/>
      <w:vertAlign w:val="superscript"/>
    </w:rPr>
  </w:style>
  <w:style w:type="character" w:styleId="a6">
    <w:name w:val="Hyperlink"/>
    <w:uiPriority w:val="99"/>
    <w:rsid w:val="00196FD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96FD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196F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0919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75E7-DC97-478F-8613-DE5D649F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Варвара Андреевна</dc:creator>
  <cp:lastModifiedBy>Скачкова Варвара Андреевна</cp:lastModifiedBy>
  <cp:revision>5</cp:revision>
  <dcterms:created xsi:type="dcterms:W3CDTF">2018-08-21T08:38:00Z</dcterms:created>
  <dcterms:modified xsi:type="dcterms:W3CDTF">2018-08-30T12:35:00Z</dcterms:modified>
</cp:coreProperties>
</file>