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auto" w:w="0"/>
        <w:tblLayout w:type="fixed"/>
        <w:tblLook w:val="00A0" w:noVBand="0" w:noHBand="0" w:lastColumn="0" w:firstColumn="1" w:lastRow="0" w:firstRow="1"/>
      </w:tblPr>
      <w:tblGrid>
        <w:gridCol w:w="10173"/>
        <w:gridCol w:w="4394"/>
      </w:tblGrid>
      <w:tr w:rsidTr="0008741F" w:rsidR="00AB7AD4" w:rsidRPr="007413B8">
        <w:tc>
          <w:tcPr>
            <w:tcW w:type="dxa" w:w="10173"/>
          </w:tcPr>
          <w:p w:rsidRDefault="00AB7AD4" w:rsidP="0008741F" w:rsidR="00AB7AD4" w:rsidRPr="007413B8">
            <w:pPr>
              <w:jc w:val="both"/>
              <w:outlineLvl w:val="2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4394"/>
          </w:tcPr>
          <w:p w:rsidRDefault="00AB7AD4" w:rsidP="0008741F" w:rsidR="00AB7AD4" w:rsidRPr="007413B8">
            <w:pPr>
              <w:jc w:val="both"/>
              <w:outlineLvl w:val="2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Приложение 3</w:t>
            </w:r>
          </w:p>
          <w:p w:rsidRDefault="00AB7AD4" w:rsidP="0008741F" w:rsidR="00AB7AD4" w:rsidRPr="007413B8">
            <w:pPr>
              <w:jc w:val="both"/>
              <w:outlineLvl w:val="2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к Правилам приёма на обучение</w:t>
            </w:r>
            <w:r w:rsidRPr="007413B8">
              <w:rPr>
                <w:rFonts w:cs="Times New Roman" w:hAnsi="Times New Roman" w:ascii="Times New Roman"/>
              </w:rPr>
              <w:t xml:space="preserve">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по образовательным программам высшего образования – программам подготовки научно-педагогических кадров в аспирантуре  Национального исследовательского университета «Высшая школа экономики» в 201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9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</w:tbl>
    <w:p w14:textId="30c01ff2" w14:paraId="30c01ff2" w:rsidRDefault="00AB7AD4" w:rsidP="00AB7AD4" w:rsidR="00AB7AD4" w:rsidRPr="00AB7AD4">
      <w:pPr>
        <w:spacing w:after="0"/>
        <w:jc w:val="center"/>
        <w15:collapsed w:val="false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Перечень образовательных программ подготовки научно-педагогических кадров в аспирантуре для поступающих в 201</w:t>
      </w:r>
      <w:r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9</w:t>
      </w: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 году</w:t>
      </w:r>
    </w:p>
    <w:p w:rsidRDefault="00AB7AD4" w:rsidP="00AB7AD4" w:rsidR="00AB7AD4" w:rsidRPr="007413B8">
      <w:pPr>
        <w:spacing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(НИУ ВШЭ-Санкт-Петербург)</w:t>
      </w:r>
    </w:p>
    <w:p w:rsidRDefault="00AB7AD4" w:rsidP="00AB7AD4" w:rsidR="00AB7AD4" w:rsidRPr="007413B8">
      <w:pPr>
        <w:spacing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</w:p>
    <w:tbl>
      <w:tblPr>
        <w:tblW w:type="dxa" w:w="14033"/>
        <w:tblInd w:type="dxa" w:w="278"/>
        <w:tblBorders>
          <w:top w:space="0" w:sz="6" w:color="000000" w:val="single"/>
          <w:left w:space="0" w:sz="6" w:color="000000" w:val="single"/>
          <w:bottom w:space="0" w:sz="6" w:color="000000" w:val="single"/>
          <w:right w:space="0" w:sz="6" w:color="000000" w:val="single"/>
        </w:tblBorders>
        <w:tblLayout w:type="fixed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2874"/>
        <w:gridCol w:w="3713"/>
        <w:gridCol w:w="3733"/>
        <w:gridCol w:w="3713"/>
      </w:tblGrid>
      <w:tr w:rsidTr="0008741F" w:rsidR="00AB7AD4" w:rsidRPr="007413B8">
        <w:trPr>
          <w:trHeight w:val="1146"/>
        </w:trPr>
        <w:tc>
          <w:tcPr>
            <w:tcW w:type="dxa" w:w="3902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themeFillTint="33" w:themeFill="text2" w:fill="C6D9F1" w:color="auto" w:val="clear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AB7AD4" w:rsidP="0008741F" w:rsidR="00AB7AD4" w:rsidRPr="007413B8">
            <w:pPr>
              <w:spacing w:after="84" w:beforeAutospacing="true" w:before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КОД, НАИМЕНОВАНИЕ НАПРАВЛЕНИЯ ПОДГОТОВКИ</w:t>
            </w:r>
          </w:p>
          <w:p w:rsidRDefault="00AB7AD4" w:rsidP="0008741F" w:rsidR="00AB7AD4" w:rsidRPr="007413B8">
            <w:pPr>
              <w:spacing w:after="84" w:beforeAutospacing="true" w:before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themeFillTint="33" w:themeFill="text2" w:fill="C6D9F1" w:color="auto" w:val="clear"/>
          </w:tcPr>
          <w:p w:rsidRDefault="00AB7AD4" w:rsidP="0008741F" w:rsidR="00AB7AD4" w:rsidRPr="007413B8">
            <w:pPr>
              <w:spacing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ОСНОВНАЯ ОБРАЗОВАТЕЛЬ-НАЯ ПРОГРАММА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themeFillTint="33" w:themeFill="text2" w:fill="C6D9F1" w:color="auto" w:val="clear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AB7AD4" w:rsidP="0008741F" w:rsidR="00AB7AD4" w:rsidRPr="007413B8">
            <w:pPr>
              <w:spacing w:after="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СООТВЕТСТВИЕ НАУЧНОЙ СПЕЦИАЛЬНОСТИ ПЛАНИРУЕМОЙ ДИССЕРТАЦИОННОЙ (НАУЧНО-ИССЛЕДОВАТЕЛЬСКОЙ) РАБОТЫ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shd w:themeFillTint="33" w:themeFill="text2" w:fill="C6D9F1" w:color="auto" w:val="clear"/>
          </w:tcPr>
          <w:p w:rsidRDefault="00AB7AD4" w:rsidP="0008741F" w:rsidR="00AB7AD4" w:rsidRPr="007413B8">
            <w:pPr>
              <w:spacing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КРИТЕРИИ ОТБОРА (ПРИОРИТЕТНОСТЬ ВСТУПИТЕЛЬНЫХ ИСПЫТАНИЙ) ДЛЯ ПОСТУПАЮЩИХ, НЕ НАБРАВШИХ ПРОХОДНОЙ БАЛЛ, НО УСПЕШНО ПРОШЕДШИХ ВСТУПИТЕЛЬНЫЕ ИСПЫТАНИЯ</w:t>
            </w:r>
          </w:p>
        </w:tc>
      </w:tr>
      <w:tr w:rsidTr="0008741F" w:rsidR="00AB7AD4" w:rsidRPr="007413B8">
        <w:tc>
          <w:tcPr>
            <w:tcW w:type="dxa" w:w="3902"/>
            <w:vMerge w:val="restart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01.06.01  Математика и механика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lineRule="auto" w:line="240" w:after="0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Математика и механика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AB7AD4" w:rsidP="0008741F" w:rsidR="00AB7AD4" w:rsidRPr="007413B8">
            <w:pPr>
              <w:spacing w:lineRule="auto" w:line="240" w:after="0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Вещественный, комплексный и функциональный анализ</w:t>
            </w:r>
          </w:p>
          <w:p w:rsidRDefault="00AB7AD4" w:rsidP="0008741F" w:rsidR="00AB7AD4" w:rsidRPr="007413B8">
            <w:pPr>
              <w:spacing w:lineRule="auto" w:line="240"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079"/>
            <w:vMerge w:val="restart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uppressAutoHyphens/>
              <w:spacing w:after="0"/>
              <w:contextualSpacing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1. Баллы за письменные работы.</w:t>
            </w:r>
          </w:p>
          <w:p w:rsidRDefault="00AB7AD4" w:rsidP="0008741F" w:rsidR="00AB7AD4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2. Баллы за рекомендации.</w:t>
            </w:r>
          </w:p>
          <w:p w:rsidRDefault="00AB7AD4" w:rsidP="0008741F" w:rsidR="00AB7AD4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3. Баллы за вторую часть собеседования.</w:t>
            </w:r>
          </w:p>
          <w:p w:rsidRDefault="00AB7AD4" w:rsidP="0008741F" w:rsidR="00AB7AD4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lastRenderedPageBreak/>
              <w:t xml:space="preserve">4. Оценка за CV.</w:t>
            </w:r>
          </w:p>
          <w:p w:rsidRDefault="00AB7AD4" w:rsidP="0008741F" w:rsidR="00AB7AD4" w:rsidRPr="007413B8">
            <w:pPr>
              <w:spacing w:after="0"/>
              <w:ind w:left="720"/>
              <w:contextualSpacing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08741F" w:rsidR="00AB7AD4" w:rsidRPr="007413B8">
        <w:tc>
          <w:tcPr>
            <w:tcW w:type="dxa" w:w="3902"/>
            <w:vMerge/>
            <w:tcBorders>
              <w:left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079"/>
            <w:tcBorders>
              <w:left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lineRule="auto" w:line="240" w:after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AB7AD4" w:rsidP="0008741F" w:rsidR="00AB7AD4" w:rsidRPr="007413B8">
            <w:pPr>
              <w:spacing w:lineRule="auto" w:line="240" w:after="0"/>
              <w:rPr>
                <w:rFonts w:hAnsi="Calibri" w:ascii="Calibri"/>
                <w:szCs w:val="21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Теория вероятностей и </w:t>
            </w:r>
            <w:r w:rsidRPr="007413B8">
              <w:rPr>
                <w:rFonts w:cs="Times New Roman" w:hAnsi="Times New Roman" w:ascii="Times New Roman"/>
                <w:sz w:val="24"/>
                <w:szCs w:val="24"/>
              </w:rPr>
              <w:lastRenderedPageBreak/>
              <w:t xml:space="preserve">математическая статистика</w:t>
            </w:r>
            <w:r w:rsidRPr="007413B8">
              <w:rPr>
                <w:rFonts w:hAnsi="Calibri" w:ascii="Calibri"/>
                <w:szCs w:val="21"/>
              </w:rPr>
              <w:t xml:space="preserve">.</w:t>
            </w:r>
          </w:p>
          <w:p w:rsidRDefault="00AB7AD4" w:rsidP="0008741F" w:rsidR="00AB7AD4" w:rsidRPr="007413B8">
            <w:pPr>
              <w:spacing w:lineRule="auto" w:line="240" w:after="0"/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5079"/>
            <w:vMerge/>
            <w:tcBorders>
              <w:left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ind w:left="720"/>
              <w:contextualSpacing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08741F" w:rsidR="00AB7AD4" w:rsidRPr="007413B8">
        <w:tc>
          <w:tcPr>
            <w:tcW w:type="dxa" w:w="3902"/>
            <w:vMerge w:val="restart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38.06.01 Экономика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сфера услуг)</w:t>
            </w:r>
          </w:p>
        </w:tc>
        <w:tc>
          <w:tcPr>
            <w:tcW w:type="dxa" w:w="5079"/>
            <w:vMerge w:val="restart"/>
            <w:tcBorders>
              <w:top w:space="0" w:sz="6" w:color="444444" w:val="single"/>
              <w:left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lineRule="auto" w:line="252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Баллы за собеседование</w:t>
            </w:r>
          </w:p>
          <w:p w:rsidRDefault="00AB7AD4" w:rsidP="0008741F" w:rsidR="00AB7AD4" w:rsidRPr="007413B8">
            <w:pPr>
              <w:spacing w:after="0"/>
              <w:contextualSpacing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Баллы за реферат</w:t>
            </w:r>
          </w:p>
        </w:tc>
      </w:tr>
      <w:tr w:rsidTr="0008741F" w:rsidR="00AB7AD4" w:rsidRPr="007413B8">
        <w:tc>
          <w:tcPr>
            <w:tcW w:type="dxa" w:w="3902"/>
            <w:vMerge/>
            <w:tcBorders>
              <w:left w:space="0" w:sz="6" w:color="444444" w:val="single"/>
              <w:right w:space="0" w:sz="6" w:color="444444" w:val="single"/>
            </w:tcBorders>
            <w:vAlign w:val="center"/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079"/>
            <w:tcBorders>
              <w:left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Математические и инструментальные методы экономики</w:t>
            </w:r>
          </w:p>
        </w:tc>
        <w:tc>
          <w:tcPr>
            <w:tcW w:type="dxa" w:w="5079"/>
            <w:vMerge/>
            <w:tcBorders>
              <w:left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08741F" w:rsidR="00AB7AD4" w:rsidRPr="007413B8">
        <w:tc>
          <w:tcPr>
            <w:tcW w:type="dxa" w:w="3902"/>
            <w:vMerge/>
            <w:tcBorders>
              <w:left w:space="0" w:sz="6" w:color="444444" w:val="single"/>
              <w:bottom w:space="0" w:sz="6" w:color="444444" w:val="single"/>
              <w:right w:space="0" w:sz="6" w:color="444444" w:val="single"/>
            </w:tcBorders>
            <w:vAlign w:val="center"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079"/>
            <w:tcBorders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Мировая экономика</w:t>
            </w:r>
          </w:p>
        </w:tc>
        <w:tc>
          <w:tcPr>
            <w:tcW w:type="dxa" w:w="5079"/>
            <w:vMerge/>
            <w:tcBorders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08741F" w:rsidR="00AB7AD4" w:rsidRPr="007413B8">
        <w:tc>
          <w:tcPr>
            <w:tcW w:type="dxa" w:w="3902"/>
            <w:tcBorders>
              <w:left w:space="0" w:sz="6" w:color="444444" w:val="single"/>
              <w:bottom w:space="0" w:sz="6" w:color="444444" w:val="single"/>
              <w:right w:space="0" w:sz="6" w:color="444444" w:val="single"/>
            </w:tcBorders>
            <w:vAlign w:val="center"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079"/>
            <w:tcBorders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Экономика и управление народным хозяйством  (по отраслям и сферам деятельности в т.ч. управление инновациями, логистика)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hAnsi="Times New Roman" w:ascii="Times New Roman"/>
                <w:sz w:val="20"/>
                <w:szCs w:val="20"/>
              </w:rPr>
              <w:t xml:space="preserve">1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. Баллы за собеседование.  </w:t>
            </w:r>
          </w:p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 за вступительный реферат / проект нового исследования не ниже 10 баллов. </w:t>
            </w:r>
          </w:p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 обучения в аспирантуре</w:t>
            </w:r>
          </w:p>
        </w:tc>
      </w:tr>
      <w:tr w:rsidTr="0008741F" w:rsidR="00AB7AD4" w:rsidRPr="007413B8">
        <w:tc>
          <w:tcPr>
            <w:tcW w:type="dxa" w:w="3902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39.06.01 Социологические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науки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Социологические науки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Социальная структура, социальные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институты и процессы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pStyle w:val="a3"/>
              <w:numPr>
                <w:ilvl w:val="0"/>
                <w:numId w:val="1"/>
              </w:numPr>
              <w:tabs>
                <w:tab w:pos="498" w:val="left"/>
              </w:tabs>
              <w:spacing w:after="0"/>
              <w:ind w:firstLine="0" w:left="215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Наличие публикаций по теме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предполагаемой области исследования в соответствии с избранным направлением подготовки </w:t>
            </w:r>
          </w:p>
          <w:p w:rsidRDefault="00AB7AD4" w:rsidP="0008741F" w:rsidR="00AB7AD4" w:rsidRPr="007413B8">
            <w:pPr>
              <w:pStyle w:val="a3"/>
              <w:numPr>
                <w:ilvl w:val="0"/>
                <w:numId w:val="1"/>
              </w:numPr>
              <w:tabs>
                <w:tab w:pos="498" w:val="left"/>
              </w:tabs>
              <w:spacing w:after="0"/>
              <w:ind w:firstLine="0" w:left="215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рекомендации ГЭК по итогам защиты ВКР</w:t>
            </w:r>
          </w:p>
          <w:p w:rsidRDefault="00AB7AD4" w:rsidP="0008741F" w:rsidR="00AB7AD4" w:rsidRPr="007413B8">
            <w:pPr>
              <w:pStyle w:val="a3"/>
              <w:numPr>
                <w:ilvl w:val="0"/>
                <w:numId w:val="1"/>
              </w:numPr>
              <w:tabs>
                <w:tab w:pos="498" w:val="left"/>
              </w:tabs>
              <w:spacing w:after="0"/>
              <w:ind w:firstLine="0" w:left="215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дипломов победителя в конкурсах научных работ студентов и/или молодых ученых</w:t>
            </w:r>
          </w:p>
        </w:tc>
      </w:tr>
      <w:tr w:rsidTr="0008741F" w:rsidR="00AB7AD4" w:rsidRPr="007413B8">
        <w:tc>
          <w:tcPr>
            <w:tcW w:type="dxa" w:w="3902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41.06.01 Политические науки и регионоведение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Политические науки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Политические институты, процессы и технологии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pStyle w:val="a3"/>
              <w:numPr>
                <w:ilvl w:val="0"/>
                <w:numId w:val="2"/>
              </w:numPr>
              <w:spacing w:after="0"/>
              <w:ind w:firstLine="0" w:left="215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Баллы за research proposal </w:t>
            </w:r>
          </w:p>
          <w:p w:rsidRDefault="00AB7AD4" w:rsidP="0008741F" w:rsidR="00AB7AD4" w:rsidRPr="007413B8">
            <w:pPr>
              <w:pStyle w:val="a3"/>
              <w:numPr>
                <w:ilvl w:val="0"/>
                <w:numId w:val="2"/>
              </w:numPr>
              <w:spacing w:after="0"/>
              <w:ind w:firstLine="0" w:left="215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Баллы за реферат (обзор литературы по предполагаемой проблеме исследования)</w:t>
            </w:r>
          </w:p>
          <w:p w:rsidRDefault="00AB7AD4" w:rsidP="0008741F" w:rsidR="00AB7AD4" w:rsidRPr="007413B8">
            <w:pPr>
              <w:pStyle w:val="a3"/>
              <w:numPr>
                <w:ilvl w:val="0"/>
                <w:numId w:val="2"/>
              </w:numPr>
              <w:spacing w:after="0"/>
              <w:ind w:firstLine="0" w:left="215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публикаций по теме предполагаемой области исследования в соответствии с избранным направлением подготовки</w:t>
            </w:r>
          </w:p>
        </w:tc>
      </w:tr>
      <w:tr w:rsidTr="0008741F" w:rsidR="00AB7AD4" w:rsidRPr="007413B8">
        <w:tc>
          <w:tcPr>
            <w:tcW w:type="dxa" w:w="3902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46.06.01 Исторические науки и археология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Исторические науки 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Отечественная история</w:t>
            </w:r>
          </w:p>
        </w:tc>
        <w:tc>
          <w:tcPr>
            <w:tcW w:type="dxa" w:w="5079"/>
            <w:tcBorders>
              <w:top w:space="0" w:sz="6" w:color="444444" w:val="single"/>
              <w:left w:space="0" w:sz="6" w:color="444444" w:val="single"/>
              <w:bottom w:space="0" w:sz="6" w:color="444444" w:val="single"/>
              <w:right w:space="0" w:sz="6" w:color="444444" w:val="single"/>
            </w:tcBorders>
          </w:tcPr>
          <w:p w:rsidRDefault="00AB7AD4" w:rsidP="0008741F" w:rsidR="00AB7AD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публикаций по теме предполагаемой области исследования в соответствии с избранным направлением подготовки</w:t>
            </w:r>
          </w:p>
        </w:tc>
      </w:tr>
    </w:tbl>
    <w:p w:rsidRDefault="00FE4E60" w:rsidR="00FE4E60">
      <w:bookmarkStart w:name="_GoBack" w:id="0"/>
      <w:bookmarkEnd w:id="0"/>
    </w:p>
    <w:sectPr w:rsidSect="00AB7AD4" w:rsidR="00FE4E60">
      <w:headerReference w:type="default" r:id="rId8"/>
      <w:pgSz w:orient="landscape" w:h="11906" w:w="16838"/>
      <w:pgMar w:gutter="0" w:footer="708" w:header="708" w:left="1134" w:bottom="850" w:right="1134" w:top="17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B3" w:rsidRDefault="002B01B3" w:rsidP="00AB7AD4">
      <w:pPr>
        <w:spacing w:after="0" w:line="240" w:lineRule="auto"/>
      </w:pPr>
      <w:r>
        <w:separator/>
      </w:r>
    </w:p>
  </w:endnote>
  <w:endnote w:type="continuationSeparator" w:id="0">
    <w:p w:rsidR="002B01B3" w:rsidRDefault="002B01B3" w:rsidP="00AB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B3" w:rsidRDefault="002B01B3" w:rsidP="00AB7AD4">
      <w:pPr>
        <w:spacing w:after="0" w:line="240" w:lineRule="auto"/>
      </w:pPr>
      <w:r>
        <w:separator/>
      </w:r>
    </w:p>
  </w:footnote>
  <w:footnote w:type="continuationSeparator" w:id="0">
    <w:p w:rsidR="002B01B3" w:rsidRDefault="002B01B3" w:rsidP="00AB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81891"/>
      <w:docPartObj>
        <w:docPartGallery w:val="Page Numbers (Top of Page)"/>
        <w:docPartUnique/>
      </w:docPartObj>
    </w:sdtPr>
    <w:sdtContent>
      <w:p w:rsidR="00AB7AD4" w:rsidRDefault="00AB7A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B7AD4" w:rsidRDefault="00AB7A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6482"/>
    <w:multiLevelType w:val="hybridMultilevel"/>
    <w:tmpl w:val="683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75AF"/>
    <w:multiLevelType w:val="hybridMultilevel"/>
    <w:tmpl w:val="980A2576"/>
    <w:lvl w:ilvl="0" w:tplc="4ECC4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D4"/>
    <w:rsid w:val="002B01B3"/>
    <w:rsid w:val="00AB7AD4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AD4"/>
  </w:style>
  <w:style w:type="paragraph" w:styleId="a6">
    <w:name w:val="footer"/>
    <w:basedOn w:val="a"/>
    <w:link w:val="a7"/>
    <w:uiPriority w:val="99"/>
    <w:unhideWhenUsed/>
    <w:rsid w:val="00AB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AD4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B7AD4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AB7AD4"/>
    <w:pPr>
      <w:ind w:left="720"/>
      <w:contextualSpacing/>
    </w:pPr>
  </w:style>
  <w:style w:styleId="a4" w:type="paragraph">
    <w:name w:val="header"/>
    <w:basedOn w:val="a"/>
    <w:link w:val="a5"/>
    <w:uiPriority w:val="99"/>
    <w:unhideWhenUsed/>
    <w:rsid w:val="00AB7AD4"/>
    <w:pPr>
      <w:tabs>
        <w:tab w:pos="4677" w:val="center"/>
        <w:tab w:pos="9355" w:val="right"/>
      </w:tabs>
      <w:spacing w:after="0" w:line="240" w:lineRule="auto"/>
    </w:pPr>
  </w:style>
  <w:style w:customStyle="1" w:styleId="a5" w:type="character">
    <w:name w:val="Верхний колонтитул Знак"/>
    <w:basedOn w:val="a0"/>
    <w:link w:val="a4"/>
    <w:uiPriority w:val="99"/>
    <w:rsid w:val="00AB7AD4"/>
  </w:style>
  <w:style w:styleId="a6" w:type="paragraph">
    <w:name w:val="footer"/>
    <w:basedOn w:val="a"/>
    <w:link w:val="a7"/>
    <w:uiPriority w:val="99"/>
    <w:unhideWhenUsed/>
    <w:rsid w:val="00AB7AD4"/>
    <w:pPr>
      <w:tabs>
        <w:tab w:pos="4677" w:val="center"/>
        <w:tab w:pos="9355" w:val="right"/>
      </w:tabs>
      <w:spacing w:after="0" w:line="240" w:lineRule="auto"/>
    </w:pPr>
  </w:style>
  <w:style w:customStyle="1" w:styleId="a7" w:type="character">
    <w:name w:val="Нижний колонтитул Знак"/>
    <w:basedOn w:val="a0"/>
    <w:link w:val="a6"/>
    <w:uiPriority w:val="99"/>
    <w:rsid w:val="00AB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2018-10-05T11:48:00Z</dcterms:created>
  <dcterms:modified xsi:type="dcterms:W3CDTF">2018-10-05T11:50:00Z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Гурьянова О.И.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координации подгото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2018/10/5-452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Правил приема на обучение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2019 году 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