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7bd33f" w14:paraId="347bd33f" w:rsidRDefault="006A42AF" w:rsidP="00F71FD3" w:rsidR="00F71FD3" w:rsidRPr="0044608B">
      <w:pPr>
        <w:spacing w:lineRule="auto" w:line="360"/>
        <w:jc w:val="right"/>
        <w15:collapsed w:val="false"/>
      </w:pPr>
      <w:r w:rsidRPr="0044608B">
        <w:t xml:space="preserve">Приложение </w:t>
      </w:r>
      <w:r w:rsidR="00391F0D" w:rsidRPr="0044608B">
        <w:t xml:space="preserve">2</w:t>
      </w:r>
      <w:r w:rsidR="00F71FD3" w:rsidRPr="0044608B">
        <w:t xml:space="preserve"> </w:t>
      </w:r>
      <w:r w:rsidR="00BF4091" w:rsidRPr="0044608B">
        <w:t xml:space="preserve">к </w:t>
      </w:r>
      <w:bookmarkStart w:name="_GoBack" w:id="0"/>
      <w:bookmarkEnd w:id="0"/>
      <w:r w:rsidR="00BF4091" w:rsidRPr="0044608B">
        <w:t xml:space="preserve">заявке на финансирование</w:t>
      </w:r>
    </w:p>
    <w:p w:rsidRDefault="00F71FD3" w:rsidP="00F71FD3" w:rsidR="00F71FD3" w:rsidRPr="00F71FD3">
      <w:pPr>
        <w:spacing w:lineRule="auto" w:line="360"/>
        <w:jc w:val="right"/>
        <w:rPr>
          <w:i/>
          <w:sz w:val="22"/>
          <w:szCs w:val="22"/>
        </w:rPr>
      </w:pPr>
    </w:p>
    <w:p w:rsidRDefault="002C28A8" w:rsidP="005A058D" w:rsidR="002C28A8" w:rsidRPr="005A058D">
      <w:pPr>
        <w:jc w:val="center"/>
        <w:rPr>
          <w:b/>
          <w:sz w:val="26"/>
          <w:szCs w:val="26"/>
        </w:rPr>
      </w:pPr>
      <w:r w:rsidRPr="005A058D">
        <w:rPr>
          <w:b/>
          <w:sz w:val="26"/>
          <w:szCs w:val="26"/>
        </w:rPr>
        <w:t xml:space="preserve">К</w:t>
      </w:r>
      <w:r w:rsidR="00F71FD3" w:rsidRPr="005A058D">
        <w:rPr>
          <w:b/>
          <w:sz w:val="26"/>
          <w:szCs w:val="26"/>
        </w:rPr>
        <w:t xml:space="preserve">ритери</w:t>
      </w:r>
      <w:r w:rsidRPr="005A058D">
        <w:rPr>
          <w:b/>
          <w:sz w:val="26"/>
          <w:szCs w:val="26"/>
        </w:rPr>
        <w:t xml:space="preserve">и</w:t>
      </w:r>
      <w:r w:rsidR="00F71FD3" w:rsidRPr="005A058D">
        <w:rPr>
          <w:b/>
          <w:sz w:val="26"/>
          <w:szCs w:val="26"/>
        </w:rPr>
        <w:t xml:space="preserve"> оценки результативности проектов</w:t>
      </w:r>
      <w:r w:rsidRPr="005A058D">
        <w:rPr>
          <w:b/>
          <w:sz w:val="26"/>
          <w:szCs w:val="26"/>
        </w:rPr>
        <w:t xml:space="preserve"> Программы «Фонд развития прикладных исследований </w:t>
      </w:r>
    </w:p>
    <w:p w:rsidRDefault="002C28A8" w:rsidP="005A058D" w:rsidR="002C28A8" w:rsidRPr="005A058D">
      <w:pPr>
        <w:jc w:val="center"/>
        <w:rPr>
          <w:b/>
          <w:sz w:val="26"/>
          <w:szCs w:val="26"/>
        </w:rPr>
      </w:pPr>
      <w:proofErr w:type="gramStart"/>
      <w:r w:rsidRPr="005A058D">
        <w:rPr>
          <w:b/>
          <w:sz w:val="26"/>
          <w:szCs w:val="26"/>
        </w:rPr>
        <w:t xml:space="preserve">Национального</w:t>
      </w:r>
      <w:proofErr w:type="gramEnd"/>
      <w:r w:rsidRPr="005A058D">
        <w:rPr>
          <w:b/>
          <w:sz w:val="26"/>
          <w:szCs w:val="26"/>
        </w:rPr>
        <w:t xml:space="preserve"> исследовательского университета «Высшая школа экономики»</w:t>
      </w:r>
    </w:p>
    <w:p w:rsidRDefault="00F71FD3" w:rsidP="00F71FD3" w:rsidR="00F71FD3" w:rsidRPr="00142AC9">
      <w:pPr>
        <w:spacing w:lineRule="auto" w:line="360"/>
        <w:ind w:firstLine="708"/>
        <w:jc w:val="both"/>
        <w:rPr>
          <w:color w:val="000000"/>
          <w:sz w:val="26"/>
          <w:szCs w:val="26"/>
        </w:rPr>
      </w:pPr>
    </w:p>
    <w:tbl>
      <w:tblPr>
        <w:tblW w:type="dxa" w:w="14992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478"/>
        <w:gridCol w:w="2966"/>
        <w:gridCol w:w="6900"/>
        <w:gridCol w:w="4648"/>
      </w:tblGrid>
      <w:tr w:rsidTr="005A058D" w:rsidR="005A058D" w:rsidRPr="00B51B3C">
        <w:trPr>
          <w:trHeight w:val="355"/>
          <w:tblHeader/>
        </w:trPr>
        <w:tc>
          <w:tcPr>
            <w:tcW w:type="dxa" w:w="392"/>
            <w:shd w:fill="auto" w:color="auto" w:val="clear"/>
            <w:vAlign w:val="center"/>
          </w:tcPr>
          <w:p w:rsidRDefault="005A058D" w:rsidP="005A058D" w:rsidR="005A058D" w:rsidRPr="008C0F8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</w:t>
            </w:r>
          </w:p>
        </w:tc>
        <w:tc>
          <w:tcPr>
            <w:tcW w:type="dxa" w:w="2977"/>
            <w:shd w:fill="auto" w:color="auto" w:val="clear"/>
            <w:vAlign w:val="center"/>
          </w:tcPr>
          <w:p w:rsidRDefault="005A058D" w:rsidP="005A058D" w:rsidR="005A058D" w:rsidRPr="008C0F8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Направление</w:t>
            </w:r>
          </w:p>
        </w:tc>
        <w:tc>
          <w:tcPr>
            <w:tcW w:type="dxa" w:w="6945"/>
          </w:tcPr>
          <w:p w:rsidRDefault="005A058D" w:rsidP="005A058D" w:rsidR="005A05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Описание проектов</w:t>
            </w:r>
          </w:p>
        </w:tc>
        <w:tc>
          <w:tcPr>
            <w:tcW w:type="dxa" w:w="4678"/>
            <w:shd w:fill="auto" w:color="auto" w:val="clear"/>
            <w:vAlign w:val="center"/>
          </w:tcPr>
          <w:p w:rsidRDefault="005A058D" w:rsidP="005A058D" w:rsidR="005A058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Критерии оценки</w:t>
            </w:r>
          </w:p>
        </w:tc>
      </w:tr>
      <w:tr w:rsidTr="005A058D" w:rsidR="002C28A8" w:rsidRPr="00B51B3C">
        <w:tc>
          <w:tcPr>
            <w:tcW w:type="dxa" w:w="392"/>
            <w:shd w:fill="auto" w:color="auto" w:val="clear"/>
            <w:vAlign w:val="center"/>
          </w:tcPr>
          <w:p w:rsidRDefault="002C28A8" w:rsidP="005A058D" w:rsidR="002C28A8" w:rsidRPr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t xml:space="preserve">1</w:t>
            </w:r>
          </w:p>
        </w:tc>
        <w:tc>
          <w:tcPr>
            <w:tcW w:type="dxa" w:w="2977"/>
            <w:shd w:fill="auto" w:color="auto" w:val="clear"/>
            <w:vAlign w:val="center"/>
          </w:tcPr>
          <w:p w:rsidRDefault="002C28A8" w:rsidP="005A058D" w:rsidR="002C28A8" w:rsidRPr="005A058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A058D">
              <w:rPr>
                <w:color w:val="000000"/>
                <w:sz w:val="26"/>
                <w:szCs w:val="26"/>
              </w:rPr>
              <w:t xml:space="preserve">Предпроектные</w:t>
            </w:r>
            <w:proofErr w:type="spellEnd"/>
            <w:r w:rsidRPr="005A058D">
              <w:rPr>
                <w:color w:val="000000"/>
                <w:sz w:val="26"/>
                <w:szCs w:val="26"/>
              </w:rPr>
              <w:t xml:space="preserve"> исследования в </w:t>
            </w:r>
            <w:proofErr w:type="gramStart"/>
            <w:r w:rsidRPr="005A058D">
              <w:rPr>
                <w:color w:val="000000"/>
                <w:sz w:val="26"/>
                <w:szCs w:val="26"/>
              </w:rPr>
              <w:t xml:space="preserve">целях</w:t>
            </w:r>
            <w:proofErr w:type="gramEnd"/>
            <w:r w:rsidRPr="005A058D">
              <w:rPr>
                <w:color w:val="000000"/>
                <w:sz w:val="26"/>
                <w:szCs w:val="26"/>
              </w:rPr>
              <w:t xml:space="preserve"> создания научных заделов</w:t>
            </w:r>
          </w:p>
          <w:p w:rsidRDefault="002C28A8" w:rsidP="005A058D" w:rsidR="002C28A8" w:rsidRPr="005A058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6945"/>
          </w:tcPr>
          <w:p w:rsidRDefault="005A058D" w:rsidP="005A058D" w:rsidR="005A058D" w:rsidRPr="005A058D">
            <w:pPr>
              <w:pStyle w:val="a3"/>
              <w:numPr>
                <w:ilvl w:val="0"/>
                <w:numId w:val="20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Задельные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проекты, имеющие значительный рыночный потенциал и выполняемые на инициативной основе (в </w:t>
            </w: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т.ч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. специализированные эмпирические исследования)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 w:rsidRPr="005A058D">
            <w:pPr>
              <w:pStyle w:val="a3"/>
              <w:numPr>
                <w:ilvl w:val="0"/>
                <w:numId w:val="20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Проекты по </w:t>
            </w: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кастомизации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имеющегося опыта и наработок под спрос перспективных заказчиков (в </w:t>
            </w: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т.ч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. корпоративных и региональных)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20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Небольшие и срочные исследования в интересах органов власти (в </w:t>
            </w: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т.ч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. Администрации Президента, Правительства РФ, Государственной думы, Совета Федерации), имеющие потенциал для последующих внешних заказов (вне плана работы Дирекции ЭАР)</w:t>
            </w:r>
            <w:proofErr w:type="gramEnd"/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  <w:tc>
          <w:tcPr>
            <w:tcW w:type="dxa" w:w="4678"/>
            <w:shd w:fill="auto" w:color="auto" w:val="clear"/>
          </w:tcPr>
          <w:p w:rsidRDefault="005A058D" w:rsidP="005A058D" w:rsidR="00C45455" w:rsidRPr="005A058D">
            <w:pPr>
              <w:pStyle w:val="a3"/>
              <w:numPr>
                <w:ilvl w:val="0"/>
                <w:numId w:val="19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Объем средств, поступивших из внешних источников в течение 2-х лет после окончания проектов, получивших поддержку в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рамках</w:t>
            </w:r>
            <w:proofErr w:type="gram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ФРПИ. Показатель должен не менее чем в 3 раза превышать объем финансирования проекта из средств ФРПИ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</w:tr>
      <w:tr w:rsidTr="005A058D" w:rsidR="002C28A8" w:rsidRPr="00B51B3C">
        <w:tc>
          <w:tcPr>
            <w:tcW w:type="dxa" w:w="392"/>
            <w:shd w:fill="auto" w:color="auto" w:val="clear"/>
            <w:vAlign w:val="center"/>
          </w:tcPr>
          <w:p w:rsidRDefault="005A058D" w:rsidP="005A058D" w:rsidR="005A058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Default="005A058D" w:rsidP="005A058D" w:rsidR="005A058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Default="005A058D" w:rsidP="005A058D" w:rsidR="005A058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Default="002C28A8" w:rsidP="005A058D" w:rsidR="002C28A8" w:rsidRPr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t xml:space="preserve">2</w:t>
            </w:r>
          </w:p>
        </w:tc>
        <w:tc>
          <w:tcPr>
            <w:tcW w:type="dxa" w:w="2977"/>
            <w:shd w:fill="auto" w:color="auto" w:val="clear"/>
            <w:vAlign w:val="center"/>
          </w:tcPr>
          <w:p w:rsidRDefault="005A058D" w:rsidP="005A058D" w:rsidR="005A058D">
            <w:pPr>
              <w:jc w:val="both"/>
              <w:rPr>
                <w:color w:val="000000"/>
                <w:sz w:val="26"/>
                <w:szCs w:val="26"/>
              </w:rPr>
            </w:pPr>
          </w:p>
          <w:p w:rsidRDefault="005A058D" w:rsidP="005A058D" w:rsidR="005A058D">
            <w:pPr>
              <w:jc w:val="both"/>
              <w:rPr>
                <w:color w:val="000000"/>
                <w:sz w:val="26"/>
                <w:szCs w:val="26"/>
              </w:rPr>
            </w:pPr>
          </w:p>
          <w:p w:rsidRDefault="005A058D" w:rsidP="005A058D" w:rsidR="005A058D">
            <w:pPr>
              <w:jc w:val="both"/>
              <w:rPr>
                <w:color w:val="000000"/>
                <w:sz w:val="26"/>
                <w:szCs w:val="26"/>
              </w:rPr>
            </w:pPr>
          </w:p>
          <w:p w:rsidRDefault="002C28A8" w:rsidP="005A058D" w:rsidR="002C28A8" w:rsidRPr="005A058D">
            <w:pPr>
              <w:jc w:val="both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t xml:space="preserve">Развитие новых научных компетенций</w:t>
            </w:r>
          </w:p>
        </w:tc>
        <w:tc>
          <w:tcPr>
            <w:tcW w:type="dxa" w:w="6945"/>
          </w:tcPr>
          <w:p w:rsidRDefault="005A058D" w:rsidP="005A058D" w:rsidR="005A058D" w:rsidRPr="005A058D">
            <w:pPr>
              <w:pStyle w:val="a3"/>
              <w:numPr>
                <w:ilvl w:val="0"/>
                <w:numId w:val="21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Проекты по новым для университета направлениям, в </w:t>
            </w: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т.ч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. с привлечением высококвалифицированных внешних исполнителей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 w:rsidRPr="005A058D">
            <w:pPr>
              <w:pStyle w:val="a3"/>
              <w:numPr>
                <w:ilvl w:val="0"/>
                <w:numId w:val="21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Стартовое финансирование (авансирование) новых коллективов на возвратной основе</w:t>
            </w:r>
          </w:p>
          <w:p w:rsidRDefault="005A058D" w:rsidP="005A058D" w:rsidR="005A058D" w:rsidRPr="005A058D">
            <w:pPr>
              <w:pStyle w:val="a3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21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lastRenderedPageBreak/>
              <w:t xml:space="preserve">Комплексные (междисциплинарные) инициативные проекты по новым, стратегически важным для ВШЭ направлениям исследований, имеющие рыночные перспективы и реализуемые с участием нескольких подразделений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  <w:tc>
          <w:tcPr>
            <w:tcW w:type="dxa" w:w="4678"/>
            <w:shd w:fill="auto" w:color="auto" w:val="clear"/>
          </w:tcPr>
          <w:p w:rsidRDefault="005A058D" w:rsidP="005A058D" w:rsidR="00C45455" w:rsidRPr="005A058D">
            <w:pPr>
              <w:pStyle w:val="a3"/>
              <w:numPr>
                <w:ilvl w:val="0"/>
                <w:numId w:val="18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lastRenderedPageBreak/>
              <w:t xml:space="preserve">Объем средств по новым направлениям, поступивших из внешних источников в течение 2-х лет после окончания проектов, получивших поддержку в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рамках</w:t>
            </w:r>
            <w:proofErr w:type="gram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ФРПИ. Показатель должен не менее чем в 3 раза превышать объем финансирования проекта из средств </w:t>
            </w: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lastRenderedPageBreak/>
              <w:t xml:space="preserve">ФРПИ</w:t>
            </w:r>
          </w:p>
          <w:p w:rsidRDefault="005A058D" w:rsidP="005A058D" w:rsidR="005A058D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18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Возникновение новых направлений исследований в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портфеле</w:t>
            </w:r>
            <w:proofErr w:type="gram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НИР университета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</w:tr>
      <w:tr w:rsidTr="005A058D" w:rsidR="002C28A8" w:rsidRPr="00B51B3C">
        <w:tc>
          <w:tcPr>
            <w:tcW w:type="dxa" w:w="392"/>
            <w:shd w:fill="auto" w:color="auto" w:val="clear"/>
            <w:vAlign w:val="center"/>
          </w:tcPr>
          <w:p w:rsidRDefault="002C28A8" w:rsidP="005A058D" w:rsidR="002C28A8" w:rsidRPr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lastRenderedPageBreak/>
              <w:t xml:space="preserve">3</w:t>
            </w:r>
          </w:p>
        </w:tc>
        <w:tc>
          <w:tcPr>
            <w:tcW w:type="dxa" w:w="2977"/>
            <w:shd w:fill="auto" w:color="auto" w:val="clear"/>
            <w:vAlign w:val="center"/>
          </w:tcPr>
          <w:p w:rsidRDefault="002C28A8" w:rsidP="005A058D" w:rsidR="002C28A8" w:rsidRPr="005A058D">
            <w:pPr>
              <w:jc w:val="both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t xml:space="preserve">Анализ и прогнозирование рынков ПНИР</w:t>
            </w:r>
          </w:p>
        </w:tc>
        <w:tc>
          <w:tcPr>
            <w:tcW w:type="dxa" w:w="6945"/>
          </w:tcPr>
          <w:p w:rsidRDefault="005A058D" w:rsidP="005A058D" w:rsidR="005A058D" w:rsidRPr="005A058D">
            <w:pPr>
              <w:pStyle w:val="a3"/>
              <w:numPr>
                <w:ilvl w:val="0"/>
                <w:numId w:val="22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Маркетинговые исследования рынка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прикладных</w:t>
            </w:r>
            <w:proofErr w:type="gram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исследований (направления, заказчики)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22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Анализ и прогноз новых потенциальных рынков прикладных исследований и разработок, в том числе региональных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  <w:tc>
          <w:tcPr>
            <w:tcW w:type="dxa" w:w="4678"/>
            <w:shd w:fill="auto" w:color="auto" w:val="clear"/>
          </w:tcPr>
          <w:p w:rsidRDefault="005A058D" w:rsidP="005A058D" w:rsidR="00C45455" w:rsidRPr="005A058D">
            <w:pPr>
              <w:pStyle w:val="a3"/>
              <w:numPr>
                <w:ilvl w:val="0"/>
                <w:numId w:val="17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Получение доходов от соответствующих направлений прикладных НИР в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объеме</w:t>
            </w:r>
            <w:proofErr w:type="gram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не менее 10-кратного превышения стоимости маркетингового исследования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</w:tr>
      <w:tr w:rsidTr="005A058D" w:rsidR="002C28A8" w:rsidRPr="00B51B3C">
        <w:tc>
          <w:tcPr>
            <w:tcW w:type="dxa" w:w="392"/>
            <w:shd w:fill="auto" w:color="auto" w:val="clear"/>
            <w:vAlign w:val="center"/>
          </w:tcPr>
          <w:p w:rsidRDefault="002C28A8" w:rsidP="005A058D" w:rsidR="002C28A8" w:rsidRPr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t xml:space="preserve">4</w:t>
            </w:r>
          </w:p>
        </w:tc>
        <w:tc>
          <w:tcPr>
            <w:tcW w:type="dxa" w:w="2977"/>
            <w:shd w:fill="auto" w:color="auto" w:val="clear"/>
            <w:vAlign w:val="center"/>
          </w:tcPr>
          <w:p w:rsidRDefault="002C28A8" w:rsidP="005A058D" w:rsidR="002C28A8" w:rsidRPr="005A058D">
            <w:pPr>
              <w:jc w:val="both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t xml:space="preserve">Кадровое укрепление прикладной науки и экспертно-аналитической деятельности</w:t>
            </w:r>
          </w:p>
        </w:tc>
        <w:tc>
          <w:tcPr>
            <w:tcW w:type="dxa" w:w="6945"/>
          </w:tcPr>
          <w:p w:rsidRDefault="005A058D" w:rsidP="005A058D" w:rsidR="005A058D" w:rsidRPr="005A058D">
            <w:pPr>
              <w:pStyle w:val="a3"/>
              <w:numPr>
                <w:ilvl w:val="0"/>
                <w:numId w:val="23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Программа кадрового резерва для сферы прикладных НИР и экспертно-аналитической деятельности (в рамках Прог</w:t>
            </w:r>
            <w:r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раммы кадрового резерва НИУ ВШЭ)</w:t>
            </w:r>
          </w:p>
          <w:p w:rsidRDefault="005A058D" w:rsidP="005A058D" w:rsidR="005A058D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 w:rsidRPr="005A058D">
            <w:pPr>
              <w:pStyle w:val="a3"/>
              <w:numPr>
                <w:ilvl w:val="0"/>
                <w:numId w:val="23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Софинансирование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расходов подразделений на привлечение студентов и аспиран</w:t>
            </w:r>
            <w:r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тов на выполнение прикладных НИР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 w:rsidRPr="005A058D">
            <w:pPr>
              <w:pStyle w:val="a3"/>
              <w:numPr>
                <w:ilvl w:val="0"/>
                <w:numId w:val="23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Стартовые гранты для выпускников НИУ ВШЭ, ориентированных на трудоустройство в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сегменте</w:t>
            </w:r>
            <w:proofErr w:type="gram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прикладных НИР и экспертно-аналитической деятельности в НИУ ВШЭ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 w:rsidRPr="005A058D">
            <w:pPr>
              <w:pStyle w:val="a3"/>
              <w:numPr>
                <w:ilvl w:val="0"/>
                <w:numId w:val="23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Повышение квалификации научных работников и экспертов на основе проведения регулярных специализированных семинаров и тренингов (в </w:t>
            </w: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т.ч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. </w:t>
            </w: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lastRenderedPageBreak/>
              <w:t xml:space="preserve">мероприятия по развитию компетенций по «упаковке» и продаже интеллектуальных продуктов, подготовке презентаций, управлению научными проектами и пр.)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23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Авансирование на возвратной основе приглашения в университет высококвалифицированных научных работников и экспертов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  <w:tc>
          <w:tcPr>
            <w:tcW w:type="dxa" w:w="4678"/>
            <w:shd w:fill="auto" w:color="auto" w:val="clear"/>
          </w:tcPr>
          <w:p w:rsidRDefault="005A058D" w:rsidP="005A058D" w:rsidR="00C45455" w:rsidRPr="005A058D">
            <w:pPr>
              <w:pStyle w:val="a3"/>
              <w:numPr>
                <w:ilvl w:val="0"/>
                <w:numId w:val="15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lastRenderedPageBreak/>
              <w:t xml:space="preserve">Численность </w:t>
            </w:r>
            <w:r w:rsidR="0089361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работников</w:t>
            </w: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, принявших участие в Программе кадрового резерва (для прикладных НИР) и прошедших повышение квалификации на спец. семинарах и тренингах</w:t>
            </w:r>
            <w:proofErr w:type="gramEnd"/>
          </w:p>
          <w:p w:rsidRDefault="005A058D" w:rsidP="005A058D" w:rsidR="005A058D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15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Численность студентов и аспирантов, привлекаемых к выполнению ПНИР на платной основе</w:t>
            </w:r>
          </w:p>
          <w:p w:rsidRDefault="005A058D" w:rsidP="005A058D" w:rsidR="005A058D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15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Объем прикладных НИР, выполненных под руководством или при непосредственном участии новых </w:t>
            </w:r>
            <w:r w:rsidR="0089361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работников</w:t>
            </w:r>
            <w:r w:rsidR="0089361D"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</w:t>
            </w: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за последующие 3 года после выделения средств ФРПИ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</w:tr>
      <w:tr w:rsidTr="005A058D" w:rsidR="002C28A8" w:rsidRPr="00B51B3C">
        <w:tc>
          <w:tcPr>
            <w:tcW w:type="dxa" w:w="392"/>
            <w:shd w:fill="auto" w:color="auto" w:val="clear"/>
            <w:vAlign w:val="center"/>
          </w:tcPr>
          <w:p w:rsidRDefault="002C28A8" w:rsidP="005A058D" w:rsidR="002C28A8" w:rsidRPr="005A058D">
            <w:pPr>
              <w:jc w:val="center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lastRenderedPageBreak/>
              <w:t xml:space="preserve">5</w:t>
            </w:r>
          </w:p>
        </w:tc>
        <w:tc>
          <w:tcPr>
            <w:tcW w:type="dxa" w:w="2977"/>
            <w:shd w:fill="auto" w:color="auto" w:val="clear"/>
            <w:vAlign w:val="center"/>
          </w:tcPr>
          <w:p w:rsidRDefault="002C28A8" w:rsidP="005A058D" w:rsidR="002C28A8" w:rsidRPr="005A058D">
            <w:pPr>
              <w:jc w:val="both"/>
              <w:rPr>
                <w:color w:val="000000"/>
                <w:sz w:val="26"/>
                <w:szCs w:val="26"/>
              </w:rPr>
            </w:pPr>
            <w:r w:rsidRPr="005A058D">
              <w:rPr>
                <w:color w:val="000000"/>
                <w:sz w:val="26"/>
                <w:szCs w:val="26"/>
              </w:rPr>
              <w:t xml:space="preserve">Продвижение результатов ПНИР</w:t>
            </w:r>
          </w:p>
        </w:tc>
        <w:tc>
          <w:tcPr>
            <w:tcW w:type="dxa" w:w="6945"/>
          </w:tcPr>
          <w:p w:rsidRDefault="005A058D" w:rsidP="005A058D" w:rsidR="005A058D" w:rsidRPr="005A058D">
            <w:pPr>
              <w:pStyle w:val="a3"/>
              <w:numPr>
                <w:ilvl w:val="0"/>
                <w:numId w:val="24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proofErr w:type="spell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Имиджевые</w:t>
            </w:r>
            <w:proofErr w:type="spell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(брендовые) проекты, основанные на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результатах</w:t>
            </w:r>
            <w:proofErr w:type="gram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прикладных НИР и имеющие значимые публичные эффекты для университета (рейтинги, мониторинги и т.д.)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 w:rsidRPr="005A058D">
            <w:pPr>
              <w:pStyle w:val="a3"/>
              <w:numPr>
                <w:ilvl w:val="0"/>
                <w:numId w:val="24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Подготовка научных, информационно-аналитических и деловых публикаций по результатам прикладных НИР</w:t>
            </w:r>
          </w:p>
          <w:p w:rsidRDefault="005A058D" w:rsidP="005A058D" w:rsid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5A058D" w:rsidRPr="005A058D">
            <w:pPr>
              <w:pStyle w:val="a3"/>
              <w:numPr>
                <w:ilvl w:val="0"/>
                <w:numId w:val="24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Организация и проведение научных конференций и семинаров по результатам выполненных прикладных НИР</w:t>
            </w:r>
          </w:p>
          <w:p w:rsidRDefault="005A058D" w:rsidP="005A058D" w:rsidR="005A058D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24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Разработка информационных продуктов, предназначенных для продвижения результатов прикладных НИР (информационные базы, электронные каталоги, справочники, буклеты, сайты, форумы и т.д.)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  <w:tc>
          <w:tcPr>
            <w:tcW w:type="dxa" w:w="4678"/>
            <w:shd w:fill="auto" w:color="auto" w:val="clear"/>
          </w:tcPr>
          <w:p w:rsidRDefault="005A058D" w:rsidP="005A058D" w:rsidR="00C45455" w:rsidRPr="005A058D">
            <w:pPr>
              <w:pStyle w:val="a3"/>
              <w:numPr>
                <w:ilvl w:val="0"/>
                <w:numId w:val="13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Объем средств, поступивших из внешних источников в течение 2-х лет после окончания проектов, получивших поддержку в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рамках</w:t>
            </w:r>
            <w:proofErr w:type="gramEnd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 Программы ФРПИ. Показатель должен не менее чем в 3 раза превышать объем финансирования из средств ФРПИ</w:t>
            </w:r>
          </w:p>
          <w:p w:rsidRDefault="005A058D" w:rsidP="005A058D" w:rsidR="005A058D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13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Число публикаций в научных и деловых </w:t>
            </w:r>
            <w:proofErr w:type="gramStart"/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изданиях</w:t>
            </w:r>
            <w:proofErr w:type="gramEnd"/>
          </w:p>
          <w:p w:rsidRDefault="005A058D" w:rsidP="005A058D" w:rsidR="005A058D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</w:p>
          <w:p w:rsidRDefault="005A058D" w:rsidP="005A058D" w:rsidR="00C45455" w:rsidRPr="005A058D">
            <w:pPr>
              <w:pStyle w:val="a3"/>
              <w:numPr>
                <w:ilvl w:val="0"/>
                <w:numId w:val="13"/>
              </w:numPr>
              <w:tabs>
                <w:tab w:pos="248" w:val="left"/>
              </w:tabs>
              <w:spacing w:lineRule="auto" w:line="240" w:after="0"/>
              <w:ind w:firstLine="0" w:left="0"/>
              <w:jc w:val="both"/>
              <w:rPr>
                <w:rFonts w:hAnsi="Times New Roman" w:ascii="Times New Roman"/>
                <w:color w:val="000000"/>
                <w:sz w:val="26"/>
                <w:szCs w:val="26"/>
              </w:rPr>
            </w:pPr>
            <w:r w:rsidRPr="005A058D"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  <w:t xml:space="preserve">Число подготовленных материалов / проведенных мероприятий и численность их участников</w:t>
            </w:r>
          </w:p>
          <w:p w:rsidRDefault="002C28A8" w:rsidP="005A058D" w:rsidR="002C28A8" w:rsidRPr="005A058D">
            <w:pPr>
              <w:pStyle w:val="a3"/>
              <w:tabs>
                <w:tab w:pos="248" w:val="left"/>
              </w:tabs>
              <w:spacing w:lineRule="auto" w:line="240" w:after="0"/>
              <w:ind w:left="0"/>
              <w:jc w:val="both"/>
              <w:rPr>
                <w:rFonts w:eastAsia="Times New Roman" w:hAnsi="Times New Roman" w:ascii="Times New Roman"/>
                <w:color w:val="000000"/>
                <w:sz w:val="26"/>
                <w:szCs w:val="26"/>
              </w:rPr>
            </w:pPr>
          </w:p>
        </w:tc>
      </w:tr>
    </w:tbl>
    <w:p w:rsidRDefault="00F71FD3" w:rsidP="00F71FD3" w:rsidR="00F71FD3" w:rsidRPr="00B51B3C">
      <w:pPr>
        <w:spacing w:lineRule="auto" w:line="360"/>
        <w:ind w:firstLine="708"/>
        <w:jc w:val="both"/>
        <w:rPr>
          <w:color w:val="000000"/>
          <w:sz w:val="26"/>
          <w:szCs w:val="26"/>
        </w:rPr>
      </w:pPr>
    </w:p>
    <w:p w:rsidRDefault="00A4415E" w:rsidR="00A4415E"/>
    <w:sectPr w:rsidSect="002C28A8" w:rsidR="00A4415E">
      <w:pgSz w:orient="landscape" w:h="11906" w:w="16838"/>
      <w:pgMar w:gutter="0" w:footer="709" w:header="709" w:left="1134" w:bottom="851" w:right="1134" w:top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626"/>
    <w:multiLevelType w:val="hybridMultilevel"/>
    <w:tmpl w:val="BE0A3930"/>
    <w:lvl w:ilvl="0" w:tplc="62F03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E97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1B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C8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B7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08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E67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EDE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AD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0723"/>
    <w:multiLevelType w:val="hybridMultilevel"/>
    <w:tmpl w:val="F7B0B0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0CC2"/>
    <w:multiLevelType w:val="hybridMultilevel"/>
    <w:tmpl w:val="D7A69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617"/>
    <w:multiLevelType w:val="hybridMultilevel"/>
    <w:tmpl w:val="D6B21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20E0"/>
    <w:multiLevelType w:val="hybridMultilevel"/>
    <w:tmpl w:val="CCC065AC"/>
    <w:lvl w:ilvl="0" w:tplc="16BC9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5376"/>
    <w:multiLevelType w:val="hybridMultilevel"/>
    <w:tmpl w:val="4AB43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396D"/>
    <w:multiLevelType w:val="hybridMultilevel"/>
    <w:tmpl w:val="A6DCC5EA"/>
    <w:lvl w:ilvl="0" w:tplc="145ED6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01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4CF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C5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026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2A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40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6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074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473A3"/>
    <w:multiLevelType w:val="hybridMultilevel"/>
    <w:tmpl w:val="F5E4C166"/>
    <w:lvl w:ilvl="0" w:tplc="F34AF3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AB1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A0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C21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E7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9D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F0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ECC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320F5"/>
    <w:multiLevelType w:val="hybridMultilevel"/>
    <w:tmpl w:val="4AFAB9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3990"/>
    <w:multiLevelType w:val="hybridMultilevel"/>
    <w:tmpl w:val="FC0620B6"/>
    <w:lvl w:ilvl="0" w:tplc="30D00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E6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864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832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68C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895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EDB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E8D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616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209B8"/>
    <w:multiLevelType w:val="hybridMultilevel"/>
    <w:tmpl w:val="35402A74"/>
    <w:lvl w:ilvl="0" w:tplc="6186D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4FFD"/>
    <w:multiLevelType w:val="hybridMultilevel"/>
    <w:tmpl w:val="E5B2A1B2"/>
    <w:lvl w:ilvl="0" w:tplc="7DCEC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47914"/>
    <w:multiLevelType w:val="hybridMultilevel"/>
    <w:tmpl w:val="9118CDD2"/>
    <w:lvl w:ilvl="0" w:tplc="A10A98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60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AF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01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07F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068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8EB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CF8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E4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73B37"/>
    <w:multiLevelType w:val="hybridMultilevel"/>
    <w:tmpl w:val="DCA8C470"/>
    <w:lvl w:ilvl="0" w:tplc="D2906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4ECC"/>
    <w:multiLevelType w:val="hybridMultilevel"/>
    <w:tmpl w:val="3D101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2592C"/>
    <w:multiLevelType w:val="hybridMultilevel"/>
    <w:tmpl w:val="5C405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46BA5"/>
    <w:multiLevelType w:val="hybridMultilevel"/>
    <w:tmpl w:val="DBB67134"/>
    <w:lvl w:ilvl="0" w:tplc="663C8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269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6ED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B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80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6F3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8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6C0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053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92D75"/>
    <w:multiLevelType w:val="hybridMultilevel"/>
    <w:tmpl w:val="41AA7F18"/>
    <w:lvl w:ilvl="0" w:tplc="37F622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816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0B9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8F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61E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A497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EA6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ECC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8E7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C22024"/>
    <w:multiLevelType w:val="hybridMultilevel"/>
    <w:tmpl w:val="8C96CF26"/>
    <w:lvl w:ilvl="0" w:tplc="54AA7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24F10"/>
    <w:multiLevelType w:val="hybridMultilevel"/>
    <w:tmpl w:val="CD2E04FC"/>
    <w:lvl w:ilvl="0" w:tplc="7A72C8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C87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866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C36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498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05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04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629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609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3D5612"/>
    <w:multiLevelType w:val="hybridMultilevel"/>
    <w:tmpl w:val="7598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77D5E"/>
    <w:multiLevelType w:val="hybridMultilevel"/>
    <w:tmpl w:val="C5807CCC"/>
    <w:lvl w:ilvl="0" w:tplc="06E85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049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20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09A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EB3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7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F4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EC5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2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B63E2A"/>
    <w:multiLevelType w:val="hybridMultilevel"/>
    <w:tmpl w:val="26644E94"/>
    <w:lvl w:ilvl="0" w:tplc="F8E074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49A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0A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60F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E73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8C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2E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20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8B2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3F078C"/>
    <w:multiLevelType w:val="hybridMultilevel"/>
    <w:tmpl w:val="6D249A1E"/>
    <w:lvl w:ilvl="0" w:tplc="9C0E7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18"/>
  </w:num>
  <w:num w:numId="6">
    <w:abstractNumId w:val="4"/>
  </w:num>
  <w:num w:numId="7">
    <w:abstractNumId w:val="10"/>
  </w:num>
  <w:num w:numId="8">
    <w:abstractNumId w:val="23"/>
  </w:num>
  <w:num w:numId="9">
    <w:abstractNumId w:val="11"/>
  </w:num>
  <w:num w:numId="10">
    <w:abstractNumId w:val="12"/>
  </w:num>
  <w:num w:numId="11">
    <w:abstractNumId w:val="17"/>
  </w:num>
  <w:num w:numId="12">
    <w:abstractNumId w:val="22"/>
  </w:num>
  <w:num w:numId="13">
    <w:abstractNumId w:val="21"/>
  </w:num>
  <w:num w:numId="14">
    <w:abstractNumId w:val="7"/>
  </w:num>
  <w:num w:numId="15">
    <w:abstractNumId w:val="16"/>
  </w:num>
  <w:num w:numId="16">
    <w:abstractNumId w:val="9"/>
  </w:num>
  <w:num w:numId="17">
    <w:abstractNumId w:val="0"/>
  </w:num>
  <w:num w:numId="18">
    <w:abstractNumId w:val="19"/>
  </w:num>
  <w:num w:numId="19">
    <w:abstractNumId w:val="6"/>
  </w:num>
  <w:num w:numId="20">
    <w:abstractNumId w:val="3"/>
  </w:num>
  <w:num w:numId="21">
    <w:abstractNumId w:val="14"/>
  </w:num>
  <w:num w:numId="22">
    <w:abstractNumId w:val="2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D3"/>
    <w:rsid w:val="000163AC"/>
    <w:rsid w:val="002C28A8"/>
    <w:rsid w:val="00391F0D"/>
    <w:rsid w:val="0044608B"/>
    <w:rsid w:val="00504705"/>
    <w:rsid w:val="005A058D"/>
    <w:rsid w:val="006A42AF"/>
    <w:rsid w:val="006B2D6B"/>
    <w:rsid w:val="0089361D"/>
    <w:rsid w:val="00A413C0"/>
    <w:rsid w:val="00A4415E"/>
    <w:rsid w:val="00BF4091"/>
    <w:rsid w:val="00C45455"/>
    <w:rsid w:val="00DD25D3"/>
    <w:rsid w:val="00F14D87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2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8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71FD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F71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4" w:type="paragraph">
    <w:name w:val="Balloon Text"/>
    <w:basedOn w:val="a"/>
    <w:link w:val="a5"/>
    <w:uiPriority w:val="99"/>
    <w:semiHidden/>
    <w:unhideWhenUsed/>
    <w:rsid w:val="002C28A8"/>
    <w:rPr>
      <w:rFonts w:ascii="Segoe UI" w:cs="Segoe UI" w:hAnsi="Segoe UI"/>
      <w:sz w:val="18"/>
      <w:szCs w:val="18"/>
    </w:rPr>
  </w:style>
  <w:style w:customStyle="1" w:styleId="a5" w:type="character">
    <w:name w:val="Текст выноски Знак"/>
    <w:basedOn w:val="a0"/>
    <w:link w:val="a4"/>
    <w:uiPriority w:val="99"/>
    <w:semiHidden/>
    <w:rsid w:val="002C28A8"/>
    <w:rPr>
      <w:rFonts w:ascii="Segoe UI" w:cs="Segoe UI" w:eastAsia="Times New Roman" w:hAnsi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9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1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0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2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7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7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2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5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9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7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Кокоджанова-Янцен Айнура Мухамедовна</dc:creator>
  <cp:lastModifiedBy>Кокоджанова-Янцен Айнура Мухамедовна</cp:lastModifiedBy>
  <cp:revision>2</cp:revision>
  <cp:lastPrinted>2018-12-19T15:08:00Z</cp:lastPrinted>
  <dcterms:created xsi:type="dcterms:W3CDTF">2018-12-27T10:56:00Z</dcterms:created>
  <dcterms:modified xsi:type="dcterms:W3CDTF">2018-12-27T10:56:00Z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Кокоджанова-Янцен А.М.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координации мо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2018/12/12-99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Положения о Программе «Фонд развития прикладных исследований Национального исследовательского университета «Высшая школа экономики»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