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df9bd7" w14:paraId="32df9bd7" w:rsidRDefault="00D113E6" w:rsidP="00B13F4F" w:rsidR="00D113E6" w:rsidRPr="00DD5ACA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D5ACA">
        <w:rPr>
          <w:b w:val="false"/>
          <w:color w:val="000000"/>
          <w:szCs w:val="24"/>
        </w:rPr>
        <w:t xml:space="preserve">Приложение № </w:t>
      </w:r>
      <w:r w:rsidR="006130F5">
        <w:rPr>
          <w:b w:val="false"/>
          <w:color w:val="000000"/>
          <w:szCs w:val="24"/>
        </w:rPr>
        <w:t xml:space="preserve">1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</w:p>
    <w:p w:rsidRDefault="00542351" w:rsidP="006130F5" w:rsidR="00542351" w:rsidRPr="00DD5ACA">
      <w:pPr>
        <w:jc w:val="center"/>
      </w:pPr>
      <w:r w:rsidRPr="00DD5ACA">
        <w:t xml:space="preserve">(подготовка бакалавра)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74062A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74062A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74062A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74062A">
        <w:fldChar w:fldCharType="begin"/>
      </w:r>
      <w:r w:rsidR="00953560">
        <w:instrText xml:space="preserve"> MERGEFIELD "R_L" </w:instrText>
      </w:r>
      <w:r w:rsidR="0074062A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74062A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 xml:space="preserve">«</w:t>
      </w:r>
      <w:fldSimple w:instr=" MERGEFIELD &quot;R_DOV&quot; ">
        <w:r w:rsidR="00E61526" w:rsidRPr="00DD5ACA">
          <w:rPr>
            <w:noProof/>
          </w:rPr>
          <w:t xml:space="preserve">__</w:t>
        </w:r>
        <w:r w:rsidR="00E61526" w:rsidRPr="00DD5ACA">
          <w:t xml:space="preserve"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 xml:space="preserve"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R="00000000">
      <w:pPr>
        <w:ind w:firstLine="709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 xml:space="preserve">бакалавр</w:t>
      </w:r>
      <w:r w:rsidR="00B34299">
        <w:t xml:space="preserve">иата</w:t>
      </w:r>
      <w:proofErr w:type="spellEnd"/>
      <w:r w:rsidR="00B34299" w:rsidRPr="00BB4015">
        <w:t xml:space="preserve">  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555340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(нужное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555340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</w:t>
      </w:r>
      <w:bookmarkStart w:name="_GoBack" w:id="0"/>
      <w:bookmarkEnd w:id="0"/>
      <w:r w:rsidR="001E4F1C">
        <w:t xml:space="preserve">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035518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</w:t>
      </w:r>
      <w:r w:rsidR="00475786"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</w:t>
      </w:r>
      <w:r w:rsidR="00300092">
        <w:t xml:space="preserve">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8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ознакомлен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 xml:space="preserve">о</w:t>
      </w:r>
      <w:r w:rsidR="00B34299" w:rsidRPr="00DD5ACA">
        <w:rPr>
          <w:color w:val="auto"/>
          <w:szCs w:val="24"/>
        </w:rPr>
        <w:t xml:space="preserve"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бакалавра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10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2.2.11.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r>
        <w:t xml:space="preserve">2.2.12.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 расписку</w:t>
      </w:r>
      <w:r w:rsidR="00E67E54">
        <w:t xml:space="preserve">;</w:t>
      </w:r>
    </w:p>
    <w:p w:rsidRDefault="004711A6" w:rsidP="00524A6F" w:rsidR="004711A6" w:rsidRPr="00DD5ACA">
      <w:pPr>
        <w:ind w:firstLine="720"/>
        <w:jc w:val="both"/>
      </w:pPr>
      <w:r>
        <w:t xml:space="preserve">2.2.1</w:t>
      </w:r>
      <w:r w:rsidR="0050328C">
        <w:t xml:space="preserve">3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интернет-</w:t>
      </w:r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lastRenderedPageBreak/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542351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 xml:space="preserve"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3.2.9.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интернет-</w:t>
      </w:r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1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 w:rsidRPr="008A5A8F">
      <w:pPr>
        <w:ind w:firstLine="708"/>
        <w:jc w:val="both"/>
      </w:pPr>
      <w:r w:rsidRPr="00DD5ACA">
        <w:t xml:space="preserve">__________(_______________________________________) руб</w:t>
      </w:r>
      <w:r w:rsidR="00BA5436">
        <w:t xml:space="preserve">лей.</w:t>
      </w:r>
    </w:p>
    <w:p w:rsidRDefault="00DE600E" w:rsidP="008F3A4F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 xml:space="preserve">за учебные годы, следующие за го</w:t>
      </w:r>
      <w:r w:rsidR="003A2465">
        <w:rPr>
          <w:bCs/>
        </w:rPr>
        <w:t xml:space="preserve">д</w:t>
      </w:r>
      <w:r w:rsidR="00783F7A">
        <w:rPr>
          <w:bCs/>
        </w:rPr>
        <w:t xml:space="preserve"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 xml:space="preserve"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 xml:space="preserve">год.</w:t>
      </w:r>
      <w:r w:rsidRPr="00DE600E">
        <w:rPr>
          <w:bCs/>
        </w:rPr>
        <w:t xml:space="preserve"> </w:t>
      </w:r>
    </w:p>
    <w:p w:rsidRDefault="00783F7A" w:rsidP="008F3A4F" w:rsidR="00783F7A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812851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 w:rsidRPr="0089431F">
      <w:pPr>
        <w:autoSpaceDE w:val="false"/>
        <w:autoSpaceDN w:val="false"/>
        <w:adjustRightInd w:val="false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072B70">
        <w:rPr>
          <w:bCs/>
        </w:rPr>
        <w:t xml:space="preserve">первый</w:t>
      </w:r>
      <w:r w:rsidR="00072B70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74062A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74062A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74062A" w:rsidRPr="0089431F">
        <w:rPr>
          <w:bCs/>
        </w:rPr>
        <w:fldChar w:fldCharType="end"/>
      </w:r>
      <w:r w:rsidR="00BA5436">
        <w:rPr>
          <w:bCs/>
        </w:rPr>
        <w:t xml:space="preserve">лей.</w:t>
      </w:r>
      <w:r w:rsidR="00072B70" w:rsidRPr="00072B70">
        <w:t xml:space="preserve"> </w:t>
      </w:r>
      <w:r w:rsidR="00072B70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072B70">
        <w:rPr>
          <w:bCs/>
        </w:rPr>
        <w:t xml:space="preserve">В дальнейшем о</w:t>
      </w:r>
      <w:r w:rsidRPr="0089431F">
        <w:rPr>
          <w:bCs/>
        </w:rPr>
        <w:t xml:space="preserve">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</w:t>
      </w:r>
      <w:r w:rsidR="00072B70">
        <w:rPr>
          <w:bCs/>
        </w:rPr>
        <w:t xml:space="preserve"> оплаты первого учебного года</w:t>
      </w:r>
      <w:r w:rsidRPr="0089431F">
        <w:rPr>
          <w:bCs/>
        </w:rPr>
        <w:t xml:space="preserve">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lastRenderedPageBreak/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 xml:space="preserve"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="00542351"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средств </w:t>
      </w:r>
      <w:r w:rsidR="00C37F3B" w:rsidRPr="00161A51">
        <w:t xml:space="preserve"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6</w:t>
      </w:r>
      <w:r w:rsidR="00542351" w:rsidRPr="00DD5ACA">
        <w:t xml:space="preserve">.1. Настоящий </w:t>
      </w:r>
      <w:r w:rsidR="000C3EAC" w:rsidRPr="00DD5ACA">
        <w:t xml:space="preserve"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 xml:space="preserve">об</w:t>
      </w:r>
      <w:r w:rsidR="009A6D5C">
        <w:t xml:space="preserve">е</w:t>
      </w:r>
      <w:r w:rsidR="00AC4608">
        <w:t xml:space="preserve">и</w:t>
      </w:r>
      <w:r w:rsidR="009A6D5C">
        <w:t xml:space="preserve"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 xml:space="preserve">из</w:t>
      </w:r>
      <w:r w:rsidR="00260FDB">
        <w:t xml:space="preserve"> НИУ</w:t>
      </w:r>
      <w:r w:rsidR="00542351" w:rsidRPr="00DD5ACA">
        <w:t xml:space="preserve"> ВШЭ.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</w:t>
      </w:r>
      <w:r w:rsidR="00C969B2" w:rsidRPr="004A65E5">
        <w:lastRenderedPageBreak/>
        <w:t xml:space="preserve">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</w:t>
      </w:r>
      <w:r w:rsidRPr="004A65E5">
        <w:lastRenderedPageBreak/>
        <w:t xml:space="preserve">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B006BF" w:rsidR="00B006BF" w:rsidRPr="00021408">
      <w:pPr>
        <w:jc w:val="both"/>
        <w:rPr>
          <w:color w:themeColor="text1" w:val="000000"/>
        </w:rPr>
      </w:pPr>
    </w:p>
    <w:p w:rsidRDefault="00E61526" w:rsidP="00E61526" w:rsidR="00E61526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>
        <w:rPr>
          <w:color w:themeColor="text1" w:val="000000"/>
        </w:rPr>
        <w:t xml:space="preserve">Единая платежная страница</w:t>
      </w:r>
    </w:p>
    <w:p w:rsidRDefault="00FD4B68" w:rsidP="00260FDB" w:rsidR="00FD4B68" w:rsidRPr="00260FDB"/>
    <w:tbl>
      <w:tblPr>
        <w:tblW w:type="dxa" w:w="9448"/>
        <w:tblInd w:type="dxa" w:w="108"/>
        <w:tblLook w:val="01E0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4062A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P="00675EBD" w:rsidR="00260FDB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 xml:space="preserve">e-mail</w:t>
      </w:r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8078A8" w:rsidP="00675EBD" w:rsidR="008078A8" w:rsidRPr="00675EBD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2"/>
      <w:headerReference w:type="default" r:id="rId13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C4" w:rsidRDefault="006C31C4">
      <w:r>
        <w:separator/>
      </w:r>
    </w:p>
  </w:endnote>
  <w:endnote w:type="continuationSeparator" w:id="0">
    <w:p w:rsidR="006C31C4" w:rsidRDefault="006C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C4" w:rsidRDefault="006C31C4">
      <w:r>
        <w:separator/>
      </w:r>
    </w:p>
  </w:footnote>
  <w:footnote w:type="continuationSeparator" w:id="0">
    <w:p w:rsidR="006C31C4" w:rsidRDefault="006C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7406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7406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EF2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518"/>
    <w:rsid w:val="00035E97"/>
    <w:rsid w:val="00041AF0"/>
    <w:rsid w:val="000426B1"/>
    <w:rsid w:val="000434E2"/>
    <w:rsid w:val="00046A9F"/>
    <w:rsid w:val="00050E4A"/>
    <w:rsid w:val="000610A0"/>
    <w:rsid w:val="0006458E"/>
    <w:rsid w:val="00070EF2"/>
    <w:rsid w:val="00072B70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3F2D32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72C8C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62A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2851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332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microsoft.com/office/2007/relationships/stylesWithEffects" Target="stylesWithEffect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BC05EC7-BFBD-4260-98A7-C422194C4B0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2989</Words>
  <Characters>22759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11</cp:revision>
  <cp:lastPrinted>2013-06-18T11:35:00Z</cp:lastPrinted>
  <dcterms:created xsi:type="dcterms:W3CDTF">2018-04-25T09:56:00Z</dcterms:created>
  <dcterms:modified xsi:type="dcterms:W3CDTF">2018-09-12T07:00:00Z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