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0876BF" w:rsidP="00814179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C833F3">
        <w:t>магистра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0876BF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206605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206605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206605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206605">
        <w:fldChar w:fldCharType="begin"/>
      </w:r>
      <w:r w:rsidR="007C7A5C">
        <w:instrText xml:space="preserve"> MERGEFIELD "R_L" </w:instrText>
      </w:r>
      <w:r w:rsidR="00206605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206605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206605">
        <w:fldChar w:fldCharType="begin"/>
      </w:r>
      <w:r w:rsidR="007C7A5C">
        <w:instrText xml:space="preserve"> MERGEFIELD "R_DOV" </w:instrText>
      </w:r>
      <w:r w:rsidR="00206605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206605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C833F3">
        <w:t>магистра</w:t>
      </w:r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D82A66" w:rsidRPr="00D852FC">
        <w:t>/</w:t>
      </w:r>
      <w:r w:rsidR="00D82A66">
        <w:t>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C833F3">
        <w:t>магистра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573828" w:rsidRDefault="00132154" w:rsidP="00D852F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573828" w:rsidRDefault="00693AC9" w:rsidP="00D852F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573828" w:rsidRDefault="00693AC9" w:rsidP="00D852F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0876BF">
        <w:t xml:space="preserve"> </w:t>
      </w:r>
      <w:r w:rsidR="000876BF" w:rsidRPr="00EF134E">
        <w:t>Положением о</w:t>
      </w:r>
      <w:proofErr w:type="gramStart"/>
      <w:r w:rsidR="000876BF" w:rsidRPr="00EF134E">
        <w:t xml:space="preserve"> С</w:t>
      </w:r>
      <w:proofErr w:type="gramEnd"/>
      <w:r w:rsidR="000876BF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AF7918" w:rsidRPr="00DD5ACA">
        <w:t xml:space="preserve"> </w:t>
      </w:r>
      <w:r w:rsidR="00AF7918">
        <w:t xml:space="preserve">документами, </w:t>
      </w:r>
      <w:proofErr w:type="gramStart"/>
      <w:r w:rsidR="00AF7918">
        <w:t>регламентирующими</w:t>
      </w:r>
      <w:proofErr w:type="gramEnd"/>
      <w:r w:rsidR="00AF7918">
        <w:t xml:space="preserve"> организацию и осуществление образовательной деятельности в НИУ ВШЭ, права и обязанност</w:t>
      </w:r>
      <w:r w:rsidR="002B6C48">
        <w:t>и</w:t>
      </w:r>
      <w:r w:rsidR="00AF7918">
        <w:t xml:space="preserve"> Студента, а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C833F3">
        <w:rPr>
          <w:color w:val="auto"/>
          <w:szCs w:val="24"/>
        </w:rPr>
        <w:t>магистр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C833F3">
        <w:rPr>
          <w:color w:val="auto"/>
          <w:szCs w:val="24"/>
        </w:rPr>
        <w:t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C833F3">
        <w:t>магистра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Pr="00B04A87" w:rsidRDefault="00AE0255" w:rsidP="00693AC9">
      <w:pPr>
        <w:ind w:firstLine="720"/>
        <w:jc w:val="both"/>
        <w:rPr>
          <w:color w:val="000000" w:themeColor="text1"/>
        </w:rPr>
      </w:pPr>
      <w:r>
        <w:t>2.2.1</w:t>
      </w:r>
      <w:r w:rsidR="00D22E89">
        <w:t>1</w:t>
      </w:r>
      <w:r>
        <w:t xml:space="preserve">. предоставить </w:t>
      </w:r>
      <w:r w:rsidRPr="00553A21">
        <w:t xml:space="preserve">Студенту на период </w:t>
      </w:r>
      <w:r w:rsidR="00233FE2" w:rsidRPr="00B04A87">
        <w:rPr>
          <w:color w:val="000000" w:themeColor="text1"/>
        </w:rPr>
        <w:t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Pr="00B04A87">
        <w:rPr>
          <w:color w:val="000000" w:themeColor="text1"/>
        </w:rPr>
        <w:t>;</w:t>
      </w:r>
    </w:p>
    <w:p w:rsidR="00AE0255" w:rsidRPr="00DD5ACA" w:rsidRDefault="00AE0255" w:rsidP="00693AC9">
      <w:pPr>
        <w:ind w:firstLine="720"/>
        <w:jc w:val="both"/>
      </w:pPr>
      <w:r w:rsidRPr="00B04A87">
        <w:rPr>
          <w:color w:val="000000" w:themeColor="text1"/>
        </w:rPr>
        <w:t>2.2.1</w:t>
      </w:r>
      <w:r w:rsidR="00D22E89" w:rsidRPr="00B04A87">
        <w:rPr>
          <w:color w:val="000000" w:themeColor="text1"/>
        </w:rPr>
        <w:t>2</w:t>
      </w:r>
      <w:r w:rsidRPr="00B04A87">
        <w:rPr>
          <w:color w:val="000000" w:themeColor="text1"/>
        </w:rPr>
        <w:t xml:space="preserve">. оказывать содействие Студенту в получении в </w:t>
      </w:r>
      <w:r w:rsidRPr="00553A21">
        <w:t>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6</w:t>
      </w:r>
      <w:r>
        <w:t xml:space="preserve">. </w:t>
      </w:r>
      <w:r w:rsidR="000876BF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0876BF" w:rsidRPr="000876BF">
        <w:t>www</w:t>
      </w:r>
      <w:proofErr w:type="spellEnd"/>
      <w:r w:rsidR="000876BF" w:rsidRPr="000876BF">
        <w:t>.</w:t>
      </w:r>
      <w:proofErr w:type="spellStart"/>
      <w:r w:rsidR="000876BF" w:rsidRPr="000876BF">
        <w:rPr>
          <w:lang w:val="en-US"/>
        </w:rPr>
        <w:t>spb</w:t>
      </w:r>
      <w:proofErr w:type="spellEnd"/>
      <w:r w:rsidR="000876BF" w:rsidRPr="000876BF">
        <w:t>.hse.ru</w:t>
      </w:r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</w:t>
      </w:r>
      <w:proofErr w:type="gramEnd"/>
      <w:r>
        <w:t xml:space="preserve">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lastRenderedPageBreak/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0876BF" w:rsidRPr="00EF134E">
        <w:t>на интерне</w:t>
      </w:r>
      <w:proofErr w:type="gramStart"/>
      <w:r w:rsidR="000876BF" w:rsidRPr="00EF134E">
        <w:t>т-</w:t>
      </w:r>
      <w:proofErr w:type="gramEnd"/>
      <w:r w:rsidR="000876BF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0876BF" w:rsidRPr="000876BF">
        <w:t>www</w:t>
      </w:r>
      <w:proofErr w:type="spellEnd"/>
      <w:r w:rsidR="000876BF" w:rsidRPr="000876BF">
        <w:t>.</w:t>
      </w:r>
      <w:proofErr w:type="spellStart"/>
      <w:r w:rsidR="000876BF" w:rsidRPr="000876BF">
        <w:rPr>
          <w:lang w:val="en-US"/>
        </w:rPr>
        <w:t>spb</w:t>
      </w:r>
      <w:proofErr w:type="spellEnd"/>
      <w:r w:rsidR="000876BF" w:rsidRPr="000876BF">
        <w:t>.hse.ru</w:t>
      </w:r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B86E3C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proofErr w:type="gramStart"/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</w:t>
      </w:r>
      <w:r w:rsidR="00814179" w:rsidRPr="00814179">
        <w:t>Приемную комиссию НИУ ВШЭ – Санкт-Петербург</w:t>
      </w:r>
      <w:r w:rsidR="00814179">
        <w:t xml:space="preserve"> </w:t>
      </w:r>
      <w:bookmarkStart w:id="0" w:name="_GoBack"/>
      <w:bookmarkEnd w:id="0"/>
      <w:r w:rsidR="00B3082D" w:rsidRPr="006C6ADE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</w:t>
      </w:r>
      <w:proofErr w:type="gramEnd"/>
      <w:r w:rsidR="00B3082D" w:rsidRPr="006C6ADE">
        <w:t xml:space="preserve"> и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lastRenderedPageBreak/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r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0876BF" w:rsidRPr="00EF134E">
        <w:t>на интерне</w:t>
      </w:r>
      <w:proofErr w:type="gramStart"/>
      <w:r w:rsidR="000876BF" w:rsidRPr="00EF134E">
        <w:t>т-</w:t>
      </w:r>
      <w:proofErr w:type="gramEnd"/>
      <w:r w:rsidR="000876BF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0876BF" w:rsidRPr="000876BF">
        <w:t>www</w:t>
      </w:r>
      <w:proofErr w:type="spellEnd"/>
      <w:r w:rsidR="000876BF" w:rsidRPr="000876BF">
        <w:t>.</w:t>
      </w:r>
      <w:proofErr w:type="spellStart"/>
      <w:r w:rsidR="000876BF" w:rsidRPr="000876BF">
        <w:rPr>
          <w:lang w:val="en-US"/>
        </w:rPr>
        <w:t>spb</w:t>
      </w:r>
      <w:proofErr w:type="spellEnd"/>
      <w:r w:rsidR="000876BF" w:rsidRPr="000876BF">
        <w:t>.hse.ru</w:t>
      </w:r>
      <w:r w:rsidR="006F1DE4">
        <w:t>, а также принимать письменные уведомления об этом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D82A66">
        <w:t>лей</w:t>
      </w:r>
      <w:r>
        <w:t>.</w:t>
      </w:r>
    </w:p>
    <w:p w:rsidR="00D82A66" w:rsidRPr="00D82A66" w:rsidRDefault="00D82A66" w:rsidP="00D82A66">
      <w:pPr>
        <w:ind w:firstLine="708"/>
        <w:jc w:val="both"/>
        <w:rPr>
          <w:bCs/>
        </w:rPr>
      </w:pPr>
      <w:proofErr w:type="gramStart"/>
      <w:r w:rsidRPr="00D82A66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6F1DE4" w:rsidRDefault="00D82A66" w:rsidP="00D82A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82A66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6F1DE4" w:rsidRPr="00DE600E">
        <w:rPr>
          <w:bCs/>
        </w:rPr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12A3B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206605">
        <w:fldChar w:fldCharType="begin"/>
      </w:r>
      <w:r w:rsidR="007C7A5C">
        <w:instrText xml:space="preserve"> MERGEFIELD "R_SP" </w:instrText>
      </w:r>
      <w:r w:rsidR="00206605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D82A66">
        <w:t>лей</w:t>
      </w:r>
      <w:r w:rsidRPr="00841580">
        <w:t>.</w:t>
      </w:r>
      <w:r w:rsidR="00206605">
        <w:fldChar w:fldCharType="end"/>
      </w:r>
    </w:p>
    <w:p w:rsidR="00B572B2" w:rsidRDefault="00712A3B" w:rsidP="00B572B2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с даты получения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D82A6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>календарных дней с даты оплаты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lastRenderedPageBreak/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D82A66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>, Правилами оказания</w:t>
      </w:r>
      <w:r w:rsidR="00D82A66">
        <w:t xml:space="preserve"> платных</w:t>
      </w:r>
      <w:r w:rsidR="008A2925">
        <w:t xml:space="preserve"> 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</w:t>
      </w:r>
      <w:proofErr w:type="gramStart"/>
      <w:r w:rsidR="008E0C97" w:rsidRPr="00A851AF">
        <w:t>,</w:t>
      </w:r>
      <w:proofErr w:type="gramEnd"/>
      <w:r w:rsidR="008E0C97" w:rsidRPr="00A851AF">
        <w:t xml:space="preserve">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</w:t>
      </w:r>
      <w:r w:rsidR="00FE67F5" w:rsidRPr="00722ECF">
        <w:lastRenderedPageBreak/>
        <w:t>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бакалавриата и программам </w:t>
      </w:r>
      <w:r w:rsidRPr="00722ECF">
        <w:lastRenderedPageBreak/>
        <w:t>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0876BF" w:rsidRPr="00EF134E" w:rsidRDefault="000876BF" w:rsidP="000876BF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0876BF" w:rsidRPr="00EF134E" w:rsidRDefault="000876BF" w:rsidP="000876BF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0876BF" w:rsidRPr="00EF134E" w:rsidRDefault="000876BF" w:rsidP="000876BF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0876BF" w:rsidRPr="00EF134E" w:rsidRDefault="000876BF" w:rsidP="000876BF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0876BF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BF" w:rsidRPr="00EF134E" w:rsidRDefault="000876BF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0876BF" w:rsidRPr="00EF134E" w:rsidRDefault="000876BF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0876BF" w:rsidRPr="00EF134E" w:rsidRDefault="000876BF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0876BF" w:rsidRPr="00EF134E" w:rsidRDefault="000876BF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0876BF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BF" w:rsidRPr="00EF134E" w:rsidRDefault="000876BF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0876BF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6BF" w:rsidRPr="00EF134E" w:rsidRDefault="000876BF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0876BF" w:rsidRPr="00EF134E" w:rsidRDefault="000876BF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0876BF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6BF" w:rsidRPr="00EF134E" w:rsidRDefault="000876BF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0876BF" w:rsidRPr="00EF134E" w:rsidRDefault="000876BF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7F6CC0" w:rsidRPr="00F44E74" w:rsidRDefault="00B41E41" w:rsidP="007F6CC0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 за обучение размещен на сайте НИУ ВШЭ в разделе «О</w:t>
      </w:r>
      <w:r w:rsidR="00073CD1">
        <w:rPr>
          <w:color w:val="000000" w:themeColor="text1"/>
        </w:rPr>
        <w:t xml:space="preserve"> Вышке</w:t>
      </w:r>
      <w:r w:rsidRPr="007F6CC0">
        <w:rPr>
          <w:color w:val="000000" w:themeColor="text1"/>
        </w:rPr>
        <w:t xml:space="preserve">»&gt; </w:t>
      </w:r>
      <w:r w:rsidR="00073CD1">
        <w:rPr>
          <w:color w:val="000000" w:themeColor="text1"/>
        </w:rPr>
        <w:t>Единая платежная страница</w:t>
      </w:r>
    </w:p>
    <w:p w:rsidR="00F01AB7" w:rsidRPr="00B04A87" w:rsidRDefault="00F01AB7" w:rsidP="00F01AB7"/>
    <w:p w:rsidR="00B04A87" w:rsidRPr="00B04A87" w:rsidRDefault="00B04A8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lastRenderedPageBreak/>
        <w:t>e-mail</w:t>
      </w:r>
      <w:proofErr w:type="gramEnd"/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0732C5" w:rsidRDefault="000732C5" w:rsidP="00542351">
      <w:pPr>
        <w:rPr>
          <w:bCs/>
        </w:rPr>
      </w:pPr>
    </w:p>
    <w:p w:rsidR="000732C5" w:rsidRDefault="000732C5" w:rsidP="000732C5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0732C5" w:rsidRDefault="000732C5" w:rsidP="00542351">
      <w:pPr>
        <w:rPr>
          <w:bCs/>
        </w:rPr>
      </w:pPr>
    </w:p>
    <w:p w:rsidR="000732C5" w:rsidRPr="007F2818" w:rsidRDefault="000732C5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35" w:rsidRDefault="00276535">
      <w:r>
        <w:separator/>
      </w:r>
    </w:p>
  </w:endnote>
  <w:endnote w:type="continuationSeparator" w:id="0">
    <w:p w:rsidR="00276535" w:rsidRDefault="002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35" w:rsidRDefault="00276535">
      <w:r>
        <w:separator/>
      </w:r>
    </w:p>
  </w:footnote>
  <w:footnote w:type="continuationSeparator" w:id="0">
    <w:p w:rsidR="00276535" w:rsidRDefault="0027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2066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2066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179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2C5"/>
    <w:rsid w:val="00073CD1"/>
    <w:rsid w:val="000876BF"/>
    <w:rsid w:val="000936B3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2008"/>
    <w:rsid w:val="00194057"/>
    <w:rsid w:val="001C14A3"/>
    <w:rsid w:val="001D2AE0"/>
    <w:rsid w:val="001F5DF9"/>
    <w:rsid w:val="001F6E7D"/>
    <w:rsid w:val="00203A8D"/>
    <w:rsid w:val="00206605"/>
    <w:rsid w:val="00207BD2"/>
    <w:rsid w:val="0021115E"/>
    <w:rsid w:val="00223956"/>
    <w:rsid w:val="002250B3"/>
    <w:rsid w:val="00226651"/>
    <w:rsid w:val="00233FE2"/>
    <w:rsid w:val="00234ED5"/>
    <w:rsid w:val="00237986"/>
    <w:rsid w:val="00244298"/>
    <w:rsid w:val="00271889"/>
    <w:rsid w:val="00273F86"/>
    <w:rsid w:val="00275024"/>
    <w:rsid w:val="0027645F"/>
    <w:rsid w:val="00276535"/>
    <w:rsid w:val="00282816"/>
    <w:rsid w:val="0029748B"/>
    <w:rsid w:val="002B652C"/>
    <w:rsid w:val="002B6C48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73828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A7EA6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720D8"/>
    <w:rsid w:val="0077692C"/>
    <w:rsid w:val="007814C3"/>
    <w:rsid w:val="007846E1"/>
    <w:rsid w:val="00785877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17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17CC"/>
    <w:rsid w:val="0088244D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27344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04A87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86E3C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833F3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2E89"/>
    <w:rsid w:val="00D250B5"/>
    <w:rsid w:val="00D337E3"/>
    <w:rsid w:val="00D46978"/>
    <w:rsid w:val="00D6010E"/>
    <w:rsid w:val="00D71F18"/>
    <w:rsid w:val="00D82A66"/>
    <w:rsid w:val="00D84E3B"/>
    <w:rsid w:val="00D852FC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E6C99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42CE816-6A9D-4FD5-982A-B06646131BD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3667</Words>
  <Characters>27349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2018-04-25T12:42:00Z</dcterms:created>
  <dcterms:modified xsi:type="dcterms:W3CDTF">2018-05-31T09:54:00Z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