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F49D" w14:textId="77777777" w:rsidR="00B439A8" w:rsidRPr="004457E2" w:rsidRDefault="005E550D">
      <w:pPr>
        <w:rPr>
          <w:sz w:val="28"/>
          <w:szCs w:val="28"/>
          <w:lang w:val="en-US"/>
        </w:rPr>
      </w:pPr>
    </w:p>
    <w:p w14:paraId="18D4FE12" w14:textId="77777777" w:rsidR="00162038" w:rsidRPr="003F76AD" w:rsidRDefault="00162038" w:rsidP="00162038">
      <w:pPr>
        <w:pStyle w:val="a3"/>
        <w:spacing w:line="360" w:lineRule="auto"/>
        <w:jc w:val="center"/>
        <w:rPr>
          <w:rFonts w:ascii="TimesNewRomanPS" w:hAnsi="TimesNewRomanPS"/>
          <w:b/>
          <w:bCs/>
          <w:sz w:val="26"/>
          <w:szCs w:val="28"/>
        </w:rPr>
      </w:pPr>
      <w:r w:rsidRPr="003F76AD">
        <w:rPr>
          <w:rFonts w:ascii="TimesNewRomanPS" w:hAnsi="TimesNewRomanPS"/>
          <w:b/>
          <w:bCs/>
          <w:sz w:val="26"/>
          <w:szCs w:val="28"/>
        </w:rPr>
        <w:t>Правительство Российской Федерации</w:t>
      </w:r>
      <w:r w:rsidRPr="003F76AD">
        <w:rPr>
          <w:rFonts w:ascii="TimesNewRomanPS" w:hAnsi="TimesNewRomanPS"/>
          <w:b/>
          <w:bCs/>
          <w:sz w:val="26"/>
          <w:szCs w:val="28"/>
        </w:rPr>
        <w:br/>
        <w:t>Федеральное государственное автономное образовательное учреждение Высшего профессионального образования «Национальный исследовательский университет</w:t>
      </w:r>
      <w:r w:rsidRPr="003F76AD">
        <w:rPr>
          <w:rFonts w:ascii="TimesNewRomanPS" w:hAnsi="TimesNewRomanPS"/>
          <w:b/>
          <w:bCs/>
          <w:sz w:val="26"/>
          <w:szCs w:val="28"/>
        </w:rPr>
        <w:br/>
        <w:t>«Высшая школа экономики»</w:t>
      </w:r>
    </w:p>
    <w:p w14:paraId="3E23B2D5" w14:textId="77777777" w:rsidR="00162038" w:rsidRPr="003F76AD" w:rsidRDefault="00162038" w:rsidP="00162038">
      <w:pPr>
        <w:pStyle w:val="a3"/>
        <w:spacing w:line="360" w:lineRule="auto"/>
        <w:jc w:val="center"/>
        <w:rPr>
          <w:sz w:val="24"/>
          <w:szCs w:val="28"/>
        </w:rPr>
      </w:pPr>
    </w:p>
    <w:p w14:paraId="13D93411" w14:textId="0553C18E" w:rsidR="00162038" w:rsidRDefault="00162038" w:rsidP="003F76AD">
      <w:pPr>
        <w:pStyle w:val="a3"/>
        <w:spacing w:line="360" w:lineRule="auto"/>
        <w:jc w:val="center"/>
        <w:rPr>
          <w:rFonts w:ascii="TimesNewRomanPS" w:hAnsi="TimesNewRomanPS"/>
          <w:b/>
          <w:bCs/>
          <w:sz w:val="26"/>
          <w:szCs w:val="28"/>
        </w:rPr>
      </w:pPr>
      <w:r w:rsidRPr="003F76AD">
        <w:rPr>
          <w:sz w:val="24"/>
          <w:szCs w:val="28"/>
        </w:rPr>
        <w:t>Факультет коммуникаций, медиа и дизайна</w:t>
      </w:r>
      <w:r w:rsidRPr="003F76AD">
        <w:rPr>
          <w:sz w:val="24"/>
          <w:szCs w:val="28"/>
        </w:rPr>
        <w:br/>
        <w:t>Образовательная программа «Журналистика»</w:t>
      </w:r>
      <w:r w:rsidRPr="003F76AD">
        <w:rPr>
          <w:sz w:val="24"/>
          <w:szCs w:val="28"/>
        </w:rPr>
        <w:br/>
        <w:t>Тезисы личного доклада на Межвузовской научно-практической конференции</w:t>
      </w:r>
      <w:r w:rsidRPr="003F76AD">
        <w:rPr>
          <w:sz w:val="24"/>
          <w:szCs w:val="28"/>
        </w:rPr>
        <w:br/>
        <w:t>«Исследования медиа и коммуникаций: теории, практики, исследовательские перспективы»</w:t>
      </w:r>
      <w:r w:rsidRPr="003F76AD">
        <w:rPr>
          <w:sz w:val="24"/>
          <w:szCs w:val="28"/>
        </w:rPr>
        <w:br/>
      </w:r>
      <w:r w:rsidRPr="003F76AD">
        <w:rPr>
          <w:rFonts w:ascii="TimesNewRomanPS" w:hAnsi="TimesNewRomanPS"/>
          <w:b/>
          <w:bCs/>
          <w:sz w:val="26"/>
          <w:szCs w:val="28"/>
        </w:rPr>
        <w:t>на тему</w:t>
      </w:r>
      <w:r w:rsidRPr="003F76AD">
        <w:rPr>
          <w:rFonts w:ascii="TimesNewRomanPS" w:hAnsi="TimesNewRomanPS"/>
          <w:b/>
          <w:bCs/>
          <w:sz w:val="26"/>
          <w:szCs w:val="28"/>
        </w:rPr>
        <w:br/>
      </w:r>
      <w:r w:rsidR="00AE6100">
        <w:rPr>
          <w:rFonts w:ascii="TimesNewRomanPS" w:hAnsi="TimesNewRomanPS"/>
          <w:b/>
          <w:bCs/>
          <w:sz w:val="26"/>
          <w:szCs w:val="28"/>
        </w:rPr>
        <w:t>Проблема исторической памяти и репрезентация противоречивого образа латвийских подразделений СС в документальном фильме</w:t>
      </w:r>
      <w:r w:rsidRPr="003F76AD">
        <w:rPr>
          <w:rFonts w:ascii="TimesNewRomanPS" w:hAnsi="TimesNewRomanPS"/>
          <w:b/>
          <w:bCs/>
          <w:sz w:val="26"/>
          <w:szCs w:val="28"/>
        </w:rPr>
        <w:t xml:space="preserve"> </w:t>
      </w:r>
      <w:r w:rsidRPr="003F76AD">
        <w:rPr>
          <w:rFonts w:ascii="TimesNewRomanPS" w:hAnsi="TimesNewRomanPS" w:hint="eastAsia"/>
          <w:b/>
          <w:bCs/>
          <w:sz w:val="26"/>
          <w:szCs w:val="28"/>
        </w:rPr>
        <w:t>«</w:t>
      </w:r>
      <w:r w:rsidRPr="003F76AD">
        <w:rPr>
          <w:rFonts w:ascii="TimesNewRomanPS" w:hAnsi="TimesNewRomanPS"/>
          <w:b/>
          <w:bCs/>
          <w:sz w:val="26"/>
          <w:szCs w:val="28"/>
        </w:rPr>
        <w:t>Латышский легион</w:t>
      </w:r>
      <w:r w:rsidRPr="003F76AD">
        <w:rPr>
          <w:rFonts w:ascii="TimesNewRomanPS" w:hAnsi="TimesNewRomanPS" w:hint="eastAsia"/>
          <w:b/>
          <w:bCs/>
          <w:sz w:val="26"/>
          <w:szCs w:val="28"/>
        </w:rPr>
        <w:t>»</w:t>
      </w:r>
      <w:r w:rsidRPr="003F76AD">
        <w:rPr>
          <w:rFonts w:ascii="TimesNewRomanPS" w:hAnsi="TimesNewRomanPS"/>
          <w:b/>
          <w:bCs/>
          <w:sz w:val="26"/>
          <w:szCs w:val="28"/>
        </w:rPr>
        <w:t xml:space="preserve"> (2000)</w:t>
      </w:r>
    </w:p>
    <w:p w14:paraId="7A7BE78A" w14:textId="77777777" w:rsidR="003F76AD" w:rsidRDefault="003F76AD" w:rsidP="003F76AD">
      <w:pPr>
        <w:pStyle w:val="a3"/>
        <w:spacing w:line="360" w:lineRule="auto"/>
        <w:jc w:val="center"/>
        <w:rPr>
          <w:rFonts w:ascii="TimesNewRomanPS" w:hAnsi="TimesNewRomanPS"/>
          <w:b/>
          <w:bCs/>
          <w:sz w:val="26"/>
          <w:szCs w:val="28"/>
        </w:rPr>
      </w:pPr>
    </w:p>
    <w:p w14:paraId="7E6E8553" w14:textId="77777777" w:rsidR="003F76AD" w:rsidRPr="003F76AD" w:rsidRDefault="003F76AD" w:rsidP="003F76AD">
      <w:pPr>
        <w:pStyle w:val="a3"/>
        <w:spacing w:line="360" w:lineRule="auto"/>
        <w:jc w:val="center"/>
        <w:rPr>
          <w:rFonts w:ascii="TimesNewRomanPS" w:hAnsi="TimesNewRomanPS"/>
          <w:b/>
          <w:bCs/>
          <w:sz w:val="26"/>
          <w:szCs w:val="28"/>
        </w:rPr>
      </w:pPr>
    </w:p>
    <w:p w14:paraId="0EAF3A22" w14:textId="12FA5477" w:rsidR="00162038" w:rsidRPr="003F76AD" w:rsidRDefault="00162038" w:rsidP="00162038">
      <w:pPr>
        <w:pStyle w:val="a3"/>
        <w:jc w:val="right"/>
        <w:rPr>
          <w:rFonts w:ascii="TimesNewRomanPS" w:hAnsi="TimesNewRomanPS"/>
          <w:bCs/>
          <w:sz w:val="26"/>
          <w:szCs w:val="28"/>
        </w:rPr>
      </w:pPr>
      <w:r w:rsidRPr="003F76AD">
        <w:rPr>
          <w:rFonts w:ascii="TimesNewRomanPS" w:hAnsi="TimesNewRomanPS"/>
          <w:bCs/>
          <w:sz w:val="26"/>
          <w:szCs w:val="28"/>
        </w:rPr>
        <w:t xml:space="preserve">Докладчик: </w:t>
      </w:r>
    </w:p>
    <w:p w14:paraId="7355E88A" w14:textId="720A9045" w:rsidR="00162038" w:rsidRPr="003F76AD" w:rsidRDefault="00162038" w:rsidP="00162038">
      <w:pPr>
        <w:pStyle w:val="a3"/>
        <w:jc w:val="right"/>
        <w:rPr>
          <w:rFonts w:ascii="TimesNewRomanPS" w:hAnsi="TimesNewRomanPS"/>
          <w:bCs/>
          <w:sz w:val="26"/>
          <w:szCs w:val="28"/>
        </w:rPr>
      </w:pPr>
      <w:r w:rsidRPr="003F76AD">
        <w:rPr>
          <w:rFonts w:ascii="TimesNewRomanPS" w:hAnsi="TimesNewRomanPS" w:hint="eastAsia"/>
          <w:bCs/>
          <w:sz w:val="26"/>
          <w:szCs w:val="28"/>
        </w:rPr>
        <w:t>С</w:t>
      </w:r>
      <w:r w:rsidR="00BD5216" w:rsidRPr="003F76AD">
        <w:rPr>
          <w:rFonts w:ascii="TimesNewRomanPS" w:hAnsi="TimesNewRomanPS"/>
          <w:bCs/>
          <w:sz w:val="26"/>
          <w:szCs w:val="28"/>
        </w:rPr>
        <w:t>тудент</w:t>
      </w:r>
      <w:r w:rsidRPr="003F76AD">
        <w:rPr>
          <w:rFonts w:ascii="TimesNewRomanPS" w:hAnsi="TimesNewRomanPS"/>
          <w:bCs/>
          <w:sz w:val="26"/>
          <w:szCs w:val="28"/>
        </w:rPr>
        <w:t xml:space="preserve"> 2 курса ОП </w:t>
      </w:r>
      <w:r w:rsidRPr="003F76AD">
        <w:rPr>
          <w:rFonts w:ascii="TimesNewRomanPS" w:hAnsi="TimesNewRomanPS" w:hint="eastAsia"/>
          <w:bCs/>
          <w:sz w:val="26"/>
          <w:szCs w:val="28"/>
        </w:rPr>
        <w:t>«</w:t>
      </w:r>
      <w:r w:rsidRPr="003F76AD">
        <w:rPr>
          <w:rFonts w:ascii="TimesNewRomanPS" w:hAnsi="TimesNewRomanPS"/>
          <w:bCs/>
          <w:sz w:val="26"/>
          <w:szCs w:val="28"/>
        </w:rPr>
        <w:t>Журналистика</w:t>
      </w:r>
      <w:r w:rsidRPr="003F76AD">
        <w:rPr>
          <w:rFonts w:ascii="TimesNewRomanPS" w:hAnsi="TimesNewRomanPS" w:hint="eastAsia"/>
          <w:bCs/>
          <w:sz w:val="26"/>
          <w:szCs w:val="28"/>
        </w:rPr>
        <w:t>»</w:t>
      </w:r>
    </w:p>
    <w:p w14:paraId="41C6ED32" w14:textId="2449734F" w:rsidR="00162038" w:rsidRPr="003F76AD" w:rsidRDefault="00162038" w:rsidP="00162038">
      <w:pPr>
        <w:pStyle w:val="a3"/>
        <w:jc w:val="right"/>
        <w:rPr>
          <w:rFonts w:ascii="TimesNewRomanPS" w:hAnsi="TimesNewRomanPS"/>
          <w:bCs/>
          <w:sz w:val="26"/>
          <w:szCs w:val="28"/>
        </w:rPr>
      </w:pPr>
      <w:r w:rsidRPr="003F76AD">
        <w:rPr>
          <w:rFonts w:ascii="TimesNewRomanPS" w:hAnsi="TimesNewRomanPS"/>
          <w:bCs/>
          <w:sz w:val="26"/>
          <w:szCs w:val="28"/>
        </w:rPr>
        <w:t>Красоткина Екатерина Михайловка</w:t>
      </w:r>
    </w:p>
    <w:p w14:paraId="078662C5" w14:textId="47C43C2E" w:rsidR="00162038" w:rsidRPr="003F76AD" w:rsidRDefault="00162038" w:rsidP="00162038">
      <w:pPr>
        <w:pStyle w:val="a3"/>
        <w:jc w:val="right"/>
        <w:rPr>
          <w:rFonts w:ascii="TimesNewRomanPS" w:hAnsi="TimesNewRomanPS"/>
          <w:bCs/>
          <w:sz w:val="26"/>
          <w:szCs w:val="28"/>
        </w:rPr>
      </w:pPr>
      <w:r w:rsidRPr="003F76AD">
        <w:rPr>
          <w:rFonts w:ascii="TimesNewRomanPS" w:hAnsi="TimesNewRomanPS"/>
          <w:bCs/>
          <w:sz w:val="26"/>
          <w:szCs w:val="28"/>
        </w:rPr>
        <w:t>Руководитель:</w:t>
      </w:r>
    </w:p>
    <w:p w14:paraId="6E55AA29" w14:textId="70FDCC71" w:rsidR="003F76AD" w:rsidRDefault="00162038" w:rsidP="003F76AD">
      <w:pPr>
        <w:pStyle w:val="a3"/>
        <w:jc w:val="right"/>
        <w:rPr>
          <w:rFonts w:ascii="TimesNewRomanPS" w:hAnsi="TimesNewRomanPS"/>
          <w:bCs/>
          <w:sz w:val="26"/>
          <w:szCs w:val="28"/>
        </w:rPr>
      </w:pPr>
      <w:r w:rsidRPr="003F76AD">
        <w:rPr>
          <w:rFonts w:ascii="TimesNewRomanPS" w:hAnsi="TimesNewRomanPS"/>
          <w:bCs/>
          <w:sz w:val="26"/>
          <w:szCs w:val="28"/>
        </w:rPr>
        <w:t>Архангельский А. Н</w:t>
      </w:r>
      <w:r w:rsidR="003F76AD" w:rsidRPr="003F76AD">
        <w:rPr>
          <w:rFonts w:ascii="TimesNewRomanPS" w:hAnsi="TimesNewRomanPS"/>
          <w:bCs/>
          <w:sz w:val="26"/>
          <w:szCs w:val="28"/>
        </w:rPr>
        <w:t xml:space="preserve">. </w:t>
      </w:r>
    </w:p>
    <w:p w14:paraId="6F4D0A80" w14:textId="77777777" w:rsidR="00162038" w:rsidRPr="003F76AD" w:rsidRDefault="00162038" w:rsidP="00AE6100">
      <w:pPr>
        <w:pStyle w:val="a3"/>
        <w:rPr>
          <w:sz w:val="24"/>
          <w:szCs w:val="28"/>
        </w:rPr>
      </w:pPr>
    </w:p>
    <w:p w14:paraId="7998CF33" w14:textId="77777777" w:rsidR="00162038" w:rsidRPr="003F76AD" w:rsidRDefault="00162038" w:rsidP="00162038">
      <w:pPr>
        <w:pStyle w:val="a3"/>
        <w:jc w:val="center"/>
        <w:rPr>
          <w:sz w:val="24"/>
          <w:szCs w:val="28"/>
        </w:rPr>
      </w:pPr>
      <w:r w:rsidRPr="003F76AD">
        <w:rPr>
          <w:sz w:val="24"/>
          <w:szCs w:val="28"/>
        </w:rPr>
        <w:t xml:space="preserve">Москва </w:t>
      </w:r>
    </w:p>
    <w:p w14:paraId="7651DDB9" w14:textId="1DE15AE8" w:rsidR="00162038" w:rsidRPr="003F76AD" w:rsidRDefault="00162038" w:rsidP="00162038">
      <w:pPr>
        <w:pStyle w:val="a3"/>
        <w:jc w:val="center"/>
        <w:rPr>
          <w:sz w:val="24"/>
          <w:szCs w:val="28"/>
        </w:rPr>
      </w:pPr>
      <w:r w:rsidRPr="003F76AD">
        <w:rPr>
          <w:sz w:val="24"/>
          <w:szCs w:val="28"/>
        </w:rPr>
        <w:t>2019</w:t>
      </w:r>
    </w:p>
    <w:p w14:paraId="78692DA2" w14:textId="77777777" w:rsidR="00162038" w:rsidRPr="003F76AD" w:rsidRDefault="00162038" w:rsidP="00A43CB1">
      <w:pPr>
        <w:rPr>
          <w:sz w:val="21"/>
        </w:rPr>
      </w:pPr>
    </w:p>
    <w:p w14:paraId="730C2226" w14:textId="77777777" w:rsidR="004446A5" w:rsidRDefault="004446A5" w:rsidP="003F76AD">
      <w:pPr>
        <w:jc w:val="center"/>
        <w:rPr>
          <w:b/>
          <w:szCs w:val="28"/>
        </w:rPr>
      </w:pPr>
    </w:p>
    <w:p w14:paraId="7608AAD7" w14:textId="32E59664" w:rsidR="00162038" w:rsidRPr="003F76AD" w:rsidRDefault="00363C3B" w:rsidP="003F76AD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="00BD5216" w:rsidRPr="003F76AD">
        <w:rPr>
          <w:b/>
          <w:szCs w:val="28"/>
        </w:rPr>
        <w:t>езисы</w:t>
      </w:r>
    </w:p>
    <w:p w14:paraId="0B2E129D" w14:textId="77777777" w:rsidR="00AA73AA" w:rsidRDefault="00AA73AA" w:rsidP="001B3C59">
      <w:pPr>
        <w:jc w:val="both"/>
        <w:rPr>
          <w:szCs w:val="28"/>
        </w:rPr>
      </w:pPr>
    </w:p>
    <w:p w14:paraId="7BCF10FA" w14:textId="03D9C9C0" w:rsidR="00A678AF" w:rsidRPr="001372C9" w:rsidRDefault="00BD5216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>Композиционные, монтажные приемы, текстовые и аудиоэлементы, хроника</w:t>
      </w:r>
      <w:r w:rsidR="003F76AD" w:rsidRPr="001372C9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1372C9">
        <w:rPr>
          <w:rFonts w:ascii="Times New Roman" w:hAnsi="Times New Roman" w:cs="Times New Roman"/>
          <w:sz w:val="28"/>
          <w:szCs w:val="28"/>
        </w:rPr>
        <w:t xml:space="preserve">, подбор героев и выстраивание нарратива помещают в </w:t>
      </w:r>
      <w:r w:rsidR="00C52BFA" w:rsidRPr="001372C9">
        <w:rPr>
          <w:rFonts w:ascii="Times New Roman" w:hAnsi="Times New Roman" w:cs="Times New Roman"/>
          <w:sz w:val="28"/>
          <w:szCs w:val="28"/>
        </w:rPr>
        <w:t xml:space="preserve">идеологическую </w:t>
      </w:r>
      <w:r w:rsidRPr="001372C9">
        <w:rPr>
          <w:rFonts w:ascii="Times New Roman" w:hAnsi="Times New Roman" w:cs="Times New Roman"/>
          <w:sz w:val="28"/>
          <w:szCs w:val="28"/>
        </w:rPr>
        <w:t>рамку историческое явление, официально осужденное Нюрнбергским процессом</w:t>
      </w:r>
      <w:r w:rsidR="00A678AF" w:rsidRPr="001372C9">
        <w:rPr>
          <w:rFonts w:ascii="Times New Roman" w:hAnsi="Times New Roman" w:cs="Times New Roman"/>
          <w:sz w:val="28"/>
          <w:szCs w:val="28"/>
        </w:rPr>
        <w:t xml:space="preserve"> (участие во Второй мировой войне на стороне войск СС)</w:t>
      </w:r>
      <w:r w:rsidRPr="001372C9">
        <w:rPr>
          <w:rFonts w:ascii="Times New Roman" w:hAnsi="Times New Roman" w:cs="Times New Roman"/>
          <w:sz w:val="28"/>
          <w:szCs w:val="28"/>
        </w:rPr>
        <w:t>, но поддерж</w:t>
      </w:r>
      <w:r w:rsidR="00F95B8B" w:rsidRPr="001372C9">
        <w:rPr>
          <w:rFonts w:ascii="Times New Roman" w:hAnsi="Times New Roman" w:cs="Times New Roman"/>
          <w:sz w:val="28"/>
          <w:szCs w:val="28"/>
        </w:rPr>
        <w:t xml:space="preserve">иваемое в пределах государства Декларацией </w:t>
      </w:r>
      <w:r w:rsidR="00F95B8B" w:rsidRPr="001372C9">
        <w:rPr>
          <w:rFonts w:ascii="Times New Roman" w:hAnsi="Times New Roman" w:cs="Times New Roman"/>
          <w:sz w:val="28"/>
          <w:szCs w:val="28"/>
        </w:rPr>
        <w:t>«О латышских леги</w:t>
      </w:r>
      <w:r w:rsidR="00F95B8B" w:rsidRPr="001372C9">
        <w:rPr>
          <w:rFonts w:ascii="Times New Roman" w:hAnsi="Times New Roman" w:cs="Times New Roman"/>
          <w:sz w:val="28"/>
          <w:szCs w:val="28"/>
        </w:rPr>
        <w:t>онерах во Второй мировой войне» и рядом культурных мероприятий по поддержанию позитивной памяти о легионе.</w:t>
      </w:r>
    </w:p>
    <w:p w14:paraId="7EC0FF4D" w14:textId="77777777" w:rsidR="00A678AF" w:rsidRPr="001372C9" w:rsidRDefault="00A678AF" w:rsidP="001372C9">
      <w:pPr>
        <w:rPr>
          <w:sz w:val="28"/>
          <w:szCs w:val="28"/>
        </w:rPr>
      </w:pPr>
    </w:p>
    <w:p w14:paraId="2637D14B" w14:textId="37157BC7" w:rsidR="00785B56" w:rsidRPr="001372C9" w:rsidRDefault="00A678AF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 xml:space="preserve">Фильм «Латышский легион», снятый в 2000 году поддержке фонда Сороса и Минобороны Латвии, </w:t>
      </w:r>
      <w:r w:rsidR="00606979" w:rsidRPr="001372C9">
        <w:rPr>
          <w:rFonts w:ascii="Times New Roman" w:hAnsi="Times New Roman" w:cs="Times New Roman"/>
          <w:sz w:val="28"/>
          <w:szCs w:val="28"/>
        </w:rPr>
        <w:t>продвигает образ не легион</w:t>
      </w:r>
      <w:r w:rsidR="001B3C59" w:rsidRPr="001372C9">
        <w:rPr>
          <w:rFonts w:ascii="Times New Roman" w:hAnsi="Times New Roman" w:cs="Times New Roman"/>
          <w:sz w:val="28"/>
          <w:szCs w:val="28"/>
        </w:rPr>
        <w:t xml:space="preserve">ера не через параллель с нацистскими </w:t>
      </w:r>
      <w:r w:rsidR="00606979" w:rsidRPr="001372C9">
        <w:rPr>
          <w:rFonts w:ascii="Times New Roman" w:hAnsi="Times New Roman" w:cs="Times New Roman"/>
          <w:sz w:val="28"/>
          <w:szCs w:val="28"/>
        </w:rPr>
        <w:t>преступника</w:t>
      </w:r>
      <w:r w:rsidR="001B3C59" w:rsidRPr="001372C9">
        <w:rPr>
          <w:rFonts w:ascii="Times New Roman" w:hAnsi="Times New Roman" w:cs="Times New Roman"/>
          <w:sz w:val="28"/>
          <w:szCs w:val="28"/>
        </w:rPr>
        <w:t>ми</w:t>
      </w:r>
      <w:r w:rsidR="00606979" w:rsidRPr="001372C9">
        <w:rPr>
          <w:rFonts w:ascii="Times New Roman" w:hAnsi="Times New Roman" w:cs="Times New Roman"/>
          <w:sz w:val="28"/>
          <w:szCs w:val="28"/>
        </w:rPr>
        <w:t xml:space="preserve">, а </w:t>
      </w:r>
      <w:r w:rsidR="001B3C59" w:rsidRPr="001372C9">
        <w:rPr>
          <w:rFonts w:ascii="Times New Roman" w:hAnsi="Times New Roman" w:cs="Times New Roman"/>
          <w:sz w:val="28"/>
          <w:szCs w:val="28"/>
        </w:rPr>
        <w:t xml:space="preserve">через дискурс </w:t>
      </w:r>
      <w:r w:rsidR="00606979" w:rsidRPr="001372C9">
        <w:rPr>
          <w:rFonts w:ascii="Times New Roman" w:hAnsi="Times New Roman" w:cs="Times New Roman"/>
          <w:sz w:val="28"/>
          <w:szCs w:val="28"/>
        </w:rPr>
        <w:t xml:space="preserve">жертвы обстоятельств и национального героя в условиях отсутствия выбора. </w:t>
      </w:r>
    </w:p>
    <w:p w14:paraId="1137F765" w14:textId="77777777" w:rsidR="00C52BFA" w:rsidRPr="001372C9" w:rsidRDefault="00C52BFA" w:rsidP="001372C9">
      <w:pPr>
        <w:rPr>
          <w:sz w:val="28"/>
          <w:szCs w:val="28"/>
        </w:rPr>
      </w:pPr>
    </w:p>
    <w:p w14:paraId="2B1A8854" w14:textId="6086B5FD" w:rsidR="00C52BFA" w:rsidRPr="001372C9" w:rsidRDefault="00C52BFA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>В постсоветский период латвийская историография стала обращаться к националистическому дискурсу, и тексты в том числе латышских легионерах стали занимать «нишу» советских «культурных героев»</w:t>
      </w:r>
      <w:r w:rsidRPr="001372C9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1372C9">
        <w:rPr>
          <w:rFonts w:ascii="Times New Roman" w:hAnsi="Times New Roman" w:cs="Times New Roman"/>
          <w:sz w:val="28"/>
          <w:szCs w:val="28"/>
        </w:rPr>
        <w:t>.</w:t>
      </w:r>
    </w:p>
    <w:p w14:paraId="0F1647B0" w14:textId="77777777" w:rsidR="00AA73AA" w:rsidRPr="001372C9" w:rsidRDefault="00AA73AA" w:rsidP="001372C9">
      <w:pPr>
        <w:rPr>
          <w:sz w:val="28"/>
          <w:szCs w:val="28"/>
        </w:rPr>
      </w:pPr>
    </w:p>
    <w:p w14:paraId="64C8D39F" w14:textId="05534AB4" w:rsidR="00AA73AA" w:rsidRPr="001372C9" w:rsidRDefault="00AA73AA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 xml:space="preserve">Историческая память о Второй мировой войне в целом и на территории Латвии в частности представляет собой культурную травму. </w:t>
      </w:r>
      <w:r w:rsidR="00363C3B" w:rsidRPr="001372C9">
        <w:rPr>
          <w:rFonts w:ascii="Times New Roman" w:hAnsi="Times New Roman" w:cs="Times New Roman"/>
          <w:sz w:val="28"/>
          <w:szCs w:val="28"/>
        </w:rPr>
        <w:t>В</w:t>
      </w:r>
      <w:r w:rsidRPr="001372C9">
        <w:rPr>
          <w:rFonts w:ascii="Times New Roman" w:hAnsi="Times New Roman" w:cs="Times New Roman"/>
          <w:sz w:val="28"/>
          <w:szCs w:val="28"/>
        </w:rPr>
        <w:t xml:space="preserve"> последние годы понимание феномена травмы расширилось от психологической симптоматики</w:t>
      </w:r>
      <w:r w:rsidR="006E658C" w:rsidRPr="001372C9">
        <w:rPr>
          <w:rFonts w:ascii="Times New Roman" w:hAnsi="Times New Roman" w:cs="Times New Roman"/>
          <w:sz w:val="28"/>
          <w:szCs w:val="28"/>
        </w:rPr>
        <w:t xml:space="preserve"> (</w:t>
      </w:r>
      <w:r w:rsidR="00785B56" w:rsidRPr="001372C9">
        <w:rPr>
          <w:rFonts w:ascii="Times New Roman" w:hAnsi="Times New Roman" w:cs="Times New Roman"/>
          <w:sz w:val="28"/>
          <w:szCs w:val="28"/>
        </w:rPr>
        <w:t>поле психоанализа, работы Адорно, Лиотара)</w:t>
      </w:r>
      <w:r w:rsidRPr="001372C9">
        <w:rPr>
          <w:rFonts w:ascii="Times New Roman" w:hAnsi="Times New Roman" w:cs="Times New Roman"/>
          <w:sz w:val="28"/>
          <w:szCs w:val="28"/>
        </w:rPr>
        <w:t xml:space="preserve"> до «образцового нарратива»</w:t>
      </w:r>
      <w:r w:rsidR="00785B56" w:rsidRPr="001372C9">
        <w:rPr>
          <w:rFonts w:ascii="Times New Roman" w:hAnsi="Times New Roman" w:cs="Times New Roman"/>
          <w:sz w:val="28"/>
          <w:szCs w:val="28"/>
        </w:rPr>
        <w:t xml:space="preserve"> (Джеффри Александер)</w:t>
      </w:r>
      <w:r w:rsidR="00785B56" w:rsidRPr="001372C9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1372C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AE6100" w:rsidRPr="001372C9">
        <w:rPr>
          <w:rFonts w:ascii="Times New Roman" w:hAnsi="Times New Roman" w:cs="Times New Roman"/>
          <w:sz w:val="28"/>
          <w:szCs w:val="28"/>
        </w:rPr>
        <w:t>травматическ</w:t>
      </w:r>
      <w:r w:rsidR="00785B56" w:rsidRPr="001372C9">
        <w:rPr>
          <w:rFonts w:ascii="Times New Roman" w:hAnsi="Times New Roman" w:cs="Times New Roman"/>
          <w:sz w:val="28"/>
          <w:szCs w:val="28"/>
        </w:rPr>
        <w:t xml:space="preserve">ое </w:t>
      </w:r>
      <w:r w:rsidRPr="001372C9">
        <w:rPr>
          <w:rFonts w:ascii="Times New Roman" w:hAnsi="Times New Roman" w:cs="Times New Roman"/>
          <w:sz w:val="28"/>
          <w:szCs w:val="28"/>
        </w:rPr>
        <w:t>событие</w:t>
      </w:r>
      <w:r w:rsidR="00785B56" w:rsidRPr="001372C9">
        <w:rPr>
          <w:rFonts w:ascii="Times New Roman" w:hAnsi="Times New Roman" w:cs="Times New Roman"/>
          <w:sz w:val="28"/>
          <w:szCs w:val="28"/>
        </w:rPr>
        <w:t xml:space="preserve"> </w:t>
      </w:r>
      <w:r w:rsidRPr="001372C9">
        <w:rPr>
          <w:rFonts w:ascii="Times New Roman" w:hAnsi="Times New Roman" w:cs="Times New Roman"/>
          <w:sz w:val="28"/>
          <w:szCs w:val="28"/>
        </w:rPr>
        <w:t>становится ядро</w:t>
      </w:r>
      <w:r w:rsidR="00785B56" w:rsidRPr="001372C9">
        <w:rPr>
          <w:rFonts w:ascii="Times New Roman" w:hAnsi="Times New Roman" w:cs="Times New Roman"/>
          <w:sz w:val="28"/>
          <w:szCs w:val="28"/>
        </w:rPr>
        <w:t xml:space="preserve">м </w:t>
      </w:r>
      <w:r w:rsidRPr="001372C9">
        <w:rPr>
          <w:rFonts w:ascii="Times New Roman" w:hAnsi="Times New Roman" w:cs="Times New Roman"/>
          <w:sz w:val="28"/>
          <w:szCs w:val="28"/>
        </w:rPr>
        <w:t>коллективной идентичности</w:t>
      </w:r>
      <w:r w:rsidR="00785B56" w:rsidRPr="001372C9">
        <w:rPr>
          <w:rFonts w:ascii="Times New Roman" w:hAnsi="Times New Roman" w:cs="Times New Roman"/>
          <w:sz w:val="28"/>
          <w:szCs w:val="28"/>
        </w:rPr>
        <w:t>, в том числе посредством медиа</w:t>
      </w:r>
      <w:r w:rsidRPr="001372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8B3F9" w14:textId="77777777" w:rsidR="004A39BC" w:rsidRPr="001372C9" w:rsidRDefault="004A39BC" w:rsidP="001372C9">
      <w:pPr>
        <w:rPr>
          <w:rFonts w:eastAsia="Times New Roman"/>
          <w:color w:val="222222"/>
          <w:sz w:val="28"/>
          <w:szCs w:val="28"/>
          <w:shd w:val="clear" w:color="auto" w:fill="FFFFFF"/>
        </w:rPr>
      </w:pPr>
    </w:p>
    <w:p w14:paraId="75FD3CAE" w14:textId="5EE0EE4D" w:rsidR="006F12B2" w:rsidRPr="001372C9" w:rsidRDefault="00363C3B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>Р</w:t>
      </w:r>
      <w:r w:rsidR="00C54292" w:rsidRPr="001372C9">
        <w:rPr>
          <w:rFonts w:ascii="Times New Roman" w:hAnsi="Times New Roman" w:cs="Times New Roman"/>
          <w:sz w:val="28"/>
          <w:szCs w:val="28"/>
        </w:rPr>
        <w:t xml:space="preserve">оль документального кино в мемориализации национальной истории </w:t>
      </w:r>
      <w:r w:rsidRPr="001372C9">
        <w:rPr>
          <w:rFonts w:ascii="Times New Roman" w:hAnsi="Times New Roman" w:cs="Times New Roman"/>
          <w:sz w:val="28"/>
          <w:szCs w:val="28"/>
        </w:rPr>
        <w:t>XX</w:t>
      </w:r>
      <w:r w:rsidR="00C54292" w:rsidRPr="001372C9">
        <w:rPr>
          <w:rFonts w:ascii="Times New Roman" w:hAnsi="Times New Roman" w:cs="Times New Roman"/>
          <w:sz w:val="28"/>
          <w:szCs w:val="28"/>
        </w:rPr>
        <w:t xml:space="preserve"> в</w:t>
      </w:r>
      <w:r w:rsidRPr="001372C9">
        <w:rPr>
          <w:rFonts w:ascii="Times New Roman" w:hAnsi="Times New Roman" w:cs="Times New Roman"/>
          <w:sz w:val="28"/>
          <w:szCs w:val="28"/>
        </w:rPr>
        <w:t xml:space="preserve">ека огромна и характеризуется тем, что историческое не только </w:t>
      </w:r>
      <w:r w:rsidR="00AE6100" w:rsidRPr="001372C9">
        <w:rPr>
          <w:rFonts w:ascii="Times New Roman" w:hAnsi="Times New Roman" w:cs="Times New Roman"/>
          <w:sz w:val="28"/>
          <w:szCs w:val="28"/>
        </w:rPr>
        <w:t>презентуется</w:t>
      </w:r>
      <w:r w:rsidRPr="001372C9">
        <w:rPr>
          <w:rFonts w:ascii="Times New Roman" w:hAnsi="Times New Roman" w:cs="Times New Roman"/>
          <w:sz w:val="28"/>
          <w:szCs w:val="28"/>
        </w:rPr>
        <w:t xml:space="preserve">, но и конструируется, например, в соответствии с актуальным в настоящий момент идеологическим курсом. </w:t>
      </w:r>
      <w:r w:rsidR="00175F9F" w:rsidRPr="001372C9">
        <w:rPr>
          <w:rFonts w:ascii="Times New Roman" w:hAnsi="Times New Roman" w:cs="Times New Roman"/>
          <w:sz w:val="28"/>
          <w:szCs w:val="28"/>
        </w:rPr>
        <w:t>Принципиально вариативное отношение кино к достоверности</w:t>
      </w:r>
      <w:r w:rsidR="00AE6100" w:rsidRPr="001372C9">
        <w:rPr>
          <w:rFonts w:ascii="Times New Roman" w:hAnsi="Times New Roman" w:cs="Times New Roman"/>
          <w:sz w:val="28"/>
          <w:szCs w:val="28"/>
        </w:rPr>
        <w:footnoteReference w:id="3"/>
      </w:r>
      <w:r w:rsidR="00175F9F" w:rsidRPr="001372C9">
        <w:rPr>
          <w:rFonts w:ascii="Times New Roman" w:hAnsi="Times New Roman" w:cs="Times New Roman"/>
          <w:sz w:val="28"/>
          <w:szCs w:val="28"/>
        </w:rPr>
        <w:t>, на поздних этапах развития кинематографа привело к стиранию четкой границы между документальным и игровым, кино таким образом представляет «историческое через нарративное конструирование»</w:t>
      </w:r>
      <w:r w:rsidR="00175F9F" w:rsidRPr="001372C9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="00175F9F" w:rsidRPr="001372C9">
        <w:rPr>
          <w:rFonts w:ascii="Times New Roman" w:hAnsi="Times New Roman" w:cs="Times New Roman"/>
          <w:sz w:val="28"/>
          <w:szCs w:val="28"/>
        </w:rPr>
        <w:t>.</w:t>
      </w:r>
      <w:r w:rsidRPr="0013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105F0" w14:textId="77777777" w:rsidR="002F1ECE" w:rsidRDefault="002F1ECE" w:rsidP="001372C9">
      <w:pPr>
        <w:rPr>
          <w:rFonts w:eastAsia="Times New Roman"/>
        </w:rPr>
      </w:pPr>
    </w:p>
    <w:p w14:paraId="485AD55E" w14:textId="6983A9E6" w:rsidR="00C54292" w:rsidRPr="00A375DB" w:rsidRDefault="001B3C59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75DB">
        <w:rPr>
          <w:rFonts w:ascii="Times New Roman" w:hAnsi="Times New Roman" w:cs="Times New Roman"/>
          <w:sz w:val="28"/>
          <w:szCs w:val="28"/>
        </w:rPr>
        <w:t xml:space="preserve">Режиссер-документалист Инара Колмане находится в сложной ситуации «двойного контракта» с аудиторией, будучи «прописанным» на </w:t>
      </w:r>
      <w:r w:rsidR="00C54292" w:rsidRPr="00A375DB">
        <w:rPr>
          <w:rFonts w:ascii="Times New Roman" w:hAnsi="Times New Roman" w:cs="Times New Roman"/>
          <w:sz w:val="28"/>
          <w:szCs w:val="28"/>
        </w:rPr>
        <w:t>территории</w:t>
      </w:r>
      <w:r w:rsidRPr="00A375DB">
        <w:rPr>
          <w:rFonts w:ascii="Times New Roman" w:hAnsi="Times New Roman" w:cs="Times New Roman"/>
          <w:sz w:val="28"/>
          <w:szCs w:val="28"/>
        </w:rPr>
        <w:t xml:space="preserve"> Латвии, но работая</w:t>
      </w:r>
      <w:r w:rsidR="00C54292" w:rsidRPr="00A375DB">
        <w:rPr>
          <w:rFonts w:ascii="Times New Roman" w:hAnsi="Times New Roman" w:cs="Times New Roman"/>
          <w:sz w:val="28"/>
          <w:szCs w:val="28"/>
        </w:rPr>
        <w:t xml:space="preserve"> в мировом контексте</w:t>
      </w:r>
      <w:r w:rsidRPr="00A375DB">
        <w:rPr>
          <w:rFonts w:ascii="Times New Roman" w:hAnsi="Times New Roman" w:cs="Times New Roman"/>
          <w:sz w:val="28"/>
          <w:szCs w:val="28"/>
        </w:rPr>
        <w:t>.</w:t>
      </w:r>
      <w:r w:rsidR="00C54292" w:rsidRPr="00A37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AD051" w14:textId="77777777" w:rsidR="002963E0" w:rsidRPr="00A375DB" w:rsidRDefault="002963E0" w:rsidP="001372C9">
      <w:pPr>
        <w:rPr>
          <w:sz w:val="28"/>
          <w:szCs w:val="28"/>
        </w:rPr>
      </w:pPr>
    </w:p>
    <w:p w14:paraId="6E856509" w14:textId="77777777" w:rsidR="00A375DB" w:rsidRPr="00A375DB" w:rsidRDefault="002963E0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75DB">
        <w:rPr>
          <w:rFonts w:ascii="Times New Roman" w:hAnsi="Times New Roman" w:cs="Times New Roman"/>
          <w:sz w:val="28"/>
          <w:szCs w:val="28"/>
        </w:rPr>
        <w:t xml:space="preserve">Средства визуализации фильма «Латышский легион» включают монтажный «эффект Кулешова», который соединяет торжественные сцены и кадры смерти, усиливая трагический подтекст. </w:t>
      </w:r>
      <w:r w:rsidRPr="00A375DB">
        <w:rPr>
          <w:rFonts w:ascii="Times New Roman" w:hAnsi="Times New Roman" w:cs="Times New Roman"/>
          <w:sz w:val="28"/>
          <w:szCs w:val="28"/>
        </w:rPr>
        <w:t>Музыкальная составляющая</w:t>
      </w:r>
      <w:r w:rsidRPr="00A375DB">
        <w:rPr>
          <w:rFonts w:ascii="Times New Roman" w:hAnsi="Times New Roman" w:cs="Times New Roman"/>
          <w:sz w:val="28"/>
          <w:szCs w:val="28"/>
        </w:rPr>
        <w:t xml:space="preserve"> создает ощущение надежды, чтобы в дальнейшем усилить разочарование. </w:t>
      </w:r>
      <w:r w:rsidRPr="00A375DB">
        <w:rPr>
          <w:rFonts w:ascii="Times New Roman" w:hAnsi="Times New Roman" w:cs="Times New Roman"/>
          <w:sz w:val="28"/>
          <w:szCs w:val="28"/>
        </w:rPr>
        <w:t>Документы (кинохроника, фотографии, зачитывание а</w:t>
      </w:r>
      <w:r w:rsidRPr="00A375DB">
        <w:rPr>
          <w:rFonts w:ascii="Times New Roman" w:hAnsi="Times New Roman" w:cs="Times New Roman"/>
          <w:sz w:val="28"/>
          <w:szCs w:val="28"/>
        </w:rPr>
        <w:t>рхивных документов)</w:t>
      </w:r>
      <w:r w:rsidRPr="00A375DB">
        <w:rPr>
          <w:rFonts w:ascii="Times New Roman" w:hAnsi="Times New Roman" w:cs="Times New Roman"/>
          <w:sz w:val="28"/>
          <w:szCs w:val="28"/>
        </w:rPr>
        <w:t xml:space="preserve"> используются как инструмент эмоционального воздействия, усиливают эффект сказанных </w:t>
      </w:r>
      <w:r w:rsidR="00F95B8B" w:rsidRPr="00A375DB">
        <w:rPr>
          <w:rFonts w:ascii="Times New Roman" w:hAnsi="Times New Roman" w:cs="Times New Roman"/>
          <w:sz w:val="28"/>
          <w:szCs w:val="28"/>
        </w:rPr>
        <w:t xml:space="preserve">за кадром </w:t>
      </w:r>
      <w:r w:rsidRPr="00A375DB">
        <w:rPr>
          <w:rFonts w:ascii="Times New Roman" w:hAnsi="Times New Roman" w:cs="Times New Roman"/>
          <w:sz w:val="28"/>
          <w:szCs w:val="28"/>
        </w:rPr>
        <w:t>слов или же, напротив, значение документа объясняется в интервью или закадровым голосом</w:t>
      </w:r>
      <w:r w:rsidRPr="00A375DB">
        <w:rPr>
          <w:rFonts w:ascii="Times New Roman" w:hAnsi="Times New Roman" w:cs="Times New Roman"/>
          <w:sz w:val="28"/>
          <w:szCs w:val="28"/>
        </w:rPr>
        <w:t>, порой диаметрально противоположно визуальной картинке</w:t>
      </w:r>
      <w:r w:rsidRPr="00A375DB">
        <w:rPr>
          <w:rFonts w:ascii="Times New Roman" w:hAnsi="Times New Roman" w:cs="Times New Roman"/>
          <w:sz w:val="28"/>
          <w:szCs w:val="28"/>
        </w:rPr>
        <w:t>.</w:t>
      </w:r>
    </w:p>
    <w:p w14:paraId="2C7425BE" w14:textId="77777777" w:rsidR="00A375DB" w:rsidRPr="00A375DB" w:rsidRDefault="00A375DB" w:rsidP="001372C9">
      <w:pPr>
        <w:rPr>
          <w:sz w:val="28"/>
          <w:szCs w:val="28"/>
        </w:rPr>
      </w:pPr>
    </w:p>
    <w:p w14:paraId="5C597DD9" w14:textId="3925372C" w:rsidR="00F95B8B" w:rsidRPr="00A375DB" w:rsidRDefault="00F95B8B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75DB">
        <w:rPr>
          <w:rFonts w:ascii="Times New Roman" w:hAnsi="Times New Roman" w:cs="Times New Roman"/>
          <w:sz w:val="28"/>
          <w:szCs w:val="28"/>
        </w:rPr>
        <w:t>Помимо магистрального закадрового повествования в фильм включены рассказы исследователя</w:t>
      </w:r>
      <w:r w:rsidRPr="00A375DB">
        <w:rPr>
          <w:rFonts w:ascii="Times New Roman" w:hAnsi="Times New Roman" w:cs="Times New Roman"/>
          <w:sz w:val="28"/>
          <w:szCs w:val="28"/>
        </w:rPr>
        <w:t xml:space="preserve">, который претендует на объективную историческую оценку, и </w:t>
      </w:r>
      <w:r w:rsidRPr="00A375DB">
        <w:rPr>
          <w:rFonts w:ascii="Times New Roman" w:hAnsi="Times New Roman" w:cs="Times New Roman"/>
          <w:sz w:val="28"/>
          <w:szCs w:val="28"/>
        </w:rPr>
        <w:t xml:space="preserve">уже </w:t>
      </w:r>
      <w:r w:rsidRPr="00A375DB">
        <w:rPr>
          <w:rFonts w:ascii="Times New Roman" w:hAnsi="Times New Roman" w:cs="Times New Roman"/>
          <w:sz w:val="28"/>
          <w:szCs w:val="28"/>
        </w:rPr>
        <w:t>пожил</w:t>
      </w:r>
      <w:r w:rsidRPr="00A375DB">
        <w:rPr>
          <w:rFonts w:ascii="Times New Roman" w:hAnsi="Times New Roman" w:cs="Times New Roman"/>
          <w:sz w:val="28"/>
          <w:szCs w:val="28"/>
        </w:rPr>
        <w:t>ых</w:t>
      </w:r>
      <w:r w:rsidRPr="00A375DB">
        <w:rPr>
          <w:rFonts w:ascii="Times New Roman" w:hAnsi="Times New Roman" w:cs="Times New Roman"/>
          <w:sz w:val="28"/>
          <w:szCs w:val="28"/>
        </w:rPr>
        <w:t xml:space="preserve"> очевидцы тех событий.</w:t>
      </w:r>
      <w:r w:rsidR="00A375DB" w:rsidRPr="00A375DB">
        <w:rPr>
          <w:rFonts w:ascii="Times New Roman" w:hAnsi="Times New Roman" w:cs="Times New Roman"/>
          <w:sz w:val="28"/>
          <w:szCs w:val="28"/>
        </w:rPr>
        <w:t xml:space="preserve"> Герои-очевидцы сначала появляются на экране анонимными, постепенно появляется титр и раскрываются их личные истории. Кульминацией этих интервью становятся трагичные моменты, связанны с личной болью — смертью близких (с</w:t>
      </w:r>
      <w:r w:rsidR="00A375DB" w:rsidRPr="00A375DB">
        <w:rPr>
          <w:rFonts w:ascii="Times New Roman" w:hAnsi="Times New Roman" w:cs="Times New Roman"/>
          <w:sz w:val="28"/>
          <w:szCs w:val="28"/>
          <w:lang w:eastAsia="ru-RU"/>
        </w:rPr>
        <w:t>мерть легионера в бою с красной армией, на стороне которой воевал его брат</w:t>
      </w:r>
      <w:r w:rsidR="00A375DB" w:rsidRPr="00A375DB">
        <w:rPr>
          <w:rFonts w:ascii="Times New Roman" w:hAnsi="Times New Roman" w:cs="Times New Roman"/>
          <w:sz w:val="28"/>
          <w:szCs w:val="28"/>
        </w:rPr>
        <w:t>, вдова легионера со слезами говорит, что сын не увидел отца живым, легионер рассказывает, как его жену и детей убили русские, а его самого сослали в фильтрационный лагерь).</w:t>
      </w:r>
      <w:r w:rsidR="00A375DB" w:rsidRPr="00A37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F40F2D" w14:textId="77777777" w:rsidR="00F95B8B" w:rsidRPr="00A375DB" w:rsidRDefault="00F95B8B" w:rsidP="001372C9">
      <w:pPr>
        <w:rPr>
          <w:sz w:val="28"/>
          <w:szCs w:val="28"/>
        </w:rPr>
      </w:pPr>
    </w:p>
    <w:p w14:paraId="375B30D1" w14:textId="77777777" w:rsidR="00A375DB" w:rsidRPr="00A375DB" w:rsidRDefault="002963E0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75DB">
        <w:rPr>
          <w:rFonts w:ascii="Times New Roman" w:hAnsi="Times New Roman" w:cs="Times New Roman"/>
          <w:sz w:val="28"/>
          <w:szCs w:val="28"/>
        </w:rPr>
        <w:t xml:space="preserve">Нарратив фильма выстраивается </w:t>
      </w:r>
      <w:r w:rsidR="00F95B8B" w:rsidRPr="00A375DB">
        <w:rPr>
          <w:rFonts w:ascii="Times New Roman" w:hAnsi="Times New Roman" w:cs="Times New Roman"/>
          <w:sz w:val="28"/>
          <w:szCs w:val="28"/>
        </w:rPr>
        <w:t>по кольцевой композиции. Если в начале представлены различные взгляды на легионеров (цитаты известных людей, интервью с молодыми людьми), то к концу постепенно появляется мысль о том, что о легионерах нужно помнить, но нельзя их осуждать (</w:t>
      </w:r>
      <w:r w:rsidR="00F95B8B" w:rsidRPr="00A375DB">
        <w:rPr>
          <w:rFonts w:ascii="Times New Roman" w:hAnsi="Times New Roman" w:cs="Times New Roman"/>
          <w:sz w:val="28"/>
          <w:szCs w:val="28"/>
        </w:rPr>
        <w:t>закадровый голос в конце: «Способны ли мы понять и оценить людей, втянутых в безжалостную мясорубку войны? Можем ли представить себя там и ответить: а как бы поступили мы на их месте?»</w:t>
      </w:r>
      <w:r w:rsidR="00F95B8B" w:rsidRPr="00A375DB">
        <w:rPr>
          <w:rFonts w:ascii="Times New Roman" w:hAnsi="Times New Roman" w:cs="Times New Roman"/>
          <w:sz w:val="28"/>
          <w:szCs w:val="28"/>
        </w:rPr>
        <w:t>).</w:t>
      </w:r>
    </w:p>
    <w:p w14:paraId="20E2C86A" w14:textId="77777777" w:rsidR="00A375DB" w:rsidRPr="00A375DB" w:rsidRDefault="00A375DB" w:rsidP="001372C9">
      <w:pPr>
        <w:rPr>
          <w:sz w:val="28"/>
          <w:szCs w:val="28"/>
        </w:rPr>
      </w:pPr>
    </w:p>
    <w:p w14:paraId="01C91231" w14:textId="406C96D2" w:rsidR="00A375DB" w:rsidRPr="00A375DB" w:rsidRDefault="00F95B8B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75DB">
        <w:rPr>
          <w:rFonts w:ascii="Times New Roman" w:hAnsi="Times New Roman" w:cs="Times New Roman"/>
          <w:sz w:val="28"/>
          <w:szCs w:val="28"/>
        </w:rPr>
        <w:t>Дискурс об отсутствии альтернативы появляется как в комментарии эксперта, так и в интервью с очевидцами</w:t>
      </w:r>
      <w:r w:rsidR="00A375DB" w:rsidRPr="00A375DB">
        <w:rPr>
          <w:rFonts w:ascii="Times New Roman" w:hAnsi="Times New Roman" w:cs="Times New Roman"/>
          <w:sz w:val="28"/>
          <w:szCs w:val="28"/>
        </w:rPr>
        <w:t>. Концепция «борьбы за» нацистский режим заменяется двумя другими концепциями:</w:t>
      </w:r>
    </w:p>
    <w:p w14:paraId="19CB9820" w14:textId="77777777" w:rsidR="00A375DB" w:rsidRPr="00A375DB" w:rsidRDefault="00A375DB" w:rsidP="001372C9">
      <w:pPr>
        <w:rPr>
          <w:sz w:val="28"/>
          <w:szCs w:val="28"/>
        </w:rPr>
      </w:pPr>
      <w:r w:rsidRPr="00A375DB">
        <w:rPr>
          <w:sz w:val="28"/>
          <w:szCs w:val="28"/>
        </w:rPr>
        <w:tab/>
      </w:r>
      <w:r w:rsidRPr="00A375DB">
        <w:rPr>
          <w:rFonts w:ascii="MS Mincho" w:eastAsia="MS Mincho" w:hAnsi="MS Mincho" w:cs="MS Mincho"/>
          <w:sz w:val="28"/>
          <w:szCs w:val="28"/>
        </w:rPr>
        <w:t>⁃</w:t>
      </w:r>
      <w:r w:rsidRPr="00A375DB">
        <w:rPr>
          <w:sz w:val="28"/>
          <w:szCs w:val="28"/>
        </w:rPr>
        <w:tab/>
        <w:t>«Борьба против»</w:t>
      </w:r>
      <w:r w:rsidRPr="00A375DB">
        <w:rPr>
          <w:sz w:val="28"/>
          <w:szCs w:val="28"/>
        </w:rPr>
        <w:br/>
      </w:r>
      <w:r w:rsidRPr="00A375DB">
        <w:rPr>
          <w:sz w:val="28"/>
          <w:szCs w:val="28"/>
        </w:rPr>
        <w:tab/>
      </w:r>
      <w:r w:rsidRPr="00A375DB">
        <w:rPr>
          <w:rFonts w:ascii="MS Mincho" w:eastAsia="MS Mincho" w:hAnsi="MS Mincho" w:cs="MS Mincho"/>
          <w:sz w:val="28"/>
          <w:szCs w:val="28"/>
        </w:rPr>
        <w:t>⁃</w:t>
      </w:r>
      <w:r w:rsidRPr="00A375DB">
        <w:rPr>
          <w:sz w:val="28"/>
          <w:szCs w:val="28"/>
        </w:rPr>
        <w:tab/>
        <w:t>«Борьба за выживание»</w:t>
      </w:r>
    </w:p>
    <w:p w14:paraId="75A28FD4" w14:textId="77777777" w:rsidR="001372C9" w:rsidRDefault="001372C9" w:rsidP="001372C9">
      <w:pPr>
        <w:rPr>
          <w:sz w:val="28"/>
          <w:szCs w:val="28"/>
        </w:rPr>
      </w:pPr>
    </w:p>
    <w:p w14:paraId="5B92DE60" w14:textId="571FAFA7" w:rsidR="00A375DB" w:rsidRPr="00A375DB" w:rsidRDefault="001372C9" w:rsidP="001372C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Эти 2 магистральные</w:t>
      </w:r>
      <w:r w:rsidR="00A375DB" w:rsidRPr="00A375DB">
        <w:rPr>
          <w:sz w:val="28"/>
          <w:szCs w:val="28"/>
        </w:rPr>
        <w:t xml:space="preserve"> идеи поддерживают, с одной стороны, образ легионера-героя, а с другой стороны, образ жертвы.</w:t>
      </w:r>
    </w:p>
    <w:p w14:paraId="789530D6" w14:textId="77777777" w:rsidR="00A375DB" w:rsidRPr="00A375DB" w:rsidRDefault="00A375DB" w:rsidP="001372C9">
      <w:pPr>
        <w:rPr>
          <w:szCs w:val="28"/>
        </w:rPr>
      </w:pPr>
    </w:p>
    <w:p w14:paraId="025BD1FA" w14:textId="77777777" w:rsidR="001372C9" w:rsidRPr="001372C9" w:rsidRDefault="003F76AD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 xml:space="preserve">К концу фильма объективное </w:t>
      </w:r>
      <w:r w:rsidR="00991FB9" w:rsidRPr="001372C9">
        <w:rPr>
          <w:rFonts w:ascii="Times New Roman" w:hAnsi="Times New Roman" w:cs="Times New Roman"/>
          <w:sz w:val="28"/>
          <w:szCs w:val="28"/>
        </w:rPr>
        <w:t>представление</w:t>
      </w:r>
      <w:r w:rsidRPr="001372C9">
        <w:rPr>
          <w:rFonts w:ascii="Times New Roman" w:hAnsi="Times New Roman" w:cs="Times New Roman"/>
          <w:sz w:val="28"/>
          <w:szCs w:val="28"/>
        </w:rPr>
        <w:t xml:space="preserve"> </w:t>
      </w:r>
      <w:r w:rsidR="001372C9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1372C9">
        <w:rPr>
          <w:rFonts w:ascii="Times New Roman" w:hAnsi="Times New Roman" w:cs="Times New Roman"/>
          <w:sz w:val="28"/>
          <w:szCs w:val="28"/>
        </w:rPr>
        <w:t>событий постепенно заменяется субъективным, а на уровне восприятия осуждение заменяется сочувствием.</w:t>
      </w:r>
      <w:r w:rsidR="0013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D4BD4" w14:textId="77777777" w:rsidR="001372C9" w:rsidRPr="001372C9" w:rsidRDefault="001372C9" w:rsidP="001372C9">
      <w:pPr>
        <w:rPr>
          <w:sz w:val="28"/>
        </w:rPr>
      </w:pPr>
    </w:p>
    <w:p w14:paraId="56771A8D" w14:textId="17930757" w:rsidR="00991FB9" w:rsidRPr="001372C9" w:rsidRDefault="001372C9" w:rsidP="001372C9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72C9">
        <w:rPr>
          <w:rFonts w:ascii="Times New Roman" w:hAnsi="Times New Roman" w:cs="Times New Roman"/>
          <w:sz w:val="28"/>
          <w:szCs w:val="28"/>
        </w:rPr>
        <w:t>И</w:t>
      </w:r>
      <w:r w:rsidRPr="001372C9">
        <w:rPr>
          <w:rFonts w:ascii="Times New Roman" w:hAnsi="Times New Roman" w:cs="Times New Roman"/>
          <w:sz w:val="28"/>
          <w:szCs w:val="28"/>
        </w:rPr>
        <w:t>стория в фильме показана главным образом через боль. Причём эта боль как универсальная, связанная с военными потерями (в хронике легионеры часто показаны без каких-либо атрибутов, это просто «потерянное поколение», молодые парни) и страданиями мирного население (используются архетипы ребёнка и матери), так и национальная, связанная с идеей трагического положения Латвии между двух тоталитарных государств.</w:t>
      </w:r>
    </w:p>
    <w:p w14:paraId="7AE5B652" w14:textId="77777777" w:rsidR="00A678AF" w:rsidRPr="003F76AD" w:rsidRDefault="00A678AF" w:rsidP="003F76AD">
      <w:pPr>
        <w:jc w:val="both"/>
        <w:rPr>
          <w:szCs w:val="28"/>
        </w:rPr>
      </w:pPr>
    </w:p>
    <w:p w14:paraId="1E4645ED" w14:textId="3A839C00" w:rsidR="00A43CB1" w:rsidRPr="004446A5" w:rsidRDefault="004446A5" w:rsidP="004446A5">
      <w:pPr>
        <w:jc w:val="center"/>
        <w:rPr>
          <w:b/>
          <w:sz w:val="28"/>
          <w:szCs w:val="28"/>
        </w:rPr>
      </w:pPr>
      <w:r w:rsidRPr="004446A5">
        <w:rPr>
          <w:b/>
          <w:sz w:val="28"/>
          <w:szCs w:val="28"/>
        </w:rPr>
        <w:t>Библиографический список</w:t>
      </w:r>
    </w:p>
    <w:p w14:paraId="7DECA1FF" w14:textId="77777777" w:rsidR="004446A5" w:rsidRDefault="004446A5" w:rsidP="004446A5"/>
    <w:p w14:paraId="7FCA9F8C" w14:textId="1B57BBE4" w:rsidR="004446A5" w:rsidRPr="004446A5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 xml:space="preserve">Ассман А. Длинная тень прошлого: Мемориальная культура и историческая политика. М., 2014. </w:t>
      </w:r>
    </w:p>
    <w:p w14:paraId="48C64197" w14:textId="77777777" w:rsidR="004446A5" w:rsidRPr="004446A5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 xml:space="preserve">Кирчанов М.В. «Большие нарративы» как универсальная форма воспроизводства исторических мифов в современной латышской историографии // Современные проблемы науки и образования. – 2015. – № 1. </w:t>
      </w:r>
    </w:p>
    <w:p w14:paraId="78CF2AB9" w14:textId="77777777" w:rsidR="004446A5" w:rsidRPr="004446A5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>Лотман Ю., Цивьян Ю. Диалог с экраном. Таллин: “Александра”, 1994. - 213 с. С. 26</w:t>
      </w:r>
    </w:p>
    <w:p w14:paraId="3EA6F87D" w14:textId="77777777" w:rsidR="004446A5" w:rsidRPr="004446A5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 xml:space="preserve">Лотман Ю.М. Память в культурологическом освещении // Лотман Ю.М. Избранные статьи. Т. 1. Таллинн, 1992. </w:t>
      </w:r>
    </w:p>
    <w:p w14:paraId="2697A1DD" w14:textId="77777777" w:rsidR="004446A5" w:rsidRPr="004446A5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 xml:space="preserve">Петренко Д.В. Кинематографическая репрезентация истории: травма и свидетельство  // Актуальні проблеми філософії та соціології. - 2016. - Вып. 12. </w:t>
      </w:r>
    </w:p>
    <w:p w14:paraId="287D98AE" w14:textId="7581BF8D" w:rsidR="004446A5" w:rsidRPr="005A3184" w:rsidRDefault="004446A5" w:rsidP="004446A5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6A5">
        <w:rPr>
          <w:rFonts w:ascii="Times New Roman" w:hAnsi="Times New Roman" w:cs="Times New Roman"/>
          <w:sz w:val="28"/>
          <w:szCs w:val="28"/>
        </w:rPr>
        <w:t xml:space="preserve">Рождественская Е. Репрезентация культурной травмы: музеефикация холокоста // Логос. 2017. № 5 (120). </w:t>
      </w:r>
      <w:bookmarkStart w:id="0" w:name="_GoBack"/>
      <w:bookmarkEnd w:id="0"/>
    </w:p>
    <w:p w14:paraId="75571A7B" w14:textId="77777777" w:rsidR="004446A5" w:rsidRDefault="004446A5" w:rsidP="004446A5">
      <w:pPr>
        <w:rPr>
          <w:rFonts w:eastAsia="Times New Roman"/>
        </w:rPr>
      </w:pPr>
    </w:p>
    <w:p w14:paraId="532B60E7" w14:textId="77777777" w:rsidR="004446A5" w:rsidRPr="003F76AD" w:rsidRDefault="004446A5" w:rsidP="003F76AD">
      <w:pPr>
        <w:jc w:val="both"/>
        <w:rPr>
          <w:szCs w:val="28"/>
        </w:rPr>
      </w:pPr>
    </w:p>
    <w:sectPr w:rsidR="004446A5" w:rsidRPr="003F76AD" w:rsidSect="006E00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D501" w14:textId="77777777" w:rsidR="005E550D" w:rsidRDefault="005E550D" w:rsidP="00AA73AA">
      <w:r>
        <w:separator/>
      </w:r>
    </w:p>
  </w:endnote>
  <w:endnote w:type="continuationSeparator" w:id="0">
    <w:p w14:paraId="76DA0F79" w14:textId="77777777" w:rsidR="005E550D" w:rsidRDefault="005E550D" w:rsidP="00AA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79723" w14:textId="77777777" w:rsidR="005E550D" w:rsidRDefault="005E550D" w:rsidP="00AA73AA">
      <w:r>
        <w:separator/>
      </w:r>
    </w:p>
  </w:footnote>
  <w:footnote w:type="continuationSeparator" w:id="0">
    <w:p w14:paraId="0F664437" w14:textId="77777777" w:rsidR="005E550D" w:rsidRDefault="005E550D" w:rsidP="00AA73AA">
      <w:r>
        <w:continuationSeparator/>
      </w:r>
    </w:p>
  </w:footnote>
  <w:footnote w:id="1">
    <w:p w14:paraId="2B0098C2" w14:textId="07829598" w:rsidR="00C52BFA" w:rsidRPr="00363C3B" w:rsidRDefault="00C52BFA" w:rsidP="00363C3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eastAsia="en-US"/>
        </w:rPr>
      </w:pPr>
      <w:r>
        <w:rPr>
          <w:rStyle w:val="af9"/>
        </w:rPr>
        <w:footnoteRef/>
      </w:r>
      <w:r>
        <w:t xml:space="preserve"> </w:t>
      </w:r>
      <w:r w:rsidR="00363C3B" w:rsidRPr="00363C3B">
        <w:t xml:space="preserve">Кирчанов М.В. «Большие нарративы» как универсальная форма воспроизводства исторических мифов в современной латышской историографии // Современные проблемы науки и образования. – 2015. – № 1. </w:t>
      </w:r>
      <w:r w:rsidRPr="00363C3B">
        <w:t>С. 4</w:t>
      </w:r>
    </w:p>
  </w:footnote>
  <w:footnote w:id="2">
    <w:p w14:paraId="0C02C93B" w14:textId="4D7FE9B7" w:rsidR="00785B56" w:rsidRPr="00A678AF" w:rsidRDefault="00785B56" w:rsidP="00785B56">
      <w:r w:rsidRPr="001B3C59">
        <w:rPr>
          <w:vertAlign w:val="superscript"/>
        </w:rPr>
        <w:footnoteRef/>
      </w:r>
      <w:r w:rsidRPr="001B3C59">
        <w:rPr>
          <w:vertAlign w:val="superscript"/>
        </w:rPr>
        <w:t xml:space="preserve"> </w:t>
      </w:r>
      <w:r w:rsidRPr="00A678AF">
        <w:t>Цит. По: Рождественская Е. Репрезентация культурной травмы: музеефикация холокоста /</w:t>
      </w:r>
      <w:r w:rsidR="00175F9F">
        <w:t>/</w:t>
      </w:r>
      <w:r w:rsidRPr="00A678AF">
        <w:t> Логос. 2017. № 5 (120). С. 89</w:t>
      </w:r>
    </w:p>
    <w:p w14:paraId="61EE96A7" w14:textId="77777777" w:rsidR="00785B56" w:rsidRDefault="00785B56" w:rsidP="00785B56">
      <w:pPr>
        <w:pStyle w:val="af7"/>
      </w:pPr>
    </w:p>
  </w:footnote>
  <w:footnote w:id="3">
    <w:p w14:paraId="33B9ADE8" w14:textId="3995A437" w:rsidR="00AE6100" w:rsidRPr="001B3C59" w:rsidRDefault="00AE6100" w:rsidP="001B3C59">
      <w:r w:rsidRPr="001B3C59">
        <w:rPr>
          <w:vertAlign w:val="superscript"/>
        </w:rPr>
        <w:footnoteRef/>
      </w:r>
      <w:r w:rsidRPr="001B3C59">
        <w:rPr>
          <w:vertAlign w:val="superscript"/>
        </w:rPr>
        <w:t xml:space="preserve"> </w:t>
      </w:r>
      <w:r w:rsidR="005E3BAF" w:rsidRPr="001B3C59">
        <w:t xml:space="preserve">Лотман Ю., Цивьян Ю. Диалог с экраном. Таллин: “Александра”, 1994. - 213 с. </w:t>
      </w:r>
      <w:r w:rsidRPr="001B3C59">
        <w:t>С. 26</w:t>
      </w:r>
    </w:p>
    <w:p w14:paraId="3CC99F9B" w14:textId="77777777" w:rsidR="005E3BAF" w:rsidRPr="005E3BAF" w:rsidRDefault="005E3BAF" w:rsidP="005E3BAF">
      <w:pPr>
        <w:rPr>
          <w:rFonts w:eastAsia="Times New Roman"/>
        </w:rPr>
      </w:pPr>
    </w:p>
  </w:footnote>
  <w:footnote w:id="4">
    <w:p w14:paraId="385C5011" w14:textId="7720A7B6" w:rsidR="00175F9F" w:rsidRDefault="00175F9F" w:rsidP="00175F9F">
      <w:pPr>
        <w:rPr>
          <w:rFonts w:eastAsia="Times New Roman"/>
        </w:rPr>
      </w:pPr>
      <w:r>
        <w:rPr>
          <w:rStyle w:val="af9"/>
        </w:rPr>
        <w:footnoteRef/>
      </w:r>
      <w:r>
        <w:t xml:space="preserve"> </w:t>
      </w:r>
      <w:r w:rsidRPr="00175F9F">
        <w:t>Петренко Д.В. Кинематографическая репрезентация истории: травма и свидетельство  // Актуальні проблеми філософії та соціології. - 2016. - Вып. 12. С. 94</w:t>
      </w:r>
    </w:p>
    <w:p w14:paraId="3B312087" w14:textId="7C5A5F69" w:rsidR="00175F9F" w:rsidRDefault="00175F9F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36BA"/>
    <w:multiLevelType w:val="hybridMultilevel"/>
    <w:tmpl w:val="928C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06F8"/>
    <w:multiLevelType w:val="hybridMultilevel"/>
    <w:tmpl w:val="12E0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430C"/>
    <w:multiLevelType w:val="hybridMultilevel"/>
    <w:tmpl w:val="4DA41ADC"/>
    <w:lvl w:ilvl="0" w:tplc="7B1A0A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3501"/>
    <w:multiLevelType w:val="hybridMultilevel"/>
    <w:tmpl w:val="ECD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C2CF8"/>
    <w:multiLevelType w:val="hybridMultilevel"/>
    <w:tmpl w:val="12E0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1"/>
    <w:rsid w:val="001372C9"/>
    <w:rsid w:val="00162038"/>
    <w:rsid w:val="00175F9F"/>
    <w:rsid w:val="001B3C59"/>
    <w:rsid w:val="00252D42"/>
    <w:rsid w:val="002963E0"/>
    <w:rsid w:val="002F1ECE"/>
    <w:rsid w:val="00363C3B"/>
    <w:rsid w:val="003F76AD"/>
    <w:rsid w:val="004446A5"/>
    <w:rsid w:val="004457E2"/>
    <w:rsid w:val="004A39BC"/>
    <w:rsid w:val="005A3184"/>
    <w:rsid w:val="005E3BAF"/>
    <w:rsid w:val="005E550D"/>
    <w:rsid w:val="00606979"/>
    <w:rsid w:val="006E00A3"/>
    <w:rsid w:val="006E658C"/>
    <w:rsid w:val="006F12B2"/>
    <w:rsid w:val="007813A6"/>
    <w:rsid w:val="00785B56"/>
    <w:rsid w:val="007D4135"/>
    <w:rsid w:val="00991FB9"/>
    <w:rsid w:val="00A375DB"/>
    <w:rsid w:val="00A43CB1"/>
    <w:rsid w:val="00A678AF"/>
    <w:rsid w:val="00AA73AA"/>
    <w:rsid w:val="00AB6C71"/>
    <w:rsid w:val="00AE6100"/>
    <w:rsid w:val="00BD5216"/>
    <w:rsid w:val="00C52BFA"/>
    <w:rsid w:val="00C54292"/>
    <w:rsid w:val="00F9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68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C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3C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43CB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B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B1"/>
    <w:pPr>
      <w:spacing w:before="100" w:beforeAutospacing="1" w:after="100" w:afterAutospacing="1" w:line="276" w:lineRule="auto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A43CB1"/>
    <w:rPr>
      <w:color w:val="0000FF"/>
      <w:u w:val="single"/>
    </w:rPr>
  </w:style>
  <w:style w:type="character" w:customStyle="1" w:styleId="apple-tab-span">
    <w:name w:val="apple-tab-span"/>
    <w:basedOn w:val="a0"/>
    <w:rsid w:val="00A43CB1"/>
  </w:style>
  <w:style w:type="paragraph" w:styleId="a5">
    <w:name w:val="Title"/>
    <w:basedOn w:val="a"/>
    <w:next w:val="a"/>
    <w:link w:val="a6"/>
    <w:uiPriority w:val="10"/>
    <w:qFormat/>
    <w:rsid w:val="00A43C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43C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3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C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CB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3C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3C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3C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3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3CB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43CB1"/>
    <w:pPr>
      <w:spacing w:after="200"/>
    </w:pPr>
    <w:rPr>
      <w:rFonts w:ascii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A43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A43CB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43CB1"/>
    <w:rPr>
      <w:b/>
      <w:bCs/>
    </w:rPr>
  </w:style>
  <w:style w:type="character" w:styleId="ab">
    <w:name w:val="Emphasis"/>
    <w:basedOn w:val="a0"/>
    <w:uiPriority w:val="20"/>
    <w:qFormat/>
    <w:rsid w:val="00A43CB1"/>
    <w:rPr>
      <w:i/>
      <w:iCs/>
    </w:rPr>
  </w:style>
  <w:style w:type="paragraph" w:styleId="ac">
    <w:name w:val="No Spacing"/>
    <w:link w:val="ad"/>
    <w:uiPriority w:val="1"/>
    <w:qFormat/>
    <w:rsid w:val="00A43CB1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A43CB1"/>
  </w:style>
  <w:style w:type="paragraph" w:styleId="ae">
    <w:name w:val="List Paragraph"/>
    <w:basedOn w:val="a"/>
    <w:uiPriority w:val="34"/>
    <w:qFormat/>
    <w:rsid w:val="00A43CB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3CB1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3CB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43CB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A43CB1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A43CB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43CB1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A43CB1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A43CB1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43CB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43CB1"/>
    <w:pPr>
      <w:outlineLvl w:val="9"/>
    </w:pPr>
  </w:style>
  <w:style w:type="character" w:customStyle="1" w:styleId="apple-converted-space">
    <w:name w:val="apple-converted-space"/>
    <w:basedOn w:val="a0"/>
    <w:rsid w:val="00C54292"/>
  </w:style>
  <w:style w:type="character" w:customStyle="1" w:styleId="by-author">
    <w:name w:val="by-author"/>
    <w:basedOn w:val="a0"/>
    <w:rsid w:val="00C54292"/>
  </w:style>
  <w:style w:type="character" w:customStyle="1" w:styleId="author">
    <w:name w:val="author"/>
    <w:basedOn w:val="a0"/>
    <w:rsid w:val="00C54292"/>
  </w:style>
  <w:style w:type="paragraph" w:styleId="af7">
    <w:name w:val="footnote text"/>
    <w:basedOn w:val="a"/>
    <w:link w:val="af8"/>
    <w:uiPriority w:val="99"/>
    <w:unhideWhenUsed/>
    <w:rsid w:val="00AA73AA"/>
  </w:style>
  <w:style w:type="character" w:customStyle="1" w:styleId="af8">
    <w:name w:val="Текст сноски Знак"/>
    <w:basedOn w:val="a0"/>
    <w:link w:val="af7"/>
    <w:uiPriority w:val="99"/>
    <w:rsid w:val="00AA73AA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uiPriority w:val="99"/>
    <w:unhideWhenUsed/>
    <w:rsid w:val="00AA7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F3BFEE-A7BC-8B48-B84F-8C9DDFF2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905</Words>
  <Characters>5163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Красоткина</dc:creator>
  <cp:keywords/>
  <dc:description/>
  <cp:lastModifiedBy>пользователь Microsoft Office</cp:lastModifiedBy>
  <cp:revision>7</cp:revision>
  <dcterms:created xsi:type="dcterms:W3CDTF">2018-09-29T18:59:00Z</dcterms:created>
  <dcterms:modified xsi:type="dcterms:W3CDTF">2019-01-19T19:49:00Z</dcterms:modified>
</cp:coreProperties>
</file>