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C4" w:rsidRPr="0022596F" w:rsidRDefault="001976AB">
      <w:pPr>
        <w:rPr>
          <w:b/>
        </w:rPr>
      </w:pPr>
      <w:r w:rsidRPr="0022596F">
        <w:rPr>
          <w:b/>
        </w:rPr>
        <w:t>АННОТАЦИИ</w:t>
      </w:r>
    </w:p>
    <w:p w:rsidR="001976AB" w:rsidRPr="002316D6" w:rsidRDefault="001976AB" w:rsidP="0022596F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«Иностранный язык»</w:t>
      </w:r>
    </w:p>
    <w:p w:rsidR="001976AB" w:rsidRDefault="0022596F" w:rsidP="0022596F">
      <w:pPr>
        <w:jc w:val="both"/>
      </w:pPr>
      <w:r>
        <w:t xml:space="preserve">Дисциплина «Иностранный язык» нацелена на </w:t>
      </w:r>
      <w:r w:rsidRPr="0022596F">
        <w:t>совершенствование знаний, навыков и умений, полученных в высшей школе, обеспечивающих возможность для обучающихся вести научную, экспертно-аналитическую, профессиональную деятельность с целью интеграции в глобальные сети обмена знаниями и технологиями в социально-экономической области.</w:t>
      </w:r>
      <w:r>
        <w:t xml:space="preserve"> К данным навыкам относятся </w:t>
      </w:r>
      <w:r w:rsidRPr="0022596F">
        <w:t>способ</w:t>
      </w:r>
      <w:r>
        <w:t>ность к</w:t>
      </w:r>
      <w:r w:rsidRPr="0022596F">
        <w:t xml:space="preserve">  говорению, слушанию, чтению, </w:t>
      </w:r>
      <w:r>
        <w:t xml:space="preserve">пониманию и </w:t>
      </w:r>
      <w:r w:rsidRPr="0022596F">
        <w:t>написанию научных текстов</w:t>
      </w:r>
      <w:r>
        <w:t>. В результате изучения дисциплины аспиранты освоят компетенции, которые позволят им не только работать с иноязычными источниками по теме диссертационного исследования, но и составлять</w:t>
      </w:r>
      <w:r w:rsidRPr="0022596F">
        <w:t xml:space="preserve"> научны</w:t>
      </w:r>
      <w:r>
        <w:t>е</w:t>
      </w:r>
      <w:r w:rsidRPr="0022596F">
        <w:t xml:space="preserve"> текст</w:t>
      </w:r>
      <w:r>
        <w:t>ы</w:t>
      </w:r>
      <w:r w:rsidRPr="0022596F">
        <w:t xml:space="preserve"> на иностранном языке</w:t>
      </w:r>
      <w:r>
        <w:t>.</w:t>
      </w:r>
    </w:p>
    <w:p w:rsidR="001976AB" w:rsidRDefault="001976AB">
      <w:pPr>
        <w:rPr>
          <w:b/>
        </w:rPr>
      </w:pPr>
    </w:p>
    <w:p w:rsidR="001976AB" w:rsidRPr="002316D6" w:rsidRDefault="001976AB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«Педагогика высшей школы»</w:t>
      </w:r>
    </w:p>
    <w:p w:rsidR="001976AB" w:rsidRDefault="005D6388" w:rsidP="005D6388">
      <w:pPr>
        <w:jc w:val="both"/>
      </w:pPr>
      <w:r>
        <w:t>Дисциплина «Педагогика высшей школы» нацелена на развитие универсальных навыков, которые необходимы как тем выпускникам аспирантуры, которые осуществляют или планируют педагогическую деятельность, так и тем выпускникам, которые планируют реализовать себя в других сферах (научной, консалтинговой, управленческой). Дисциплина реализуется в рамках двух образовательных треков. Первый трек нацелен на освоение продвинутых навыков преподавания с акцентом на проектирование учебных дисциплин; второй трек предполагает освоение универсальных преподавательских навыков, необходимых выпускникам аспирантуры, вне зависимости от профессиональной траектории.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«Электромагнитная совместимость технических средств»</w:t>
      </w:r>
    </w:p>
    <w:p w:rsidR="002316D6" w:rsidRPr="002316D6" w:rsidRDefault="002316D6" w:rsidP="002316D6">
      <w:pPr>
        <w:jc w:val="both"/>
      </w:pPr>
      <w:r w:rsidRPr="002316D6">
        <w:t xml:space="preserve">Электромагнитная совместимость (ЭМС) один из основных показателей современных технических средств (ТС). Она определяет способность ТС работать одновременно в группе с другими ТС в конкретной электромагнитной обстановке и не создавать электромагнитных помех сторонним ТС. Выполнение требований ЭМС является обязательным для всех ТС, что подтверждается наличием соответствующих сертификатов соответствия и протоколов испытаний. Разработчики и конструкторы ТС всех уровней должны быть осведомлены о методах и средствах обеспечения требований ЭМС на этапах проектирования систем, аппаратуры, блоков и узлов. Настоящая дисциплина изучает основы теории ЭМС, методы и средства повышения помехозащищенности ТС и снижения уровня </w:t>
      </w:r>
      <w:proofErr w:type="spellStart"/>
      <w:r w:rsidRPr="002316D6">
        <w:t>помехоэмиссии</w:t>
      </w:r>
      <w:proofErr w:type="spellEnd"/>
      <w:r w:rsidRPr="002316D6">
        <w:t xml:space="preserve"> от них. К основным разделам курса относятся вопросы экранирования, фильтрации, заземления, обеспечения целостности сигнала и целостности питания в быстродействующих устройствах, а также знакомство с основами стандартизации, испытаний и измерений в области ЭМС.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«Системы, сети и устройства телекоммуникаций»</w:t>
      </w:r>
    </w:p>
    <w:p w:rsidR="002316D6" w:rsidRPr="002316D6" w:rsidRDefault="002316D6" w:rsidP="002316D6">
      <w:pPr>
        <w:jc w:val="both"/>
      </w:pPr>
      <w:r w:rsidRPr="002316D6">
        <w:t xml:space="preserve">Дисциплина «Системы, сети и устройства телекоммуникаций» направлена на углубление аспирантами знаний о современных телекоммуникационных технологиях и вычислительных сетях, их структурах, функциях, протоколах, реализациях и направлена на специальную подготовку аспирантов в области, как создания, так и эксплуатации сетей ЭВМ и средств телекоммуникаций. В ходе изучения дисциплины рассматриваются современные технические и программные средства, входящие в состав аппаратного и программного обеспечения сетей ЭВМ, принципы многоуровневой организации и проектирования глобальных и локальных сетей на основе концепции открытых систем. Изучаются архитектура и стандартные протоколы телекоммуникационных сетей, методы и технологии проектирования сетей и систем телекоммуникаций, методы и средства защиты информации, обеспечения надежности и </w:t>
      </w:r>
      <w:r w:rsidRPr="002316D6">
        <w:lastRenderedPageBreak/>
        <w:t>живучести сетей, методы и средства организации вычислений в сетевых системах, организации баз данных и баз знаний в сетях ЭВМ.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«Радиотехнические и телевизионные системы и устройства»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 xml:space="preserve">Целями освоения дисциплины «Радиотехнические и телевизионные системы и устройства» являются: формирование устойчивых знаний, умений и владений в области теории и основных принципов действия, методов и способов получения, преобразования, хранения, передачи и приёма аудиовизуальной информации в телевизионных системах. Основным содержанием дисциплины является изучение вопросов, связанных с распространением радиоволн, общих принципов радиосвязи, радиоприемных и радиопередающих устройств и антенн, радиотехнических систем навигации. Особое внимание уделяется изучению физических основ телевидения, принципов построения телевизионных преобразователей, систем цветного телевидения, цифровых телевизионных систем, передачи цифрового сигнала по каналам связи, спутникового телевидения и передачи данных в </w:t>
      </w:r>
      <w:proofErr w:type="spellStart"/>
      <w:r w:rsidRPr="002316D6">
        <w:rPr>
          <w:rFonts w:ascii="Calibri" w:eastAsia="Calibri" w:hAnsi="Calibri" w:cs="Times New Roman"/>
        </w:rPr>
        <w:t>мультисервисных</w:t>
      </w:r>
      <w:proofErr w:type="spellEnd"/>
      <w:r w:rsidRPr="002316D6">
        <w:rPr>
          <w:rFonts w:ascii="Calibri" w:eastAsia="Calibri" w:hAnsi="Calibri" w:cs="Times New Roman"/>
        </w:rPr>
        <w:t xml:space="preserve"> сетях.</w:t>
      </w:r>
    </w:p>
    <w:p w:rsidR="002316D6" w:rsidRPr="002316D6" w:rsidRDefault="002316D6" w:rsidP="002316D6">
      <w:pPr>
        <w:spacing w:before="1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«Антенны, СВЧ устройства и их технологии»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proofErr w:type="gramStart"/>
      <w:r w:rsidRPr="002316D6">
        <w:rPr>
          <w:rFonts w:ascii="Calibri" w:eastAsia="Calibri" w:hAnsi="Calibri" w:cs="Times New Roman"/>
        </w:rPr>
        <w:t>Основной целью дисциплины является обучение аспирантов общей теории антенн и СВЧ устройств, принципам, теоремам и основным уравнениям для решения внутренних и внешних задач электродинамики, физическим особенностям распространения и излучения электромагнитных волн, теории и конструктивным элементам линий передач и направляющим системам СВЧ диапазона, резонаторам и фильтрам СВЧ, твердотельным, полупроводниковым и электровакуумным СВЧ приборам, проектированию и оптимизации антенн и СВЧ устройств с</w:t>
      </w:r>
      <w:proofErr w:type="gramEnd"/>
      <w:r w:rsidRPr="002316D6">
        <w:rPr>
          <w:rFonts w:ascii="Calibri" w:eastAsia="Calibri" w:hAnsi="Calibri" w:cs="Times New Roman"/>
        </w:rPr>
        <w:t xml:space="preserve"> использованием современных компьютерных технологий. Особое внимание уделяется изучению методов моделирования, а также применению средств вычислительной техники для анализа и синтеза при исследовании и разработке конкретных антенн и СВЧ устрой</w:t>
      </w:r>
      <w:proofErr w:type="gramStart"/>
      <w:r w:rsidRPr="002316D6">
        <w:rPr>
          <w:rFonts w:ascii="Calibri" w:eastAsia="Calibri" w:hAnsi="Calibri" w:cs="Times New Roman"/>
        </w:rPr>
        <w:t>ств дл</w:t>
      </w:r>
      <w:proofErr w:type="gramEnd"/>
      <w:r w:rsidRPr="002316D6">
        <w:rPr>
          <w:rFonts w:ascii="Calibri" w:eastAsia="Calibri" w:hAnsi="Calibri" w:cs="Times New Roman"/>
        </w:rPr>
        <w:t>я электронных и радиотехнических систем и систем связи, работающих на различных физических принципах.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«Микр</w:t>
      </w:r>
      <w:proofErr w:type="gramStart"/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о-</w:t>
      </w:r>
      <w:proofErr w:type="gramEnd"/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и </w:t>
      </w:r>
      <w:proofErr w:type="spellStart"/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наноэлектронные</w:t>
      </w:r>
      <w:proofErr w:type="spellEnd"/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системы»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>Учебная дисциплина «Микр</w:t>
      </w:r>
      <w:proofErr w:type="gramStart"/>
      <w:r w:rsidRPr="002316D6">
        <w:rPr>
          <w:rFonts w:ascii="Calibri" w:eastAsia="Calibri" w:hAnsi="Calibri" w:cs="Times New Roman"/>
        </w:rPr>
        <w:t>о-</w:t>
      </w:r>
      <w:proofErr w:type="gramEnd"/>
      <w:r w:rsidRPr="002316D6">
        <w:rPr>
          <w:rFonts w:ascii="Calibri" w:eastAsia="Calibri" w:hAnsi="Calibri" w:cs="Times New Roman"/>
        </w:rPr>
        <w:t xml:space="preserve"> и </w:t>
      </w:r>
      <w:proofErr w:type="spellStart"/>
      <w:r w:rsidRPr="002316D6">
        <w:rPr>
          <w:rFonts w:ascii="Calibri" w:eastAsia="Calibri" w:hAnsi="Calibri" w:cs="Times New Roman"/>
        </w:rPr>
        <w:t>наноэлектронные</w:t>
      </w:r>
      <w:proofErr w:type="spellEnd"/>
      <w:r w:rsidRPr="002316D6">
        <w:rPr>
          <w:rFonts w:ascii="Calibri" w:eastAsia="Calibri" w:hAnsi="Calibri" w:cs="Times New Roman"/>
        </w:rPr>
        <w:t xml:space="preserve"> системы» ориентирована на углубление аспирантами знаний о физических основах создания, функционирования, методах проектирования, моделирования электронных систем, построенных на субмикронных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полупроводниковых приборах и сенсорах, реализованных на них систем, математических моделях субмикронных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полупроводниковых приборов, на которых строятся микро- и </w:t>
      </w:r>
      <w:proofErr w:type="spellStart"/>
      <w:r w:rsidRPr="002316D6">
        <w:rPr>
          <w:rFonts w:ascii="Calibri" w:eastAsia="Calibri" w:hAnsi="Calibri" w:cs="Times New Roman"/>
        </w:rPr>
        <w:t>наноэлектронные</w:t>
      </w:r>
      <w:proofErr w:type="spellEnd"/>
      <w:r w:rsidRPr="002316D6">
        <w:rPr>
          <w:rFonts w:ascii="Calibri" w:eastAsia="Calibri" w:hAnsi="Calibri" w:cs="Times New Roman"/>
        </w:rPr>
        <w:t xml:space="preserve"> системы, тенденциях развития и особенностях технологии изготовления микро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систем. Основные разделы данной дисциплины включают в себя: изучение физических эффектов в полупроводниковых приборах при уменьшении их размеров до </w:t>
      </w:r>
      <w:proofErr w:type="spellStart"/>
      <w:r w:rsidRPr="002316D6">
        <w:rPr>
          <w:rFonts w:ascii="Calibri" w:eastAsia="Calibri" w:hAnsi="Calibri" w:cs="Times New Roman"/>
        </w:rPr>
        <w:t>нанометровых</w:t>
      </w:r>
      <w:proofErr w:type="spellEnd"/>
      <w:r w:rsidRPr="002316D6">
        <w:rPr>
          <w:rFonts w:ascii="Calibri" w:eastAsia="Calibri" w:hAnsi="Calibri" w:cs="Times New Roman"/>
        </w:rPr>
        <w:t xml:space="preserve"> и элементной базы микро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систем, особенности реализации микр</w:t>
      </w:r>
      <w:proofErr w:type="gramStart"/>
      <w:r w:rsidRPr="002316D6">
        <w:rPr>
          <w:rFonts w:ascii="Calibri" w:eastAsia="Calibri" w:hAnsi="Calibri" w:cs="Times New Roman"/>
        </w:rPr>
        <w:t>о-</w:t>
      </w:r>
      <w:proofErr w:type="gramEnd"/>
      <w:r w:rsidRPr="002316D6">
        <w:rPr>
          <w:rFonts w:ascii="Calibri" w:eastAsia="Calibri" w:hAnsi="Calibri" w:cs="Times New Roman"/>
        </w:rPr>
        <w:t xml:space="preserve">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систем в виде систем в корпусе (</w:t>
      </w:r>
      <w:proofErr w:type="spellStart"/>
      <w:r w:rsidRPr="002316D6">
        <w:rPr>
          <w:rFonts w:ascii="Calibri" w:eastAsia="Calibri" w:hAnsi="Calibri" w:cs="Times New Roman"/>
        </w:rPr>
        <w:t>SiP</w:t>
      </w:r>
      <w:proofErr w:type="spellEnd"/>
      <w:r w:rsidRPr="002316D6">
        <w:rPr>
          <w:rFonts w:ascii="Calibri" w:eastAsia="Calibri" w:hAnsi="Calibri" w:cs="Times New Roman"/>
        </w:rPr>
        <w:t>) и систем на кристалле (</w:t>
      </w:r>
      <w:proofErr w:type="spellStart"/>
      <w:r w:rsidRPr="002316D6">
        <w:rPr>
          <w:rFonts w:ascii="Calibri" w:eastAsia="Calibri" w:hAnsi="Calibri" w:cs="Times New Roman"/>
        </w:rPr>
        <w:t>SoC</w:t>
      </w:r>
      <w:proofErr w:type="spellEnd"/>
      <w:r w:rsidRPr="002316D6">
        <w:rPr>
          <w:rFonts w:ascii="Calibri" w:eastAsia="Calibri" w:hAnsi="Calibri" w:cs="Times New Roman"/>
        </w:rPr>
        <w:t xml:space="preserve">), особенности математических моделей и систем автоматизированного проектирования (САПР) микро-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компонентов и систем, методы исследования характеристик микр</w:t>
      </w:r>
      <w:proofErr w:type="gramStart"/>
      <w:r w:rsidRPr="002316D6">
        <w:rPr>
          <w:rFonts w:ascii="Calibri" w:eastAsia="Calibri" w:hAnsi="Calibri" w:cs="Times New Roman"/>
        </w:rPr>
        <w:t>о-</w:t>
      </w:r>
      <w:proofErr w:type="gramEnd"/>
      <w:r w:rsidRPr="002316D6">
        <w:rPr>
          <w:rFonts w:ascii="Calibri" w:eastAsia="Calibri" w:hAnsi="Calibri" w:cs="Times New Roman"/>
        </w:rPr>
        <w:t xml:space="preserve">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структур и систем, тенденции развития и особенности технологии микро- и </w:t>
      </w:r>
      <w:proofErr w:type="spellStart"/>
      <w:r w:rsidRPr="002316D6">
        <w:rPr>
          <w:rFonts w:ascii="Calibri" w:eastAsia="Calibri" w:hAnsi="Calibri" w:cs="Times New Roman"/>
        </w:rPr>
        <w:t>наноэлектронных</w:t>
      </w:r>
      <w:proofErr w:type="spellEnd"/>
      <w:r w:rsidRPr="002316D6">
        <w:rPr>
          <w:rFonts w:ascii="Calibri" w:eastAsia="Calibri" w:hAnsi="Calibri" w:cs="Times New Roman"/>
        </w:rPr>
        <w:t xml:space="preserve"> систем.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«Системное проектирование электронных средств»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proofErr w:type="gramStart"/>
      <w:r w:rsidRPr="002316D6">
        <w:rPr>
          <w:rFonts w:ascii="Calibri" w:eastAsia="Calibri" w:hAnsi="Calibri" w:cs="Times New Roman"/>
        </w:rPr>
        <w:t>Целью освоения дисциплины «Системное проектирование электронных средств» является обучение аспирантов системному подходу к проектированию электронной аппаратуры на основе использования современных аналитических методов и методов имитационного моделирования с применением программных средств, как специализированных для расчетов показателей назначения, так и систем моделирования физических процессов (электрических, тепловых, механических и др.), протекающих в схемах и конструкциях электронных средств.</w:t>
      </w:r>
      <w:proofErr w:type="gramEnd"/>
      <w:r w:rsidRPr="002316D6">
        <w:rPr>
          <w:rFonts w:ascii="Calibri" w:eastAsia="Calibri" w:hAnsi="Calibri" w:cs="Times New Roman"/>
        </w:rPr>
        <w:t xml:space="preserve"> Важная роль </w:t>
      </w:r>
      <w:r w:rsidRPr="002316D6">
        <w:rPr>
          <w:rFonts w:ascii="Calibri" w:eastAsia="Calibri" w:hAnsi="Calibri" w:cs="Times New Roman"/>
        </w:rPr>
        <w:lastRenderedPageBreak/>
        <w:t>отводится применению средств вычислительной техники для решения задач автоматизированного системного анализа и обеспечения работоспособности и долговечности электронных средств.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 xml:space="preserve">В рамках курса рассматриваются системные модели электронных средств, позволяющие проводить учёт электрических, тепловых, механических и др. воздействий. Изучается влияние размещения электронных компонентов в электронной аппаратуре на протекающие физические процессы, интегрирование подмоделей разнородных физических моделей в единую комплексную модель. Излагаются системные методы получения коэффициентов чувствительности и эластичности технических и экономических характеристик электронных средств, методы оптимизации для обеспечения высоких значений критериев оценки функционирования электронных средств, методы расчётов вероятностных показателей для обеспечения точности, стабильности и </w:t>
      </w:r>
      <w:proofErr w:type="spellStart"/>
      <w:r w:rsidRPr="002316D6">
        <w:rPr>
          <w:rFonts w:ascii="Calibri" w:eastAsia="Calibri" w:hAnsi="Calibri" w:cs="Times New Roman"/>
        </w:rPr>
        <w:t>серийнопригодности</w:t>
      </w:r>
      <w:proofErr w:type="spellEnd"/>
      <w:r w:rsidRPr="002316D6">
        <w:rPr>
          <w:rFonts w:ascii="Calibri" w:eastAsia="Calibri" w:hAnsi="Calibri" w:cs="Times New Roman"/>
        </w:rPr>
        <w:t xml:space="preserve"> электронных средств. Проводится синтез и анализ допусков методом линейного программирования. 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«Методы и средства обеспечения надежности радиоаппаратуры»</w:t>
      </w:r>
    </w:p>
    <w:p w:rsidR="002316D6" w:rsidRPr="002316D6" w:rsidRDefault="002316D6" w:rsidP="002316D6">
      <w:pPr>
        <w:spacing w:before="160"/>
        <w:jc w:val="both"/>
        <w:rPr>
          <w:rFonts w:ascii="Calibri" w:eastAsia="Calibri" w:hAnsi="Calibri" w:cs="Times New Roman"/>
        </w:rPr>
      </w:pPr>
      <w:proofErr w:type="gramStart"/>
      <w:r w:rsidRPr="002316D6">
        <w:rPr>
          <w:rFonts w:ascii="Calibri" w:eastAsia="Calibri" w:hAnsi="Calibri" w:cs="Times New Roman"/>
        </w:rPr>
        <w:t>Дисциплина «Методы и средства обеспечения надежности радиоаппаратуры» направлена на обучение аспирантов системному подходу к обеспечению надежности радиоаппаратуры на основе использования современных аналитических методов и методов имитационного моделирования с применением программных средств, как специализированных для расчетов показателей надёжности, так и систем моделирования физических процессов (электрических, тепловых, механических и др.), протекающих в схемах и конструкциях радиоаппаратуры.</w:t>
      </w:r>
      <w:proofErr w:type="gramEnd"/>
      <w:r w:rsidRPr="002316D6">
        <w:rPr>
          <w:rFonts w:ascii="Calibri" w:eastAsia="Calibri" w:hAnsi="Calibri" w:cs="Times New Roman"/>
        </w:rPr>
        <w:t xml:space="preserve"> Изучение дисциплины также нацелено на ознакомление аспирантов с применением средств вычислительной техники для решения задач автоматизированного анализа и обеспечения надежности радиоаппаратуры.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«Тензорные свойства кристаллов и их применение»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>Курс «Тензорные свойства кристаллов и их применение» направлен на получение систематизированного представления о связи физических свой</w:t>
      </w:r>
      <w:proofErr w:type="gramStart"/>
      <w:r w:rsidRPr="002316D6">
        <w:rPr>
          <w:rFonts w:ascii="Calibri" w:eastAsia="Calibri" w:hAnsi="Calibri" w:cs="Times New Roman"/>
        </w:rPr>
        <w:t>ств кр</w:t>
      </w:r>
      <w:proofErr w:type="gramEnd"/>
      <w:r w:rsidRPr="002316D6">
        <w:rPr>
          <w:rFonts w:ascii="Calibri" w:eastAsia="Calibri" w:hAnsi="Calibri" w:cs="Times New Roman"/>
        </w:rPr>
        <w:t>исталлов с их внутренним строением, освоение математического аппарата описания анизотропных свойств и особенностей их практического применения, изучение закономерностей изменения свойств кристаллов под влиянием внешних воздействий и овладение навыками кристаллофизических расчетов. В рамках курса изучаются основные принципы кристаллофизики, физические свойства кристаллов, напряжение и деформации в кристаллах, прямой и обратный пьезоэлектрический эффект, упругие и оптические свойства кристаллов.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«Измерительн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ые</w:t>
      </w: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техн</w:t>
      </w: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ологии</w:t>
      </w: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>Целью освоения дисциплины «Измерительные технологии» является углубление знаний о решении научных и практических задач, связанных с измерительными технологиями, необходимыми для выпуска изделий необходимого качества. Основным содержанием курса является изучение общих свойств и характеристик измерительных преобразователей, показателей качества измерений и способов их достижения, методик выполнения измерений, методов и средств получения и передачи измерительной информации, а также современных компьютерных измерительных технологий.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«Промышленный интернет»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 xml:space="preserve">Целью освоения дисциплины «Промышленный интернет» является формирование у </w:t>
      </w:r>
      <w:proofErr w:type="gramStart"/>
      <w:r w:rsidRPr="002316D6">
        <w:rPr>
          <w:rFonts w:ascii="Calibri" w:eastAsia="Calibri" w:hAnsi="Calibri" w:cs="Times New Roman"/>
        </w:rPr>
        <w:t>ас-</w:t>
      </w:r>
      <w:proofErr w:type="spellStart"/>
      <w:r w:rsidRPr="002316D6">
        <w:rPr>
          <w:rFonts w:ascii="Calibri" w:eastAsia="Calibri" w:hAnsi="Calibri" w:cs="Times New Roman"/>
        </w:rPr>
        <w:t>пирантов</w:t>
      </w:r>
      <w:proofErr w:type="spellEnd"/>
      <w:proofErr w:type="gramEnd"/>
      <w:r w:rsidRPr="002316D6">
        <w:rPr>
          <w:rFonts w:ascii="Calibri" w:eastAsia="Calibri" w:hAnsi="Calibri" w:cs="Times New Roman"/>
        </w:rPr>
        <w:t xml:space="preserve"> теоретических знаний, практических навыков и компетенций, необходимых для проведения исследований в области проектирования сетей Промышленного интернет вещей - </w:t>
      </w:r>
      <w:proofErr w:type="spellStart"/>
      <w:r w:rsidRPr="002316D6">
        <w:rPr>
          <w:rFonts w:ascii="Calibri" w:eastAsia="Calibri" w:hAnsi="Calibri" w:cs="Times New Roman"/>
        </w:rPr>
        <w:t>Industrial</w:t>
      </w:r>
      <w:proofErr w:type="spellEnd"/>
      <w:r w:rsidRPr="002316D6">
        <w:rPr>
          <w:rFonts w:ascii="Calibri" w:eastAsia="Calibri" w:hAnsi="Calibri" w:cs="Times New Roman"/>
        </w:rPr>
        <w:t xml:space="preserve"> </w:t>
      </w:r>
      <w:proofErr w:type="spellStart"/>
      <w:r w:rsidRPr="002316D6">
        <w:rPr>
          <w:rFonts w:ascii="Calibri" w:eastAsia="Calibri" w:hAnsi="Calibri" w:cs="Times New Roman"/>
        </w:rPr>
        <w:t>Internet</w:t>
      </w:r>
      <w:proofErr w:type="spellEnd"/>
      <w:r w:rsidRPr="002316D6">
        <w:rPr>
          <w:rFonts w:ascii="Calibri" w:eastAsia="Calibri" w:hAnsi="Calibri" w:cs="Times New Roman"/>
        </w:rPr>
        <w:t xml:space="preserve"> </w:t>
      </w:r>
      <w:proofErr w:type="spellStart"/>
      <w:r w:rsidRPr="002316D6">
        <w:rPr>
          <w:rFonts w:ascii="Calibri" w:eastAsia="Calibri" w:hAnsi="Calibri" w:cs="Times New Roman"/>
        </w:rPr>
        <w:t>of</w:t>
      </w:r>
      <w:proofErr w:type="spellEnd"/>
      <w:r w:rsidRPr="002316D6">
        <w:rPr>
          <w:rFonts w:ascii="Calibri" w:eastAsia="Calibri" w:hAnsi="Calibri" w:cs="Times New Roman"/>
        </w:rPr>
        <w:t xml:space="preserve"> </w:t>
      </w:r>
      <w:proofErr w:type="spellStart"/>
      <w:r w:rsidRPr="002316D6">
        <w:rPr>
          <w:rFonts w:ascii="Calibri" w:eastAsia="Calibri" w:hAnsi="Calibri" w:cs="Times New Roman"/>
        </w:rPr>
        <w:t>Things</w:t>
      </w:r>
      <w:proofErr w:type="spellEnd"/>
      <w:r w:rsidRPr="002316D6">
        <w:rPr>
          <w:rFonts w:ascii="Calibri" w:eastAsia="Calibri" w:hAnsi="Calibri" w:cs="Times New Roman"/>
        </w:rPr>
        <w:t xml:space="preserve"> (</w:t>
      </w:r>
      <w:proofErr w:type="spellStart"/>
      <w:r w:rsidRPr="002316D6">
        <w:rPr>
          <w:rFonts w:ascii="Calibri" w:eastAsia="Calibri" w:hAnsi="Calibri" w:cs="Times New Roman"/>
        </w:rPr>
        <w:t>IIoT</w:t>
      </w:r>
      <w:proofErr w:type="spellEnd"/>
      <w:r w:rsidRPr="002316D6">
        <w:rPr>
          <w:rFonts w:ascii="Calibri" w:eastAsia="Calibri" w:hAnsi="Calibri" w:cs="Times New Roman"/>
        </w:rPr>
        <w:t xml:space="preserve">). В курсе рассматриваются: архитектура промышленного интернет вещей, </w:t>
      </w:r>
      <w:r w:rsidRPr="002316D6">
        <w:rPr>
          <w:rFonts w:ascii="Calibri" w:eastAsia="Calibri" w:hAnsi="Calibri" w:cs="Times New Roman"/>
        </w:rPr>
        <w:lastRenderedPageBreak/>
        <w:t>современные системы датчиков, беспроводные сенсорные сети, межмашинные коммуникации, стандарты и протоколы передачи данных в интернете вещей, облачные технологии сбора, визуализации и аналитики данных. Практическая часть курса посвящена командной разработке проекта, в котором реализуется весь набор технологий промышленного интернета вещей.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«Системный анализ, управление и обработка информации»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>Курс позволит аспирантам приобрести теоретические и практические навыки в области системного подхода к конструированию систем управления и связанной с этим обработкой данных, развития умений применения системного анализа для исследования разнообразных задач в области управления в цифровых системах. Для усвоения изучаемого материала достаточно сведений из математического анализа, теории дифференциальных уравнений, алгебры, теории случайных процессов, теории систем.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 xml:space="preserve">В рамках изучения дисциплины аспиранты овладеют методами системного анализа (определение проблемы, цели, функции, структуры), умениями определять класс моделей, строить математические модели систем. </w:t>
      </w:r>
      <w:proofErr w:type="gramStart"/>
      <w:r w:rsidRPr="002316D6">
        <w:rPr>
          <w:rFonts w:ascii="Calibri" w:eastAsia="Calibri" w:hAnsi="Calibri" w:cs="Times New Roman"/>
        </w:rPr>
        <w:t>Аспиранты изучат системные методы теории управления, основные понятия теории представления моделей, виды моделей систем управления, иерархию системных моделей с точки зрения применимости в теории управления, линейные и нелинейные модели систем управления, методы обработки информации, дискретные, непрерывные, детерминированные и стохастические модели, а также методы компьютерного моделирования систем управления с использованием пакета MATLAB.</w:t>
      </w:r>
      <w:proofErr w:type="gramEnd"/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«Научно-исследовательская практика»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 в соответствии с образовательным стандартом НИУ ВШЭ.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>Основными формами научно-исследовательской практики являются: научно-исследовательский семинар (НИС), научно-исследовательский проект (НИП), иные формы научно-исследовательской практики, установленные Аспирантской школой в зависимости от специфики программы аспирантуры и тематики научно-квалификационной работы (диссертации).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 xml:space="preserve">Научно-исследовательский семинар включает аудиторные занятия, </w:t>
      </w:r>
      <w:proofErr w:type="spellStart"/>
      <w:r w:rsidRPr="002316D6">
        <w:rPr>
          <w:rFonts w:ascii="Calibri" w:eastAsia="Calibri" w:hAnsi="Calibri" w:cs="Times New Roman"/>
        </w:rPr>
        <w:t>проводящиеся</w:t>
      </w:r>
      <w:proofErr w:type="spellEnd"/>
      <w:r w:rsidRPr="002316D6">
        <w:rPr>
          <w:rFonts w:ascii="Calibri" w:eastAsia="Calibri" w:hAnsi="Calibri" w:cs="Times New Roman"/>
        </w:rPr>
        <w:t xml:space="preserve"> в соответствии с установленным Аспирантской школой расписанием. НИС также включает самостоятельную работу аспирантов, предусмотренную учебным планом подготовки. Схема организации НИС включает в себя доклады двух видов: доклады аспирантов по теме диссертационной работы, доклады ведущих ученых по актуальным научным вопросам.</w:t>
      </w:r>
    </w:p>
    <w:p w:rsidR="002316D6" w:rsidRP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>Научно-исследовательский проект выполняется аспирантом в составе проектной команды или индивидуально по согласованию с научным руководителем. В качестве формы научно-исследовательского проекта могут использоваться следующие виды работ: участие в исследовании в составе научно-учебной группы; проектной учебной группы; в составе команды, выполняющей работы над грантом РФФИ, РГНФ, РНФ или иных фондов, в том числе фондов НИУ ВШЭ; в составе команды, выполняющей контракт, заключенный одним из подразделений НИУ ВШЭ; в составе команды, выполняющей инициативный проект под руководством научного руководителя аспиранта.</w:t>
      </w:r>
    </w:p>
    <w:p w:rsidR="002316D6" w:rsidRPr="002316D6" w:rsidRDefault="002316D6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316D6">
        <w:rPr>
          <w:rFonts w:ascii="Arial" w:eastAsia="Calibri" w:hAnsi="Arial" w:cs="Arial"/>
          <w:b/>
          <w:bCs/>
          <w:color w:val="000000"/>
          <w:sz w:val="20"/>
          <w:szCs w:val="20"/>
        </w:rPr>
        <w:t>«Научно-педагогическая практика»</w:t>
      </w:r>
    </w:p>
    <w:p w:rsidR="002316D6" w:rsidRDefault="002316D6" w:rsidP="002316D6">
      <w:pPr>
        <w:jc w:val="both"/>
        <w:rPr>
          <w:rFonts w:ascii="Calibri" w:eastAsia="Calibri" w:hAnsi="Calibri" w:cs="Times New Roman"/>
        </w:rPr>
      </w:pPr>
      <w:r w:rsidRPr="002316D6">
        <w:rPr>
          <w:rFonts w:ascii="Calibri" w:eastAsia="Calibri" w:hAnsi="Calibri" w:cs="Times New Roman"/>
        </w:rPr>
        <w:t xml:space="preserve"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 </w:t>
      </w:r>
      <w:proofErr w:type="gramStart"/>
      <w:r w:rsidRPr="002316D6">
        <w:rPr>
          <w:rFonts w:ascii="Calibri" w:eastAsia="Calibri" w:hAnsi="Calibri" w:cs="Times New Roman"/>
        </w:rPr>
        <w:t xml:space="preserve">Научно-педагогическая практика аспирантов может проходить в различных формах преподавательской деятельности: изучение опыта преподавания ведущих преподавателей НИУ </w:t>
      </w:r>
      <w:r w:rsidRPr="002316D6">
        <w:rPr>
          <w:rFonts w:ascii="Calibri" w:eastAsia="Calibri" w:hAnsi="Calibri" w:cs="Times New Roman"/>
        </w:rPr>
        <w:lastRenderedPageBreak/>
        <w:t>ВШЭ в ходе посещения учебных занятий по научной дисциплине, смежным наукам; разработка содержания учебных занятий, методическая работа по учебному предмету, соответствующему направлению научных интересов аспиранта; проведение лекционных и семинарских занятий по тематике, соответствующей направлению научных интересов аспиранта;</w:t>
      </w:r>
      <w:proofErr w:type="gramEnd"/>
      <w:r w:rsidRPr="002316D6">
        <w:rPr>
          <w:rFonts w:ascii="Calibri" w:eastAsia="Calibri" w:hAnsi="Calibri" w:cs="Times New Roman"/>
        </w:rPr>
        <w:t xml:space="preserve"> подготовка кейсов, материалов для практических работ, составление задач и т.д.; другие формы педагогической деятельности, определенные Аспирантской школой и закрепленные в учебном плане.</w:t>
      </w:r>
    </w:p>
    <w:p w:rsidR="00081F5D" w:rsidRPr="00081F5D" w:rsidRDefault="00081F5D" w:rsidP="002316D6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081F5D">
        <w:rPr>
          <w:rFonts w:ascii="Arial" w:eastAsia="Calibri" w:hAnsi="Arial" w:cs="Arial"/>
          <w:b/>
          <w:bCs/>
          <w:color w:val="000000"/>
          <w:sz w:val="20"/>
          <w:szCs w:val="20"/>
        </w:rPr>
        <w:t>«Кандидатский экзамен по специальности»</w:t>
      </w:r>
    </w:p>
    <w:p w:rsidR="00081F5D" w:rsidRPr="00081F5D" w:rsidRDefault="00081F5D" w:rsidP="00081F5D">
      <w:pPr>
        <w:jc w:val="both"/>
        <w:rPr>
          <w:rFonts w:ascii="Calibri" w:eastAsia="Calibri" w:hAnsi="Calibri" w:cs="Times New Roman"/>
        </w:rPr>
      </w:pPr>
      <w:r w:rsidRPr="00081F5D">
        <w:rPr>
          <w:rFonts w:ascii="Calibri" w:eastAsia="Calibri" w:hAnsi="Calibri" w:cs="Times New Roman"/>
        </w:rPr>
        <w:t xml:space="preserve">Целью дисциплины является подготовка к сдаче и сдача кандидатского экзамена по специальности в соответствии с научной специальностью подготавливаемой научно-квалификационной работы (диссертации). Программа </w:t>
      </w:r>
      <w:r>
        <w:rPr>
          <w:rFonts w:ascii="Calibri" w:eastAsia="Calibri" w:hAnsi="Calibri" w:cs="Times New Roman"/>
        </w:rPr>
        <w:t>кандидатского экзамена по специальности</w:t>
      </w:r>
      <w:r w:rsidRPr="00081F5D">
        <w:rPr>
          <w:rFonts w:ascii="Calibri" w:eastAsia="Calibri" w:hAnsi="Calibri" w:cs="Times New Roman"/>
        </w:rPr>
        <w:t xml:space="preserve"> дифференцирована по областям знания научных специальностей образовательной программы. Аспирант осваивает один из блоков и сдает кандидатский экзамен в соответствии с научной специальностью его научно-квалификационной работы (диссертации).</w:t>
      </w:r>
    </w:p>
    <w:p w:rsidR="001976AB" w:rsidRPr="0069282D" w:rsidRDefault="0069282D" w:rsidP="0069282D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9282D">
        <w:rPr>
          <w:rFonts w:ascii="Arial" w:eastAsia="Calibri" w:hAnsi="Arial" w:cs="Arial"/>
          <w:b/>
          <w:bCs/>
          <w:color w:val="000000"/>
          <w:sz w:val="20"/>
          <w:szCs w:val="20"/>
        </w:rPr>
        <w:t>«Дополнительные главы метода конечных элементов»</w:t>
      </w:r>
    </w:p>
    <w:p w:rsidR="006F5305" w:rsidRDefault="00081F5D" w:rsidP="00081F5D">
      <w:pPr>
        <w:jc w:val="both"/>
      </w:pPr>
      <w:r>
        <w:t>Целью освоения дисциплины «Дополнительные главы метода конечных элементов» является углубление аспирантами знаний о математических основах метода конечных элементов (МКЭ), получения навыков реализации алгоритмов МКЭ, применения МКЭ при решении задач механики деформируемого твердого тела. Излагаются методы решения краевых задач механики. Рассматриваются конечные разности в одномерном случае, задача Неймана, нелинейные задачи, конечно-разностные аппроксимации частных производных. Проводится решение уравнений с частными производными методом конечных разностей. Изучаются методы дискретизации области решения, алгоритмы триангуляции двумерных областей, построение сетки конечных элементов от границы, триангуляция Делоне, алгоритмы конечно-элементного разбиения пространственных областей, нумерация узлов конечно-элементной сетки, оптимизация нумерации узлов.</w:t>
      </w:r>
    </w:p>
    <w:p w:rsidR="006F5305" w:rsidRPr="00C916B9" w:rsidRDefault="00C916B9" w:rsidP="00C916B9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C916B9">
        <w:rPr>
          <w:rFonts w:ascii="Arial" w:eastAsia="Calibri" w:hAnsi="Arial" w:cs="Arial"/>
          <w:b/>
          <w:bCs/>
          <w:color w:val="000000"/>
          <w:sz w:val="20"/>
          <w:szCs w:val="20"/>
        </w:rPr>
        <w:t>«Методология проведения научных исследований»</w:t>
      </w:r>
    </w:p>
    <w:p w:rsidR="006F5305" w:rsidRDefault="00C916B9" w:rsidP="00C916B9">
      <w:pPr>
        <w:jc w:val="both"/>
      </w:pPr>
      <w:r>
        <w:t>Целью освоения дисциплины является приобретение знаний и навыков в проведении исследований и оформлении их результатов в виде научно-квалификационной работы. Среди прочего, аспиранты приобретают знания о методах проведения научных исследований и экспериментов, методах обработки и представления результатов проводимых исследований. Также аспиранты знакомятся с правилами написания и оформления текста диссертационной работы, автореферата, документов, оформляемых при выходе на защиту диссертации, в ходе ее защиты и при подаче документов в ВАК РФ.</w:t>
      </w:r>
    </w:p>
    <w:p w:rsidR="00D226AA" w:rsidRPr="00D226AA" w:rsidRDefault="00D226AA" w:rsidP="00D226A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226AA">
        <w:rPr>
          <w:rFonts w:ascii="Arial" w:eastAsia="Calibri" w:hAnsi="Arial" w:cs="Arial"/>
          <w:b/>
          <w:bCs/>
          <w:color w:val="000000"/>
          <w:sz w:val="20"/>
          <w:szCs w:val="20"/>
        </w:rPr>
        <w:t>«Научно-исследовательская практика»</w:t>
      </w:r>
    </w:p>
    <w:p w:rsidR="00D226AA" w:rsidRPr="00D226AA" w:rsidRDefault="00D226AA" w:rsidP="00D226AA">
      <w:pPr>
        <w:jc w:val="both"/>
        <w:rPr>
          <w:rFonts w:ascii="Calibri" w:eastAsia="Calibri" w:hAnsi="Calibri" w:cs="Times New Roman"/>
        </w:rPr>
      </w:pPr>
      <w:r w:rsidRPr="00D226AA">
        <w:rPr>
          <w:rFonts w:ascii="Calibri" w:eastAsia="Calibri" w:hAnsi="Calibri" w:cs="Times New Roman"/>
        </w:rPr>
        <w:t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в процессе обучения, формирование компетенций в соответствии с образовательным стандартом НИУ ВШЭ.</w:t>
      </w:r>
    </w:p>
    <w:p w:rsidR="00D226AA" w:rsidRPr="00D226AA" w:rsidRDefault="00D226AA" w:rsidP="00D226AA">
      <w:pPr>
        <w:jc w:val="both"/>
        <w:rPr>
          <w:rFonts w:ascii="Calibri" w:eastAsia="Calibri" w:hAnsi="Calibri" w:cs="Times New Roman"/>
        </w:rPr>
      </w:pPr>
      <w:r w:rsidRPr="00D226AA">
        <w:rPr>
          <w:rFonts w:ascii="Calibri" w:eastAsia="Calibri" w:hAnsi="Calibri" w:cs="Times New Roman"/>
        </w:rPr>
        <w:t>Основными формами научно-исследовательской практики являются: научно-исследовательский семинар (НИС), научно-исследовательский проект (НИП), иные формы научно-исследовательской практики, установленные Аспирантской школой в зависимости от специфики программы аспирантуры и тематики научно-квалификационной работы (диссертации).</w:t>
      </w:r>
    </w:p>
    <w:p w:rsidR="00D226AA" w:rsidRPr="00D226AA" w:rsidRDefault="00D226AA" w:rsidP="00D226AA">
      <w:pPr>
        <w:jc w:val="both"/>
        <w:rPr>
          <w:rFonts w:ascii="Calibri" w:eastAsia="Calibri" w:hAnsi="Calibri" w:cs="Times New Roman"/>
        </w:rPr>
      </w:pPr>
      <w:r w:rsidRPr="00D226AA">
        <w:rPr>
          <w:rFonts w:ascii="Calibri" w:eastAsia="Calibri" w:hAnsi="Calibri" w:cs="Times New Roman"/>
        </w:rPr>
        <w:t xml:space="preserve">Научно-исследовательский семинар включает аудиторные занятия, </w:t>
      </w:r>
      <w:proofErr w:type="spellStart"/>
      <w:r w:rsidRPr="00D226AA">
        <w:rPr>
          <w:rFonts w:ascii="Calibri" w:eastAsia="Calibri" w:hAnsi="Calibri" w:cs="Times New Roman"/>
        </w:rPr>
        <w:t>проводящиеся</w:t>
      </w:r>
      <w:proofErr w:type="spellEnd"/>
      <w:r w:rsidRPr="00D226AA">
        <w:rPr>
          <w:rFonts w:ascii="Calibri" w:eastAsia="Calibri" w:hAnsi="Calibri" w:cs="Times New Roman"/>
        </w:rPr>
        <w:t xml:space="preserve"> в соответствии с установленным Аспирантской школой расписанием. НИС также включает самостоятельную работу аспирантов, предусмотренную учебным планом подготовки. Схема организации НИС </w:t>
      </w:r>
      <w:r w:rsidRPr="00D226AA">
        <w:rPr>
          <w:rFonts w:ascii="Calibri" w:eastAsia="Calibri" w:hAnsi="Calibri" w:cs="Times New Roman"/>
        </w:rPr>
        <w:lastRenderedPageBreak/>
        <w:t>включает в себя доклады двух видов: доклады аспирантов по теме диссертационной работы, доклады ведущих ученых по актуальным научным вопросам.</w:t>
      </w:r>
    </w:p>
    <w:p w:rsidR="00D226AA" w:rsidRPr="00D226AA" w:rsidRDefault="00D226AA" w:rsidP="00D226AA">
      <w:pPr>
        <w:jc w:val="both"/>
        <w:rPr>
          <w:rFonts w:ascii="Calibri" w:eastAsia="Calibri" w:hAnsi="Calibri" w:cs="Times New Roman"/>
        </w:rPr>
      </w:pPr>
      <w:r w:rsidRPr="00D226AA">
        <w:rPr>
          <w:rFonts w:ascii="Calibri" w:eastAsia="Calibri" w:hAnsi="Calibri" w:cs="Times New Roman"/>
        </w:rPr>
        <w:t>Научно-исследовательский проект выполняется аспирантом в составе проектной команды или индивидуально по согласованию с научным руководителем. В качестве формы научно-исследовательского проекта могут использоваться следующие виды работ: участие в исследовании в составе научно-учебной группы; проектной учебной группы; в составе команды, выполняющей работы над грантом РФФИ, РГНФ, РНФ или иных фондов, в том числе фондов НИУ ВШЭ; в составе команды, выполняющей контракт, заключенный одним из подразделений НИУ ВШЭ; в составе команды, выполняющей инициативный проект под руководством научного руководителя аспиранта.</w:t>
      </w:r>
    </w:p>
    <w:p w:rsidR="00D226AA" w:rsidRPr="00D226AA" w:rsidRDefault="00D226AA" w:rsidP="00D226A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226AA">
        <w:rPr>
          <w:rFonts w:ascii="Arial" w:eastAsia="Calibri" w:hAnsi="Arial" w:cs="Arial"/>
          <w:b/>
          <w:bCs/>
          <w:color w:val="000000"/>
          <w:sz w:val="20"/>
          <w:szCs w:val="20"/>
        </w:rPr>
        <w:t>«Научно-педагогическая практика»</w:t>
      </w:r>
    </w:p>
    <w:p w:rsidR="00D226AA" w:rsidRPr="00D226AA" w:rsidRDefault="00D226AA" w:rsidP="00D226AA">
      <w:pPr>
        <w:jc w:val="both"/>
        <w:rPr>
          <w:rFonts w:ascii="Calibri" w:eastAsia="Calibri" w:hAnsi="Calibri" w:cs="Times New Roman"/>
        </w:rPr>
      </w:pPr>
      <w:r w:rsidRPr="00D226AA">
        <w:rPr>
          <w:rFonts w:ascii="Calibri" w:eastAsia="Calibri" w:hAnsi="Calibri" w:cs="Times New Roman"/>
        </w:rPr>
        <w:t xml:space="preserve"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 </w:t>
      </w:r>
      <w:proofErr w:type="gramStart"/>
      <w:r w:rsidRPr="00D226AA">
        <w:rPr>
          <w:rFonts w:ascii="Calibri" w:eastAsia="Calibri" w:hAnsi="Calibri" w:cs="Times New Roman"/>
        </w:rPr>
        <w:t>Научно-педагогическая практика аспирантов может проходить в различных формах преподавательской деятельности: изучение опыта преподавания ведущих преподавателей НИУ ВШЭ в ходе посещения учебных занятий по научной дисциплине, смежным наукам; разработка содержания учебных занятий, методическая работа по учебному предмету, соответствующему направлению научных интересов аспиранта; проведение лекционных и семинарских занятий по тематике, соответствующей направлению научных интересов аспиранта;</w:t>
      </w:r>
      <w:proofErr w:type="gramEnd"/>
      <w:r w:rsidRPr="00D226AA">
        <w:rPr>
          <w:rFonts w:ascii="Calibri" w:eastAsia="Calibri" w:hAnsi="Calibri" w:cs="Times New Roman"/>
        </w:rPr>
        <w:t xml:space="preserve"> подготовка кейсов, материалов для практических работ, составление задач и т.д.; другие формы педагогической деятельности, определенные Аспирантской школой и закрепленные в учебном плане.</w:t>
      </w:r>
    </w:p>
    <w:p w:rsidR="00D226AA" w:rsidRPr="00D226AA" w:rsidRDefault="00D226AA" w:rsidP="00D226A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D226AA">
        <w:rPr>
          <w:rFonts w:ascii="Arial" w:eastAsia="Calibri" w:hAnsi="Arial" w:cs="Arial"/>
          <w:b/>
          <w:bCs/>
          <w:color w:val="000000"/>
          <w:sz w:val="20"/>
          <w:szCs w:val="20"/>
        </w:rPr>
        <w:t>«Государственная итоговая аттестация»</w:t>
      </w:r>
    </w:p>
    <w:p w:rsidR="00D226AA" w:rsidRPr="00D226AA" w:rsidRDefault="00D226AA" w:rsidP="00D226AA">
      <w:pPr>
        <w:jc w:val="both"/>
        <w:rPr>
          <w:rFonts w:ascii="Calibri" w:eastAsia="Calibri" w:hAnsi="Calibri" w:cs="Times New Roman"/>
        </w:rPr>
      </w:pPr>
      <w:r w:rsidRPr="00D226AA">
        <w:rPr>
          <w:rFonts w:ascii="Calibri" w:eastAsia="Calibri" w:hAnsi="Calibri" w:cs="Times New Roman"/>
        </w:rPr>
        <w:t>Государственная итоговая аттестация аспиранта является обязательной и осуществляется после освоения образовательной программы в полном объеме. Она включает подготовку и сдачу государственного экзамена и представление научного доклада об основных результатах подготовленной научно-квалификационной работы (диссертации). В соответствии с учебным планом государственная итоговая аттестация проводится в конце последнего года обучения. 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аспирантуры присваивается соответствующая квалификация. Государственный экзамен представляет собой проверку теоретических знаний аспиранта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осмыслять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</w:t>
      </w:r>
      <w:bookmarkStart w:id="0" w:name="_GoBack"/>
      <w:bookmarkEnd w:id="0"/>
    </w:p>
    <w:sectPr w:rsidR="00D226AA" w:rsidRPr="00D2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AB"/>
    <w:rsid w:val="00011631"/>
    <w:rsid w:val="000145A4"/>
    <w:rsid w:val="00081F5D"/>
    <w:rsid w:val="001976AB"/>
    <w:rsid w:val="0022596F"/>
    <w:rsid w:val="002316D6"/>
    <w:rsid w:val="0059382D"/>
    <w:rsid w:val="005D6388"/>
    <w:rsid w:val="0069282D"/>
    <w:rsid w:val="006F5305"/>
    <w:rsid w:val="008A4353"/>
    <w:rsid w:val="00B33C5D"/>
    <w:rsid w:val="00C916B9"/>
    <w:rsid w:val="00D226AA"/>
    <w:rsid w:val="00E64BCF"/>
    <w:rsid w:val="00E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Завгородняя Ольга Ивановна</dc:creator>
  <cp:lastModifiedBy>Сергей</cp:lastModifiedBy>
  <cp:revision>3</cp:revision>
  <dcterms:created xsi:type="dcterms:W3CDTF">2019-03-20T09:42:00Z</dcterms:created>
  <dcterms:modified xsi:type="dcterms:W3CDTF">2019-03-20T14:46:00Z</dcterms:modified>
</cp:coreProperties>
</file>