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6C" w:rsidRPr="00832C8D" w:rsidRDefault="00C42A27" w:rsidP="00DE1C6C">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br/>
      </w:r>
      <w:r w:rsidR="00DE1C6C" w:rsidRPr="00832C8D">
        <w:rPr>
          <w:rFonts w:ascii="Times New Roman" w:eastAsiaTheme="minorHAnsi" w:hAnsi="Times New Roman"/>
          <w:b/>
          <w:sz w:val="24"/>
          <w:szCs w:val="24"/>
          <w:lang w:val="en-US"/>
        </w:rPr>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1504D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281806" w:rsidP="00281806">
            <w:pPr>
              <w:spacing w:after="0" w:line="240" w:lineRule="auto"/>
              <w:jc w:val="center"/>
              <w:rPr>
                <w:rFonts w:ascii="Times New Roman" w:eastAsiaTheme="minorHAnsi" w:hAnsi="Times New Roman"/>
                <w:b/>
                <w:sz w:val="24"/>
                <w:szCs w:val="24"/>
                <w:lang w:val="en-US"/>
              </w:rPr>
            </w:pPr>
            <w:r w:rsidRPr="00832C8D">
              <w:rPr>
                <w:rFonts w:ascii="Times New Roman" w:eastAsiaTheme="minorHAnsi" w:hAnsi="Times New Roman"/>
                <w:b/>
                <w:sz w:val="24"/>
                <w:szCs w:val="24"/>
                <w:lang w:val="en-US"/>
              </w:rPr>
              <w:t>Critical Analysis of Historical Sources and Introduction to General History</w:t>
            </w:r>
          </w:p>
        </w:tc>
      </w:tr>
      <w:tr w:rsidR="00C42A27" w:rsidRPr="001504D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281806">
            <w:pPr>
              <w:spacing w:after="0" w:line="240" w:lineRule="auto"/>
              <w:rPr>
                <w:rFonts w:ascii="Times New Roman" w:eastAsiaTheme="minorHAnsi" w:hAnsi="Times New Roman"/>
                <w:sz w:val="24"/>
                <w:szCs w:val="24"/>
                <w:lang w:val="en-US"/>
              </w:rPr>
            </w:pPr>
            <w:r w:rsidRPr="00832C8D">
              <w:rPr>
                <w:rFonts w:ascii="Times New Roman" w:eastAsiaTheme="minorHAnsi" w:hAnsi="Times New Roman"/>
                <w:sz w:val="24"/>
                <w:szCs w:val="24"/>
                <w:lang w:val="en-US"/>
              </w:rPr>
              <w:t>Usable Pasts: Applied and Interdisciplinary History</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sidR="00F31F02">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281806">
            <w:pPr>
              <w:spacing w:after="0" w:line="240" w:lineRule="auto"/>
              <w:rPr>
                <w:rFonts w:ascii="Times New Roman" w:eastAsiaTheme="minorHAnsi" w:hAnsi="Times New Roman"/>
                <w:sz w:val="24"/>
                <w:szCs w:val="24"/>
                <w:lang w:val="en-US"/>
              </w:rPr>
            </w:pPr>
            <w:r w:rsidRPr="00832C8D">
              <w:rPr>
                <w:rFonts w:ascii="Times New Roman" w:eastAsiaTheme="minorHAnsi" w:hAnsi="Times New Roman"/>
                <w:sz w:val="24"/>
                <w:szCs w:val="24"/>
                <w:lang w:val="en-US"/>
              </w:rPr>
              <w:t>Bridging Course</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281806">
            <w:pPr>
              <w:spacing w:after="0" w:line="240" w:lineRule="auto"/>
              <w:rPr>
                <w:rFonts w:ascii="Times New Roman" w:eastAsiaTheme="minorHAnsi" w:hAnsi="Times New Roman"/>
                <w:sz w:val="24"/>
                <w:szCs w:val="24"/>
                <w:lang w:val="en-US"/>
              </w:rPr>
            </w:pPr>
            <w:r w:rsidRPr="00832C8D">
              <w:rPr>
                <w:rFonts w:ascii="Times New Roman" w:eastAsiaTheme="minorHAnsi" w:hAnsi="Times New Roman"/>
                <w:sz w:val="24"/>
                <w:szCs w:val="24"/>
                <w:lang w:val="en-US"/>
              </w:rPr>
              <w:t>English for academic purposes</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2818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2818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38</w:t>
            </w:r>
          </w:p>
        </w:tc>
        <w:tc>
          <w:tcPr>
            <w:tcW w:w="2410" w:type="dxa"/>
            <w:tcBorders>
              <w:top w:val="single" w:sz="4" w:space="0" w:color="auto"/>
              <w:left w:val="single" w:sz="4" w:space="0" w:color="auto"/>
              <w:bottom w:val="single" w:sz="4" w:space="0" w:color="auto"/>
              <w:right w:val="single" w:sz="4" w:space="0" w:color="auto"/>
            </w:tcBorders>
          </w:tcPr>
          <w:p w:rsidR="00C42A27" w:rsidRDefault="002818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76</w:t>
            </w:r>
          </w:p>
        </w:tc>
        <w:tc>
          <w:tcPr>
            <w:tcW w:w="2552" w:type="dxa"/>
            <w:tcBorders>
              <w:top w:val="single" w:sz="4" w:space="0" w:color="auto"/>
              <w:left w:val="single" w:sz="4" w:space="0" w:color="auto"/>
              <w:bottom w:val="single" w:sz="4" w:space="0" w:color="auto"/>
              <w:right w:val="single" w:sz="4" w:space="0" w:color="auto"/>
            </w:tcBorders>
          </w:tcPr>
          <w:p w:rsidR="00C42A27" w:rsidRDefault="002818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r>
      <w:tr w:rsidR="00C42A27" w:rsidRPr="001504D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281806">
            <w:pPr>
              <w:spacing w:after="0"/>
              <w:jc w:val="both"/>
              <w:rPr>
                <w:rFonts w:ascii="Times New Roman" w:eastAsiaTheme="minorHAnsi" w:hAnsi="Times New Roman"/>
                <w:sz w:val="24"/>
                <w:szCs w:val="24"/>
                <w:lang w:val="en-US"/>
              </w:rPr>
            </w:pPr>
            <w:r w:rsidRPr="00832C8D">
              <w:rPr>
                <w:rFonts w:ascii="Times New Roman" w:eastAsia="Times New Roman" w:hAnsi="Times New Roman"/>
                <w:sz w:val="24"/>
                <w:szCs w:val="24"/>
                <w:lang w:val="en-GB"/>
              </w:rPr>
              <w:t>«</w:t>
            </w:r>
            <w:proofErr w:type="spellStart"/>
            <w:r w:rsidRPr="00832C8D">
              <w:rPr>
                <w:rFonts w:ascii="Times New Roman" w:hAnsi="Times New Roman"/>
                <w:sz w:val="24"/>
                <w:szCs w:val="24"/>
                <w:lang w:val="en-GB"/>
              </w:rPr>
              <w:t>L'histoire</w:t>
            </w:r>
            <w:proofErr w:type="spellEnd"/>
            <w:r w:rsidRPr="00832C8D">
              <w:rPr>
                <w:rFonts w:ascii="Times New Roman" w:hAnsi="Times New Roman"/>
                <w:sz w:val="24"/>
                <w:szCs w:val="24"/>
                <w:lang w:val="en-GB"/>
              </w:rPr>
              <w:t xml:space="preserve"> se fait avec des documents», “the history is made on the basis of documents” – this was a famous dictum of two nineteenth century French historians,</w:t>
            </w:r>
            <w:r w:rsidRPr="00832C8D">
              <w:rPr>
                <w:rStyle w:val="st"/>
                <w:rFonts w:ascii="Times New Roman" w:hAnsi="Times New Roman"/>
                <w:sz w:val="24"/>
                <w:szCs w:val="24"/>
                <w:lang w:val="en-GB"/>
              </w:rPr>
              <w:t xml:space="preserve"> Charles Victor Langlois and Charles </w:t>
            </w:r>
            <w:proofErr w:type="spellStart"/>
            <w:r w:rsidRPr="00832C8D">
              <w:rPr>
                <w:rStyle w:val="st"/>
                <w:rFonts w:ascii="Times New Roman" w:hAnsi="Times New Roman"/>
                <w:sz w:val="24"/>
                <w:szCs w:val="24"/>
                <w:lang w:val="en-GB"/>
              </w:rPr>
              <w:t>Seignobos</w:t>
            </w:r>
            <w:proofErr w:type="spellEnd"/>
            <w:r w:rsidRPr="00832C8D">
              <w:rPr>
                <w:rStyle w:val="st"/>
                <w:rFonts w:ascii="Times New Roman" w:hAnsi="Times New Roman"/>
                <w:sz w:val="24"/>
                <w:szCs w:val="24"/>
                <w:lang w:val="en-GB"/>
              </w:rPr>
              <w:t xml:space="preserve">, the statement that opened the first chapter of their classic textbook </w:t>
            </w:r>
            <w:r w:rsidRPr="00832C8D">
              <w:rPr>
                <w:rStyle w:val="st"/>
                <w:rFonts w:ascii="Times New Roman" w:hAnsi="Times New Roman"/>
                <w:i/>
                <w:sz w:val="24"/>
                <w:szCs w:val="24"/>
                <w:lang w:val="en-GB"/>
              </w:rPr>
              <w:t xml:space="preserve">Introduction to the Study of History </w:t>
            </w:r>
            <w:r w:rsidRPr="00832C8D">
              <w:rPr>
                <w:rStyle w:val="st"/>
                <w:rFonts w:ascii="Times New Roman" w:hAnsi="Times New Roman"/>
                <w:sz w:val="24"/>
                <w:szCs w:val="24"/>
                <w:lang w:val="en-GB"/>
              </w:rPr>
              <w:t>(1898). In this course we will explore the ways professional historians use documents, as well as other types of primary sources, in their research. We will consider the role archives play in shaping collective memory of the past, and will examine in details the peculiarities of institutional records, statistics, court and law files, surveillance reports, diaries, letters and memoirs, newspapers and fiction, maps, oral and visual sources.</w:t>
            </w:r>
          </w:p>
        </w:tc>
      </w:tr>
      <w:tr w:rsidR="00C42A27" w:rsidRPr="001504D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r w:rsidR="00F31F02">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C4A43" w:rsidRDefault="00DC4A43" w:rsidP="00DC4A43">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Upon completion of the course students should: </w:t>
            </w:r>
          </w:p>
          <w:p w:rsidR="00DC4A43" w:rsidRDefault="00DC4A43" w:rsidP="00DC4A43">
            <w:pPr>
              <w:pStyle w:val="11"/>
              <w:rPr>
                <w:rFonts w:ascii="Times New Roman" w:eastAsia="Times New Roman" w:hAnsi="Times New Roman" w:cs="Times New Roman"/>
                <w:sz w:val="24"/>
                <w:szCs w:val="24"/>
                <w:lang w:val="en-US"/>
              </w:rPr>
            </w:pPr>
          </w:p>
          <w:p w:rsidR="00DC4A43" w:rsidRDefault="00DC4A43" w:rsidP="00DC4A43">
            <w:pPr>
              <w:pStyle w:val="11"/>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Is able to</w:t>
            </w:r>
            <w:proofErr w:type="gramEnd"/>
            <w:r>
              <w:rPr>
                <w:rFonts w:ascii="Times New Roman" w:eastAsia="Times New Roman" w:hAnsi="Times New Roman" w:cs="Times New Roman"/>
                <w:sz w:val="24"/>
                <w:szCs w:val="24"/>
                <w:lang w:val="en-US"/>
              </w:rPr>
              <w:t xml:space="preserve"> reflex (evaluate and rework) the learned scientific and activity methods (УК-1)</w:t>
            </w:r>
          </w:p>
          <w:p w:rsidR="00DC4A43" w:rsidRDefault="00DC4A43" w:rsidP="00DC4A43">
            <w:pPr>
              <w:pStyle w:val="11"/>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Is able to</w:t>
            </w:r>
            <w:proofErr w:type="gramEnd"/>
            <w:r>
              <w:rPr>
                <w:rFonts w:ascii="Times New Roman" w:eastAsia="Times New Roman" w:hAnsi="Times New Roman" w:cs="Times New Roman"/>
                <w:sz w:val="24"/>
                <w:szCs w:val="24"/>
                <w:lang w:val="en-US"/>
              </w:rPr>
              <w:t xml:space="preserve"> create new theories, invent new ways and tools of professional activity (УК-2)</w:t>
            </w:r>
          </w:p>
          <w:p w:rsidR="00DC4A43" w:rsidRDefault="00DC4A43" w:rsidP="00DC4A43">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Masters new research methods </w:t>
            </w:r>
            <w:proofErr w:type="gramStart"/>
            <w:r>
              <w:rPr>
                <w:rFonts w:ascii="Times New Roman" w:eastAsia="Times New Roman" w:hAnsi="Times New Roman" w:cs="Times New Roman"/>
                <w:sz w:val="24"/>
                <w:szCs w:val="24"/>
                <w:lang w:val="en-US"/>
              </w:rPr>
              <w:t>independently ,</w:t>
            </w:r>
            <w:proofErr w:type="gramEnd"/>
            <w:r>
              <w:rPr>
                <w:rFonts w:ascii="Times New Roman" w:eastAsia="Times New Roman" w:hAnsi="Times New Roman" w:cs="Times New Roman"/>
                <w:sz w:val="24"/>
                <w:szCs w:val="24"/>
                <w:lang w:val="en-US"/>
              </w:rPr>
              <w:t xml:space="preserve"> changes the scientific and production profile of his/her activities (УК-3)</w:t>
            </w:r>
          </w:p>
          <w:p w:rsidR="00DC4A43" w:rsidRDefault="00DC4A43" w:rsidP="00DC4A43">
            <w:pPr>
              <w:pStyle w:val="11"/>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Is able to</w:t>
            </w:r>
            <w:proofErr w:type="gramEnd"/>
            <w:r>
              <w:rPr>
                <w:rFonts w:ascii="Times New Roman" w:eastAsia="Times New Roman" w:hAnsi="Times New Roman" w:cs="Times New Roman"/>
                <w:sz w:val="24"/>
                <w:szCs w:val="24"/>
                <w:lang w:val="en-US"/>
              </w:rPr>
              <w:t xml:space="preserve"> improve and develop his intellectual and cultural level, to build a trajectory of professional development and career (УК-4)</w:t>
            </w:r>
          </w:p>
          <w:p w:rsidR="00DC4A43" w:rsidRDefault="00DC4A43" w:rsidP="00DC4A43">
            <w:pPr>
              <w:pStyle w:val="11"/>
              <w:rPr>
                <w:rFonts w:ascii="Times New Roman" w:eastAsia="Times New Roman" w:hAnsi="Times New Roman" w:cs="Times New Roman"/>
                <w:sz w:val="24"/>
                <w:szCs w:val="24"/>
                <w:lang w:val="en-US"/>
              </w:rPr>
            </w:pPr>
            <w:r w:rsidRPr="00DC4A43">
              <w:rPr>
                <w:rFonts w:ascii="Times New Roman" w:eastAsia="Times New Roman" w:hAnsi="Times New Roman" w:cs="Times New Roman"/>
                <w:sz w:val="24"/>
                <w:szCs w:val="24"/>
                <w:lang w:val="en-US"/>
              </w:rPr>
              <w:t>Able to work with information: identify, evaluate and use information from a variety of sources for scientific and professional purposes (including with a systematic approach) (ОПК-1)</w:t>
            </w:r>
          </w:p>
          <w:p w:rsidR="00DC4A43" w:rsidRDefault="00DC4A43" w:rsidP="00DC4A43">
            <w:pPr>
              <w:pStyle w:val="11"/>
              <w:rPr>
                <w:rFonts w:ascii="Times New Roman" w:eastAsia="Times New Roman" w:hAnsi="Times New Roman" w:cs="Times New Roman"/>
                <w:sz w:val="24"/>
                <w:szCs w:val="24"/>
                <w:lang w:val="en-US"/>
              </w:rPr>
            </w:pPr>
            <w:r w:rsidRPr="00DC4A43">
              <w:rPr>
                <w:rFonts w:ascii="Times New Roman" w:eastAsia="Times New Roman" w:hAnsi="Times New Roman" w:cs="Times New Roman"/>
                <w:sz w:val="24"/>
                <w:szCs w:val="24"/>
                <w:lang w:val="en-US"/>
              </w:rPr>
              <w:t xml:space="preserve">Capable of conducting independent research, including problem analysis, setting goals and objectives, identifying the object and subject of </w:t>
            </w:r>
            <w:r w:rsidRPr="00DC4A43">
              <w:rPr>
                <w:rFonts w:ascii="Times New Roman" w:eastAsia="Times New Roman" w:hAnsi="Times New Roman" w:cs="Times New Roman"/>
                <w:sz w:val="24"/>
                <w:szCs w:val="24"/>
                <w:lang w:val="en-US"/>
              </w:rPr>
              <w:lastRenderedPageBreak/>
              <w:t>research, choosing the mode and methods of research, and assessing its quality (ОПК-7)</w:t>
            </w:r>
          </w:p>
          <w:p w:rsidR="00DC4A43" w:rsidRPr="00DC4A43" w:rsidRDefault="00DC4A43" w:rsidP="00DC4A43">
            <w:pPr>
              <w:pStyle w:val="11"/>
              <w:rPr>
                <w:rFonts w:ascii="Times New Roman" w:eastAsia="Times New Roman" w:hAnsi="Times New Roman" w:cs="Times New Roman"/>
                <w:sz w:val="24"/>
                <w:szCs w:val="24"/>
                <w:lang w:val="en-US"/>
              </w:rPr>
            </w:pPr>
            <w:proofErr w:type="gramStart"/>
            <w:r w:rsidRPr="00DC4A43">
              <w:rPr>
                <w:rFonts w:ascii="Times New Roman" w:eastAsia="Times New Roman" w:hAnsi="Times New Roman" w:cs="Times New Roman"/>
                <w:sz w:val="24"/>
                <w:szCs w:val="24"/>
                <w:lang w:val="en-US"/>
              </w:rPr>
              <w:t>Is able to</w:t>
            </w:r>
            <w:proofErr w:type="gramEnd"/>
            <w:r w:rsidRPr="00DC4A43">
              <w:rPr>
                <w:rFonts w:ascii="Times New Roman" w:eastAsia="Times New Roman" w:hAnsi="Times New Roman" w:cs="Times New Roman"/>
                <w:sz w:val="24"/>
                <w:szCs w:val="24"/>
                <w:lang w:val="en-US"/>
              </w:rPr>
              <w:t xml:space="preserve"> conduct independent fundamental and applied research using classical and modern methodology, analysis of problems, setting goals and objectives, selection of the object and subject of research, choice of research mode and methods, as well as assessment of its quality (ПК-1)</w:t>
            </w:r>
          </w:p>
          <w:p w:rsidR="00DC4A43" w:rsidRDefault="00DC4A43" w:rsidP="00DC4A43">
            <w:pPr>
              <w:pStyle w:val="11"/>
              <w:rPr>
                <w:rFonts w:ascii="Times New Roman" w:eastAsia="Times New Roman" w:hAnsi="Times New Roman" w:cs="Times New Roman"/>
                <w:sz w:val="24"/>
                <w:szCs w:val="24"/>
                <w:lang w:val="en-US"/>
              </w:rPr>
            </w:pPr>
            <w:proofErr w:type="gramStart"/>
            <w:r w:rsidRPr="00DC4A43">
              <w:rPr>
                <w:rFonts w:ascii="Times New Roman" w:eastAsia="Times New Roman" w:hAnsi="Times New Roman" w:cs="Times New Roman"/>
                <w:sz w:val="24"/>
                <w:szCs w:val="24"/>
                <w:lang w:val="en-US"/>
              </w:rPr>
              <w:t>Is able to</w:t>
            </w:r>
            <w:proofErr w:type="gramEnd"/>
            <w:r w:rsidRPr="00DC4A43">
              <w:rPr>
                <w:rFonts w:ascii="Times New Roman" w:eastAsia="Times New Roman" w:hAnsi="Times New Roman" w:cs="Times New Roman"/>
                <w:sz w:val="24"/>
                <w:szCs w:val="24"/>
                <w:lang w:val="en-US"/>
              </w:rPr>
              <w:t xml:space="preserve"> analyze and propose scientific interpretation of historical events in their interrelation in accordance with the requirements of modern historical science (ПК-2)</w:t>
            </w:r>
          </w:p>
          <w:p w:rsidR="00CC1DAE" w:rsidRDefault="00CC1DAE" w:rsidP="00DC4A43">
            <w:pPr>
              <w:pStyle w:val="11"/>
              <w:rPr>
                <w:rFonts w:ascii="Times New Roman" w:eastAsiaTheme="minorHAnsi" w:hAnsi="Times New Roman"/>
                <w:sz w:val="24"/>
                <w:szCs w:val="24"/>
                <w:lang w:val="en-GB"/>
              </w:rPr>
            </w:pPr>
            <w:proofErr w:type="gramStart"/>
            <w:r w:rsidRPr="00CC1DAE">
              <w:rPr>
                <w:rFonts w:ascii="Times New Roman" w:eastAsiaTheme="minorHAnsi" w:hAnsi="Times New Roman"/>
                <w:sz w:val="24"/>
                <w:szCs w:val="24"/>
                <w:lang w:val="en-US"/>
              </w:rPr>
              <w:t>Is able to</w:t>
            </w:r>
            <w:proofErr w:type="gramEnd"/>
            <w:r w:rsidRPr="00CC1DAE">
              <w:rPr>
                <w:rFonts w:ascii="Times New Roman" w:eastAsiaTheme="minorHAnsi" w:hAnsi="Times New Roman"/>
                <w:sz w:val="24"/>
                <w:szCs w:val="24"/>
                <w:lang w:val="en-US"/>
              </w:rPr>
              <w:t xml:space="preserve"> search and analyze historical sources in one of</w:t>
            </w:r>
            <w:bookmarkStart w:id="0" w:name="_GoBack"/>
            <w:bookmarkEnd w:id="0"/>
            <w:r w:rsidRPr="00CC1DAE">
              <w:rPr>
                <w:rFonts w:ascii="Times New Roman" w:eastAsiaTheme="minorHAnsi" w:hAnsi="Times New Roman"/>
                <w:sz w:val="24"/>
                <w:szCs w:val="24"/>
                <w:lang w:val="en-US"/>
              </w:rPr>
              <w:t xml:space="preserve"> the ancient languages, or in a foreign language</w:t>
            </w:r>
            <w:r w:rsidRPr="00CC1DAE">
              <w:rPr>
                <w:rFonts w:ascii="Times New Roman" w:eastAsiaTheme="minorHAnsi" w:hAnsi="Times New Roman"/>
                <w:sz w:val="24"/>
                <w:szCs w:val="24"/>
                <w:lang w:val="en-GB"/>
              </w:rPr>
              <w:t xml:space="preserve"> (</w:t>
            </w:r>
            <w:r w:rsidRPr="00CC1DAE">
              <w:rPr>
                <w:rFonts w:ascii="Times New Roman" w:eastAsiaTheme="minorHAnsi" w:hAnsi="Times New Roman"/>
                <w:sz w:val="24"/>
                <w:szCs w:val="24"/>
              </w:rPr>
              <w:t>ПК</w:t>
            </w:r>
            <w:r w:rsidRPr="00CC1DAE">
              <w:rPr>
                <w:rFonts w:ascii="Times New Roman" w:eastAsiaTheme="minorHAnsi" w:hAnsi="Times New Roman"/>
                <w:sz w:val="24"/>
                <w:szCs w:val="24"/>
                <w:lang w:val="en-GB"/>
              </w:rPr>
              <w:t xml:space="preserve"> -6)</w:t>
            </w:r>
          </w:p>
          <w:p w:rsidR="00DC4A43" w:rsidRDefault="00CC1DAE" w:rsidP="00DC4A43">
            <w:pPr>
              <w:pStyle w:val="11"/>
              <w:rPr>
                <w:rFonts w:ascii="Times New Roman" w:eastAsia="Times New Roman" w:hAnsi="Times New Roman" w:cs="Times New Roman"/>
                <w:sz w:val="24"/>
                <w:szCs w:val="24"/>
                <w:lang w:val="en-US"/>
              </w:rPr>
            </w:pPr>
            <w:r>
              <w:rPr>
                <w:rFonts w:ascii="Times New Roman" w:eastAsiaTheme="minorHAnsi" w:hAnsi="Times New Roman"/>
                <w:sz w:val="24"/>
                <w:szCs w:val="24"/>
                <w:lang w:val="en-GB"/>
              </w:rPr>
              <w:t>Is c</w:t>
            </w:r>
            <w:proofErr w:type="spellStart"/>
            <w:r w:rsidR="00DC4A43" w:rsidRPr="00DC4A43">
              <w:rPr>
                <w:rFonts w:ascii="Times New Roman" w:eastAsia="Times New Roman" w:hAnsi="Times New Roman" w:cs="Times New Roman"/>
                <w:sz w:val="24"/>
                <w:szCs w:val="24"/>
                <w:lang w:val="en-US"/>
              </w:rPr>
              <w:t>apable</w:t>
            </w:r>
            <w:proofErr w:type="spellEnd"/>
            <w:r w:rsidR="00DC4A43" w:rsidRPr="00DC4A43">
              <w:rPr>
                <w:rFonts w:ascii="Times New Roman" w:eastAsia="Times New Roman" w:hAnsi="Times New Roman" w:cs="Times New Roman"/>
                <w:sz w:val="24"/>
                <w:szCs w:val="24"/>
                <w:lang w:val="en-US"/>
              </w:rPr>
              <w:t xml:space="preserve"> of extracting, selecting and structuring information from a variety of types of sources according to professional objectives (ПК-7)</w:t>
            </w:r>
          </w:p>
          <w:p w:rsidR="00CC1DAE" w:rsidRDefault="00CC1DAE" w:rsidP="00DC4A43">
            <w:pPr>
              <w:pStyle w:val="11"/>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US"/>
              </w:rPr>
              <w:t>Is a</w:t>
            </w:r>
            <w:r w:rsidRPr="00CC1DAE">
              <w:rPr>
                <w:rFonts w:ascii="Times New Roman" w:eastAsia="Times New Roman" w:hAnsi="Times New Roman" w:cs="Times New Roman"/>
                <w:sz w:val="24"/>
                <w:szCs w:val="24"/>
                <w:lang w:val="en-US"/>
              </w:rPr>
              <w:t>ble to</w:t>
            </w:r>
            <w:proofErr w:type="gramEnd"/>
            <w:r w:rsidRPr="00CC1DAE">
              <w:rPr>
                <w:rFonts w:ascii="Times New Roman" w:eastAsia="Times New Roman" w:hAnsi="Times New Roman" w:cs="Times New Roman"/>
                <w:sz w:val="24"/>
                <w:szCs w:val="24"/>
                <w:lang w:val="en-US"/>
              </w:rPr>
              <w:t xml:space="preserve"> motivate other people to independent work</w:t>
            </w:r>
            <w:r w:rsidRPr="00CC1DA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ПК</w:t>
            </w:r>
            <w:r w:rsidRPr="00CC1DAE">
              <w:rPr>
                <w:rFonts w:ascii="Times New Roman" w:eastAsia="Times New Roman" w:hAnsi="Times New Roman" w:cs="Times New Roman"/>
                <w:sz w:val="24"/>
                <w:szCs w:val="24"/>
                <w:lang w:val="en-GB"/>
              </w:rPr>
              <w:t xml:space="preserve"> -8)</w:t>
            </w:r>
          </w:p>
          <w:p w:rsidR="00CC1DAE" w:rsidRPr="00CC1DAE" w:rsidRDefault="00CC1DAE" w:rsidP="00DC4A43">
            <w:pPr>
              <w:pStyle w:val="11"/>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Is a</w:t>
            </w:r>
            <w:r w:rsidRPr="00CC1DAE">
              <w:rPr>
                <w:rFonts w:ascii="Times New Roman" w:eastAsia="Times New Roman" w:hAnsi="Times New Roman" w:cs="Times New Roman"/>
                <w:sz w:val="24"/>
                <w:szCs w:val="24"/>
                <w:lang w:val="en-GB"/>
              </w:rPr>
              <w:t>ble to</w:t>
            </w:r>
            <w:proofErr w:type="gramEnd"/>
            <w:r w:rsidRPr="00CC1DAE">
              <w:rPr>
                <w:rFonts w:ascii="Times New Roman" w:eastAsia="Times New Roman" w:hAnsi="Times New Roman" w:cs="Times New Roman"/>
                <w:sz w:val="24"/>
                <w:szCs w:val="24"/>
                <w:lang w:val="en-GB"/>
              </w:rPr>
              <w:t xml:space="preserve"> develop students' ability to comprehend historical text</w:t>
            </w:r>
            <w:r w:rsidRPr="00CC1DA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ПК</w:t>
            </w:r>
            <w:r w:rsidRPr="00CC1DAE">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9)</w:t>
            </w:r>
          </w:p>
          <w:p w:rsidR="00C42A27" w:rsidRPr="00CC1DAE" w:rsidRDefault="00C42A27" w:rsidP="00CC1DAE">
            <w:pPr>
              <w:spacing w:after="0" w:line="240" w:lineRule="auto"/>
              <w:rPr>
                <w:rFonts w:ascii="Times New Roman" w:eastAsiaTheme="minorHAnsi" w:hAnsi="Times New Roman"/>
                <w:sz w:val="24"/>
                <w:szCs w:val="24"/>
                <w:highlight w:val="yellow"/>
                <w:lang w:val="en-GB"/>
              </w:rPr>
            </w:pPr>
          </w:p>
        </w:tc>
      </w:tr>
      <w:tr w:rsidR="00613DCA" w:rsidRPr="001504D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1806" w:rsidRPr="00832C8D" w:rsidRDefault="00281806" w:rsidP="00281806">
            <w:pPr>
              <w:pStyle w:val="a0"/>
              <w:numPr>
                <w:ilvl w:val="0"/>
                <w:numId w:val="5"/>
              </w:numPr>
              <w:spacing w:after="0" w:line="240" w:lineRule="auto"/>
              <w:ind w:left="0" w:firstLine="0"/>
              <w:jc w:val="both"/>
              <w:rPr>
                <w:rFonts w:ascii="Times New Roman" w:eastAsia="Times New Roman" w:hAnsi="Times New Roman"/>
                <w:b/>
                <w:bCs/>
                <w:sz w:val="24"/>
                <w:szCs w:val="24"/>
                <w:lang w:val="en-GB" w:eastAsia="ru-RU"/>
              </w:rPr>
            </w:pPr>
            <w:r w:rsidRPr="00832C8D">
              <w:rPr>
                <w:rFonts w:ascii="Times New Roman" w:eastAsia="Times New Roman" w:hAnsi="Times New Roman"/>
                <w:b/>
                <w:bCs/>
                <w:sz w:val="24"/>
                <w:szCs w:val="24"/>
                <w:lang w:val="en-GB" w:eastAsia="ru-RU"/>
              </w:rPr>
              <w:t>Introduction. Historians and source criticism</w:t>
            </w:r>
            <w:r>
              <w:rPr>
                <w:rFonts w:ascii="Times New Roman" w:eastAsia="Times New Roman" w:hAnsi="Times New Roman"/>
                <w:b/>
                <w:bCs/>
                <w:sz w:val="24"/>
                <w:szCs w:val="24"/>
                <w:lang w:val="en-GB" w:eastAsia="ru-RU"/>
              </w:rPr>
              <w:t xml:space="preserve">. </w:t>
            </w:r>
          </w:p>
          <w:p w:rsidR="00281806" w:rsidRPr="00EE6006" w:rsidRDefault="00281806" w:rsidP="00281806">
            <w:pPr>
              <w:spacing w:after="0" w:line="240" w:lineRule="auto"/>
              <w:jc w:val="both"/>
              <w:rPr>
                <w:rFonts w:ascii="Times New Roman" w:eastAsia="Times New Roman" w:hAnsi="Times New Roman"/>
                <w:sz w:val="24"/>
                <w:szCs w:val="24"/>
                <w:lang w:val="en-GB" w:eastAsia="ru-RU"/>
              </w:rPr>
            </w:pPr>
            <w:r w:rsidRPr="00832C8D">
              <w:rPr>
                <w:rFonts w:ascii="Times New Roman" w:eastAsia="Times New Roman" w:hAnsi="Times New Roman"/>
                <w:sz w:val="24"/>
                <w:szCs w:val="24"/>
                <w:lang w:val="en-GB" w:eastAsia="ru-RU"/>
              </w:rPr>
              <w:t>The term ‘sources’ and its understanding by historians. Historians and source criticism from the Renaissance to the 20</w:t>
            </w:r>
            <w:r w:rsidRPr="00832C8D">
              <w:rPr>
                <w:rFonts w:ascii="Times New Roman" w:eastAsia="Times New Roman" w:hAnsi="Times New Roman"/>
                <w:sz w:val="24"/>
                <w:szCs w:val="24"/>
                <w:vertAlign w:val="superscript"/>
                <w:lang w:val="en-GB" w:eastAsia="ru-RU"/>
              </w:rPr>
              <w:t>th</w:t>
            </w:r>
            <w:r w:rsidRPr="00832C8D">
              <w:rPr>
                <w:rFonts w:ascii="Times New Roman" w:eastAsia="Times New Roman" w:hAnsi="Times New Roman"/>
                <w:sz w:val="24"/>
                <w:szCs w:val="24"/>
                <w:lang w:val="en-GB" w:eastAsia="ru-RU"/>
              </w:rPr>
              <w:t xml:space="preserve"> century. </w:t>
            </w:r>
          </w:p>
          <w:p w:rsidR="00281806" w:rsidRPr="00281806" w:rsidRDefault="00281806" w:rsidP="00FC3999">
            <w:pPr>
              <w:pStyle w:val="a0"/>
              <w:numPr>
                <w:ilvl w:val="0"/>
                <w:numId w:val="5"/>
              </w:numPr>
              <w:spacing w:after="0" w:line="240" w:lineRule="auto"/>
              <w:ind w:left="0" w:firstLine="0"/>
              <w:jc w:val="both"/>
              <w:rPr>
                <w:rFonts w:ascii="Times New Roman" w:hAnsi="Times New Roman"/>
                <w:sz w:val="24"/>
                <w:szCs w:val="24"/>
                <w:lang w:val="en-GB"/>
              </w:rPr>
            </w:pPr>
            <w:r w:rsidRPr="00281806">
              <w:rPr>
                <w:rFonts w:ascii="Times New Roman" w:eastAsia="Times New Roman" w:hAnsi="Times New Roman"/>
                <w:b/>
                <w:bCs/>
                <w:sz w:val="24"/>
                <w:szCs w:val="24"/>
                <w:lang w:val="en-GB" w:eastAsia="ru-RU"/>
              </w:rPr>
              <w:t>Archives and archival research</w:t>
            </w:r>
            <w:r w:rsidRPr="00281806">
              <w:rPr>
                <w:rFonts w:ascii="Times New Roman" w:eastAsia="Times New Roman" w:hAnsi="Times New Roman"/>
                <w:b/>
                <w:bCs/>
                <w:sz w:val="24"/>
                <w:szCs w:val="24"/>
                <w:lang w:val="en-GB" w:eastAsia="ru-RU"/>
              </w:rPr>
              <w:br/>
            </w:r>
            <w:r w:rsidRPr="00281806">
              <w:rPr>
                <w:rFonts w:ascii="Times New Roman" w:hAnsi="Times New Roman"/>
                <w:sz w:val="24"/>
                <w:szCs w:val="24"/>
                <w:lang w:val="en-GB"/>
              </w:rPr>
              <w:t xml:space="preserve">Institutions, their documentary record and social memory. The rise of history as an academic discipline and state archives. Political, diplomatic and military history. Institutional records and the decision-making process. Declassifying state documents for political purposes. Bureaucratic culture, political rhetoric and actual policies. </w:t>
            </w:r>
          </w:p>
          <w:p w:rsidR="00281806" w:rsidRPr="00832C8D" w:rsidRDefault="00281806" w:rsidP="00281806">
            <w:pPr>
              <w:spacing w:after="0" w:line="240" w:lineRule="auto"/>
              <w:jc w:val="both"/>
              <w:rPr>
                <w:rFonts w:ascii="Times New Roman" w:hAnsi="Times New Roman"/>
                <w:sz w:val="24"/>
                <w:szCs w:val="24"/>
                <w:lang w:val="en-GB"/>
              </w:rPr>
            </w:pPr>
            <w:r w:rsidRPr="00EE6006">
              <w:rPr>
                <w:rFonts w:ascii="Times New Roman" w:eastAsia="Times New Roman" w:hAnsi="Times New Roman"/>
                <w:b/>
                <w:bCs/>
                <w:sz w:val="24"/>
                <w:szCs w:val="24"/>
                <w:lang w:val="en-GB" w:eastAsia="ru-RU"/>
              </w:rPr>
              <w:t>3. Statistics and opinion polls</w:t>
            </w:r>
            <w:r w:rsidRPr="00EE6006">
              <w:rPr>
                <w:rFonts w:ascii="Times New Roman" w:eastAsia="Times New Roman" w:hAnsi="Times New Roman"/>
                <w:b/>
                <w:bCs/>
                <w:sz w:val="24"/>
                <w:szCs w:val="24"/>
                <w:lang w:val="en-GB" w:eastAsia="ru-RU"/>
              </w:rPr>
              <w:br/>
            </w:r>
            <w:r w:rsidRPr="00832C8D">
              <w:rPr>
                <w:rFonts w:ascii="Times New Roman" w:hAnsi="Times New Roman"/>
                <w:sz w:val="24"/>
                <w:szCs w:val="24"/>
                <w:lang w:val="en-GB"/>
              </w:rPr>
              <w:t>Statistics: Statistics and statecraft in early modern and modern Europe. Descriptive and quantitative statistics. Methods of statistical research. Statistics and the construction of social categories. Opinion polls and the rise of empirical social research in the 20</w:t>
            </w:r>
            <w:r w:rsidRPr="00832C8D">
              <w:rPr>
                <w:rFonts w:ascii="Times New Roman" w:hAnsi="Times New Roman"/>
                <w:sz w:val="24"/>
                <w:szCs w:val="24"/>
                <w:vertAlign w:val="superscript"/>
                <w:lang w:val="en-GB"/>
              </w:rPr>
              <w:t>th</w:t>
            </w:r>
            <w:r w:rsidRPr="00832C8D">
              <w:rPr>
                <w:rFonts w:ascii="Times New Roman" w:hAnsi="Times New Roman"/>
                <w:sz w:val="24"/>
                <w:szCs w:val="24"/>
                <w:lang w:val="en-GB"/>
              </w:rPr>
              <w:t xml:space="preserve"> century. Opinion polls and public opinion: reflecting or influencing? Opinion polls and social norms.</w:t>
            </w:r>
          </w:p>
          <w:p w:rsidR="00281806" w:rsidRPr="00EE6006" w:rsidRDefault="00281806" w:rsidP="00281806">
            <w:pPr>
              <w:spacing w:after="0" w:line="240" w:lineRule="auto"/>
              <w:jc w:val="both"/>
              <w:rPr>
                <w:rFonts w:ascii="Times New Roman" w:eastAsia="Times New Roman" w:hAnsi="Times New Roman"/>
                <w:sz w:val="24"/>
                <w:szCs w:val="24"/>
                <w:lang w:val="en-GB" w:eastAsia="ru-RU"/>
              </w:rPr>
            </w:pPr>
            <w:r w:rsidRPr="00EE6006">
              <w:rPr>
                <w:rFonts w:ascii="Times New Roman" w:eastAsia="Times New Roman" w:hAnsi="Times New Roman"/>
                <w:b/>
                <w:bCs/>
                <w:sz w:val="24"/>
                <w:szCs w:val="24"/>
                <w:lang w:val="en-GB" w:eastAsia="ru-RU"/>
              </w:rPr>
              <w:t>4. Law and court files, surveillance reports</w:t>
            </w:r>
          </w:p>
          <w:p w:rsidR="00281806" w:rsidRPr="00832C8D" w:rsidRDefault="00281806" w:rsidP="00281806">
            <w:pPr>
              <w:spacing w:after="0" w:line="240" w:lineRule="auto"/>
              <w:jc w:val="both"/>
              <w:rPr>
                <w:rFonts w:ascii="Times New Roman" w:hAnsi="Times New Roman"/>
                <w:sz w:val="24"/>
                <w:szCs w:val="24"/>
                <w:lang w:val="en-GB"/>
              </w:rPr>
            </w:pPr>
            <w:r w:rsidRPr="00832C8D">
              <w:rPr>
                <w:rFonts w:ascii="Times New Roman" w:hAnsi="Times New Roman"/>
                <w:sz w:val="24"/>
                <w:szCs w:val="24"/>
                <w:lang w:val="en-GB"/>
              </w:rPr>
              <w:t>Law and its application. Early court files and the inquisition. 20</w:t>
            </w:r>
            <w:r w:rsidRPr="00832C8D">
              <w:rPr>
                <w:rFonts w:ascii="Times New Roman" w:hAnsi="Times New Roman"/>
                <w:sz w:val="24"/>
                <w:szCs w:val="24"/>
                <w:vertAlign w:val="superscript"/>
                <w:lang w:val="en-GB"/>
              </w:rPr>
              <w:t>th</w:t>
            </w:r>
            <w:r w:rsidRPr="00832C8D">
              <w:rPr>
                <w:rFonts w:ascii="Times New Roman" w:hAnsi="Times New Roman"/>
                <w:sz w:val="24"/>
                <w:szCs w:val="24"/>
                <w:lang w:val="en-GB"/>
              </w:rPr>
              <w:t xml:space="preserve"> century historians, popular culture and court files. Grids and filters of investigative procedure: the language of interrogation, the complexity of interaction between oral and written communication, juridical procedures. The dialogic nature of court files. Remission letters: narrative patterns and plots employed to construct a pardonable exception to the rule of law. Surveillance reports and historical perspective on dictatorships: from ‘top-down’ to revisionists approaches. Surveillance reports as the means to assess popular opinion: the picture of dissent confined to personal grievances. Surveillance reports and recent research on the rise of modern ‘national security states’ in the 20</w:t>
            </w:r>
            <w:r w:rsidRPr="00832C8D">
              <w:rPr>
                <w:rFonts w:ascii="Times New Roman" w:hAnsi="Times New Roman"/>
                <w:sz w:val="24"/>
                <w:szCs w:val="24"/>
                <w:vertAlign w:val="superscript"/>
                <w:lang w:val="en-GB"/>
              </w:rPr>
              <w:t>th</w:t>
            </w:r>
            <w:r w:rsidRPr="00832C8D">
              <w:rPr>
                <w:rFonts w:ascii="Times New Roman" w:hAnsi="Times New Roman"/>
                <w:sz w:val="24"/>
                <w:szCs w:val="24"/>
                <w:lang w:val="en-GB"/>
              </w:rPr>
              <w:t xml:space="preserve"> century. Early modern surveillance reports and post-modern deconstruction of the established narrative about the Enlightenment.</w:t>
            </w:r>
          </w:p>
          <w:p w:rsidR="00281806" w:rsidRPr="00832C8D" w:rsidRDefault="00281806" w:rsidP="00281806">
            <w:pPr>
              <w:spacing w:after="0" w:line="240" w:lineRule="auto"/>
              <w:jc w:val="both"/>
              <w:rPr>
                <w:rFonts w:ascii="Times New Roman" w:eastAsia="Times New Roman" w:hAnsi="Times New Roman"/>
                <w:b/>
                <w:bCs/>
                <w:sz w:val="24"/>
                <w:szCs w:val="24"/>
                <w:lang w:val="en-GB" w:eastAsia="ru-RU"/>
              </w:rPr>
            </w:pPr>
            <w:r w:rsidRPr="00EE6006">
              <w:rPr>
                <w:rFonts w:ascii="Times New Roman" w:eastAsia="Times New Roman" w:hAnsi="Times New Roman"/>
                <w:sz w:val="24"/>
                <w:szCs w:val="24"/>
                <w:lang w:val="en-GB" w:eastAsia="ru-RU"/>
              </w:rPr>
              <w:t> 5</w:t>
            </w:r>
            <w:r w:rsidRPr="00EE6006">
              <w:rPr>
                <w:rFonts w:ascii="Times New Roman" w:eastAsia="Times New Roman" w:hAnsi="Times New Roman"/>
                <w:b/>
                <w:bCs/>
                <w:sz w:val="24"/>
                <w:szCs w:val="24"/>
                <w:lang w:val="en-GB" w:eastAsia="ru-RU"/>
              </w:rPr>
              <w:t>. Diaries, letters, memoirs</w:t>
            </w:r>
          </w:p>
          <w:p w:rsidR="00281806" w:rsidRPr="00832C8D" w:rsidRDefault="00281806" w:rsidP="00281806">
            <w:pPr>
              <w:spacing w:after="0" w:line="240" w:lineRule="auto"/>
              <w:jc w:val="both"/>
              <w:rPr>
                <w:rFonts w:ascii="Times New Roman" w:hAnsi="Times New Roman"/>
                <w:sz w:val="24"/>
                <w:szCs w:val="24"/>
                <w:lang w:val="en-GB"/>
              </w:rPr>
            </w:pPr>
            <w:r w:rsidRPr="00832C8D">
              <w:rPr>
                <w:rFonts w:ascii="Times New Roman" w:hAnsi="Times New Roman"/>
                <w:sz w:val="24"/>
                <w:szCs w:val="24"/>
                <w:lang w:val="en-GB"/>
              </w:rPr>
              <w:t xml:space="preserve">Letters and diaries of great men as sources for political and intellectual history. Ordinary letters and social historians. Diaries and autobiographies: the birth of the genre and modern self-reflexivity. Gender roles and </w:t>
            </w:r>
            <w:r w:rsidRPr="00832C8D">
              <w:rPr>
                <w:rFonts w:ascii="Times New Roman" w:hAnsi="Times New Roman"/>
                <w:sz w:val="24"/>
                <w:szCs w:val="24"/>
                <w:lang w:val="en-GB"/>
              </w:rPr>
              <w:lastRenderedPageBreak/>
              <w:t>different diary cultures. Self-writing, experiences and emotions. Letters, diaries and identity-construction. The meaning of correspondence networks. Letter-writing manuals and censorship. Published diaries and editorial practices. Public letters, letters to newspapers and the acquisition of political literacy.</w:t>
            </w:r>
          </w:p>
          <w:p w:rsidR="00281806" w:rsidRPr="00832C8D" w:rsidRDefault="00281806" w:rsidP="00281806">
            <w:pPr>
              <w:spacing w:after="0" w:line="240" w:lineRule="auto"/>
              <w:jc w:val="both"/>
              <w:rPr>
                <w:rFonts w:ascii="Times New Roman" w:eastAsia="Times New Roman" w:hAnsi="Times New Roman"/>
                <w:b/>
                <w:bCs/>
                <w:sz w:val="24"/>
                <w:szCs w:val="24"/>
                <w:lang w:val="en-GB" w:eastAsia="ru-RU"/>
              </w:rPr>
            </w:pPr>
            <w:r w:rsidRPr="00EE6006">
              <w:rPr>
                <w:rFonts w:ascii="Times New Roman" w:eastAsia="Times New Roman" w:hAnsi="Times New Roman"/>
                <w:sz w:val="24"/>
                <w:szCs w:val="24"/>
                <w:lang w:val="en-GB" w:eastAsia="ru-RU"/>
              </w:rPr>
              <w:t> 6</w:t>
            </w:r>
            <w:r w:rsidRPr="00EE6006">
              <w:rPr>
                <w:rFonts w:ascii="Times New Roman" w:eastAsia="Times New Roman" w:hAnsi="Times New Roman"/>
                <w:b/>
                <w:bCs/>
                <w:sz w:val="24"/>
                <w:szCs w:val="24"/>
                <w:lang w:val="en-GB" w:eastAsia="ru-RU"/>
              </w:rPr>
              <w:t>.  Fiction and journalism</w:t>
            </w:r>
          </w:p>
          <w:p w:rsidR="00281806" w:rsidRPr="00832C8D" w:rsidRDefault="00281806" w:rsidP="00281806">
            <w:pPr>
              <w:spacing w:after="0" w:line="240" w:lineRule="auto"/>
              <w:jc w:val="both"/>
              <w:rPr>
                <w:rFonts w:ascii="Times New Roman" w:hAnsi="Times New Roman"/>
                <w:sz w:val="24"/>
                <w:szCs w:val="24"/>
                <w:lang w:val="en-GB"/>
              </w:rPr>
            </w:pPr>
            <w:r w:rsidRPr="00832C8D">
              <w:rPr>
                <w:rFonts w:ascii="Times New Roman" w:eastAsia="Times New Roman" w:hAnsi="Times New Roman"/>
                <w:sz w:val="24"/>
                <w:szCs w:val="24"/>
                <w:lang w:val="en-GB" w:eastAsia="ru-RU"/>
              </w:rPr>
              <w:t>Journalism – recording or structuring reality? Production and consumption of news: their format, content and institutional history. The speed of news. Nineteenth</w:t>
            </w:r>
            <w:r w:rsidRPr="00832C8D">
              <w:rPr>
                <w:rFonts w:ascii="Times New Roman" w:hAnsi="Times New Roman"/>
                <w:sz w:val="24"/>
                <w:szCs w:val="24"/>
                <w:lang w:val="en-GB"/>
              </w:rPr>
              <w:t xml:space="preserve"> century novels: realism and objectivity. History of the book, reading practices and intertextuality. Popular and mass literature. Literary criticism in the twentieth century: structuralism and its refusal to examine historical context. Post-structuralism and new cultural history.</w:t>
            </w:r>
          </w:p>
          <w:p w:rsidR="00281806" w:rsidRPr="00832C8D" w:rsidRDefault="00281806" w:rsidP="00281806">
            <w:pPr>
              <w:spacing w:after="0" w:line="240" w:lineRule="auto"/>
              <w:jc w:val="both"/>
              <w:rPr>
                <w:rFonts w:ascii="Times New Roman" w:eastAsia="Times New Roman" w:hAnsi="Times New Roman"/>
                <w:b/>
                <w:bCs/>
                <w:sz w:val="24"/>
                <w:szCs w:val="24"/>
                <w:lang w:val="en-GB" w:eastAsia="ru-RU"/>
              </w:rPr>
            </w:pPr>
            <w:r w:rsidRPr="00EE6006">
              <w:rPr>
                <w:rFonts w:ascii="Times New Roman" w:eastAsia="Times New Roman" w:hAnsi="Times New Roman"/>
                <w:sz w:val="24"/>
                <w:szCs w:val="24"/>
                <w:lang w:val="en-GB" w:eastAsia="ru-RU"/>
              </w:rPr>
              <w:t> 7</w:t>
            </w:r>
            <w:r w:rsidRPr="00EE6006">
              <w:rPr>
                <w:rFonts w:ascii="Times New Roman" w:eastAsia="Times New Roman" w:hAnsi="Times New Roman"/>
                <w:b/>
                <w:bCs/>
                <w:sz w:val="24"/>
                <w:szCs w:val="24"/>
                <w:lang w:val="en-GB" w:eastAsia="ru-RU"/>
              </w:rPr>
              <w:t>. Oral history</w:t>
            </w:r>
          </w:p>
          <w:p w:rsidR="00281806" w:rsidRPr="00832C8D" w:rsidRDefault="00281806" w:rsidP="00281806">
            <w:pPr>
              <w:spacing w:after="0" w:line="240" w:lineRule="auto"/>
              <w:jc w:val="both"/>
              <w:rPr>
                <w:rFonts w:ascii="Times New Roman" w:hAnsi="Times New Roman"/>
                <w:sz w:val="24"/>
                <w:szCs w:val="24"/>
                <w:lang w:val="en-GB"/>
              </w:rPr>
            </w:pPr>
            <w:r w:rsidRPr="00832C8D">
              <w:rPr>
                <w:rFonts w:ascii="Times New Roman" w:hAnsi="Times New Roman"/>
                <w:sz w:val="24"/>
                <w:szCs w:val="24"/>
                <w:lang w:val="en-GB"/>
              </w:rPr>
              <w:t xml:space="preserve">Historians and oral narratives. The rise of oral history in the US and Europe after WWII. The question of reliability of oral sources and the historians’ interest in collective memory in the 1980s. Interview method: the role of the scholar, the context of an interview. Interviews and intertextuality. Publishing oral sources. Oral history databases. </w:t>
            </w:r>
          </w:p>
          <w:p w:rsidR="00281806" w:rsidRPr="00832C8D" w:rsidRDefault="00281806" w:rsidP="00281806">
            <w:pPr>
              <w:spacing w:after="0" w:line="240" w:lineRule="auto"/>
              <w:jc w:val="both"/>
              <w:rPr>
                <w:rFonts w:ascii="Times New Roman" w:eastAsia="Times New Roman" w:hAnsi="Times New Roman"/>
                <w:b/>
                <w:bCs/>
                <w:sz w:val="24"/>
                <w:szCs w:val="24"/>
                <w:lang w:val="en-GB" w:eastAsia="ru-RU"/>
              </w:rPr>
            </w:pPr>
            <w:r w:rsidRPr="00EE6006">
              <w:rPr>
                <w:rFonts w:ascii="Times New Roman" w:eastAsia="Times New Roman" w:hAnsi="Times New Roman"/>
                <w:sz w:val="24"/>
                <w:szCs w:val="24"/>
                <w:lang w:val="en-GB" w:eastAsia="ru-RU"/>
              </w:rPr>
              <w:t> 8</w:t>
            </w:r>
            <w:r w:rsidRPr="00EE6006">
              <w:rPr>
                <w:rFonts w:ascii="Times New Roman" w:eastAsia="Times New Roman" w:hAnsi="Times New Roman"/>
                <w:b/>
                <w:bCs/>
                <w:sz w:val="24"/>
                <w:szCs w:val="24"/>
                <w:lang w:val="en-GB" w:eastAsia="ru-RU"/>
              </w:rPr>
              <w:t>.  Visual arts, photography and film</w:t>
            </w:r>
          </w:p>
          <w:p w:rsidR="00281806" w:rsidRPr="00832C8D" w:rsidRDefault="00281806" w:rsidP="00281806">
            <w:pPr>
              <w:spacing w:after="0" w:line="240" w:lineRule="auto"/>
              <w:jc w:val="both"/>
              <w:rPr>
                <w:rFonts w:ascii="Times New Roman" w:hAnsi="Times New Roman"/>
                <w:sz w:val="24"/>
                <w:szCs w:val="24"/>
                <w:lang w:val="en-GB"/>
              </w:rPr>
            </w:pPr>
            <w:r w:rsidRPr="00832C8D">
              <w:rPr>
                <w:rFonts w:ascii="Times New Roman" w:hAnsi="Times New Roman"/>
                <w:sz w:val="24"/>
                <w:szCs w:val="24"/>
                <w:lang w:val="en-GB"/>
              </w:rPr>
              <w:t>Functions of art images in historical research. History of art and general history. Photography, its history, the advancement of technology and its social functions. Photographic image – a direct witness?</w:t>
            </w:r>
          </w:p>
          <w:p w:rsidR="00281806" w:rsidRPr="00832C8D" w:rsidRDefault="00281806" w:rsidP="00281806">
            <w:pPr>
              <w:spacing w:after="0" w:line="240" w:lineRule="auto"/>
              <w:jc w:val="both"/>
              <w:rPr>
                <w:rFonts w:ascii="Times New Roman" w:eastAsia="Times New Roman" w:hAnsi="Times New Roman"/>
                <w:b/>
                <w:bCs/>
                <w:sz w:val="24"/>
                <w:szCs w:val="24"/>
                <w:lang w:val="en-GB" w:eastAsia="ru-RU"/>
              </w:rPr>
            </w:pPr>
            <w:r w:rsidRPr="00EE6006">
              <w:rPr>
                <w:rFonts w:ascii="Times New Roman" w:eastAsia="Times New Roman" w:hAnsi="Times New Roman"/>
                <w:sz w:val="24"/>
                <w:szCs w:val="24"/>
                <w:lang w:val="en-GB" w:eastAsia="ru-RU"/>
              </w:rPr>
              <w:t> 9</w:t>
            </w:r>
            <w:r w:rsidRPr="00EE6006">
              <w:rPr>
                <w:rFonts w:ascii="Times New Roman" w:eastAsia="Times New Roman" w:hAnsi="Times New Roman"/>
                <w:b/>
                <w:bCs/>
                <w:sz w:val="24"/>
                <w:szCs w:val="24"/>
                <w:lang w:val="en-GB" w:eastAsia="ru-RU"/>
              </w:rPr>
              <w:t>. Maps</w:t>
            </w:r>
          </w:p>
          <w:p w:rsidR="00281806" w:rsidRPr="00832C8D" w:rsidRDefault="00281806" w:rsidP="00281806">
            <w:pPr>
              <w:spacing w:after="0" w:line="240" w:lineRule="auto"/>
              <w:jc w:val="both"/>
              <w:rPr>
                <w:rFonts w:ascii="Times New Roman" w:hAnsi="Times New Roman"/>
                <w:sz w:val="24"/>
                <w:szCs w:val="24"/>
                <w:lang w:val="en-GB"/>
              </w:rPr>
            </w:pPr>
            <w:r w:rsidRPr="00832C8D">
              <w:rPr>
                <w:rFonts w:ascii="Times New Roman" w:hAnsi="Times New Roman"/>
                <w:sz w:val="24"/>
                <w:szCs w:val="24"/>
                <w:lang w:val="en-GB"/>
              </w:rPr>
              <w:t>Maps, location and spatial pattern. Cartography and state-making in historical perspective. Mapping and selection of content. Map scales and perspectives. Language and cartographic communication. Cartographic sources and map compilation. Maps as a tool of persuasion in science and public affairs. Maps and geopolitics.</w:t>
            </w:r>
          </w:p>
          <w:p w:rsidR="00281806" w:rsidRPr="00EE6006" w:rsidRDefault="00281806" w:rsidP="00281806">
            <w:pPr>
              <w:spacing w:after="0" w:line="240" w:lineRule="auto"/>
              <w:jc w:val="both"/>
              <w:rPr>
                <w:rFonts w:ascii="Times New Roman" w:eastAsia="Times New Roman" w:hAnsi="Times New Roman"/>
                <w:sz w:val="24"/>
                <w:szCs w:val="24"/>
                <w:lang w:val="en-GB" w:eastAsia="ru-RU"/>
              </w:rPr>
            </w:pPr>
            <w:r w:rsidRPr="00EE6006">
              <w:rPr>
                <w:rFonts w:ascii="Times New Roman" w:eastAsia="Times New Roman" w:hAnsi="Times New Roman"/>
                <w:sz w:val="24"/>
                <w:szCs w:val="24"/>
                <w:lang w:val="en-GB" w:eastAsia="ru-RU"/>
              </w:rPr>
              <w:t> 10</w:t>
            </w:r>
            <w:r w:rsidRPr="00EE6006">
              <w:rPr>
                <w:rFonts w:ascii="Times New Roman" w:eastAsia="Times New Roman" w:hAnsi="Times New Roman"/>
                <w:b/>
                <w:bCs/>
                <w:sz w:val="24"/>
                <w:szCs w:val="24"/>
                <w:lang w:val="en-GB" w:eastAsia="ru-RU"/>
              </w:rPr>
              <w:t>. On-line databases for historical research</w:t>
            </w:r>
          </w:p>
          <w:p w:rsidR="00281806" w:rsidRPr="00EE6006" w:rsidRDefault="00281806" w:rsidP="00281806">
            <w:pPr>
              <w:spacing w:after="0" w:line="240" w:lineRule="auto"/>
              <w:jc w:val="both"/>
              <w:rPr>
                <w:rFonts w:ascii="Times New Roman" w:eastAsia="Times New Roman" w:hAnsi="Times New Roman"/>
                <w:sz w:val="24"/>
                <w:szCs w:val="24"/>
                <w:lang w:val="en-GB" w:eastAsia="ru-RU"/>
              </w:rPr>
            </w:pPr>
            <w:r w:rsidRPr="00EE6006">
              <w:rPr>
                <w:rFonts w:ascii="Times New Roman" w:eastAsia="Times New Roman" w:hAnsi="Times New Roman"/>
                <w:sz w:val="24"/>
                <w:szCs w:val="24"/>
                <w:lang w:val="en-GB" w:eastAsia="ru-RU"/>
              </w:rPr>
              <w:t>Seminar only – team presentations</w:t>
            </w:r>
          </w:p>
          <w:p w:rsidR="00613DCA" w:rsidRPr="00281806" w:rsidRDefault="00613DCA">
            <w:pPr>
              <w:spacing w:after="0" w:line="240" w:lineRule="auto"/>
              <w:rPr>
                <w:rFonts w:ascii="Times New Roman" w:eastAsiaTheme="minorHAnsi" w:hAnsi="Times New Roman"/>
                <w:sz w:val="24"/>
                <w:szCs w:val="24"/>
                <w:lang w:val="en-GB"/>
              </w:rPr>
            </w:pPr>
          </w:p>
        </w:tc>
      </w:tr>
      <w:tr w:rsidR="00C42A27" w:rsidRPr="001504D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281806" w:rsidP="00281806">
            <w:pPr>
              <w:spacing w:after="0" w:line="240" w:lineRule="auto"/>
              <w:rPr>
                <w:rFonts w:ascii="Times New Roman" w:eastAsiaTheme="minorHAnsi" w:hAnsi="Times New Roman"/>
                <w:sz w:val="24"/>
                <w:szCs w:val="24"/>
                <w:lang w:val="en-US"/>
              </w:rPr>
            </w:pPr>
            <w:r w:rsidRPr="00832C8D">
              <w:rPr>
                <w:rFonts w:ascii="Times New Roman" w:eastAsia="Times New Roman" w:hAnsi="Times New Roman"/>
                <w:sz w:val="24"/>
                <w:szCs w:val="24"/>
                <w:lang w:val="en-GB"/>
              </w:rPr>
              <w:t xml:space="preserve">The course will consist of </w:t>
            </w:r>
            <w:r w:rsidRPr="00832C8D">
              <w:rPr>
                <w:rFonts w:ascii="Times New Roman" w:hAnsi="Times New Roman"/>
                <w:sz w:val="24"/>
                <w:szCs w:val="24"/>
                <w:lang w:val="en-GB"/>
              </w:rPr>
              <w:t>10 lectures (20 academic hours) and 9 seminars (18 hours). The s</w:t>
            </w:r>
            <w:r w:rsidRPr="00832C8D">
              <w:rPr>
                <w:rFonts w:ascii="Times New Roman" w:eastAsia="Times New Roman" w:hAnsi="Times New Roman"/>
                <w:sz w:val="24"/>
                <w:szCs w:val="24"/>
                <w:lang w:val="en-GB"/>
              </w:rPr>
              <w:t xml:space="preserve">eminars will focus on group discussions of the assigned readings. Below you will find the list of topics (“course schedule”) that we will examine in our course. Each topic corresponds to a lecture and a seminar, with the exception of the very last topic when we will have only a seminar. The list contains the required readings for each seminar. At the same time, the students will be requested to sign up for the course ‘The modern world, part 1: global history from1760 to 1910’ by University of Virginia at Coursera </w:t>
            </w:r>
            <w:hyperlink r:id="rId8" w:history="1">
              <w:r w:rsidRPr="00832C8D">
                <w:rPr>
                  <w:rStyle w:val="aa"/>
                  <w:rFonts w:ascii="Times New Roman" w:eastAsia="Times New Roman" w:hAnsi="Times New Roman"/>
                  <w:sz w:val="24"/>
                  <w:szCs w:val="24"/>
                  <w:lang w:val="en-GB"/>
                </w:rPr>
                <w:t>https://www.coursera.org/learn/modern-world</w:t>
              </w:r>
            </w:hyperlink>
            <w:r w:rsidRPr="00832C8D">
              <w:rPr>
                <w:rFonts w:ascii="Times New Roman" w:eastAsia="Times New Roman" w:hAnsi="Times New Roman"/>
                <w:sz w:val="24"/>
                <w:szCs w:val="24"/>
                <w:lang w:val="en-GB"/>
              </w:rPr>
              <w:t xml:space="preserve"> (no need to pay the fees, as the students are not requested to produce certificates for the course). They will listen to on-line lectures and then will have to pass an oral exam </w:t>
            </w:r>
            <w:proofErr w:type="gramStart"/>
            <w:r w:rsidRPr="00832C8D">
              <w:rPr>
                <w:rFonts w:ascii="Times New Roman" w:eastAsia="Times New Roman" w:hAnsi="Times New Roman"/>
                <w:sz w:val="24"/>
                <w:szCs w:val="24"/>
                <w:lang w:val="en-GB"/>
              </w:rPr>
              <w:t>on the basis of</w:t>
            </w:r>
            <w:proofErr w:type="gramEnd"/>
            <w:r w:rsidRPr="00832C8D">
              <w:rPr>
                <w:rFonts w:ascii="Times New Roman" w:eastAsia="Times New Roman" w:hAnsi="Times New Roman"/>
                <w:sz w:val="24"/>
                <w:szCs w:val="24"/>
                <w:lang w:val="en-GB"/>
              </w:rPr>
              <w:t xml:space="preserve"> this on-line course.</w:t>
            </w:r>
          </w:p>
        </w:tc>
      </w:tr>
      <w:tr w:rsidR="00C42A27" w:rsidRPr="00DE1C6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1806" w:rsidRPr="00832C8D" w:rsidRDefault="00281806" w:rsidP="00281806">
            <w:pPr>
              <w:spacing w:after="0" w:line="240" w:lineRule="auto"/>
              <w:jc w:val="both"/>
              <w:rPr>
                <w:rFonts w:ascii="Times New Roman" w:eastAsia="Times New Roman" w:hAnsi="Times New Roman"/>
                <w:sz w:val="24"/>
                <w:szCs w:val="24"/>
                <w:lang w:val="en-GB"/>
              </w:rPr>
            </w:pPr>
            <w:r w:rsidRPr="00832C8D">
              <w:rPr>
                <w:rFonts w:ascii="Times New Roman" w:eastAsia="Times New Roman" w:hAnsi="Times New Roman"/>
                <w:sz w:val="24"/>
                <w:szCs w:val="24"/>
                <w:lang w:val="en-GB"/>
              </w:rPr>
              <w:t xml:space="preserve">Students are expected to attend all </w:t>
            </w:r>
            <w:r w:rsidRPr="00832C8D">
              <w:rPr>
                <w:rFonts w:ascii="Times New Roman" w:eastAsia="Times New Roman" w:hAnsi="Times New Roman"/>
                <w:b/>
                <w:i/>
                <w:sz w:val="24"/>
                <w:szCs w:val="24"/>
                <w:lang w:val="en-GB"/>
              </w:rPr>
              <w:t>seminars</w:t>
            </w:r>
            <w:r w:rsidRPr="00832C8D">
              <w:rPr>
                <w:rFonts w:ascii="Times New Roman" w:eastAsia="Times New Roman" w:hAnsi="Times New Roman"/>
                <w:sz w:val="24"/>
                <w:szCs w:val="24"/>
                <w:lang w:val="en-GB"/>
              </w:rPr>
              <w:t>, to do all the required readings, and to participate actively in the seminar discussion. Participation in seminars gives 32% of the final grade.</w:t>
            </w:r>
          </w:p>
          <w:p w:rsidR="00281806" w:rsidRPr="00832C8D" w:rsidRDefault="00281806" w:rsidP="00281806">
            <w:pPr>
              <w:spacing w:after="0" w:line="240" w:lineRule="auto"/>
              <w:jc w:val="both"/>
              <w:rPr>
                <w:rFonts w:ascii="Times New Roman" w:eastAsia="Times New Roman" w:hAnsi="Times New Roman"/>
                <w:sz w:val="24"/>
                <w:szCs w:val="24"/>
                <w:lang w:val="en-GB"/>
              </w:rPr>
            </w:pPr>
            <w:r w:rsidRPr="00832C8D">
              <w:rPr>
                <w:rFonts w:ascii="Times New Roman" w:eastAsia="Times New Roman" w:hAnsi="Times New Roman"/>
                <w:sz w:val="24"/>
                <w:szCs w:val="24"/>
                <w:lang w:val="en-GB"/>
              </w:rPr>
              <w:t xml:space="preserve">For the final seminar students will have to give </w:t>
            </w:r>
            <w:r w:rsidRPr="00832C8D">
              <w:rPr>
                <w:rFonts w:ascii="Times New Roman" w:eastAsia="Times New Roman" w:hAnsi="Times New Roman"/>
                <w:b/>
                <w:i/>
                <w:sz w:val="24"/>
                <w:szCs w:val="24"/>
                <w:lang w:val="en-GB"/>
              </w:rPr>
              <w:t>team presentations</w:t>
            </w:r>
            <w:r w:rsidRPr="00832C8D">
              <w:rPr>
                <w:rFonts w:ascii="Times New Roman" w:eastAsia="Times New Roman" w:hAnsi="Times New Roman"/>
                <w:sz w:val="24"/>
                <w:szCs w:val="24"/>
                <w:lang w:val="en-GB"/>
              </w:rPr>
              <w:t xml:space="preserve"> on internet resources for historians: students will split into teams (3-5 students for a team depending on the number of students who sign up for the class), and each team will prepare an oral presentation (10-15 minutes in length) </w:t>
            </w:r>
            <w:r w:rsidRPr="00832C8D">
              <w:rPr>
                <w:rFonts w:ascii="Times New Roman" w:eastAsia="Times New Roman" w:hAnsi="Times New Roman"/>
                <w:sz w:val="24"/>
                <w:szCs w:val="24"/>
                <w:lang w:val="en-GB"/>
              </w:rPr>
              <w:lastRenderedPageBreak/>
              <w:t>on one of on-line information resources or databases of their choice. All students in a team get the same grade. 8% of the final grade.</w:t>
            </w:r>
          </w:p>
          <w:p w:rsidR="00281806" w:rsidRPr="00832C8D" w:rsidRDefault="00281806" w:rsidP="00281806">
            <w:pPr>
              <w:spacing w:after="0" w:line="240" w:lineRule="auto"/>
              <w:jc w:val="both"/>
              <w:rPr>
                <w:rFonts w:ascii="Times New Roman" w:eastAsia="Times New Roman" w:hAnsi="Times New Roman"/>
                <w:sz w:val="24"/>
                <w:szCs w:val="24"/>
                <w:lang w:val="en-GB"/>
              </w:rPr>
            </w:pPr>
            <w:r w:rsidRPr="00832C8D">
              <w:rPr>
                <w:rFonts w:ascii="Times New Roman" w:eastAsia="Times New Roman" w:hAnsi="Times New Roman"/>
                <w:b/>
                <w:i/>
                <w:sz w:val="24"/>
                <w:szCs w:val="24"/>
                <w:lang w:val="en-GB"/>
              </w:rPr>
              <w:t xml:space="preserve">An essay </w:t>
            </w:r>
            <w:r w:rsidRPr="00832C8D">
              <w:rPr>
                <w:rFonts w:ascii="Times New Roman" w:eastAsia="Times New Roman" w:hAnsi="Times New Roman"/>
                <w:sz w:val="24"/>
                <w:szCs w:val="24"/>
                <w:lang w:val="en-GB"/>
              </w:rPr>
              <w:t xml:space="preserve">will consist of a research paper (1,500–2000 words) that provide a critical analysis of the sources used by a few selected historians who explore a common issue (e.g. they work on the history of emotions in early modern </w:t>
            </w:r>
            <w:proofErr w:type="gramStart"/>
            <w:r w:rsidRPr="00832C8D">
              <w:rPr>
                <w:rFonts w:ascii="Times New Roman" w:eastAsia="Times New Roman" w:hAnsi="Times New Roman"/>
                <w:sz w:val="24"/>
                <w:szCs w:val="24"/>
                <w:lang w:val="en-GB"/>
              </w:rPr>
              <w:t>Europe, or</w:t>
            </w:r>
            <w:proofErr w:type="gramEnd"/>
            <w:r w:rsidRPr="00832C8D">
              <w:rPr>
                <w:rFonts w:ascii="Times New Roman" w:eastAsia="Times New Roman" w:hAnsi="Times New Roman"/>
                <w:sz w:val="24"/>
                <w:szCs w:val="24"/>
                <w:lang w:val="en-GB"/>
              </w:rPr>
              <w:t xml:space="preserve"> explore the making of the Soviet ‘subjectivity’ in the 1920s-1930s). The paper should not only include general information on the sources itself (details of their publication history, if published, references to archival holdings, etc.) but also examine the ways in which these historians have already been using these sources. In the exam paper students should also reflect on various methodologies and interpretative strategies that can potentially be applied to </w:t>
            </w:r>
            <w:proofErr w:type="gramStart"/>
            <w:r w:rsidRPr="00832C8D">
              <w:rPr>
                <w:rFonts w:ascii="Times New Roman" w:eastAsia="Times New Roman" w:hAnsi="Times New Roman"/>
                <w:sz w:val="24"/>
                <w:szCs w:val="24"/>
                <w:lang w:val="en-GB"/>
              </w:rPr>
              <w:t>this particular type of primary sources</w:t>
            </w:r>
            <w:proofErr w:type="gramEnd"/>
            <w:r w:rsidRPr="00832C8D">
              <w:rPr>
                <w:rFonts w:ascii="Times New Roman" w:eastAsia="Times New Roman" w:hAnsi="Times New Roman"/>
                <w:sz w:val="24"/>
                <w:szCs w:val="24"/>
                <w:lang w:val="en-GB"/>
              </w:rPr>
              <w:t>. The paper should include appropriate bibliographic references and a list of literature. 40% of the final grade.</w:t>
            </w:r>
          </w:p>
          <w:p w:rsidR="00C42A27" w:rsidRDefault="00281806" w:rsidP="00281806">
            <w:pPr>
              <w:spacing w:after="0" w:line="240" w:lineRule="auto"/>
              <w:rPr>
                <w:rFonts w:ascii="Times New Roman" w:eastAsiaTheme="minorHAnsi" w:hAnsi="Times New Roman"/>
                <w:sz w:val="24"/>
                <w:szCs w:val="24"/>
                <w:lang w:val="en-US"/>
              </w:rPr>
            </w:pPr>
            <w:r w:rsidRPr="00832C8D">
              <w:rPr>
                <w:rFonts w:ascii="Times New Roman" w:eastAsia="Times New Roman" w:hAnsi="Times New Roman"/>
                <w:b/>
                <w:i/>
                <w:sz w:val="24"/>
                <w:szCs w:val="24"/>
                <w:lang w:val="en-GB"/>
              </w:rPr>
              <w:t>An oral exam</w:t>
            </w:r>
            <w:r w:rsidRPr="00832C8D">
              <w:rPr>
                <w:rFonts w:ascii="Times New Roman" w:eastAsia="Times New Roman" w:hAnsi="Times New Roman"/>
                <w:sz w:val="24"/>
                <w:szCs w:val="24"/>
                <w:lang w:val="en-GB"/>
              </w:rPr>
              <w:t xml:space="preserve"> will focus on the topics covered by the on-line course ‘The modern world, part 1: global history from1760 to 1910’. 20% of the final grade.</w:t>
            </w:r>
          </w:p>
        </w:tc>
      </w:tr>
      <w:tr w:rsidR="00C42A27" w:rsidRPr="001504D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r w:rsidR="00F31F02">
              <w:rPr>
                <w:rStyle w:val="a6"/>
                <w:rFonts w:ascii="Times New Roman" w:eastAsiaTheme="minorHAnsi" w:hAnsi="Times New Roman"/>
                <w:sz w:val="24"/>
                <w:szCs w:val="24"/>
                <w:lang w:val="en-US"/>
              </w:rPr>
              <w:footnoteReference w:id="3"/>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281806" w:rsidRPr="00FA67F7" w:rsidRDefault="00281806" w:rsidP="00281806">
            <w:pPr>
              <w:spacing w:after="0" w:line="240" w:lineRule="auto"/>
              <w:rPr>
                <w:rFonts w:ascii="Times New Roman" w:eastAsiaTheme="minorHAnsi" w:hAnsi="Times New Roman"/>
                <w:sz w:val="24"/>
                <w:szCs w:val="24"/>
                <w:u w:val="single"/>
                <w:lang w:val="en-GB"/>
              </w:rPr>
            </w:pPr>
            <w:r w:rsidRPr="00FA67F7">
              <w:rPr>
                <w:lang w:val="en-GB"/>
              </w:rPr>
              <w:t xml:space="preserve">Knight, Abigail, et al. “Re-Using Community Oral History Sources on Food and Family Life in the First World War.” </w:t>
            </w:r>
            <w:r w:rsidRPr="00FA67F7">
              <w:rPr>
                <w:i/>
                <w:iCs/>
                <w:lang w:val="en-GB"/>
              </w:rPr>
              <w:t>Oral History</w:t>
            </w:r>
            <w:r w:rsidRPr="00FA67F7">
              <w:rPr>
                <w:lang w:val="en-GB"/>
              </w:rPr>
              <w:t xml:space="preserve">, vol. 43, no. 1, 2015, pp. 63–72. </w:t>
            </w:r>
            <w:r w:rsidRPr="00FA67F7">
              <w:rPr>
                <w:i/>
                <w:iCs/>
                <w:lang w:val="en-GB"/>
              </w:rPr>
              <w:t>JSTOR</w:t>
            </w:r>
            <w:r w:rsidRPr="00FA67F7">
              <w:rPr>
                <w:lang w:val="en-GB"/>
              </w:rPr>
              <w:t>, www.jstor.org/stable/24345922.</w:t>
            </w:r>
          </w:p>
          <w:p w:rsidR="00281806" w:rsidRDefault="00281806" w:rsidP="00281806">
            <w:pPr>
              <w:spacing w:after="0" w:line="240" w:lineRule="auto"/>
              <w:rPr>
                <w:rFonts w:ascii="Times New Roman" w:eastAsiaTheme="minorHAnsi" w:hAnsi="Times New Roman"/>
                <w:sz w:val="24"/>
                <w:szCs w:val="24"/>
                <w:u w:val="single"/>
                <w:lang w:val="en-US"/>
              </w:rPr>
            </w:pPr>
          </w:p>
          <w:p w:rsidR="00281806" w:rsidRPr="00EE7913" w:rsidRDefault="00281806" w:rsidP="00281806">
            <w:pPr>
              <w:spacing w:after="0" w:line="240" w:lineRule="auto"/>
              <w:rPr>
                <w:lang w:val="en-GB"/>
              </w:rPr>
            </w:pPr>
            <w:r w:rsidRPr="00FA67F7">
              <w:rPr>
                <w:lang w:val="en-GB"/>
              </w:rPr>
              <w:t xml:space="preserve">Classen, Christoph, et al. “Towards Web History: Sources, Methods, and Challenges in the Digital Age. </w:t>
            </w:r>
            <w:r w:rsidRPr="00EE7913">
              <w:rPr>
                <w:lang w:val="en-GB"/>
              </w:rPr>
              <w:t xml:space="preserve">An Introduction.” </w:t>
            </w:r>
            <w:r w:rsidRPr="00EE7913">
              <w:rPr>
                <w:i/>
                <w:iCs/>
                <w:lang w:val="en-GB"/>
              </w:rPr>
              <w:t xml:space="preserve">Historical Social Research / </w:t>
            </w:r>
            <w:proofErr w:type="spellStart"/>
            <w:r w:rsidRPr="00EE7913">
              <w:rPr>
                <w:i/>
                <w:iCs/>
                <w:lang w:val="en-GB"/>
              </w:rPr>
              <w:t>Historische</w:t>
            </w:r>
            <w:proofErr w:type="spellEnd"/>
            <w:r w:rsidRPr="00EE7913">
              <w:rPr>
                <w:i/>
                <w:iCs/>
                <w:lang w:val="en-GB"/>
              </w:rPr>
              <w:t xml:space="preserve"> </w:t>
            </w:r>
            <w:proofErr w:type="spellStart"/>
            <w:r w:rsidRPr="00EE7913">
              <w:rPr>
                <w:i/>
                <w:iCs/>
                <w:lang w:val="en-GB"/>
              </w:rPr>
              <w:t>Sozialforschung</w:t>
            </w:r>
            <w:proofErr w:type="spellEnd"/>
            <w:r w:rsidRPr="00EE7913">
              <w:rPr>
                <w:lang w:val="en-GB"/>
              </w:rPr>
              <w:t xml:space="preserve">, vol. 37, no. 4 (142), 2012, pp. 97–101. </w:t>
            </w:r>
            <w:r w:rsidRPr="00EE7913">
              <w:rPr>
                <w:i/>
                <w:iCs/>
                <w:lang w:val="en-GB"/>
              </w:rPr>
              <w:t>JSTOR</w:t>
            </w:r>
            <w:r w:rsidRPr="00EE7913">
              <w:rPr>
                <w:lang w:val="en-GB"/>
              </w:rPr>
              <w:t xml:space="preserve">, </w:t>
            </w:r>
            <w:hyperlink r:id="rId9" w:history="1">
              <w:r w:rsidRPr="00EE7913">
                <w:rPr>
                  <w:rStyle w:val="aa"/>
                  <w:lang w:val="en-GB"/>
                </w:rPr>
                <w:t>www.jstor.org/stable/41756476</w:t>
              </w:r>
            </w:hyperlink>
            <w:r w:rsidRPr="00EE7913">
              <w:rPr>
                <w:lang w:val="en-GB"/>
              </w:rPr>
              <w:t>.</w:t>
            </w:r>
          </w:p>
          <w:p w:rsidR="00281806" w:rsidRPr="00EE7913" w:rsidRDefault="00281806" w:rsidP="00281806">
            <w:pPr>
              <w:spacing w:after="0" w:line="240" w:lineRule="auto"/>
              <w:rPr>
                <w:lang w:val="en-GB"/>
              </w:rPr>
            </w:pPr>
          </w:p>
          <w:p w:rsidR="00281806" w:rsidRPr="00EE7913" w:rsidRDefault="00281806" w:rsidP="00281806">
            <w:pPr>
              <w:spacing w:after="0" w:line="240" w:lineRule="auto"/>
              <w:rPr>
                <w:lang w:val="en-GB"/>
              </w:rPr>
            </w:pPr>
            <w:r w:rsidRPr="00FA67F7">
              <w:rPr>
                <w:lang w:val="en-GB"/>
              </w:rPr>
              <w:t xml:space="preserve">Classen, Christoph, et al. “Towards Web History: Sources, Methods, and Challenges in the Digital Age. </w:t>
            </w:r>
            <w:r w:rsidRPr="00EE7913">
              <w:rPr>
                <w:lang w:val="en-GB"/>
              </w:rPr>
              <w:t xml:space="preserve">An Introduction.” </w:t>
            </w:r>
            <w:r w:rsidRPr="00EE7913">
              <w:rPr>
                <w:i/>
                <w:iCs/>
                <w:lang w:val="en-GB"/>
              </w:rPr>
              <w:t xml:space="preserve">Historical Social Research / </w:t>
            </w:r>
            <w:proofErr w:type="spellStart"/>
            <w:r w:rsidRPr="00EE7913">
              <w:rPr>
                <w:i/>
                <w:iCs/>
                <w:lang w:val="en-GB"/>
              </w:rPr>
              <w:t>Historische</w:t>
            </w:r>
            <w:proofErr w:type="spellEnd"/>
            <w:r w:rsidRPr="00EE7913">
              <w:rPr>
                <w:i/>
                <w:iCs/>
                <w:lang w:val="en-GB"/>
              </w:rPr>
              <w:t xml:space="preserve"> </w:t>
            </w:r>
            <w:proofErr w:type="spellStart"/>
            <w:r w:rsidRPr="00EE7913">
              <w:rPr>
                <w:i/>
                <w:iCs/>
                <w:lang w:val="en-GB"/>
              </w:rPr>
              <w:t>Sozialforschung</w:t>
            </w:r>
            <w:proofErr w:type="spellEnd"/>
            <w:r w:rsidRPr="00EE7913">
              <w:rPr>
                <w:lang w:val="en-GB"/>
              </w:rPr>
              <w:t xml:space="preserve">, vol. 37, no. 4 (142), 2012, pp. 97–101. </w:t>
            </w:r>
            <w:r w:rsidRPr="00EE7913">
              <w:rPr>
                <w:i/>
                <w:iCs/>
                <w:lang w:val="en-GB"/>
              </w:rPr>
              <w:t>JSTOR</w:t>
            </w:r>
            <w:r w:rsidRPr="00EE7913">
              <w:rPr>
                <w:lang w:val="en-GB"/>
              </w:rPr>
              <w:t xml:space="preserve">, </w:t>
            </w:r>
            <w:hyperlink r:id="rId10" w:history="1">
              <w:r w:rsidRPr="00EE7913">
                <w:rPr>
                  <w:rStyle w:val="aa"/>
                  <w:lang w:val="en-GB"/>
                </w:rPr>
                <w:t>www.jstor.org/stable/41756476</w:t>
              </w:r>
            </w:hyperlink>
            <w:r w:rsidRPr="00EE7913">
              <w:rPr>
                <w:lang w:val="en-GB"/>
              </w:rPr>
              <w:t>.</w:t>
            </w:r>
          </w:p>
          <w:p w:rsidR="00281806" w:rsidRPr="00EE7913" w:rsidRDefault="00281806" w:rsidP="00281806">
            <w:pPr>
              <w:spacing w:after="0" w:line="240" w:lineRule="auto"/>
              <w:rPr>
                <w:lang w:val="en-GB"/>
              </w:rPr>
            </w:pPr>
          </w:p>
          <w:p w:rsidR="00281806" w:rsidRPr="00EE7913" w:rsidRDefault="00281806" w:rsidP="00281806">
            <w:pPr>
              <w:spacing w:after="0" w:line="240" w:lineRule="auto"/>
              <w:rPr>
                <w:lang w:val="en-GB"/>
              </w:rPr>
            </w:pPr>
            <w:r w:rsidRPr="00FA67F7">
              <w:rPr>
                <w:lang w:val="en-GB"/>
              </w:rPr>
              <w:t xml:space="preserve">Freund, Alexander. “Oral History as Process-Generated Data.” </w:t>
            </w:r>
            <w:r w:rsidRPr="00EE7913">
              <w:rPr>
                <w:i/>
                <w:iCs/>
                <w:lang w:val="en-GB"/>
              </w:rPr>
              <w:t xml:space="preserve">Historical Social Research / </w:t>
            </w:r>
            <w:proofErr w:type="spellStart"/>
            <w:r w:rsidRPr="00EE7913">
              <w:rPr>
                <w:i/>
                <w:iCs/>
                <w:lang w:val="en-GB"/>
              </w:rPr>
              <w:t>Historische</w:t>
            </w:r>
            <w:proofErr w:type="spellEnd"/>
            <w:r w:rsidRPr="00EE7913">
              <w:rPr>
                <w:i/>
                <w:iCs/>
                <w:lang w:val="en-GB"/>
              </w:rPr>
              <w:t xml:space="preserve"> </w:t>
            </w:r>
            <w:proofErr w:type="spellStart"/>
            <w:r w:rsidRPr="00EE7913">
              <w:rPr>
                <w:i/>
                <w:iCs/>
                <w:lang w:val="en-GB"/>
              </w:rPr>
              <w:t>Sozialforschung</w:t>
            </w:r>
            <w:proofErr w:type="spellEnd"/>
            <w:r w:rsidRPr="00EE7913">
              <w:rPr>
                <w:lang w:val="en-GB"/>
              </w:rPr>
              <w:t xml:space="preserve">, vol. 34, no. 1 (127), 2009, pp. 22–48. </w:t>
            </w:r>
            <w:r w:rsidRPr="00EE7913">
              <w:rPr>
                <w:i/>
                <w:iCs/>
                <w:lang w:val="en-GB"/>
              </w:rPr>
              <w:t>JSTOR</w:t>
            </w:r>
            <w:r w:rsidRPr="00EE7913">
              <w:rPr>
                <w:lang w:val="en-GB"/>
              </w:rPr>
              <w:t xml:space="preserve">, </w:t>
            </w:r>
            <w:hyperlink r:id="rId11" w:history="1">
              <w:r w:rsidRPr="00EE7913">
                <w:rPr>
                  <w:rStyle w:val="aa"/>
                  <w:lang w:val="en-GB"/>
                </w:rPr>
                <w:t>www.jstor.org/stable/20762332</w:t>
              </w:r>
            </w:hyperlink>
            <w:r w:rsidRPr="00EE7913">
              <w:rPr>
                <w:lang w:val="en-GB"/>
              </w:rPr>
              <w:t>.</w:t>
            </w:r>
          </w:p>
          <w:p w:rsidR="00281806" w:rsidRPr="00EE7913" w:rsidRDefault="00281806" w:rsidP="00281806">
            <w:pPr>
              <w:spacing w:after="0" w:line="240" w:lineRule="auto"/>
              <w:rPr>
                <w:lang w:val="en-GB"/>
              </w:rPr>
            </w:pPr>
          </w:p>
          <w:p w:rsidR="00281806" w:rsidRPr="00EE7913" w:rsidRDefault="00281806" w:rsidP="00281806">
            <w:pPr>
              <w:spacing w:after="0" w:line="240" w:lineRule="auto"/>
              <w:rPr>
                <w:lang w:val="en-GB"/>
              </w:rPr>
            </w:pPr>
            <w:proofErr w:type="spellStart"/>
            <w:r w:rsidRPr="00FA67F7">
              <w:rPr>
                <w:lang w:val="en-GB"/>
              </w:rPr>
              <w:t>Macknight</w:t>
            </w:r>
            <w:proofErr w:type="spellEnd"/>
            <w:r w:rsidRPr="00FA67F7">
              <w:rPr>
                <w:lang w:val="en-GB"/>
              </w:rPr>
              <w:t xml:space="preserve">, Elizabeth C. “Archives, Heritage, and Communities.” </w:t>
            </w:r>
            <w:r w:rsidRPr="00FA67F7">
              <w:rPr>
                <w:i/>
                <w:iCs/>
                <w:lang w:val="fr-FR"/>
              </w:rPr>
              <w:t>Historical Reflections / Réflexions Historiques</w:t>
            </w:r>
            <w:r w:rsidRPr="00FA67F7">
              <w:rPr>
                <w:lang w:val="fr-FR"/>
              </w:rPr>
              <w:t xml:space="preserve">, vol. 37, no. 2, 2011, pp. 105–122. </w:t>
            </w:r>
            <w:r w:rsidRPr="00EE7913">
              <w:rPr>
                <w:i/>
                <w:iCs/>
                <w:lang w:val="en-GB"/>
              </w:rPr>
              <w:t>JSTOR</w:t>
            </w:r>
            <w:r w:rsidRPr="00EE7913">
              <w:rPr>
                <w:lang w:val="en-GB"/>
              </w:rPr>
              <w:t xml:space="preserve">, </w:t>
            </w:r>
            <w:hyperlink r:id="rId12" w:history="1">
              <w:r w:rsidRPr="00EE7913">
                <w:rPr>
                  <w:rStyle w:val="aa"/>
                  <w:lang w:val="en-GB"/>
                </w:rPr>
                <w:t>www.jstor.org/stable/41403723</w:t>
              </w:r>
            </w:hyperlink>
            <w:r w:rsidRPr="00EE7913">
              <w:rPr>
                <w:lang w:val="en-GB"/>
              </w:rPr>
              <w:t>.</w:t>
            </w:r>
          </w:p>
          <w:p w:rsidR="00281806" w:rsidRPr="00EE7913" w:rsidRDefault="00281806" w:rsidP="00281806">
            <w:pPr>
              <w:spacing w:after="0" w:line="240" w:lineRule="auto"/>
              <w:rPr>
                <w:lang w:val="en-GB"/>
              </w:rPr>
            </w:pPr>
          </w:p>
          <w:p w:rsidR="00281806" w:rsidRPr="00EE7913" w:rsidRDefault="00281806" w:rsidP="00281806">
            <w:pPr>
              <w:spacing w:after="0" w:line="240" w:lineRule="auto"/>
              <w:rPr>
                <w:lang w:val="en-GB"/>
              </w:rPr>
            </w:pPr>
            <w:proofErr w:type="spellStart"/>
            <w:r w:rsidRPr="00FA67F7">
              <w:rPr>
                <w:lang w:val="en-GB"/>
              </w:rPr>
              <w:t>Arathymou</w:t>
            </w:r>
            <w:proofErr w:type="spellEnd"/>
            <w:r w:rsidRPr="00FA67F7">
              <w:rPr>
                <w:lang w:val="en-GB"/>
              </w:rPr>
              <w:t xml:space="preserve">, </w:t>
            </w:r>
            <w:proofErr w:type="spellStart"/>
            <w:r w:rsidRPr="00FA67F7">
              <w:rPr>
                <w:lang w:val="en-GB"/>
              </w:rPr>
              <w:t>Spyridoula</w:t>
            </w:r>
            <w:proofErr w:type="spellEnd"/>
            <w:r w:rsidRPr="00FA67F7">
              <w:rPr>
                <w:lang w:val="en-GB"/>
              </w:rPr>
              <w:t xml:space="preserve">. “Finding and Accessing the Right Archive and Archival Data. Archival Tools to Support Research and to Make Archives Available to Public.” </w:t>
            </w:r>
            <w:r w:rsidRPr="00EE7913">
              <w:rPr>
                <w:i/>
                <w:iCs/>
                <w:lang w:val="en-GB"/>
              </w:rPr>
              <w:t xml:space="preserve">Historical Social Research / </w:t>
            </w:r>
            <w:proofErr w:type="spellStart"/>
            <w:r w:rsidRPr="00EE7913">
              <w:rPr>
                <w:i/>
                <w:iCs/>
                <w:lang w:val="en-GB"/>
              </w:rPr>
              <w:t>Historische</w:t>
            </w:r>
            <w:proofErr w:type="spellEnd"/>
            <w:r w:rsidRPr="00EE7913">
              <w:rPr>
                <w:i/>
                <w:iCs/>
                <w:lang w:val="en-GB"/>
              </w:rPr>
              <w:t xml:space="preserve"> </w:t>
            </w:r>
            <w:proofErr w:type="spellStart"/>
            <w:r w:rsidRPr="00EE7913">
              <w:rPr>
                <w:i/>
                <w:iCs/>
                <w:lang w:val="en-GB"/>
              </w:rPr>
              <w:t>Sozialforschung</w:t>
            </w:r>
            <w:proofErr w:type="spellEnd"/>
            <w:r w:rsidRPr="00EE7913">
              <w:rPr>
                <w:lang w:val="en-GB"/>
              </w:rPr>
              <w:t xml:space="preserve">, vol. 34, no. 3 (129), 2009, pp. 71–77. </w:t>
            </w:r>
            <w:r w:rsidRPr="00EE7913">
              <w:rPr>
                <w:i/>
                <w:iCs/>
                <w:lang w:val="en-GB"/>
              </w:rPr>
              <w:t>JSTOR</w:t>
            </w:r>
            <w:r w:rsidRPr="00EE7913">
              <w:rPr>
                <w:lang w:val="en-GB"/>
              </w:rPr>
              <w:t xml:space="preserve">, </w:t>
            </w:r>
            <w:hyperlink r:id="rId13" w:history="1">
              <w:r w:rsidRPr="00EE7913">
                <w:rPr>
                  <w:rStyle w:val="aa"/>
                  <w:lang w:val="en-GB"/>
                </w:rPr>
                <w:t>www.jstor.org/stable/20762376</w:t>
              </w:r>
            </w:hyperlink>
            <w:r w:rsidRPr="00EE7913">
              <w:rPr>
                <w:lang w:val="en-GB"/>
              </w:rPr>
              <w:t>.</w:t>
            </w:r>
          </w:p>
          <w:p w:rsidR="00281806" w:rsidRPr="00EE7913" w:rsidRDefault="00281806" w:rsidP="00281806">
            <w:pPr>
              <w:spacing w:after="0" w:line="240" w:lineRule="auto"/>
              <w:rPr>
                <w:lang w:val="en-GB"/>
              </w:rPr>
            </w:pPr>
          </w:p>
          <w:p w:rsidR="00281806" w:rsidRDefault="00281806" w:rsidP="00281806">
            <w:pPr>
              <w:spacing w:after="0" w:line="240" w:lineRule="auto"/>
              <w:rPr>
                <w:lang w:val="en-GB"/>
              </w:rPr>
            </w:pPr>
            <w:r w:rsidRPr="00FA67F7">
              <w:rPr>
                <w:lang w:val="en-GB"/>
              </w:rPr>
              <w:t xml:space="preserve">HEAD, RANDOLPH C. “DOCUMENTS, ARCHIVES, AND PROOF AROUND 1700.” </w:t>
            </w:r>
            <w:r w:rsidRPr="00FA67F7">
              <w:rPr>
                <w:i/>
                <w:iCs/>
                <w:lang w:val="en-GB"/>
              </w:rPr>
              <w:t>The Historical Journal</w:t>
            </w:r>
            <w:r w:rsidRPr="00FA67F7">
              <w:rPr>
                <w:lang w:val="en-GB"/>
              </w:rPr>
              <w:t xml:space="preserve">, vol. 56, no. 4, 2013, pp. 909–930., </w:t>
            </w:r>
            <w:hyperlink r:id="rId14" w:history="1">
              <w:r w:rsidRPr="009F6370">
                <w:rPr>
                  <w:rStyle w:val="aa"/>
                  <w:lang w:val="en-GB"/>
                </w:rPr>
                <w:t>www.jstor.org/stable/24528855</w:t>
              </w:r>
            </w:hyperlink>
            <w:r w:rsidRPr="00FA67F7">
              <w:rPr>
                <w:lang w:val="en-GB"/>
              </w:rPr>
              <w:t>.</w:t>
            </w:r>
          </w:p>
          <w:p w:rsidR="00281806" w:rsidRDefault="00281806" w:rsidP="00281806">
            <w:pPr>
              <w:spacing w:after="0" w:line="240" w:lineRule="auto"/>
              <w:rPr>
                <w:lang w:val="en-GB"/>
              </w:rPr>
            </w:pPr>
          </w:p>
          <w:p w:rsidR="00281806" w:rsidRDefault="00281806" w:rsidP="00281806">
            <w:pPr>
              <w:spacing w:after="0" w:line="240" w:lineRule="auto"/>
              <w:rPr>
                <w:rFonts w:ascii="Times New Roman" w:eastAsiaTheme="minorHAnsi" w:hAnsi="Times New Roman"/>
                <w:sz w:val="24"/>
                <w:szCs w:val="24"/>
                <w:lang w:val="en-US"/>
              </w:rPr>
            </w:pPr>
            <w:r w:rsidRPr="00FA67F7">
              <w:rPr>
                <w:lang w:val="en-GB"/>
              </w:rPr>
              <w:lastRenderedPageBreak/>
              <w:t xml:space="preserve">SHEPARD, TODD. “‘History Is Past Politics’? Archives, ‘Tainted Evidence," and the Return of the State.” </w:t>
            </w:r>
            <w:r w:rsidRPr="00FA67F7">
              <w:rPr>
                <w:i/>
                <w:iCs/>
                <w:lang w:val="en-GB"/>
              </w:rPr>
              <w:t>The American Historical Review</w:t>
            </w:r>
            <w:r w:rsidRPr="00FA67F7">
              <w:rPr>
                <w:lang w:val="en-GB"/>
              </w:rPr>
              <w:t xml:space="preserve">, vol. 115, no. 2, 2010, pp. 474–483. </w:t>
            </w:r>
            <w:r w:rsidRPr="00FA67F7">
              <w:rPr>
                <w:i/>
                <w:iCs/>
                <w:lang w:val="en-GB"/>
              </w:rPr>
              <w:t>JSTOR</w:t>
            </w:r>
            <w:r w:rsidRPr="00FA67F7">
              <w:rPr>
                <w:lang w:val="en-GB"/>
              </w:rPr>
              <w:t>, www.jstor.org/stable/23302580.</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281806">
            <w:pPr>
              <w:spacing w:after="0" w:line="240" w:lineRule="auto"/>
              <w:rPr>
                <w:rFonts w:ascii="Times New Roman" w:eastAsiaTheme="minorHAnsi" w:hAnsi="Times New Roman"/>
                <w:sz w:val="24"/>
                <w:szCs w:val="24"/>
                <w:lang w:val="en-US"/>
              </w:rPr>
            </w:pPr>
            <w:r w:rsidRPr="00832C8D">
              <w:rPr>
                <w:rFonts w:ascii="Times New Roman" w:eastAsiaTheme="minorHAnsi" w:hAnsi="Times New Roman"/>
                <w:sz w:val="24"/>
                <w:szCs w:val="24"/>
                <w:lang w:val="en-US"/>
              </w:rPr>
              <w:t>Associate Professor Marina Loskutova</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E99" w:rsidRDefault="00844E99" w:rsidP="00F31F02">
      <w:pPr>
        <w:spacing w:after="0" w:line="240" w:lineRule="auto"/>
      </w:pPr>
      <w:r>
        <w:separator/>
      </w:r>
    </w:p>
  </w:endnote>
  <w:endnote w:type="continuationSeparator" w:id="0">
    <w:p w:rsidR="00844E99" w:rsidRDefault="00844E99"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E99" w:rsidRDefault="00844E99" w:rsidP="00F31F02">
      <w:pPr>
        <w:spacing w:after="0" w:line="240" w:lineRule="auto"/>
      </w:pPr>
      <w:r>
        <w:separator/>
      </w:r>
    </w:p>
  </w:footnote>
  <w:footnote w:type="continuationSeparator" w:id="0">
    <w:p w:rsidR="00844E99" w:rsidRDefault="00844E99"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Pr="00925F7A">
        <w:rPr>
          <w:lang w:val="en-US"/>
        </w:rPr>
        <w:t xml:space="preserve"> </w:t>
      </w:r>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
  </w:footnote>
  <w:footnote w:id="2">
    <w:p w:rsidR="00F31F02" w:rsidRPr="00925F7A" w:rsidRDefault="00F31F02">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Intended Learning Outcomes (I</w:t>
      </w:r>
      <w:r w:rsidR="00281806">
        <w:rPr>
          <w:rFonts w:ascii="Times New Roman" w:eastAsiaTheme="minorHAnsi" w:hAnsi="Times New Roman"/>
          <w:sz w:val="22"/>
          <w:szCs w:val="22"/>
          <w:lang w:val="en-US"/>
        </w:rPr>
        <w:t>LO) - for the academic program</w:t>
      </w:r>
      <w:r w:rsidRPr="00925F7A">
        <w:rPr>
          <w:rFonts w:ascii="Times New Roman" w:eastAsiaTheme="minorHAnsi" w:hAnsi="Times New Roman"/>
          <w:sz w:val="22"/>
          <w:szCs w:val="22"/>
          <w:lang w:val="en-US"/>
        </w:rPr>
        <w:t xml:space="preserve">s which are exposed to international accreditation or other forms of external evaluation, the list of </w:t>
      </w:r>
      <w:proofErr w:type="gramStart"/>
      <w:r w:rsidRPr="00925F7A">
        <w:rPr>
          <w:rFonts w:ascii="Times New Roman" w:eastAsiaTheme="minorHAnsi" w:hAnsi="Times New Roman"/>
          <w:sz w:val="22"/>
          <w:szCs w:val="22"/>
          <w:lang w:val="en-US"/>
        </w:rPr>
        <w:t>ILO</w:t>
      </w:r>
      <w:proofErr w:type="gramEnd"/>
      <w:r w:rsidRPr="00925F7A">
        <w:rPr>
          <w:rFonts w:ascii="Times New Roman" w:eastAsiaTheme="minorHAnsi" w:hAnsi="Times New Roman"/>
          <w:sz w:val="22"/>
          <w:szCs w:val="22"/>
          <w:lang w:val="en-US"/>
        </w:rPr>
        <w:t xml:space="preserve"> must be complemented with “Mapping of Programme and Course/module learning outcomes”.</w:t>
      </w:r>
    </w:p>
  </w:footnote>
  <w:footnote w:id="3">
    <w:p w:rsidR="00F31F02" w:rsidRPr="00925F7A" w:rsidRDefault="00F31F02"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Indicative Learning Resources - to be filled either in the Course descriptor or in the Course Syllabus.</w:t>
      </w:r>
    </w:p>
    <w:p w:rsidR="00F31F02" w:rsidRPr="00F31F02" w:rsidRDefault="00F31F02">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B3F"/>
    <w:multiLevelType w:val="hybridMultilevel"/>
    <w:tmpl w:val="B316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15:restartNumberingAfterBreak="0">
    <w:nsid w:val="72212917"/>
    <w:multiLevelType w:val="hybridMultilevel"/>
    <w:tmpl w:val="35AA4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7"/>
    <w:rsid w:val="00016FD6"/>
    <w:rsid w:val="001269F5"/>
    <w:rsid w:val="001504DF"/>
    <w:rsid w:val="00227878"/>
    <w:rsid w:val="002376BB"/>
    <w:rsid w:val="00281806"/>
    <w:rsid w:val="0033665B"/>
    <w:rsid w:val="00350F7A"/>
    <w:rsid w:val="00360ED6"/>
    <w:rsid w:val="004621E2"/>
    <w:rsid w:val="004B1D7A"/>
    <w:rsid w:val="004E303F"/>
    <w:rsid w:val="00554AD8"/>
    <w:rsid w:val="0057785A"/>
    <w:rsid w:val="00581152"/>
    <w:rsid w:val="00613DCA"/>
    <w:rsid w:val="00644510"/>
    <w:rsid w:val="006A0D74"/>
    <w:rsid w:val="006F1B3F"/>
    <w:rsid w:val="0071282C"/>
    <w:rsid w:val="007A2171"/>
    <w:rsid w:val="00844E99"/>
    <w:rsid w:val="00925F7A"/>
    <w:rsid w:val="00B5254A"/>
    <w:rsid w:val="00C42A27"/>
    <w:rsid w:val="00CC1DAE"/>
    <w:rsid w:val="00D4693C"/>
    <w:rsid w:val="00D640A5"/>
    <w:rsid w:val="00D85442"/>
    <w:rsid w:val="00D95D7E"/>
    <w:rsid w:val="00DB57AC"/>
    <w:rsid w:val="00DC4A43"/>
    <w:rsid w:val="00DE1C6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065E"/>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customStyle="1" w:styleId="st">
    <w:name w:val="st"/>
    <w:basedOn w:val="a1"/>
    <w:rsid w:val="00281806"/>
  </w:style>
  <w:style w:type="character" w:styleId="aa">
    <w:name w:val="Hyperlink"/>
    <w:basedOn w:val="a1"/>
    <w:uiPriority w:val="99"/>
    <w:unhideWhenUsed/>
    <w:rsid w:val="00281806"/>
    <w:rPr>
      <w:color w:val="0000FF"/>
      <w:u w:val="single"/>
    </w:rPr>
  </w:style>
  <w:style w:type="paragraph" w:customStyle="1" w:styleId="11">
    <w:name w:val="Обычный1"/>
    <w:rsid w:val="00DC4A43"/>
    <w:pPr>
      <w:spacing w:after="0"/>
      <w:contextualSpacing/>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modern-world" TargetMode="External"/><Relationship Id="rId13" Type="http://schemas.openxmlformats.org/officeDocument/2006/relationships/hyperlink" Target="http://www.jstor.org/stable/20762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414037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07623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stable/41756476" TargetMode="External"/><Relationship Id="rId4" Type="http://schemas.openxmlformats.org/officeDocument/2006/relationships/settings" Target="settings.xml"/><Relationship Id="rId9" Type="http://schemas.openxmlformats.org/officeDocument/2006/relationships/hyperlink" Target="http://www.jstor.org/stable/41756476" TargetMode="External"/><Relationship Id="rId14" Type="http://schemas.openxmlformats.org/officeDocument/2006/relationships/hyperlink" Target="http://www.jstor.org/stable/24528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456A-C056-4F77-B11B-341EB2D5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Julia</cp:lastModifiedBy>
  <cp:revision>4</cp:revision>
  <cp:lastPrinted>2018-03-13T09:40:00Z</cp:lastPrinted>
  <dcterms:created xsi:type="dcterms:W3CDTF">2019-03-14T16:56:00Z</dcterms:created>
  <dcterms:modified xsi:type="dcterms:W3CDTF">2019-03-19T11:31:00Z</dcterms:modified>
</cp:coreProperties>
</file>