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0555FF" w:rsidP="00B64174">
      <w:pPr>
        <w:spacing w:after="0" w:line="240" w:lineRule="auto"/>
        <w:rPr>
          <w:b/>
          <w:sz w:val="26"/>
          <w:szCs w:val="26"/>
        </w:rPr>
      </w:pPr>
      <w:r w:rsidRPr="00C8150C">
        <w:rPr>
          <w:b/>
          <w:sz w:val="26"/>
          <w:szCs w:val="26"/>
        </w:rPr>
        <w:t xml:space="preserve">  </w:t>
      </w:r>
      <w:r w:rsidR="00B64174">
        <w:rPr>
          <w:rFonts w:ascii="Tahoma" w:hAnsi="Tahoma" w:cs="Tahoma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3174365" cy="466090"/>
            <wp:effectExtent l="0" t="0" r="6985" b="0"/>
            <wp:docPr id="2" name="Рисунок 2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74" w:rsidRPr="00E71BA0" w:rsidRDefault="00B64174" w:rsidP="00B64174">
      <w:pPr>
        <w:spacing w:after="0" w:line="240" w:lineRule="auto"/>
        <w:jc w:val="center"/>
        <w:rPr>
          <w:b/>
          <w:sz w:val="18"/>
          <w:szCs w:val="18"/>
        </w:rPr>
      </w:pPr>
      <w:r w:rsidRPr="00E71BA0">
        <w:rPr>
          <w:b/>
          <w:sz w:val="18"/>
          <w:szCs w:val="18"/>
        </w:rPr>
        <w:t>Уважаемые коллеги!</w:t>
      </w:r>
    </w:p>
    <w:p w:rsidR="00B64174" w:rsidRPr="00E71BA0" w:rsidRDefault="00B64174" w:rsidP="00B64174">
      <w:pPr>
        <w:spacing w:after="0" w:line="240" w:lineRule="auto"/>
        <w:jc w:val="center"/>
        <w:rPr>
          <w:b/>
          <w:sz w:val="18"/>
          <w:szCs w:val="18"/>
        </w:rPr>
      </w:pPr>
      <w:r w:rsidRPr="00E71BA0">
        <w:rPr>
          <w:b/>
          <w:sz w:val="18"/>
          <w:szCs w:val="18"/>
        </w:rPr>
        <w:t>Приглашаем Вас принять участие в семинаре:</w:t>
      </w:r>
    </w:p>
    <w:p w:rsidR="00B64174" w:rsidRPr="00E71BA0" w:rsidRDefault="006461B3" w:rsidP="00B64174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 w:rsidRPr="00E71BA0">
        <w:rPr>
          <w:rFonts w:ascii="Arial Black" w:hAnsi="Arial Black" w:cs="Times New Roman"/>
          <w:b/>
          <w:sz w:val="18"/>
          <w:szCs w:val="18"/>
        </w:rPr>
        <w:t>«</w:t>
      </w:r>
      <w:r w:rsidR="00C8150C" w:rsidRPr="00E71BA0">
        <w:rPr>
          <w:rFonts w:ascii="Arial Black" w:hAnsi="Arial Black" w:cs="Times New Roman"/>
          <w:b/>
          <w:sz w:val="18"/>
          <w:szCs w:val="18"/>
        </w:rPr>
        <w:t xml:space="preserve">Особенности </w:t>
      </w:r>
      <w:r w:rsidR="005D06E0" w:rsidRPr="00E71BA0">
        <w:rPr>
          <w:rFonts w:ascii="Arial Black" w:hAnsi="Arial Black" w:cs="Times New Roman"/>
          <w:b/>
          <w:sz w:val="18"/>
          <w:szCs w:val="18"/>
        </w:rPr>
        <w:t>закупки лекарс</w:t>
      </w:r>
      <w:r w:rsidR="00C8150C" w:rsidRPr="00E71BA0">
        <w:rPr>
          <w:rFonts w:ascii="Arial Black" w:hAnsi="Arial Black" w:cs="Times New Roman"/>
          <w:b/>
          <w:sz w:val="18"/>
          <w:szCs w:val="18"/>
        </w:rPr>
        <w:t>твенных препаратов</w:t>
      </w:r>
      <w:r w:rsidR="00AB23A4" w:rsidRPr="00E71BA0">
        <w:rPr>
          <w:rFonts w:ascii="Arial Black" w:hAnsi="Arial Black" w:cs="Times New Roman"/>
          <w:b/>
          <w:sz w:val="18"/>
          <w:szCs w:val="18"/>
        </w:rPr>
        <w:t xml:space="preserve">. Изменения </w:t>
      </w:r>
      <w:r w:rsidR="00B80DD3">
        <w:rPr>
          <w:rFonts w:ascii="Arial Black" w:hAnsi="Arial Black" w:cs="Times New Roman"/>
          <w:b/>
          <w:sz w:val="18"/>
          <w:szCs w:val="18"/>
        </w:rPr>
        <w:t>№</w:t>
      </w:r>
      <w:r w:rsidR="00AB23A4" w:rsidRPr="00E71BA0">
        <w:rPr>
          <w:rFonts w:ascii="Arial Black" w:hAnsi="Arial Black" w:cs="Times New Roman"/>
          <w:b/>
          <w:sz w:val="18"/>
          <w:szCs w:val="18"/>
        </w:rPr>
        <w:t>44 –</w:t>
      </w:r>
      <w:r w:rsidR="00201D1B" w:rsidRPr="00E71BA0">
        <w:rPr>
          <w:rFonts w:ascii="Arial Black" w:hAnsi="Arial Black" w:cs="Times New Roman"/>
          <w:b/>
          <w:sz w:val="18"/>
          <w:szCs w:val="18"/>
        </w:rPr>
        <w:t xml:space="preserve"> ФЗ</w:t>
      </w:r>
      <w:r w:rsidR="00B64174" w:rsidRPr="00E71BA0">
        <w:rPr>
          <w:rFonts w:ascii="Arial Black" w:hAnsi="Arial Black" w:cs="Times New Roman"/>
          <w:b/>
          <w:sz w:val="18"/>
          <w:szCs w:val="18"/>
        </w:rPr>
        <w:t>»</w:t>
      </w:r>
    </w:p>
    <w:p w:rsidR="00DC3A98" w:rsidRPr="00DC3A98" w:rsidRDefault="00DC3A98" w:rsidP="00B64174">
      <w:pPr>
        <w:spacing w:after="0" w:line="240" w:lineRule="auto"/>
        <w:jc w:val="center"/>
        <w:rPr>
          <w:rFonts w:ascii="Arial Black" w:hAnsi="Arial Black" w:cs="Times New Roman"/>
          <w:b/>
          <w:color w:val="7030A0"/>
          <w:sz w:val="18"/>
          <w:szCs w:val="18"/>
        </w:rPr>
      </w:pPr>
      <w:bookmarkStart w:id="0" w:name="_GoBack"/>
      <w:r w:rsidRPr="00DC3A98">
        <w:rPr>
          <w:rFonts w:ascii="Arial Black" w:hAnsi="Arial Black" w:cs="Times New Roman"/>
          <w:b/>
          <w:color w:val="7030A0"/>
          <w:sz w:val="18"/>
          <w:szCs w:val="18"/>
        </w:rPr>
        <w:t>06 сентября 2019 года</w:t>
      </w:r>
    </w:p>
    <w:bookmarkEnd w:id="0"/>
    <w:p w:rsidR="00201D1B" w:rsidRPr="00E71BA0" w:rsidRDefault="002F78F7" w:rsidP="00B64174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18"/>
          <w:szCs w:val="18"/>
        </w:rPr>
      </w:pPr>
      <w:r w:rsidRPr="002F78F7">
        <w:rPr>
          <w:rFonts w:ascii="Arial Black" w:hAnsi="Arial Black" w:cs="Times New Roman"/>
          <w:b/>
          <w:color w:val="FF0000"/>
          <w:sz w:val="18"/>
          <w:szCs w:val="18"/>
        </w:rPr>
        <w:t>Место проведения семинара г. Пермь</w:t>
      </w:r>
    </w:p>
    <w:p w:rsidR="009C47F9" w:rsidRPr="00E71BA0" w:rsidRDefault="009C47F9" w:rsidP="00AB23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ru-RU"/>
        </w:rPr>
        <w:t xml:space="preserve">С 1 января 2019 года вступили в силу изменения приказа Минздрава России от 26 октября 2017 г. N 871н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применения». </w:t>
      </w:r>
      <w:proofErr w:type="gramStart"/>
      <w:r w:rsidRPr="00E71BA0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ru-RU"/>
        </w:rPr>
        <w:t xml:space="preserve">Минздрав разъяснил, как определять </w:t>
      </w:r>
      <w:proofErr w:type="spellStart"/>
      <w:r w:rsidRPr="00E71BA0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ru-RU"/>
        </w:rPr>
        <w:t>референтную</w:t>
      </w:r>
      <w:proofErr w:type="spellEnd"/>
      <w:r w:rsidRPr="00E71BA0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ru-RU"/>
        </w:rPr>
        <w:t xml:space="preserve"> цену при обосновании начальной максимальной цены контракта (НМЦК) и цены контракта, заключаемого с единственным поставщиком, при закупках лекарственных препаратов </w:t>
      </w:r>
      <w:r w:rsidRPr="00E71BA0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(</w:t>
      </w:r>
      <w:hyperlink r:id="rId8" w:tgtFrame="_blank" w:history="1">
        <w:r w:rsidRPr="00E71BA0">
          <w:rPr>
            <w:rFonts w:ascii="Arial" w:eastAsia="Times New Roman" w:hAnsi="Arial" w:cs="Arial"/>
            <w:b/>
            <w:sz w:val="18"/>
            <w:szCs w:val="18"/>
            <w:lang w:eastAsia="ru-RU"/>
          </w:rPr>
          <w:t>письмо</w:t>
        </w:r>
      </w:hyperlink>
      <w:r w:rsidRPr="00E71BA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 Минздрава от 27 декабря 2018 г. N 18-3/10/2-708)</w:t>
      </w:r>
      <w:r w:rsidR="002E4C59" w:rsidRPr="00E71BA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r w:rsidR="002E4C59"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а также изменения, внесенные в постановление  Правительства РФ от 30.11.2015 г. № 1289  постановлением Правительства РФ от 12.05.2018 г. № 572.</w:t>
      </w:r>
      <w:proofErr w:type="gramEnd"/>
    </w:p>
    <w:p w:rsidR="005579C5" w:rsidRPr="00E71BA0" w:rsidRDefault="005579C5" w:rsidP="00557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 мая 2019 года в Закон № 44-ФЗ внесено несколько блоков  изменений, </w:t>
      </w:r>
      <w:r w:rsidR="00E71BA0" w:rsidRPr="00E71B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вступивших и </w:t>
      </w:r>
      <w:r w:rsidRPr="00E71BA0">
        <w:rPr>
          <w:rFonts w:ascii="Arial" w:eastAsia="Times New Roman" w:hAnsi="Arial" w:cs="Arial"/>
          <w:b/>
          <w:sz w:val="18"/>
          <w:szCs w:val="18"/>
          <w:lang w:eastAsia="ru-RU"/>
        </w:rPr>
        <w:t>вступ</w:t>
      </w:r>
      <w:r w:rsidR="00C927E8" w:rsidRPr="00E71BA0">
        <w:rPr>
          <w:rFonts w:ascii="Arial" w:eastAsia="Times New Roman" w:hAnsi="Arial" w:cs="Arial"/>
          <w:b/>
          <w:sz w:val="18"/>
          <w:szCs w:val="18"/>
          <w:lang w:eastAsia="ru-RU"/>
        </w:rPr>
        <w:t>ающих в силу в различное время (</w:t>
      </w:r>
      <w:r w:rsidR="00C927E8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>ФЗ</w:t>
      </w:r>
      <w:r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№ 69-ФЗ</w:t>
      </w:r>
      <w:r w:rsidR="00C927E8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>;</w:t>
      </w:r>
      <w:r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  <w:r w:rsidR="00C927E8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>ФЗ</w:t>
      </w:r>
      <w:r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№ 70-ФЗ</w:t>
      </w:r>
      <w:r w:rsidR="00C927E8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>;</w:t>
      </w:r>
      <w:r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  <w:r w:rsidR="00C927E8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>ФЗ  № 71-ФЗ)</w:t>
      </w:r>
      <w:r w:rsidR="00E71BA0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до 2020г</w:t>
      </w:r>
      <w:r w:rsidR="00C927E8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  <w:r w:rsidR="00E71BA0"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>:</w:t>
      </w:r>
      <w:r w:rsidRPr="00E71BA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</w:p>
    <w:p w:rsidR="00C927E8" w:rsidRPr="00E71BA0" w:rsidRDefault="005579C5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изменение сроков (при проведении закупок, </w:t>
      </w:r>
      <w:r w:rsidR="00E71BA0"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заключении контракта, </w:t>
      </w: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при обжаловании), </w:t>
      </w:r>
    </w:p>
    <w:p w:rsidR="00C927E8" w:rsidRPr="00E71BA0" w:rsidRDefault="00C927E8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отмена плана закупок, </w:t>
      </w:r>
      <w:proofErr w:type="gramStart"/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изменении</w:t>
      </w:r>
      <w:proofErr w:type="gramEnd"/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при формировании плана-графика,</w:t>
      </w:r>
    </w:p>
    <w:p w:rsidR="00C927E8" w:rsidRPr="00E71BA0" w:rsidRDefault="005579C5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дополнительное регулирование строительных работ, </w:t>
      </w:r>
    </w:p>
    <w:p w:rsidR="00C927E8" w:rsidRPr="00E71BA0" w:rsidRDefault="005579C5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право проводить закупки по цене единицы товара, работы, услуги, </w:t>
      </w:r>
    </w:p>
    <w:p w:rsidR="00C927E8" w:rsidRPr="00E71BA0" w:rsidRDefault="005579C5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возможность при расторжении заключить контракт с участником, занявшим второе место, </w:t>
      </w:r>
    </w:p>
    <w:p w:rsidR="00C927E8" w:rsidRPr="00E71BA0" w:rsidRDefault="005579C5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отмена извещений, отчетов и внешней экспертизы при закупках у единственного поставщика</w:t>
      </w:r>
      <w:r w:rsidR="00E71BA0"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,</w:t>
      </w:r>
      <w:r w:rsidRPr="00E71BA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C927E8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особенности применения антидемпинговых мер и заключения, а также исполнения контрактов с субъектами малого предпринимательства и социально ориентированными некоммерческими учреждениями</w:t>
      </w:r>
    </w:p>
    <w:p w:rsidR="00E71BA0" w:rsidRPr="00E71BA0" w:rsidRDefault="005579C5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закупка лека</w:t>
      </w:r>
      <w:proofErr w:type="gramStart"/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рств </w:t>
      </w:r>
      <w:r w:rsidR="00E71BA0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пр</w:t>
      </w:r>
      <w:proofErr w:type="gramEnd"/>
      <w:r w:rsidR="00E71BA0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епаратов </w:t>
      </w: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по решению врачебной комиссии </w:t>
      </w:r>
    </w:p>
    <w:p w:rsidR="005579C5" w:rsidRPr="00E71BA0" w:rsidRDefault="00E71BA0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право</w:t>
      </w:r>
      <w:r w:rsidR="005579C5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 заключать контракт со вторым </w:t>
      </w: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участником конкурентной закупки </w:t>
      </w:r>
      <w:r w:rsidR="005579C5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в случае расторж</w:t>
      </w: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ения контракта с победителем, </w:t>
      </w:r>
    </w:p>
    <w:p w:rsidR="00E71BA0" w:rsidRPr="00E71BA0" w:rsidRDefault="00E71BA0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изменения в пункт 4 части 1 ст. 93</w:t>
      </w:r>
      <w:r w:rsidR="005579C5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 </w:t>
      </w: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(</w:t>
      </w:r>
      <w:r w:rsidR="005579C5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вступают в силу 1 июля 2019 года</w:t>
      </w: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)</w:t>
      </w:r>
      <w:r w:rsidR="005579C5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, </w:t>
      </w:r>
    </w:p>
    <w:p w:rsidR="005579C5" w:rsidRPr="00E71BA0" w:rsidRDefault="005579C5" w:rsidP="00E71BA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</w:pP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изменения </w:t>
      </w:r>
      <w:r w:rsidR="00E71BA0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в пункт 5 части 1 ст. 93 (вступают в силу  </w:t>
      </w: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31 июля 2019 года</w:t>
      </w:r>
      <w:r w:rsidR="00E71BA0"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)</w:t>
      </w:r>
      <w:r w:rsidRPr="00E71BA0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.</w:t>
      </w:r>
    </w:p>
    <w:p w:rsidR="00B64174" w:rsidRPr="00E71BA0" w:rsidRDefault="00C4770F" w:rsidP="00C477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71BA0">
        <w:rPr>
          <w:rFonts w:asciiTheme="majorHAnsi" w:hAnsiTheme="majorHAnsi" w:cs="Times New Roman"/>
          <w:sz w:val="18"/>
          <w:szCs w:val="18"/>
        </w:rPr>
        <w:t xml:space="preserve">Порядок применения Постановления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нужд". </w:t>
      </w:r>
    </w:p>
    <w:p w:rsidR="00201D1B" w:rsidRPr="00E71BA0" w:rsidRDefault="00F87C37" w:rsidP="005C162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E71BA0">
        <w:rPr>
          <w:rFonts w:asciiTheme="majorHAnsi" w:hAnsiTheme="majorHAnsi"/>
          <w:b/>
          <w:color w:val="000000"/>
          <w:sz w:val="18"/>
          <w:szCs w:val="18"/>
        </w:rPr>
        <w:t>Порядок обоснования</w:t>
      </w:r>
      <w:r w:rsidR="00FE2751" w:rsidRPr="00E71BA0">
        <w:rPr>
          <w:rFonts w:asciiTheme="majorHAnsi" w:hAnsiTheme="majorHAnsi"/>
          <w:b/>
          <w:color w:val="000000"/>
          <w:sz w:val="18"/>
          <w:szCs w:val="18"/>
        </w:rPr>
        <w:t xml:space="preserve"> НМЦК</w:t>
      </w:r>
      <w:r w:rsidR="005C162C" w:rsidRPr="00E71BA0">
        <w:rPr>
          <w:rFonts w:asciiTheme="majorHAnsi" w:hAnsiTheme="majorHAnsi"/>
          <w:b/>
          <w:color w:val="000000"/>
          <w:sz w:val="18"/>
          <w:szCs w:val="18"/>
        </w:rPr>
        <w:t xml:space="preserve"> на лекарственные препараты.</w:t>
      </w:r>
      <w:r w:rsidR="00C8150C" w:rsidRPr="00E71BA0">
        <w:rPr>
          <w:rFonts w:asciiTheme="majorHAnsi" w:hAnsiTheme="majorHAnsi"/>
          <w:b/>
          <w:color w:val="000000"/>
          <w:sz w:val="18"/>
          <w:szCs w:val="18"/>
        </w:rPr>
        <w:t xml:space="preserve"> </w:t>
      </w:r>
      <w:r w:rsidR="00FE2751" w:rsidRPr="00E71BA0">
        <w:rPr>
          <w:rFonts w:asciiTheme="majorHAnsi" w:hAnsiTheme="majorHAnsi"/>
          <w:b/>
          <w:color w:val="000000"/>
          <w:sz w:val="18"/>
          <w:szCs w:val="18"/>
        </w:rPr>
        <w:t xml:space="preserve">Приказ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</w:t>
      </w:r>
      <w:r w:rsidR="00C8150C" w:rsidRPr="00E71BA0">
        <w:rPr>
          <w:rFonts w:asciiTheme="majorHAnsi" w:hAnsiTheme="majorHAnsi"/>
          <w:b/>
          <w:color w:val="000000"/>
          <w:sz w:val="18"/>
          <w:szCs w:val="18"/>
        </w:rPr>
        <w:t>(подрядчиком, исполнителем).</w:t>
      </w:r>
      <w:r w:rsidR="008C7629" w:rsidRPr="00E71BA0">
        <w:rPr>
          <w:rFonts w:asciiTheme="majorHAnsi" w:hAnsiTheme="majorHAnsi"/>
          <w:b/>
          <w:color w:val="000000"/>
          <w:sz w:val="18"/>
          <w:szCs w:val="18"/>
        </w:rPr>
        <w:t xml:space="preserve"> </w:t>
      </w:r>
    </w:p>
    <w:p w:rsidR="00201D1B" w:rsidRPr="00E71BA0" w:rsidRDefault="00201D1B" w:rsidP="00201D1B">
      <w:pPr>
        <w:pStyle w:val="aa"/>
        <w:numPr>
          <w:ilvl w:val="0"/>
          <w:numId w:val="1"/>
        </w:numPr>
        <w:rPr>
          <w:rFonts w:asciiTheme="majorHAnsi" w:hAnsiTheme="majorHAnsi"/>
          <w:b/>
          <w:color w:val="000000"/>
          <w:sz w:val="18"/>
          <w:szCs w:val="18"/>
        </w:rPr>
      </w:pPr>
      <w:r w:rsidRPr="00E71BA0">
        <w:rPr>
          <w:rFonts w:asciiTheme="majorHAnsi" w:hAnsiTheme="majorHAnsi"/>
          <w:b/>
          <w:color w:val="000000"/>
          <w:sz w:val="18"/>
          <w:szCs w:val="18"/>
        </w:rPr>
        <w:t xml:space="preserve">Использование </w:t>
      </w:r>
      <w:proofErr w:type="spellStart"/>
      <w:r w:rsidRPr="00E71BA0">
        <w:rPr>
          <w:rFonts w:asciiTheme="majorHAnsi" w:hAnsiTheme="majorHAnsi"/>
          <w:b/>
          <w:color w:val="000000"/>
          <w:sz w:val="18"/>
          <w:szCs w:val="18"/>
        </w:rPr>
        <w:t>референтной</w:t>
      </w:r>
      <w:proofErr w:type="spellEnd"/>
      <w:r w:rsidRPr="00E71BA0">
        <w:rPr>
          <w:rFonts w:asciiTheme="majorHAnsi" w:hAnsiTheme="majorHAnsi"/>
          <w:b/>
          <w:color w:val="000000"/>
          <w:sz w:val="18"/>
          <w:szCs w:val="18"/>
        </w:rPr>
        <w:t xml:space="preserve"> цены при обосновании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2E4C59" w:rsidRPr="00E71BA0" w:rsidRDefault="002E4C59" w:rsidP="00B2749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E71BA0">
        <w:rPr>
          <w:rFonts w:asciiTheme="majorHAnsi" w:hAnsiTheme="majorHAnsi"/>
          <w:b/>
          <w:color w:val="000000"/>
          <w:sz w:val="18"/>
          <w:szCs w:val="18"/>
        </w:rPr>
        <w:t>Применение национального режима при закупке лекарственных препаратов.</w:t>
      </w:r>
      <w:r w:rsidRPr="00E71BA0">
        <w:rPr>
          <w:sz w:val="18"/>
          <w:szCs w:val="18"/>
        </w:rPr>
        <w:t xml:space="preserve"> </w:t>
      </w:r>
      <w:r w:rsidRPr="00E71BA0">
        <w:rPr>
          <w:rFonts w:asciiTheme="majorHAnsi" w:hAnsiTheme="majorHAnsi"/>
          <w:b/>
          <w:color w:val="000000"/>
          <w:sz w:val="18"/>
          <w:szCs w:val="18"/>
        </w:rPr>
        <w:t>Постановление  Правительства РФ от 30.11.2015 г. № 1289</w:t>
      </w:r>
      <w:r w:rsidR="00B2749D" w:rsidRPr="00E71BA0">
        <w:rPr>
          <w:rFonts w:asciiTheme="majorHAnsi" w:hAnsiTheme="majorHAnsi"/>
          <w:b/>
          <w:color w:val="000000"/>
          <w:sz w:val="18"/>
          <w:szCs w:val="18"/>
        </w:rPr>
        <w:t>. Постановлением Правительства Российской Федерации от 5 февраля 2015 г. N 102.</w:t>
      </w:r>
    </w:p>
    <w:p w:rsidR="00B2749D" w:rsidRPr="00E71BA0" w:rsidRDefault="00B2749D" w:rsidP="00B2749D">
      <w:pPr>
        <w:spacing w:after="0" w:line="240" w:lineRule="auto"/>
        <w:ind w:left="720"/>
        <w:jc w:val="both"/>
        <w:rPr>
          <w:rFonts w:asciiTheme="majorHAnsi" w:hAnsiTheme="majorHAnsi"/>
          <w:color w:val="000000"/>
          <w:sz w:val="18"/>
          <w:szCs w:val="18"/>
        </w:rPr>
      </w:pPr>
      <w:r w:rsidRPr="00E71BA0">
        <w:rPr>
          <w:rFonts w:asciiTheme="majorHAnsi" w:hAnsiTheme="majorHAnsi"/>
          <w:color w:val="000000"/>
          <w:sz w:val="18"/>
          <w:szCs w:val="18"/>
        </w:rPr>
        <w:t>Документы, подтверждающие страну производства товара.</w:t>
      </w:r>
    </w:p>
    <w:p w:rsidR="00F87C37" w:rsidRPr="00E71BA0" w:rsidRDefault="00F87C37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E71BA0">
        <w:rPr>
          <w:rFonts w:asciiTheme="majorHAnsi" w:hAnsiTheme="majorHAnsi"/>
          <w:color w:val="000000"/>
          <w:sz w:val="18"/>
          <w:szCs w:val="18"/>
        </w:rPr>
        <w:t xml:space="preserve">Порядок регистрации контрактов, </w:t>
      </w:r>
      <w:proofErr w:type="spellStart"/>
      <w:r w:rsidRPr="00E71BA0">
        <w:rPr>
          <w:rFonts w:asciiTheme="majorHAnsi" w:hAnsiTheme="majorHAnsi"/>
          <w:color w:val="000000"/>
          <w:sz w:val="18"/>
          <w:szCs w:val="18"/>
        </w:rPr>
        <w:t>гражданско</w:t>
      </w:r>
      <w:proofErr w:type="spellEnd"/>
      <w:r w:rsidRPr="00E71BA0">
        <w:rPr>
          <w:rFonts w:asciiTheme="majorHAnsi" w:hAnsiTheme="majorHAnsi"/>
          <w:color w:val="000000"/>
          <w:sz w:val="18"/>
          <w:szCs w:val="18"/>
        </w:rPr>
        <w:t xml:space="preserve"> – правовых договоров на поставку лекарственных препаратов в реестре контрактов.</w:t>
      </w:r>
    </w:p>
    <w:p w:rsidR="005D06E0" w:rsidRPr="00E71BA0" w:rsidRDefault="005D06E0" w:rsidP="005D06E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E71BA0">
        <w:rPr>
          <w:rFonts w:asciiTheme="majorHAnsi" w:hAnsiTheme="majorHAnsi"/>
          <w:b/>
          <w:color w:val="000000"/>
          <w:sz w:val="18"/>
          <w:szCs w:val="18"/>
        </w:rPr>
        <w:t>Регламент электронных способов закупок.  Условия применени</w:t>
      </w:r>
      <w:r w:rsidR="00201D1B" w:rsidRPr="00E71BA0">
        <w:rPr>
          <w:rFonts w:asciiTheme="majorHAnsi" w:hAnsiTheme="majorHAnsi"/>
          <w:b/>
          <w:color w:val="000000"/>
          <w:sz w:val="18"/>
          <w:szCs w:val="18"/>
        </w:rPr>
        <w:t>я требования обеспечения заявки и обеспечения исполнения контракта.</w:t>
      </w:r>
    </w:p>
    <w:p w:rsidR="00C927E8" w:rsidRPr="00E71BA0" w:rsidRDefault="00C927E8" w:rsidP="005D06E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E71BA0">
        <w:rPr>
          <w:rFonts w:asciiTheme="majorHAnsi" w:hAnsiTheme="majorHAnsi"/>
          <w:b/>
          <w:color w:val="000000"/>
          <w:sz w:val="18"/>
          <w:szCs w:val="18"/>
        </w:rPr>
        <w:t>Особенности применения антидемпинговой меры при закупке ЖНВЛП.</w:t>
      </w:r>
    </w:p>
    <w:p w:rsidR="00201D1B" w:rsidRPr="00E71BA0" w:rsidRDefault="00201D1B" w:rsidP="00201D1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E71BA0">
        <w:rPr>
          <w:rFonts w:asciiTheme="majorHAnsi" w:hAnsiTheme="majorHAnsi"/>
          <w:color w:val="000000"/>
          <w:sz w:val="18"/>
          <w:szCs w:val="18"/>
        </w:rPr>
        <w:t>Порядок</w:t>
      </w:r>
      <w:r w:rsidR="005D06E0" w:rsidRPr="00E71BA0">
        <w:rPr>
          <w:rFonts w:asciiTheme="majorHAnsi" w:hAnsiTheme="majorHAnsi"/>
          <w:color w:val="000000"/>
          <w:sz w:val="18"/>
          <w:szCs w:val="18"/>
        </w:rPr>
        <w:t xml:space="preserve"> заключения контракта по результатам электронной процедуры.</w:t>
      </w:r>
      <w:r w:rsidR="006461B3" w:rsidRPr="00E71BA0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E71BA0">
        <w:rPr>
          <w:rFonts w:asciiTheme="majorHAnsi" w:hAnsiTheme="majorHAnsi"/>
          <w:color w:val="000000"/>
          <w:sz w:val="18"/>
          <w:szCs w:val="18"/>
        </w:rPr>
        <w:t xml:space="preserve">Порядок проведения экспертизы. </w:t>
      </w:r>
    </w:p>
    <w:p w:rsidR="005C162C" w:rsidRPr="00E71BA0" w:rsidRDefault="009C47F9" w:rsidP="005C162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E71BA0">
        <w:rPr>
          <w:rFonts w:asciiTheme="majorHAnsi" w:hAnsiTheme="majorHAnsi"/>
          <w:b/>
          <w:color w:val="000000"/>
          <w:sz w:val="18"/>
          <w:szCs w:val="18"/>
        </w:rPr>
        <w:t>Типовой контракт на закупку лекарственных препаратов.</w:t>
      </w:r>
      <w:r w:rsidRPr="00E71BA0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B2749D" w:rsidRPr="00E71BA0" w:rsidRDefault="00B2749D" w:rsidP="00B2749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E71BA0">
        <w:rPr>
          <w:rFonts w:asciiTheme="majorHAnsi" w:hAnsiTheme="majorHAnsi"/>
          <w:color w:val="000000"/>
          <w:sz w:val="18"/>
          <w:szCs w:val="18"/>
        </w:rPr>
        <w:t>Единые и национальные правила регистрации лекарственных препаратов.</w:t>
      </w:r>
    </w:p>
    <w:p w:rsidR="005D06E0" w:rsidRPr="00E71BA0" w:rsidRDefault="005D06E0" w:rsidP="005D06E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E71BA0">
        <w:rPr>
          <w:rFonts w:asciiTheme="majorHAnsi" w:hAnsiTheme="majorHAnsi"/>
          <w:color w:val="000000"/>
          <w:sz w:val="18"/>
          <w:szCs w:val="18"/>
        </w:rPr>
        <w:t>Правоприменительная административная и судебная практика.</w:t>
      </w:r>
    </w:p>
    <w:p w:rsidR="005579C5" w:rsidRPr="00E71BA0" w:rsidRDefault="005579C5" w:rsidP="005579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71BA0">
        <w:rPr>
          <w:rFonts w:asciiTheme="majorHAnsi" w:hAnsiTheme="majorHAnsi"/>
          <w:color w:val="000000"/>
          <w:sz w:val="18"/>
          <w:szCs w:val="18"/>
        </w:rPr>
        <w:t>Сложные вопросы.</w:t>
      </w:r>
      <w:r w:rsidRPr="00E71BA0">
        <w:rPr>
          <w:rFonts w:asciiTheme="majorHAnsi" w:hAnsiTheme="majorHAnsi"/>
          <w:sz w:val="18"/>
          <w:szCs w:val="18"/>
        </w:rPr>
        <w:t xml:space="preserve"> Ответы на вопросы слушателей.</w:t>
      </w:r>
    </w:p>
    <w:p w:rsidR="00201D1B" w:rsidRPr="00E71BA0" w:rsidRDefault="009C47F9" w:rsidP="002F78F7">
      <w:pPr>
        <w:shd w:val="clear" w:color="auto" w:fill="FFFFFF"/>
        <w:spacing w:after="0" w:line="240" w:lineRule="auto"/>
        <w:ind w:left="720"/>
        <w:jc w:val="both"/>
        <w:rPr>
          <w:i/>
          <w:spacing w:val="1"/>
          <w:sz w:val="18"/>
          <w:szCs w:val="18"/>
        </w:rPr>
      </w:pPr>
      <w:r w:rsidRPr="00E71BA0">
        <w:rPr>
          <w:rFonts w:asciiTheme="majorHAnsi" w:hAnsiTheme="majorHAnsi"/>
          <w:sz w:val="18"/>
          <w:szCs w:val="18"/>
        </w:rPr>
        <w:t xml:space="preserve">                                                    </w:t>
      </w:r>
      <w:r w:rsidR="00201D1B" w:rsidRPr="00E71BA0">
        <w:rPr>
          <w:spacing w:val="1"/>
          <w:sz w:val="18"/>
          <w:szCs w:val="18"/>
        </w:rPr>
        <w:t>Стоимость участия в семинаре</w:t>
      </w:r>
      <w:r w:rsidR="00201D1B" w:rsidRPr="00E71BA0">
        <w:rPr>
          <w:b/>
          <w:i/>
          <w:spacing w:val="1"/>
          <w:sz w:val="18"/>
          <w:szCs w:val="18"/>
        </w:rPr>
        <w:t xml:space="preserve"> одного слушателя </w:t>
      </w:r>
      <w:r w:rsidR="00201D1B" w:rsidRPr="00E71BA0">
        <w:rPr>
          <w:spacing w:val="1"/>
          <w:sz w:val="18"/>
          <w:szCs w:val="18"/>
        </w:rPr>
        <w:t>составляет</w:t>
      </w:r>
      <w:r w:rsidR="00201D1B" w:rsidRPr="00E71BA0">
        <w:rPr>
          <w:b/>
          <w:i/>
          <w:spacing w:val="1"/>
          <w:sz w:val="18"/>
          <w:szCs w:val="18"/>
        </w:rPr>
        <w:t xml:space="preserve"> 2 500 руб. </w:t>
      </w:r>
      <w:r w:rsidR="00201D1B" w:rsidRPr="00E71BA0">
        <w:rPr>
          <w:i/>
          <w:spacing w:val="1"/>
          <w:sz w:val="18"/>
          <w:szCs w:val="18"/>
        </w:rPr>
        <w:t>с учетом НДС.</w:t>
      </w:r>
    </w:p>
    <w:p w:rsidR="00201D1B" w:rsidRPr="00E71BA0" w:rsidRDefault="00201D1B" w:rsidP="00E71BA0">
      <w:pPr>
        <w:spacing w:after="0" w:line="240" w:lineRule="auto"/>
        <w:ind w:right="-180"/>
        <w:jc w:val="center"/>
        <w:rPr>
          <w:b/>
          <w:bCs/>
          <w:i/>
          <w:sz w:val="18"/>
          <w:szCs w:val="18"/>
          <w:u w:val="single"/>
        </w:rPr>
      </w:pPr>
      <w:r w:rsidRPr="00E71BA0">
        <w:rPr>
          <w:i/>
          <w:sz w:val="18"/>
          <w:szCs w:val="18"/>
          <w:u w:val="single"/>
        </w:rPr>
        <w:t xml:space="preserve">По окончании семинара выдается </w:t>
      </w:r>
      <w:r w:rsidRPr="00E71BA0">
        <w:rPr>
          <w:b/>
          <w:i/>
          <w:sz w:val="18"/>
          <w:szCs w:val="18"/>
          <w:u w:val="single"/>
        </w:rPr>
        <w:t xml:space="preserve">сертификат </w:t>
      </w:r>
      <w:r w:rsidRPr="00E71BA0">
        <w:rPr>
          <w:b/>
          <w:bCs/>
          <w:i/>
          <w:sz w:val="18"/>
          <w:szCs w:val="18"/>
          <w:u w:val="single"/>
        </w:rPr>
        <w:t>НИУ ВШЭ – Пермь.</w:t>
      </w:r>
    </w:p>
    <w:p w:rsidR="00201D1B" w:rsidRPr="00E71BA0" w:rsidRDefault="00201D1B" w:rsidP="00E71BA0">
      <w:pPr>
        <w:jc w:val="center"/>
        <w:rPr>
          <w:sz w:val="18"/>
          <w:szCs w:val="18"/>
        </w:rPr>
      </w:pPr>
      <w:r w:rsidRPr="00E71BA0">
        <w:rPr>
          <w:spacing w:val="4"/>
          <w:sz w:val="18"/>
          <w:szCs w:val="18"/>
        </w:rPr>
        <w:t xml:space="preserve">Заявки на участие в семинаре следует отправлять по электронной почте </w:t>
      </w:r>
      <w:hyperlink r:id="rId9" w:history="1">
        <w:r w:rsidR="00E71BA0" w:rsidRPr="00EC20FF">
          <w:rPr>
            <w:rStyle w:val="a3"/>
            <w:b/>
            <w:spacing w:val="4"/>
            <w:sz w:val="18"/>
            <w:szCs w:val="18"/>
            <w:lang w:val="en-US"/>
          </w:rPr>
          <w:t>Yakovleva</w:t>
        </w:r>
        <w:r w:rsidR="00E71BA0" w:rsidRPr="00EC20FF">
          <w:rPr>
            <w:rStyle w:val="a3"/>
            <w:b/>
            <w:spacing w:val="4"/>
            <w:sz w:val="18"/>
            <w:szCs w:val="18"/>
          </w:rPr>
          <w:t>@hse.ru</w:t>
        </w:r>
      </w:hyperlink>
      <w:r w:rsidR="00E71BA0">
        <w:rPr>
          <w:sz w:val="18"/>
          <w:szCs w:val="18"/>
        </w:rPr>
        <w:t xml:space="preserve"> </w:t>
      </w:r>
      <w:r w:rsidRPr="00E71BA0">
        <w:rPr>
          <w:sz w:val="18"/>
          <w:szCs w:val="18"/>
        </w:rPr>
        <w:t>Контактное лицо: Яковлева Вероника Валерьевна 8(342) 254-56-15, 254-56-14, 89128815716</w:t>
      </w:r>
    </w:p>
    <w:p w:rsidR="00201D1B" w:rsidRPr="00B80DD3" w:rsidRDefault="00201D1B" w:rsidP="00B80DD3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2F78F7"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B80DD3">
        <w:rPr>
          <w:rFonts w:ascii="Arial Black" w:hAnsi="Arial Black" w:cs="Times New Roman"/>
          <w:b/>
          <w:sz w:val="16"/>
          <w:szCs w:val="16"/>
        </w:rPr>
        <w:t xml:space="preserve">Форма заявки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201D1B" w:rsidRPr="00B80DD3" w:rsidTr="002F78F7">
        <w:trPr>
          <w:trHeight w:val="261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№</w:t>
            </w:r>
            <w:r w:rsidRPr="00B80DD3">
              <w:rPr>
                <w:sz w:val="16"/>
                <w:szCs w:val="16"/>
              </w:rPr>
              <w:br/>
            </w:r>
            <w:proofErr w:type="gramStart"/>
            <w:r w:rsidRPr="00B80DD3">
              <w:rPr>
                <w:sz w:val="16"/>
                <w:szCs w:val="16"/>
              </w:rPr>
              <w:t>п</w:t>
            </w:r>
            <w:proofErr w:type="gramEnd"/>
            <w:r w:rsidRPr="00B80DD3">
              <w:rPr>
                <w:sz w:val="16"/>
                <w:szCs w:val="16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Фамилия,</w:t>
            </w:r>
            <w:r w:rsidRPr="00B80DD3">
              <w:rPr>
                <w:sz w:val="16"/>
                <w:szCs w:val="16"/>
              </w:rPr>
              <w:br/>
              <w:t>имя,</w:t>
            </w:r>
            <w:r w:rsidRPr="00B80DD3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Наименование</w:t>
            </w:r>
            <w:r w:rsidRPr="00B80DD3">
              <w:rPr>
                <w:sz w:val="16"/>
                <w:szCs w:val="16"/>
              </w:rPr>
              <w:br/>
              <w:t>организации,</w:t>
            </w:r>
            <w:r w:rsidRPr="00B80DD3">
              <w:rPr>
                <w:sz w:val="16"/>
                <w:szCs w:val="16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01D1B" w:rsidRPr="00B80DD3" w:rsidRDefault="00201D1B" w:rsidP="00B80DD3">
            <w:pPr>
              <w:tabs>
                <w:tab w:val="left" w:leader="dot" w:pos="23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DD3">
              <w:rPr>
                <w:sz w:val="16"/>
                <w:szCs w:val="16"/>
              </w:rPr>
              <w:t>Реквизиты организации</w:t>
            </w:r>
          </w:p>
        </w:tc>
      </w:tr>
    </w:tbl>
    <w:p w:rsidR="006461B3" w:rsidRPr="00E71BA0" w:rsidRDefault="006461B3" w:rsidP="00B80DD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461B3" w:rsidRPr="00E71BA0" w:rsidSect="00E71B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66BE4"/>
    <w:multiLevelType w:val="hybridMultilevel"/>
    <w:tmpl w:val="B3F0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0555FF"/>
    <w:rsid w:val="000C2170"/>
    <w:rsid w:val="000C5FE2"/>
    <w:rsid w:val="000E797E"/>
    <w:rsid w:val="001148E3"/>
    <w:rsid w:val="00145FE4"/>
    <w:rsid w:val="001640D0"/>
    <w:rsid w:val="00192F63"/>
    <w:rsid w:val="001E70EF"/>
    <w:rsid w:val="00201D1B"/>
    <w:rsid w:val="00206E77"/>
    <w:rsid w:val="002E4C59"/>
    <w:rsid w:val="002F5CD0"/>
    <w:rsid w:val="002F78F7"/>
    <w:rsid w:val="0040327B"/>
    <w:rsid w:val="0043458E"/>
    <w:rsid w:val="00465C95"/>
    <w:rsid w:val="00494E9B"/>
    <w:rsid w:val="004F24D0"/>
    <w:rsid w:val="004F4380"/>
    <w:rsid w:val="005579C5"/>
    <w:rsid w:val="005A696A"/>
    <w:rsid w:val="005C162C"/>
    <w:rsid w:val="005D06E0"/>
    <w:rsid w:val="006461B3"/>
    <w:rsid w:val="006A5C29"/>
    <w:rsid w:val="006E2E43"/>
    <w:rsid w:val="00785AE2"/>
    <w:rsid w:val="007E29D2"/>
    <w:rsid w:val="0088609B"/>
    <w:rsid w:val="008B3952"/>
    <w:rsid w:val="008C7629"/>
    <w:rsid w:val="009321DC"/>
    <w:rsid w:val="00934857"/>
    <w:rsid w:val="009C47F9"/>
    <w:rsid w:val="00A55E56"/>
    <w:rsid w:val="00AB23A4"/>
    <w:rsid w:val="00B248AB"/>
    <w:rsid w:val="00B2749D"/>
    <w:rsid w:val="00B40384"/>
    <w:rsid w:val="00B4541E"/>
    <w:rsid w:val="00B64174"/>
    <w:rsid w:val="00B80DD3"/>
    <w:rsid w:val="00BC2C24"/>
    <w:rsid w:val="00C4770F"/>
    <w:rsid w:val="00C8150C"/>
    <w:rsid w:val="00C927E8"/>
    <w:rsid w:val="00CB12BD"/>
    <w:rsid w:val="00D409EE"/>
    <w:rsid w:val="00DC3A98"/>
    <w:rsid w:val="00E11087"/>
    <w:rsid w:val="00E63088"/>
    <w:rsid w:val="00E71BA0"/>
    <w:rsid w:val="00EE3754"/>
    <w:rsid w:val="00EF7208"/>
    <w:rsid w:val="00F87C37"/>
    <w:rsid w:val="00F97861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1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edu.ru/uploads/userfiles/files/Pismo_Ministerstva_zdravookhranenia%20%D0%BE%D1%82%2027_12_2018.pdf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2857.DFB829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kovl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Редькина Анна Сергеевна</cp:lastModifiedBy>
  <cp:revision>3</cp:revision>
  <cp:lastPrinted>2019-01-11T09:20:00Z</cp:lastPrinted>
  <dcterms:created xsi:type="dcterms:W3CDTF">2019-06-26T05:38:00Z</dcterms:created>
  <dcterms:modified xsi:type="dcterms:W3CDTF">2019-08-14T07:50:00Z</dcterms:modified>
</cp:coreProperties>
</file>