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9F1" w:rsidRDefault="003C79F1" w:rsidP="003C79F1">
      <w:pPr>
        <w:spacing w:after="0" w:line="360" w:lineRule="auto"/>
        <w:jc w:val="right"/>
        <w:outlineLvl w:val="0"/>
        <w:rPr>
          <w:rFonts w:ascii="Times New Roman" w:hAnsi="Times New Roman"/>
          <w:bCs/>
          <w:sz w:val="24"/>
          <w:szCs w:val="24"/>
          <w:lang w:val="en-US"/>
        </w:rPr>
      </w:pPr>
      <w:r>
        <w:rPr>
          <w:rFonts w:ascii="Times New Roman" w:hAnsi="Times New Roman"/>
          <w:bCs/>
          <w:sz w:val="24"/>
          <w:szCs w:val="24"/>
          <w:lang w:val="en-US"/>
        </w:rPr>
        <w:t>Approved</w:t>
      </w:r>
    </w:p>
    <w:p w:rsidR="003C79F1" w:rsidRDefault="003C79F1" w:rsidP="003C79F1">
      <w:pPr>
        <w:spacing w:after="0" w:line="360" w:lineRule="auto"/>
        <w:jc w:val="right"/>
        <w:outlineLvl w:val="0"/>
        <w:rPr>
          <w:rFonts w:ascii="Times New Roman" w:hAnsi="Times New Roman"/>
          <w:bCs/>
          <w:sz w:val="24"/>
          <w:szCs w:val="24"/>
          <w:lang w:val="en-US"/>
        </w:rPr>
      </w:pPr>
      <w:r>
        <w:rPr>
          <w:rFonts w:ascii="Times New Roman" w:hAnsi="Times New Roman"/>
          <w:bCs/>
          <w:sz w:val="24"/>
          <w:szCs w:val="24"/>
          <w:lang w:val="en-US"/>
        </w:rPr>
        <w:t>By the Academic Council of the Faculty of Social Science</w:t>
      </w:r>
    </w:p>
    <w:p w:rsidR="003C79F1" w:rsidRDefault="003C79F1" w:rsidP="003C79F1">
      <w:pPr>
        <w:spacing w:after="0" w:line="360" w:lineRule="auto"/>
        <w:jc w:val="right"/>
        <w:outlineLvl w:val="0"/>
        <w:rPr>
          <w:rFonts w:ascii="Times New Roman" w:hAnsi="Times New Roman"/>
          <w:bCs/>
          <w:sz w:val="24"/>
          <w:szCs w:val="24"/>
          <w:lang w:val="en-US"/>
        </w:rPr>
      </w:pPr>
      <w:r>
        <w:rPr>
          <w:rFonts w:ascii="Times New Roman" w:hAnsi="Times New Roman"/>
          <w:bCs/>
          <w:sz w:val="24"/>
          <w:szCs w:val="24"/>
          <w:lang w:val="en-US"/>
        </w:rPr>
        <w:t>The Protocol from the October 17, 2019</w:t>
      </w:r>
    </w:p>
    <w:p w:rsidR="003C79F1" w:rsidRDefault="003C79F1" w:rsidP="003C79F1">
      <w:pPr>
        <w:spacing w:after="0" w:line="360" w:lineRule="auto"/>
        <w:jc w:val="right"/>
        <w:outlineLvl w:val="0"/>
        <w:rPr>
          <w:rFonts w:ascii="Times New Roman" w:hAnsi="Times New Roman"/>
          <w:bCs/>
          <w:sz w:val="24"/>
          <w:szCs w:val="24"/>
          <w:lang w:val="en-US"/>
        </w:rPr>
      </w:pPr>
      <w:r>
        <w:rPr>
          <w:rFonts w:ascii="Times New Roman" w:hAnsi="Times New Roman"/>
          <w:bCs/>
          <w:sz w:val="24"/>
          <w:szCs w:val="24"/>
          <w:lang w:val="en-US"/>
        </w:rPr>
        <w:t>32</w:t>
      </w:r>
    </w:p>
    <w:p w:rsidR="00B04177" w:rsidRPr="003C79F1" w:rsidRDefault="00B04177">
      <w:pPr>
        <w:pStyle w:val="a0"/>
        <w:spacing w:after="0" w:line="360" w:lineRule="atLeast"/>
        <w:jc w:val="center"/>
        <w:rPr>
          <w:lang w:val="en-US"/>
        </w:rPr>
      </w:pPr>
    </w:p>
    <w:p w:rsidR="00B04177" w:rsidRPr="003C79F1" w:rsidRDefault="00B04177">
      <w:pPr>
        <w:pStyle w:val="a0"/>
        <w:spacing w:after="0" w:line="360" w:lineRule="atLeast"/>
        <w:rPr>
          <w:lang w:val="en-US"/>
        </w:rPr>
      </w:pPr>
    </w:p>
    <w:p w:rsidR="00B04177" w:rsidRPr="003C79F1" w:rsidRDefault="00B04177">
      <w:pPr>
        <w:pStyle w:val="a0"/>
        <w:spacing w:after="0" w:line="360" w:lineRule="atLeast"/>
        <w:rPr>
          <w:lang w:val="en-US"/>
        </w:rPr>
      </w:pPr>
    </w:p>
    <w:p w:rsidR="00B04177" w:rsidRPr="003C79F1" w:rsidRDefault="00B04177">
      <w:pPr>
        <w:pStyle w:val="a0"/>
        <w:spacing w:after="0" w:line="360" w:lineRule="atLeast"/>
        <w:jc w:val="center"/>
        <w:rPr>
          <w:lang w:val="en-US"/>
        </w:rPr>
      </w:pPr>
    </w:p>
    <w:p w:rsidR="00B04177" w:rsidRPr="003C79F1" w:rsidRDefault="00B04177">
      <w:pPr>
        <w:pStyle w:val="a0"/>
        <w:spacing w:after="0" w:line="360" w:lineRule="atLeast"/>
        <w:jc w:val="center"/>
        <w:rPr>
          <w:lang w:val="en-US"/>
        </w:rPr>
      </w:pPr>
    </w:p>
    <w:p w:rsidR="00B04177" w:rsidRPr="003C79F1" w:rsidRDefault="00B04177">
      <w:pPr>
        <w:pStyle w:val="a0"/>
        <w:spacing w:after="0" w:line="360" w:lineRule="atLeast"/>
        <w:jc w:val="center"/>
        <w:rPr>
          <w:lang w:val="en-US"/>
        </w:rPr>
      </w:pPr>
    </w:p>
    <w:p w:rsidR="00B04177" w:rsidRPr="003C79F1" w:rsidRDefault="003C79F1">
      <w:pPr>
        <w:pStyle w:val="a0"/>
        <w:spacing w:after="0" w:line="360" w:lineRule="atLeast"/>
        <w:jc w:val="center"/>
        <w:rPr>
          <w:lang w:val="en-US"/>
        </w:rPr>
      </w:pPr>
      <w:r>
        <w:rPr>
          <w:rFonts w:ascii="Times New Roman" w:hAnsi="Times New Roman"/>
          <w:b/>
          <w:bCs/>
          <w:sz w:val="24"/>
          <w:szCs w:val="24"/>
          <w:lang w:val="en-GB"/>
        </w:rPr>
        <w:t>PROCEDURES</w:t>
      </w:r>
    </w:p>
    <w:p w:rsidR="00B04177" w:rsidRPr="003C79F1" w:rsidRDefault="003C79F1">
      <w:pPr>
        <w:pStyle w:val="afd"/>
        <w:spacing w:line="360" w:lineRule="atLeast"/>
        <w:jc w:val="center"/>
        <w:rPr>
          <w:lang w:val="en-US"/>
        </w:rPr>
      </w:pPr>
      <w:r>
        <w:rPr>
          <w:rFonts w:ascii="Times New Roman" w:hAnsi="Times New Roman"/>
          <w:b/>
          <w:sz w:val="24"/>
          <w:szCs w:val="24"/>
          <w:lang w:val="en-GB"/>
        </w:rPr>
        <w:t xml:space="preserve">for the transfer of Master's students at HSE University and other academic institutions to the Master's programme “Cognitive Sciences and Technologies: From Neuron to Cognition”, the Faculty of Social Sciences at HSE University </w:t>
      </w:r>
    </w:p>
    <w:p w:rsidR="00B04177" w:rsidRPr="003C79F1" w:rsidRDefault="00B04177">
      <w:pPr>
        <w:pStyle w:val="a0"/>
        <w:rPr>
          <w:lang w:val="en-US"/>
        </w:rPr>
      </w:pPr>
    </w:p>
    <w:p w:rsidR="00B04177" w:rsidRPr="003C79F1" w:rsidRDefault="00B04177">
      <w:pPr>
        <w:pStyle w:val="a0"/>
        <w:rPr>
          <w:lang w:val="en-US"/>
        </w:rPr>
      </w:pPr>
    </w:p>
    <w:p w:rsidR="00B04177" w:rsidRPr="003C79F1" w:rsidRDefault="00B04177">
      <w:pPr>
        <w:pStyle w:val="a0"/>
        <w:rPr>
          <w:lang w:val="en-US"/>
        </w:rPr>
      </w:pPr>
    </w:p>
    <w:p w:rsidR="00B04177" w:rsidRPr="003C79F1" w:rsidRDefault="003C79F1">
      <w:pPr>
        <w:pStyle w:val="a0"/>
        <w:tabs>
          <w:tab w:val="left" w:pos="8060"/>
        </w:tabs>
        <w:rPr>
          <w:lang w:val="en-US"/>
        </w:rPr>
      </w:pPr>
      <w:r>
        <w:rPr>
          <w:rFonts w:ascii="Times New Roman" w:hAnsi="Times New Roman"/>
          <w:sz w:val="24"/>
          <w:szCs w:val="24"/>
          <w:lang w:val="en-GB"/>
        </w:rPr>
        <w:tab/>
      </w:r>
    </w:p>
    <w:p w:rsidR="00B04177" w:rsidRPr="003C79F1" w:rsidRDefault="00B04177">
      <w:pPr>
        <w:pStyle w:val="a0"/>
        <w:rPr>
          <w:lang w:val="en-US"/>
        </w:rPr>
      </w:pPr>
    </w:p>
    <w:p w:rsidR="00B04177" w:rsidRPr="003C79F1" w:rsidRDefault="00B04177">
      <w:pPr>
        <w:pStyle w:val="a0"/>
        <w:rPr>
          <w:lang w:val="en-US"/>
        </w:rPr>
      </w:pPr>
    </w:p>
    <w:p w:rsidR="00B04177" w:rsidRPr="003C79F1" w:rsidRDefault="00B04177">
      <w:pPr>
        <w:pStyle w:val="a0"/>
        <w:rPr>
          <w:lang w:val="en-US"/>
        </w:rPr>
      </w:pPr>
    </w:p>
    <w:p w:rsidR="00B04177" w:rsidRPr="003C79F1" w:rsidRDefault="00B04177">
      <w:pPr>
        <w:pStyle w:val="a0"/>
        <w:rPr>
          <w:lang w:val="en-US"/>
        </w:rPr>
      </w:pPr>
    </w:p>
    <w:p w:rsidR="00B04177" w:rsidRPr="003C79F1" w:rsidRDefault="00B04177">
      <w:pPr>
        <w:pStyle w:val="a0"/>
        <w:rPr>
          <w:lang w:val="en-US"/>
        </w:rPr>
      </w:pPr>
    </w:p>
    <w:p w:rsidR="00B04177" w:rsidRPr="003C79F1" w:rsidRDefault="00B04177">
      <w:pPr>
        <w:pStyle w:val="a0"/>
        <w:rPr>
          <w:lang w:val="en-US"/>
        </w:rPr>
      </w:pPr>
    </w:p>
    <w:p w:rsidR="00B04177" w:rsidRPr="003C79F1" w:rsidRDefault="00B04177">
      <w:pPr>
        <w:pStyle w:val="a0"/>
        <w:rPr>
          <w:lang w:val="en-US"/>
        </w:rPr>
      </w:pPr>
    </w:p>
    <w:p w:rsidR="00B04177" w:rsidRPr="003C79F1" w:rsidRDefault="00B04177">
      <w:pPr>
        <w:pStyle w:val="a0"/>
        <w:rPr>
          <w:lang w:val="en-US"/>
        </w:rPr>
      </w:pPr>
    </w:p>
    <w:p w:rsidR="00B04177" w:rsidRPr="003C79F1" w:rsidRDefault="00B04177">
      <w:pPr>
        <w:pStyle w:val="a0"/>
        <w:jc w:val="center"/>
        <w:rPr>
          <w:lang w:val="en-US"/>
        </w:rPr>
      </w:pPr>
    </w:p>
    <w:p w:rsidR="00B04177" w:rsidRPr="003C79F1" w:rsidRDefault="00B04177">
      <w:pPr>
        <w:pStyle w:val="a0"/>
        <w:jc w:val="center"/>
        <w:rPr>
          <w:lang w:val="en-US"/>
        </w:rPr>
      </w:pPr>
    </w:p>
    <w:p w:rsidR="00B04177" w:rsidRDefault="003C79F1">
      <w:pPr>
        <w:pStyle w:val="a0"/>
        <w:jc w:val="center"/>
      </w:pPr>
      <w:r>
        <w:rPr>
          <w:rFonts w:ascii="Times New Roman" w:hAnsi="Times New Roman"/>
          <w:sz w:val="24"/>
          <w:szCs w:val="24"/>
          <w:lang w:val="en-GB"/>
        </w:rPr>
        <w:t>Moscow – 2019</w:t>
      </w:r>
    </w:p>
    <w:p w:rsidR="00B04177" w:rsidRDefault="00B04177">
      <w:pPr>
        <w:pStyle w:val="a0"/>
        <w:sectPr w:rsidR="00B04177">
          <w:pgSz w:w="11905" w:h="16837"/>
          <w:pgMar w:top="1134" w:right="850" w:bottom="708" w:left="1701" w:header="720" w:footer="720" w:gutter="0"/>
          <w:cols w:space="720"/>
          <w:formProt w:val="0"/>
        </w:sectPr>
      </w:pPr>
    </w:p>
    <w:p w:rsidR="00B04177" w:rsidRDefault="003C79F1">
      <w:pPr>
        <w:pStyle w:val="13"/>
        <w:numPr>
          <w:ilvl w:val="0"/>
          <w:numId w:val="1"/>
        </w:numPr>
        <w:spacing w:before="240" w:after="240" w:line="360" w:lineRule="atLeast"/>
        <w:ind w:left="0" w:firstLine="0"/>
        <w:jc w:val="center"/>
      </w:pPr>
      <w:bookmarkStart w:id="0" w:name="_GoBack"/>
      <w:bookmarkEnd w:id="0"/>
      <w:r>
        <w:rPr>
          <w:b/>
          <w:szCs w:val="24"/>
          <w:lang w:val="en-GB"/>
        </w:rPr>
        <w:lastRenderedPageBreak/>
        <w:t>General Provisions</w:t>
      </w:r>
    </w:p>
    <w:p w:rsidR="00B04177" w:rsidRPr="003C79F1" w:rsidRDefault="003C79F1">
      <w:pPr>
        <w:pStyle w:val="a0"/>
        <w:jc w:val="both"/>
        <w:rPr>
          <w:lang w:val="en-US"/>
        </w:rPr>
      </w:pPr>
      <w:r>
        <w:rPr>
          <w:rFonts w:ascii="Times New Roman" w:hAnsi="Times New Roman"/>
          <w:sz w:val="24"/>
          <w:szCs w:val="24"/>
          <w:lang w:val="en-GB"/>
        </w:rPr>
        <w:t>1.1</w:t>
      </w:r>
      <w:r>
        <w:rPr>
          <w:rFonts w:ascii="Times New Roman" w:hAnsi="Times New Roman"/>
          <w:color w:val="000000"/>
          <w:sz w:val="24"/>
          <w:szCs w:val="24"/>
          <w:lang w:val="en-GB"/>
        </w:rPr>
        <w:t xml:space="preserve">. </w:t>
      </w:r>
      <w:r>
        <w:rPr>
          <w:rFonts w:ascii="Times New Roman" w:eastAsia="Arial Unicode MS" w:hAnsi="Times New Roman"/>
          <w:iCs/>
          <w:sz w:val="24"/>
          <w:szCs w:val="24"/>
          <w:lang w:val="en-GB" w:eastAsia="ru-RU"/>
        </w:rPr>
        <w:t xml:space="preserve">These Procedures have been developed in accordance with the </w:t>
      </w:r>
      <w:r>
        <w:rPr>
          <w:rFonts w:ascii="Times New Roman" w:eastAsia="Arial Unicode MS" w:hAnsi="Times New Roman"/>
          <w:b/>
          <w:iCs/>
          <w:sz w:val="24"/>
          <w:szCs w:val="24"/>
          <w:lang w:val="en-GB" w:eastAsia="ru-RU"/>
        </w:rPr>
        <w:t xml:space="preserve">Guidelines for transfer of students of Bachelor’s/Specialist/Master’s programmes at National Research University Higher School of Economics, </w:t>
      </w:r>
      <w:r>
        <w:rPr>
          <w:rFonts w:ascii="Times New Roman" w:eastAsia="Arial Unicode MS" w:hAnsi="Times New Roman"/>
          <w:b/>
          <w:iCs/>
          <w:sz w:val="24"/>
          <w:szCs w:val="24"/>
          <w:lang w:val="en-GB" w:eastAsia="ru-RU"/>
        </w:rPr>
        <w:t>and Bachelor’s/Specialist/Master’s students from other academic institutions to National Research University Higher School of Economics</w:t>
      </w:r>
      <w:r>
        <w:rPr>
          <w:rFonts w:ascii="Times New Roman" w:eastAsia="Arial Unicode MS" w:hAnsi="Times New Roman"/>
          <w:iCs/>
          <w:sz w:val="24"/>
          <w:szCs w:val="24"/>
          <w:lang w:val="en-GB" w:eastAsia="ru-RU"/>
        </w:rPr>
        <w:t xml:space="preserve"> (hereinafter, </w:t>
      </w:r>
      <w:r>
        <w:rPr>
          <w:rFonts w:ascii="Times New Roman" w:eastAsia="Arial Unicode MS" w:hAnsi="Times New Roman"/>
          <w:b/>
          <w:iCs/>
          <w:sz w:val="24"/>
          <w:szCs w:val="24"/>
          <w:lang w:val="en-GB" w:eastAsia="ru-RU"/>
        </w:rPr>
        <w:t>Guidelines</w:t>
      </w:r>
      <w:r>
        <w:rPr>
          <w:rFonts w:ascii="Times New Roman" w:eastAsia="Arial Unicode MS" w:hAnsi="Times New Roman"/>
          <w:iCs/>
          <w:sz w:val="24"/>
          <w:szCs w:val="24"/>
          <w:lang w:val="en-GB" w:eastAsia="ru-RU"/>
        </w:rPr>
        <w:t>), approved by the HSE University Academic Council (minutes No. 07, dated June 23, 2017).</w:t>
      </w:r>
      <w:r>
        <w:rPr>
          <w:rFonts w:ascii="Times New Roman" w:eastAsia="Times New Roman" w:hAnsi="Times New Roman"/>
          <w:color w:val="000000"/>
          <w:sz w:val="24"/>
          <w:szCs w:val="24"/>
          <w:lang w:val="en-GB"/>
        </w:rPr>
        <w:t xml:space="preserve"> </w:t>
      </w:r>
    </w:p>
    <w:p w:rsidR="00B04177" w:rsidRPr="003C79F1" w:rsidRDefault="003C79F1">
      <w:pPr>
        <w:pStyle w:val="13"/>
        <w:numPr>
          <w:ilvl w:val="0"/>
          <w:numId w:val="1"/>
        </w:numPr>
        <w:spacing w:before="240" w:after="240" w:line="360" w:lineRule="atLeast"/>
        <w:ind w:left="0" w:firstLine="0"/>
        <w:rPr>
          <w:lang w:val="en-US"/>
        </w:rPr>
      </w:pPr>
      <w:r>
        <w:rPr>
          <w:szCs w:val="24"/>
          <w:lang w:val="en-GB"/>
        </w:rPr>
        <w:t xml:space="preserve">1.2. </w:t>
      </w:r>
      <w:r>
        <w:rPr>
          <w:szCs w:val="24"/>
          <w:lang w:val="en-GB"/>
        </w:rPr>
        <w:t>These Procedures are intended for Master's students at HSE University and other academic institutions who are transferring to the Master's programme “Cognitive Sciences and Technologies: From Neuron to Cognition” in the field of study 37.04.01 “Psychology”</w:t>
      </w:r>
      <w:r>
        <w:rPr>
          <w:szCs w:val="24"/>
          <w:lang w:val="en-GB"/>
        </w:rPr>
        <w:t xml:space="preserve"> in the Faculty of Social Sciences at HSE University (hereinafter, </w:t>
      </w:r>
      <w:r>
        <w:rPr>
          <w:b/>
          <w:szCs w:val="24"/>
          <w:lang w:val="en-GB"/>
        </w:rPr>
        <w:t xml:space="preserve">MP “Cognitive Sciences and Technology: From Neuron to Cognition”). </w:t>
      </w:r>
    </w:p>
    <w:p w:rsidR="00B04177" w:rsidRPr="003C79F1" w:rsidRDefault="003C79F1">
      <w:pPr>
        <w:pStyle w:val="a0"/>
        <w:tabs>
          <w:tab w:val="left" w:pos="0"/>
          <w:tab w:val="left" w:pos="284"/>
          <w:tab w:val="left" w:pos="426"/>
          <w:tab w:val="left" w:pos="567"/>
          <w:tab w:val="left" w:pos="851"/>
          <w:tab w:val="left" w:pos="993"/>
          <w:tab w:val="left" w:pos="1134"/>
        </w:tabs>
        <w:spacing w:before="240" w:after="240" w:line="360" w:lineRule="atLeast"/>
        <w:jc w:val="both"/>
        <w:rPr>
          <w:lang w:val="en-US"/>
        </w:rPr>
      </w:pPr>
      <w:r>
        <w:rPr>
          <w:rFonts w:ascii="Times New Roman" w:hAnsi="Times New Roman"/>
          <w:sz w:val="24"/>
          <w:szCs w:val="24"/>
          <w:lang w:val="en-GB"/>
        </w:rPr>
        <w:t>1.3. In accordance with the requirements set out in these Procedures, the following is carried out:</w:t>
      </w:r>
    </w:p>
    <w:p w:rsidR="00B04177" w:rsidRPr="003C79F1" w:rsidRDefault="003C79F1">
      <w:pPr>
        <w:pStyle w:val="inbox-inbox-m-9132033570937374834msolistparagraph"/>
        <w:numPr>
          <w:ilvl w:val="0"/>
          <w:numId w:val="2"/>
        </w:numPr>
        <w:spacing w:before="28" w:after="28" w:line="360" w:lineRule="atLeast"/>
        <w:jc w:val="both"/>
        <w:rPr>
          <w:lang w:val="en-US"/>
        </w:rPr>
      </w:pPr>
      <w:r>
        <w:rPr>
          <w:lang w:val="en-GB"/>
        </w:rPr>
        <w:t>the transfer of stude</w:t>
      </w:r>
      <w:r>
        <w:rPr>
          <w:lang w:val="en-GB"/>
        </w:rPr>
        <w:t xml:space="preserve">nts from other academic institutions, including foreign academic institutions to the MP “Cognitive Sciences and Technology: From Neuron to Cognition”; </w:t>
      </w:r>
    </w:p>
    <w:p w:rsidR="00B04177" w:rsidRPr="003C79F1" w:rsidRDefault="003C79F1">
      <w:pPr>
        <w:pStyle w:val="inbox-inbox-m-9132033570937374834msolistparagraph"/>
        <w:numPr>
          <w:ilvl w:val="0"/>
          <w:numId w:val="2"/>
        </w:numPr>
        <w:spacing w:before="28" w:after="28" w:line="360" w:lineRule="atLeast"/>
        <w:jc w:val="both"/>
        <w:rPr>
          <w:lang w:val="en-US"/>
        </w:rPr>
      </w:pPr>
      <w:r>
        <w:rPr>
          <w:lang w:val="en-GB"/>
        </w:rPr>
        <w:t xml:space="preserve">the transfer of students from other degree programmes (hereinafter, </w:t>
      </w:r>
      <w:r>
        <w:rPr>
          <w:b/>
          <w:lang w:val="en-GB"/>
        </w:rPr>
        <w:t>DP</w:t>
      </w:r>
      <w:r>
        <w:rPr>
          <w:lang w:val="en-GB"/>
        </w:rPr>
        <w:t>) to the MP “Cognitive Sciences an</w:t>
      </w:r>
      <w:r>
        <w:rPr>
          <w:lang w:val="en-GB"/>
        </w:rPr>
        <w:t xml:space="preserve">d Technologies: From Neuron to Cognition”. </w:t>
      </w:r>
    </w:p>
    <w:p w:rsidR="00B04177" w:rsidRPr="003C79F1" w:rsidRDefault="003C79F1">
      <w:pPr>
        <w:pStyle w:val="1"/>
        <w:tabs>
          <w:tab w:val="left" w:pos="284"/>
        </w:tabs>
        <w:spacing w:before="240" w:after="240" w:line="360" w:lineRule="atLeast"/>
        <w:jc w:val="center"/>
        <w:rPr>
          <w:lang w:val="en-US"/>
        </w:rPr>
      </w:pPr>
      <w:bookmarkStart w:id="1" w:name="_Toc486007843"/>
      <w:bookmarkEnd w:id="1"/>
      <w:r>
        <w:rPr>
          <w:rFonts w:ascii="Times New Roman" w:hAnsi="Times New Roman"/>
          <w:color w:val="000000"/>
          <w:sz w:val="24"/>
          <w:szCs w:val="24"/>
          <w:lang w:val="en-GB"/>
        </w:rPr>
        <w:t xml:space="preserve">2. Procedures for Determining the Number of Transfer Spots and the Transfer Time Frame </w:t>
      </w:r>
    </w:p>
    <w:p w:rsidR="00B04177" w:rsidRPr="003C79F1" w:rsidRDefault="003C79F1">
      <w:pPr>
        <w:pStyle w:val="a0"/>
        <w:tabs>
          <w:tab w:val="left" w:pos="0"/>
          <w:tab w:val="left" w:pos="567"/>
          <w:tab w:val="left" w:pos="851"/>
          <w:tab w:val="left" w:pos="1276"/>
        </w:tabs>
        <w:spacing w:before="240" w:after="240" w:line="360" w:lineRule="atLeast"/>
        <w:jc w:val="both"/>
        <w:rPr>
          <w:lang w:val="en-US"/>
        </w:rPr>
      </w:pPr>
      <w:r>
        <w:rPr>
          <w:rFonts w:ascii="Times New Roman" w:hAnsi="Times New Roman"/>
          <w:sz w:val="24"/>
          <w:szCs w:val="24"/>
          <w:lang w:val="en-GB"/>
        </w:rPr>
        <w:t>2.1. Transfers for study in the MP “Cognitive Sciences and Technologies: From Neuron to Cognition” are carried out to both s</w:t>
      </w:r>
      <w:r>
        <w:rPr>
          <w:rFonts w:ascii="Times New Roman" w:hAnsi="Times New Roman"/>
          <w:sz w:val="24"/>
          <w:szCs w:val="24"/>
          <w:lang w:val="en-GB"/>
        </w:rPr>
        <w:t xml:space="preserve">tate-funded places and fee-paying places. </w:t>
      </w:r>
    </w:p>
    <w:p w:rsidR="00B04177" w:rsidRPr="003C79F1" w:rsidRDefault="003C79F1">
      <w:pPr>
        <w:pStyle w:val="a0"/>
        <w:tabs>
          <w:tab w:val="left" w:pos="0"/>
          <w:tab w:val="left" w:pos="567"/>
          <w:tab w:val="left" w:pos="851"/>
          <w:tab w:val="left" w:pos="1276"/>
        </w:tabs>
        <w:spacing w:before="240" w:after="240" w:line="360" w:lineRule="atLeast"/>
        <w:jc w:val="both"/>
        <w:rPr>
          <w:lang w:val="en-US"/>
        </w:rPr>
      </w:pPr>
      <w:r>
        <w:rPr>
          <w:rFonts w:ascii="Times New Roman" w:hAnsi="Times New Roman"/>
          <w:sz w:val="24"/>
          <w:szCs w:val="24"/>
          <w:lang w:val="en-GB"/>
        </w:rPr>
        <w:t>The number of vacant state-funded and fee-paying transfer places for each year of the MP “Cognitive Sciences and Technologies: From Neuron to Cognition” is determined so as to not increase the number of study grou</w:t>
      </w:r>
      <w:r>
        <w:rPr>
          <w:rFonts w:ascii="Times New Roman" w:hAnsi="Times New Roman"/>
          <w:sz w:val="24"/>
          <w:szCs w:val="24"/>
          <w:lang w:val="en-GB"/>
        </w:rPr>
        <w:t>ps for the current academic year</w:t>
      </w:r>
      <w:r>
        <w:rPr>
          <w:rStyle w:val="ae"/>
          <w:rFonts w:ascii="Times New Roman" w:hAnsi="Times New Roman"/>
          <w:sz w:val="24"/>
          <w:szCs w:val="24"/>
          <w:lang w:val="en-GB"/>
        </w:rPr>
        <w:footnoteReference w:id="1"/>
      </w:r>
      <w:r>
        <w:rPr>
          <w:rFonts w:ascii="Times New Roman" w:hAnsi="Times New Roman"/>
          <w:sz w:val="24"/>
          <w:szCs w:val="24"/>
          <w:lang w:val="en-GB"/>
        </w:rPr>
        <w:t>.</w:t>
      </w:r>
    </w:p>
    <w:p w:rsidR="00B04177" w:rsidRPr="003C79F1" w:rsidRDefault="003C79F1">
      <w:pPr>
        <w:pStyle w:val="a0"/>
        <w:tabs>
          <w:tab w:val="left" w:pos="0"/>
          <w:tab w:val="left" w:pos="567"/>
          <w:tab w:val="left" w:pos="851"/>
          <w:tab w:val="left" w:pos="1276"/>
        </w:tabs>
        <w:spacing w:before="240" w:after="240" w:line="360" w:lineRule="atLeast"/>
        <w:jc w:val="both"/>
        <w:rPr>
          <w:lang w:val="en-US"/>
        </w:rPr>
      </w:pPr>
      <w:r>
        <w:rPr>
          <w:rFonts w:ascii="Times New Roman" w:hAnsi="Times New Roman"/>
          <w:sz w:val="24"/>
          <w:szCs w:val="24"/>
          <w:lang w:val="en-GB"/>
        </w:rPr>
        <w:t>2.2. Within the time frame established by the current Procedures, the academic committee for the MP “Cognitive Sciences and Technologies: From Neuron to Cognition” shall determine the number of vacant places available for</w:t>
      </w:r>
      <w:r>
        <w:rPr>
          <w:rFonts w:ascii="Times New Roman" w:hAnsi="Times New Roman"/>
          <w:sz w:val="24"/>
          <w:szCs w:val="24"/>
          <w:lang w:val="en-GB"/>
        </w:rPr>
        <w:t xml:space="preserve"> transfer to students of the MP “Cognitive Sciences and Technologies: From Neuron to Cognition”, other HSE University’s degree programmes and other academic institutions. </w:t>
      </w:r>
    </w:p>
    <w:p w:rsidR="00B04177" w:rsidRPr="003C79F1" w:rsidRDefault="003C79F1">
      <w:pPr>
        <w:pStyle w:val="a0"/>
        <w:tabs>
          <w:tab w:val="left" w:pos="0"/>
          <w:tab w:val="left" w:pos="567"/>
          <w:tab w:val="left" w:pos="851"/>
          <w:tab w:val="left" w:pos="1276"/>
        </w:tabs>
        <w:spacing w:before="240" w:after="240" w:line="360" w:lineRule="atLeast"/>
        <w:jc w:val="both"/>
        <w:rPr>
          <w:lang w:val="en-US"/>
        </w:rPr>
      </w:pPr>
      <w:r>
        <w:rPr>
          <w:rFonts w:ascii="Times New Roman" w:hAnsi="Times New Roman"/>
          <w:sz w:val="24"/>
          <w:szCs w:val="24"/>
          <w:lang w:val="en-GB"/>
        </w:rPr>
        <w:t xml:space="preserve">2.3. Students applying for transfer to the MP “Cognitive Sciences and Technologies: </w:t>
      </w:r>
      <w:r>
        <w:rPr>
          <w:rFonts w:ascii="Times New Roman" w:hAnsi="Times New Roman"/>
          <w:sz w:val="24"/>
          <w:szCs w:val="24"/>
          <w:lang w:val="en-GB"/>
        </w:rPr>
        <w:t xml:space="preserve">From Neuron to Cognition” from other HSE University’s DP or other academic institutions shall be </w:t>
      </w:r>
      <w:r>
        <w:rPr>
          <w:rFonts w:ascii="Times New Roman" w:hAnsi="Times New Roman"/>
          <w:sz w:val="24"/>
          <w:szCs w:val="24"/>
          <w:lang w:val="en-GB"/>
        </w:rPr>
        <w:lastRenderedPageBreak/>
        <w:t>eligible for enrolment on vacant state-funded transfer places only if they have no academic failures. Students who have academic failures can only apply for ad</w:t>
      </w:r>
      <w:r>
        <w:rPr>
          <w:rFonts w:ascii="Times New Roman" w:hAnsi="Times New Roman"/>
          <w:sz w:val="24"/>
          <w:szCs w:val="24"/>
          <w:lang w:val="en-GB"/>
        </w:rPr>
        <w:t>mission to fee-paying transfer places under the MP “Cognitive Sciences and Technologies: From Neuron to Cognition”.</w:t>
      </w:r>
    </w:p>
    <w:p w:rsidR="00B04177" w:rsidRPr="003C79F1" w:rsidRDefault="003C79F1">
      <w:pPr>
        <w:pStyle w:val="a0"/>
        <w:tabs>
          <w:tab w:val="left" w:pos="0"/>
          <w:tab w:val="left" w:pos="567"/>
          <w:tab w:val="left" w:pos="851"/>
          <w:tab w:val="left" w:pos="1276"/>
        </w:tabs>
        <w:spacing w:before="240" w:after="240" w:line="360" w:lineRule="atLeast"/>
        <w:jc w:val="both"/>
        <w:rPr>
          <w:lang w:val="en-US"/>
        </w:rPr>
      </w:pPr>
      <w:r>
        <w:rPr>
          <w:rFonts w:ascii="Times New Roman" w:hAnsi="Times New Roman"/>
          <w:sz w:val="24"/>
          <w:szCs w:val="24"/>
          <w:lang w:val="en-GB"/>
        </w:rPr>
        <w:t xml:space="preserve">2.4.  If there are any fee-paying students of the MP “Cognitive Sciences and Technologies: From Neuron to Cognition” wishing to transfer to </w:t>
      </w:r>
      <w:r>
        <w:rPr>
          <w:rFonts w:ascii="Times New Roman" w:hAnsi="Times New Roman"/>
          <w:sz w:val="24"/>
          <w:szCs w:val="24"/>
          <w:lang w:val="en-GB"/>
        </w:rPr>
        <w:t>a vacant state-funded place, or fee-paying foreign students wishing to transfer to a vacant place financed by quota state funding</w:t>
      </w:r>
      <w:r>
        <w:rPr>
          <w:rFonts w:ascii="Times New Roman" w:hAnsi="Times New Roman"/>
          <w:sz w:val="24"/>
          <w:szCs w:val="24"/>
          <w:lang w:val="en-US"/>
        </w:rPr>
        <w:t>,</w:t>
      </w:r>
      <w:r>
        <w:rPr>
          <w:rFonts w:ascii="Times New Roman" w:hAnsi="Times New Roman"/>
          <w:sz w:val="24"/>
          <w:szCs w:val="24"/>
          <w:lang w:val="en-GB"/>
        </w:rPr>
        <w:t xml:space="preserve"> the MP “Cognitive Sciences and Technologies: From Neuron to Cognition” shall give them priority to such transfer spots over c</w:t>
      </w:r>
      <w:r>
        <w:rPr>
          <w:rFonts w:ascii="Times New Roman" w:hAnsi="Times New Roman"/>
          <w:sz w:val="24"/>
          <w:szCs w:val="24"/>
          <w:lang w:val="en-GB"/>
        </w:rPr>
        <w:t>andidates from other academic institutions or other DP.</w:t>
      </w:r>
    </w:p>
    <w:p w:rsidR="00B04177" w:rsidRPr="003C79F1" w:rsidRDefault="003C79F1">
      <w:pPr>
        <w:pStyle w:val="a0"/>
        <w:tabs>
          <w:tab w:val="left" w:pos="0"/>
          <w:tab w:val="left" w:pos="567"/>
          <w:tab w:val="left" w:pos="851"/>
          <w:tab w:val="left" w:pos="1276"/>
        </w:tabs>
        <w:spacing w:before="240" w:after="240" w:line="360" w:lineRule="atLeast"/>
        <w:jc w:val="both"/>
        <w:rPr>
          <w:lang w:val="en-US"/>
        </w:rPr>
      </w:pPr>
      <w:r>
        <w:rPr>
          <w:rFonts w:ascii="Times New Roman" w:hAnsi="Times New Roman"/>
          <w:sz w:val="24"/>
          <w:szCs w:val="24"/>
          <w:lang w:val="en-GB"/>
        </w:rPr>
        <w:t xml:space="preserve">2.5. Information about the number of vacant transfer places shall be published in the specialized section of the MP “Cognitive Sciences and Technologies: From Neuron to Cognition” site titled “Number </w:t>
      </w:r>
      <w:r>
        <w:rPr>
          <w:rFonts w:ascii="Times New Roman" w:hAnsi="Times New Roman"/>
          <w:sz w:val="24"/>
          <w:szCs w:val="24"/>
          <w:lang w:val="en-GB"/>
        </w:rPr>
        <w:t xml:space="preserve">of students and vacant places” (hereinafter, specialized section of the site) on the HSE University corporate portal no later than June 1 and December 1. </w:t>
      </w:r>
    </w:p>
    <w:p w:rsidR="00B04177" w:rsidRPr="003C79F1" w:rsidRDefault="003C79F1">
      <w:pPr>
        <w:pStyle w:val="a0"/>
        <w:tabs>
          <w:tab w:val="left" w:pos="0"/>
          <w:tab w:val="left" w:pos="567"/>
          <w:tab w:val="left" w:pos="851"/>
          <w:tab w:val="left" w:pos="1276"/>
        </w:tabs>
        <w:spacing w:before="240" w:after="240" w:line="360" w:lineRule="atLeast"/>
        <w:jc w:val="both"/>
        <w:rPr>
          <w:lang w:val="en-US"/>
        </w:rPr>
      </w:pPr>
      <w:r>
        <w:rPr>
          <w:rFonts w:ascii="Times New Roman" w:hAnsi="Times New Roman"/>
          <w:sz w:val="24"/>
          <w:szCs w:val="24"/>
          <w:lang w:val="en-GB"/>
        </w:rPr>
        <w:t xml:space="preserve">2.6. Students are transferred to the MP “Cognitive Sciences and Technologies: From Neuron to Cognition” only in December according to the results of </w:t>
      </w:r>
      <w:r>
        <w:rPr>
          <w:rFonts w:ascii="Times New Roman" w:hAnsi="Times New Roman"/>
          <w:sz w:val="24"/>
          <w:szCs w:val="24"/>
          <w:lang w:val="en-US"/>
        </w:rPr>
        <w:t>S</w:t>
      </w:r>
      <w:r>
        <w:rPr>
          <w:rFonts w:ascii="Times New Roman" w:hAnsi="Times New Roman"/>
          <w:sz w:val="24"/>
          <w:szCs w:val="24"/>
          <w:lang w:val="en-GB"/>
        </w:rPr>
        <w:t>emester 1. A later transfer is not possible because the programme is extensive and subject-specific. Moreo</w:t>
      </w:r>
      <w:r>
        <w:rPr>
          <w:rFonts w:ascii="Times New Roman" w:hAnsi="Times New Roman"/>
          <w:sz w:val="24"/>
          <w:szCs w:val="24"/>
          <w:lang w:val="en-GB"/>
        </w:rPr>
        <w:t xml:space="preserve">ver, all courses in the programme curriculum are integrated in a coherent whole. Therefore, if a student has missed more than one module, it is no longer possible to make up for the knowledge necessary for further studies. Applications for transfer to the </w:t>
      </w:r>
      <w:r>
        <w:rPr>
          <w:rFonts w:ascii="Times New Roman" w:hAnsi="Times New Roman"/>
          <w:sz w:val="24"/>
          <w:szCs w:val="24"/>
          <w:lang w:val="en-GB"/>
        </w:rPr>
        <w:t xml:space="preserve">MP “Cognitive Sciences and Technologies: From Neuron to Cognition” are accepted from 1st till the 15th day of the current transfer period until the end of the calendar month.  </w:t>
      </w:r>
    </w:p>
    <w:p w:rsidR="00B04177" w:rsidRPr="003C79F1" w:rsidRDefault="00B04177">
      <w:pPr>
        <w:pStyle w:val="a0"/>
        <w:tabs>
          <w:tab w:val="left" w:pos="0"/>
          <w:tab w:val="left" w:pos="567"/>
          <w:tab w:val="left" w:pos="851"/>
          <w:tab w:val="left" w:pos="1276"/>
        </w:tabs>
        <w:spacing w:before="240" w:after="240" w:line="360" w:lineRule="atLeast"/>
        <w:jc w:val="both"/>
        <w:rPr>
          <w:lang w:val="en-US"/>
        </w:rPr>
      </w:pPr>
    </w:p>
    <w:p w:rsidR="00B04177" w:rsidRPr="003C79F1" w:rsidRDefault="003C79F1">
      <w:pPr>
        <w:pStyle w:val="a0"/>
        <w:tabs>
          <w:tab w:val="left" w:pos="0"/>
          <w:tab w:val="left" w:pos="567"/>
          <w:tab w:val="left" w:pos="851"/>
          <w:tab w:val="left" w:pos="1276"/>
        </w:tabs>
        <w:spacing w:before="240" w:after="240" w:line="360" w:lineRule="atLeast"/>
        <w:jc w:val="center"/>
        <w:rPr>
          <w:lang w:val="en-US"/>
        </w:rPr>
      </w:pPr>
      <w:r>
        <w:rPr>
          <w:rFonts w:ascii="Times New Roman" w:hAnsi="Times New Roman"/>
          <w:b/>
          <w:color w:val="000000"/>
          <w:sz w:val="24"/>
          <w:szCs w:val="24"/>
          <w:lang w:val="en-GB"/>
        </w:rPr>
        <w:t xml:space="preserve">3. Organization of Student Transfer and Assessment Procedures </w:t>
      </w:r>
    </w:p>
    <w:p w:rsidR="00B04177" w:rsidRPr="003C79F1" w:rsidRDefault="003C79F1">
      <w:pPr>
        <w:pStyle w:val="a0"/>
        <w:tabs>
          <w:tab w:val="left" w:pos="0"/>
          <w:tab w:val="left" w:pos="142"/>
          <w:tab w:val="left" w:pos="851"/>
          <w:tab w:val="left" w:pos="1134"/>
          <w:tab w:val="left" w:pos="1701"/>
        </w:tabs>
        <w:spacing w:before="240" w:after="240" w:line="360" w:lineRule="atLeast"/>
        <w:jc w:val="both"/>
        <w:rPr>
          <w:lang w:val="en-US"/>
        </w:rPr>
      </w:pPr>
      <w:r>
        <w:rPr>
          <w:rFonts w:ascii="Times New Roman" w:hAnsi="Times New Roman"/>
          <w:sz w:val="24"/>
          <w:szCs w:val="24"/>
          <w:lang w:val="en-GB"/>
        </w:rPr>
        <w:t>3.1. In accorda</w:t>
      </w:r>
      <w:r>
        <w:rPr>
          <w:rFonts w:ascii="Times New Roman" w:hAnsi="Times New Roman"/>
          <w:sz w:val="24"/>
          <w:szCs w:val="24"/>
          <w:lang w:val="en-GB"/>
        </w:rPr>
        <w:t>nce with the Guideline for transfer of students, the academic supervisor of the MP “Cognitive Sciences and Technologies: From Neuron to Cognition” engages the Evaluation Committee of the degree programme to conduct an evaluation of the students in order to</w:t>
      </w:r>
      <w:r>
        <w:rPr>
          <w:rFonts w:ascii="Times New Roman" w:hAnsi="Times New Roman"/>
          <w:sz w:val="24"/>
          <w:szCs w:val="24"/>
          <w:lang w:val="en-GB"/>
        </w:rPr>
        <w:t xml:space="preserve"> make a decision about the possibility of transfer to the MP “Cognitive Sciences and Technologies: From Neuron to Cognition”.</w:t>
      </w:r>
    </w:p>
    <w:p w:rsidR="00B04177" w:rsidRPr="003C79F1" w:rsidRDefault="003C79F1">
      <w:pPr>
        <w:pStyle w:val="a0"/>
        <w:spacing w:after="0" w:line="360" w:lineRule="atLeast"/>
        <w:jc w:val="both"/>
        <w:rPr>
          <w:lang w:val="en-US"/>
        </w:rPr>
      </w:pPr>
      <w:r>
        <w:rPr>
          <w:rFonts w:ascii="Times New Roman" w:hAnsi="Times New Roman"/>
          <w:sz w:val="24"/>
          <w:szCs w:val="24"/>
          <w:lang w:val="en-GB"/>
        </w:rPr>
        <w:t>3.2. To complete a transfer to the MP “Cognitive Sciences and Technologies: From Neuron to Cognition”, the Evaluation Committee co</w:t>
      </w:r>
      <w:r>
        <w:rPr>
          <w:rFonts w:ascii="Times New Roman" w:hAnsi="Times New Roman"/>
          <w:sz w:val="24"/>
          <w:szCs w:val="24"/>
          <w:lang w:val="en-GB"/>
        </w:rPr>
        <w:t xml:space="preserve">nducts an evaluation by way of reviewing necessary transfer documents submitted by the students applying for the transfer to the MP “Cognitive Sciences and Technologies: From Neuron to Cognition”: </w:t>
      </w:r>
    </w:p>
    <w:p w:rsidR="00B04177" w:rsidRPr="003C79F1" w:rsidRDefault="003C79F1">
      <w:pPr>
        <w:pStyle w:val="inbox-inbox-m-9132033570937374834msolistparagraph"/>
        <w:numPr>
          <w:ilvl w:val="0"/>
          <w:numId w:val="2"/>
        </w:numPr>
        <w:spacing w:before="28" w:after="28" w:line="360" w:lineRule="atLeast"/>
        <w:jc w:val="both"/>
        <w:rPr>
          <w:lang w:val="en-US"/>
        </w:rPr>
      </w:pPr>
      <w:r>
        <w:rPr>
          <w:iCs/>
          <w:color w:val="212121"/>
          <w:lang w:val="en-GB"/>
        </w:rPr>
        <w:t xml:space="preserve">degree diploma and diploma supplement; </w:t>
      </w:r>
    </w:p>
    <w:p w:rsidR="00B04177" w:rsidRDefault="003C79F1">
      <w:pPr>
        <w:pStyle w:val="inbox-inbox-m-9132033570937374834msolistparagraph"/>
        <w:numPr>
          <w:ilvl w:val="0"/>
          <w:numId w:val="2"/>
        </w:numPr>
        <w:spacing w:before="28" w:after="28" w:line="360" w:lineRule="atLeast"/>
        <w:jc w:val="both"/>
      </w:pPr>
      <w:r>
        <w:rPr>
          <w:iCs/>
          <w:color w:val="212121"/>
          <w:lang w:val="en-GB"/>
        </w:rPr>
        <w:t>CV (in English);</w:t>
      </w:r>
    </w:p>
    <w:p w:rsidR="00B04177" w:rsidRDefault="003C79F1">
      <w:pPr>
        <w:pStyle w:val="inbox-inbox-m-9132033570937374834msolistparagraph"/>
        <w:numPr>
          <w:ilvl w:val="0"/>
          <w:numId w:val="2"/>
        </w:numPr>
        <w:spacing w:before="28" w:after="28" w:line="360" w:lineRule="atLeast"/>
        <w:jc w:val="both"/>
      </w:pPr>
      <w:r>
        <w:rPr>
          <w:iCs/>
          <w:color w:val="212121"/>
          <w:lang w:val="en-GB"/>
        </w:rPr>
        <w:t>m</w:t>
      </w:r>
      <w:r>
        <w:rPr>
          <w:iCs/>
          <w:color w:val="212121"/>
          <w:lang w:val="en-GB"/>
        </w:rPr>
        <w:t xml:space="preserve">otivation letter (in English): </w:t>
      </w:r>
    </w:p>
    <w:p w:rsidR="00B04177" w:rsidRPr="003C79F1" w:rsidRDefault="003C79F1">
      <w:pPr>
        <w:pStyle w:val="inbox-inbox-m-9132033570937374834msolistparagraph"/>
        <w:numPr>
          <w:ilvl w:val="0"/>
          <w:numId w:val="2"/>
        </w:numPr>
        <w:spacing w:before="28" w:after="28" w:line="360" w:lineRule="atLeast"/>
        <w:jc w:val="both"/>
        <w:rPr>
          <w:lang w:val="en-US"/>
        </w:rPr>
      </w:pPr>
      <w:r>
        <w:rPr>
          <w:iCs/>
          <w:color w:val="212121"/>
          <w:lang w:val="en-GB"/>
        </w:rPr>
        <w:lastRenderedPageBreak/>
        <w:t xml:space="preserve">certificate of academic performance at the previous place of Master's study; </w:t>
      </w:r>
    </w:p>
    <w:p w:rsidR="00B04177" w:rsidRPr="003C79F1" w:rsidRDefault="003C79F1">
      <w:pPr>
        <w:pStyle w:val="inbox-inbox-m-9132033570937374834msolistparagraph"/>
        <w:numPr>
          <w:ilvl w:val="0"/>
          <w:numId w:val="2"/>
        </w:numPr>
        <w:spacing w:before="28" w:after="28" w:line="360" w:lineRule="atLeast"/>
        <w:jc w:val="both"/>
        <w:rPr>
          <w:lang w:val="en-US"/>
        </w:rPr>
      </w:pPr>
      <w:r>
        <w:rPr>
          <w:iCs/>
          <w:color w:val="212121"/>
          <w:lang w:val="en-GB"/>
        </w:rPr>
        <w:t>academic project or text of the Bachelor's (</w:t>
      </w:r>
      <w:r>
        <w:rPr>
          <w:iCs/>
          <w:color w:val="212121"/>
          <w:lang w:val="en-US"/>
        </w:rPr>
        <w:t>S</w:t>
      </w:r>
      <w:r>
        <w:rPr>
          <w:iCs/>
          <w:color w:val="212121"/>
          <w:lang w:val="en-GB"/>
        </w:rPr>
        <w:t xml:space="preserve">pecialist) thesis; </w:t>
      </w:r>
    </w:p>
    <w:p w:rsidR="00B04177" w:rsidRPr="003C79F1" w:rsidRDefault="003C79F1">
      <w:pPr>
        <w:pStyle w:val="inbox-inbox-m-9132033570937374834msolistparagraph"/>
        <w:numPr>
          <w:ilvl w:val="0"/>
          <w:numId w:val="2"/>
        </w:numPr>
        <w:spacing w:before="28" w:after="28" w:line="360" w:lineRule="atLeast"/>
        <w:jc w:val="both"/>
        <w:rPr>
          <w:lang w:val="en-US"/>
        </w:rPr>
      </w:pPr>
      <w:r>
        <w:rPr>
          <w:iCs/>
          <w:color w:val="212121"/>
          <w:lang w:val="en-GB"/>
        </w:rPr>
        <w:t>optional - two recommendation letters (one from an academic supervisor or teacher</w:t>
      </w:r>
      <w:r>
        <w:rPr>
          <w:iCs/>
          <w:color w:val="212121"/>
          <w:lang w:val="en-GB"/>
        </w:rPr>
        <w:t xml:space="preserve">); </w:t>
      </w:r>
    </w:p>
    <w:p w:rsidR="00B04177" w:rsidRDefault="003C79F1">
      <w:pPr>
        <w:pStyle w:val="inbox-inbox-m-9132033570937374834msolistparagraph"/>
        <w:numPr>
          <w:ilvl w:val="0"/>
          <w:numId w:val="2"/>
        </w:numPr>
        <w:spacing w:before="28" w:after="28" w:line="360" w:lineRule="atLeast"/>
        <w:jc w:val="both"/>
      </w:pPr>
      <w:r>
        <w:rPr>
          <w:iCs/>
          <w:color w:val="212121"/>
          <w:lang w:val="en-GB"/>
        </w:rPr>
        <w:t>optional - list of publications;</w:t>
      </w:r>
    </w:p>
    <w:p w:rsidR="00B04177" w:rsidRPr="003C79F1" w:rsidRDefault="003C79F1">
      <w:pPr>
        <w:pStyle w:val="inbox-inbox-m-9132033570937374834msolistparagraph"/>
        <w:numPr>
          <w:ilvl w:val="0"/>
          <w:numId w:val="2"/>
        </w:numPr>
        <w:spacing w:before="28" w:after="28" w:line="360" w:lineRule="atLeast"/>
        <w:jc w:val="both"/>
        <w:rPr>
          <w:lang w:val="en-US"/>
        </w:rPr>
      </w:pPr>
      <w:r>
        <w:rPr>
          <w:iCs/>
          <w:color w:val="212121"/>
          <w:lang w:val="en-GB"/>
        </w:rPr>
        <w:t>for students whose native language is not English, one of the following certificates must be submitted: TOEFL PBT – 500; TOEFL IBT – 80; Academic IELTS – 6.0 or higher.</w:t>
      </w:r>
    </w:p>
    <w:p w:rsidR="00B04177" w:rsidRPr="003C79F1" w:rsidRDefault="003C79F1">
      <w:pPr>
        <w:pStyle w:val="inbox-inbox-m-9132033570937374834msolistparagraph"/>
        <w:spacing w:after="0" w:line="360" w:lineRule="atLeast"/>
        <w:rPr>
          <w:lang w:val="en-US"/>
        </w:rPr>
      </w:pPr>
      <w:r>
        <w:rPr>
          <w:lang w:val="en-GB"/>
        </w:rPr>
        <w:t xml:space="preserve">A student can find a more detailed description of </w:t>
      </w:r>
      <w:r>
        <w:rPr>
          <w:lang w:val="en-GB"/>
        </w:rPr>
        <w:t xml:space="preserve">required documents in the </w:t>
      </w:r>
      <w:r>
        <w:rPr>
          <w:lang w:val="en-US"/>
        </w:rPr>
        <w:t>A</w:t>
      </w:r>
      <w:r>
        <w:rPr>
          <w:lang w:val="en-GB"/>
        </w:rPr>
        <w:t xml:space="preserve">dmission Regulations for applicant to the MP “Cognitive Sciences and Technologies: From Neuron to Cognition” (“Portfolio Components”). </w:t>
      </w:r>
    </w:p>
    <w:p w:rsidR="00B04177" w:rsidRPr="003C79F1" w:rsidRDefault="003C79F1">
      <w:pPr>
        <w:pStyle w:val="a0"/>
        <w:tabs>
          <w:tab w:val="left" w:pos="0"/>
          <w:tab w:val="left" w:pos="567"/>
          <w:tab w:val="left" w:pos="851"/>
          <w:tab w:val="left" w:pos="1276"/>
        </w:tabs>
        <w:spacing w:before="240" w:after="240" w:line="360" w:lineRule="atLeast"/>
        <w:jc w:val="both"/>
        <w:rPr>
          <w:lang w:val="en-US"/>
        </w:rPr>
      </w:pPr>
      <w:r>
        <w:rPr>
          <w:rFonts w:ascii="Times New Roman" w:hAnsi="Times New Roman"/>
          <w:sz w:val="24"/>
          <w:szCs w:val="24"/>
          <w:lang w:val="en-GB"/>
        </w:rPr>
        <w:t>3.3. A re-evaluation must be carried out for the following courses taught under the MP “Cogni</w:t>
      </w:r>
      <w:r>
        <w:rPr>
          <w:rFonts w:ascii="Times New Roman" w:hAnsi="Times New Roman"/>
          <w:sz w:val="24"/>
          <w:szCs w:val="24"/>
          <w:lang w:val="en-GB"/>
        </w:rPr>
        <w:t xml:space="preserve">tive Sciences and Technologies: From Neuron to Cognition”: </w:t>
      </w:r>
      <w:r>
        <w:rPr>
          <w:rFonts w:ascii="Times New Roman" w:hAnsi="Times New Roman"/>
          <w:i/>
          <w:sz w:val="24"/>
          <w:szCs w:val="24"/>
          <w:lang w:val="en-GB"/>
        </w:rPr>
        <w:t>Linear Algebra</w:t>
      </w:r>
      <w:r>
        <w:rPr>
          <w:rFonts w:ascii="Times New Roman" w:hAnsi="Times New Roman"/>
          <w:sz w:val="24"/>
          <w:szCs w:val="24"/>
          <w:lang w:val="en-GB"/>
        </w:rPr>
        <w:t xml:space="preserve"> and </w:t>
      </w:r>
      <w:r>
        <w:rPr>
          <w:rFonts w:ascii="Times New Roman" w:hAnsi="Times New Roman"/>
          <w:i/>
          <w:sz w:val="24"/>
          <w:szCs w:val="24"/>
          <w:lang w:val="en-GB"/>
        </w:rPr>
        <w:t>Mathematical Analysis</w:t>
      </w:r>
      <w:r>
        <w:rPr>
          <w:rFonts w:ascii="Times New Roman" w:hAnsi="Times New Roman"/>
          <w:sz w:val="24"/>
          <w:szCs w:val="24"/>
          <w:lang w:val="en-GB"/>
        </w:rPr>
        <w:t xml:space="preserve">, if the student has not taken the given courses at HSE University or has a grade below a 6 (out of 10). If the student has studied </w:t>
      </w:r>
      <w:r>
        <w:rPr>
          <w:rFonts w:ascii="Times New Roman" w:hAnsi="Times New Roman"/>
          <w:i/>
          <w:sz w:val="24"/>
          <w:szCs w:val="24"/>
          <w:lang w:val="en-GB"/>
        </w:rPr>
        <w:t>Linear Algebra</w:t>
      </w:r>
      <w:r>
        <w:rPr>
          <w:rFonts w:ascii="Times New Roman" w:hAnsi="Times New Roman"/>
          <w:sz w:val="24"/>
          <w:szCs w:val="24"/>
          <w:lang w:val="en-GB"/>
        </w:rPr>
        <w:t xml:space="preserve"> and </w:t>
      </w:r>
      <w:r>
        <w:rPr>
          <w:rFonts w:ascii="Times New Roman" w:hAnsi="Times New Roman"/>
          <w:i/>
          <w:sz w:val="24"/>
          <w:szCs w:val="24"/>
          <w:lang w:val="en-GB"/>
        </w:rPr>
        <w:t>Mathem</w:t>
      </w:r>
      <w:r>
        <w:rPr>
          <w:rFonts w:ascii="Times New Roman" w:hAnsi="Times New Roman"/>
          <w:i/>
          <w:sz w:val="24"/>
          <w:szCs w:val="24"/>
          <w:lang w:val="en-GB"/>
        </w:rPr>
        <w:t>atical Analysis</w:t>
      </w:r>
      <w:r>
        <w:rPr>
          <w:rFonts w:ascii="Times New Roman" w:hAnsi="Times New Roman"/>
          <w:sz w:val="24"/>
          <w:szCs w:val="24"/>
          <w:lang w:val="en-GB"/>
        </w:rPr>
        <w:t xml:space="preserve"> at HSE University and has a grade of 6 (out of 10) or higher, a re-evaluation is not needed.</w:t>
      </w:r>
      <w:r>
        <w:rPr>
          <w:lang w:val="en-GB"/>
        </w:rPr>
        <w:t xml:space="preserve"> </w:t>
      </w:r>
    </w:p>
    <w:p w:rsidR="00B04177" w:rsidRPr="003C79F1" w:rsidRDefault="003C79F1">
      <w:pPr>
        <w:pStyle w:val="a0"/>
        <w:tabs>
          <w:tab w:val="left" w:pos="0"/>
          <w:tab w:val="left" w:pos="567"/>
          <w:tab w:val="left" w:pos="851"/>
          <w:tab w:val="left" w:pos="1276"/>
        </w:tabs>
        <w:spacing w:before="240" w:after="240" w:line="360" w:lineRule="atLeast"/>
        <w:jc w:val="both"/>
        <w:rPr>
          <w:lang w:val="en-US"/>
        </w:rPr>
      </w:pPr>
      <w:r>
        <w:rPr>
          <w:rFonts w:ascii="Times New Roman" w:hAnsi="Times New Roman"/>
          <w:sz w:val="24"/>
          <w:szCs w:val="24"/>
          <w:lang w:val="en-GB"/>
        </w:rPr>
        <w:t>3.4. The Evaluation Committee, composed of representatives of the MP “Cognitive Sciences and Technologies: From Neuron to Cognition”, evaluates ho</w:t>
      </w:r>
      <w:r>
        <w:rPr>
          <w:rFonts w:ascii="Times New Roman" w:hAnsi="Times New Roman"/>
          <w:sz w:val="24"/>
          <w:szCs w:val="24"/>
          <w:lang w:val="en-GB"/>
        </w:rPr>
        <w:t xml:space="preserve">w sufficient the students’ knowledge and skills are for mastering the degree programme. To have passed a re-evaluation in core courses means to have </w:t>
      </w:r>
      <w:r>
        <w:rPr>
          <w:rFonts w:ascii="Times New Roman" w:hAnsi="Times New Roman"/>
          <w:sz w:val="24"/>
          <w:szCs w:val="24"/>
          <w:lang w:val="en-US"/>
        </w:rPr>
        <w:t>“satisfactory”</w:t>
      </w:r>
      <w:r>
        <w:rPr>
          <w:rFonts w:ascii="Times New Roman" w:hAnsi="Times New Roman"/>
          <w:sz w:val="24"/>
          <w:szCs w:val="24"/>
          <w:lang w:val="en-GB"/>
        </w:rPr>
        <w:t xml:space="preserve"> grades for each of such courses, or higher.  </w:t>
      </w:r>
    </w:p>
    <w:p w:rsidR="00B04177" w:rsidRPr="003C79F1" w:rsidRDefault="003C79F1">
      <w:pPr>
        <w:pStyle w:val="a0"/>
        <w:tabs>
          <w:tab w:val="left" w:pos="0"/>
          <w:tab w:val="left" w:pos="567"/>
          <w:tab w:val="left" w:pos="851"/>
          <w:tab w:val="left" w:pos="1276"/>
        </w:tabs>
        <w:spacing w:before="240" w:after="240" w:line="360" w:lineRule="atLeast"/>
        <w:jc w:val="both"/>
        <w:rPr>
          <w:lang w:val="en-US"/>
        </w:rPr>
      </w:pPr>
      <w:r>
        <w:rPr>
          <w:rFonts w:ascii="Times New Roman" w:hAnsi="Times New Roman"/>
          <w:sz w:val="24"/>
          <w:szCs w:val="24"/>
          <w:lang w:val="en-GB"/>
        </w:rPr>
        <w:t>3.5. Courses studied under another degree prog</w:t>
      </w:r>
      <w:r>
        <w:rPr>
          <w:rFonts w:ascii="Times New Roman" w:hAnsi="Times New Roman"/>
          <w:sz w:val="24"/>
          <w:szCs w:val="24"/>
          <w:lang w:val="en-GB"/>
        </w:rPr>
        <w:t xml:space="preserve">ramme are considered as having been passed if: </w:t>
      </w:r>
    </w:p>
    <w:p w:rsidR="00B04177" w:rsidRPr="003C79F1" w:rsidRDefault="003C79F1">
      <w:pPr>
        <w:pStyle w:val="inbox-inbox-m-9132033570937374834msolistparagraph"/>
        <w:numPr>
          <w:ilvl w:val="0"/>
          <w:numId w:val="2"/>
        </w:numPr>
        <w:spacing w:before="28" w:after="28" w:line="360" w:lineRule="atLeast"/>
        <w:jc w:val="both"/>
        <w:rPr>
          <w:lang w:val="en-US"/>
        </w:rPr>
      </w:pPr>
      <w:r>
        <w:rPr>
          <w:iCs/>
          <w:color w:val="212121"/>
          <w:lang w:val="en-GB"/>
        </w:rPr>
        <w:t xml:space="preserve">The names of the course transferred and the equivalent course in the working curriculum of the </w:t>
      </w:r>
      <w:r>
        <w:rPr>
          <w:lang w:val="en-GB"/>
        </w:rPr>
        <w:t xml:space="preserve">MP “Cognitive Sciences and Technologies: From Neuron to Cognition” fully or sufficiently coincide. </w:t>
      </w:r>
    </w:p>
    <w:p w:rsidR="00B04177" w:rsidRPr="003C79F1" w:rsidRDefault="003C79F1">
      <w:pPr>
        <w:pStyle w:val="inbox-inbox-m-9132033570937374834msolistparagraph"/>
        <w:numPr>
          <w:ilvl w:val="0"/>
          <w:numId w:val="2"/>
        </w:numPr>
        <w:spacing w:before="28" w:after="28" w:line="360" w:lineRule="atLeast"/>
        <w:jc w:val="both"/>
        <w:rPr>
          <w:lang w:val="en-US"/>
        </w:rPr>
      </w:pPr>
      <w:r>
        <w:rPr>
          <w:lang w:val="en-GB"/>
        </w:rPr>
        <w:t xml:space="preserve">The total </w:t>
      </w:r>
      <w:r>
        <w:rPr>
          <w:lang w:val="en-GB"/>
        </w:rPr>
        <w:t>volume of credit hours/credits of the courses transferred fully corresponds (or is different by no more than 20%) to the total volume/number of credits of the disciplines in the WC of the MP “Cognitive Sciences and Technologies: From Neuron to Cognition”.</w:t>
      </w:r>
    </w:p>
    <w:p w:rsidR="00B04177" w:rsidRPr="003C79F1" w:rsidRDefault="003C79F1">
      <w:pPr>
        <w:pStyle w:val="inbox-inbox-m-9132033570937374834msolistparagraph"/>
        <w:numPr>
          <w:ilvl w:val="0"/>
          <w:numId w:val="2"/>
        </w:numPr>
        <w:spacing w:before="28" w:after="28" w:line="360" w:lineRule="atLeast"/>
        <w:jc w:val="both"/>
        <w:rPr>
          <w:lang w:val="en-US"/>
        </w:rPr>
      </w:pPr>
      <w:r>
        <w:rPr>
          <w:lang w:val="en-GB"/>
        </w:rPr>
        <w:t xml:space="preserve">The content of the course transferred corresponds to the contents of the equivalent course in the working curriculum. The level of similarity shall be determined by the Evaluation Committee with the participation of the teacher of the course taught in the </w:t>
      </w:r>
      <w:r>
        <w:rPr>
          <w:lang w:val="en-GB"/>
        </w:rPr>
        <w:t xml:space="preserve">MP “Cognitive Sciences and Technologies: From Neuron to Cognition”. </w:t>
      </w:r>
    </w:p>
    <w:p w:rsidR="00B04177" w:rsidRPr="003C79F1" w:rsidRDefault="003C79F1">
      <w:pPr>
        <w:pStyle w:val="inbox-inbox-m-9132033570937374834msolistparagraph"/>
        <w:numPr>
          <w:ilvl w:val="0"/>
          <w:numId w:val="2"/>
        </w:numPr>
        <w:spacing w:before="28" w:after="28" w:line="360" w:lineRule="atLeast"/>
        <w:jc w:val="both"/>
        <w:rPr>
          <w:lang w:val="en-US"/>
        </w:rPr>
      </w:pPr>
      <w:r>
        <w:rPr>
          <w:lang w:val="en-GB"/>
        </w:rPr>
        <w:t>The format of interim assessment for a transferred course shall correspond to that of the course in the working curriculum of the MP “Cognitive Sciences and Technologies: From Neuron to C</w:t>
      </w:r>
      <w:r>
        <w:rPr>
          <w:lang w:val="en-GB"/>
        </w:rPr>
        <w:t xml:space="preserve">ognition”.  </w:t>
      </w:r>
    </w:p>
    <w:p w:rsidR="00B04177" w:rsidRPr="003C79F1" w:rsidRDefault="003C79F1">
      <w:pPr>
        <w:pStyle w:val="a0"/>
        <w:tabs>
          <w:tab w:val="left" w:pos="0"/>
          <w:tab w:val="left" w:pos="284"/>
          <w:tab w:val="left" w:pos="426"/>
          <w:tab w:val="left" w:pos="567"/>
          <w:tab w:val="left" w:pos="851"/>
          <w:tab w:val="left" w:pos="993"/>
          <w:tab w:val="left" w:pos="1134"/>
          <w:tab w:val="left" w:pos="1701"/>
        </w:tabs>
        <w:spacing w:before="240" w:after="240" w:line="360" w:lineRule="atLeast"/>
        <w:jc w:val="both"/>
        <w:rPr>
          <w:lang w:val="en-US"/>
        </w:rPr>
      </w:pPr>
      <w:r>
        <w:rPr>
          <w:rFonts w:ascii="Times New Roman" w:hAnsi="Times New Roman"/>
          <w:sz w:val="24"/>
          <w:szCs w:val="24"/>
          <w:lang w:val="en-GB"/>
        </w:rPr>
        <w:t>3.6. The Evaluation Committee of the MP “Cognitive Sciences and Technologies: From Neuron to Cognition” has the right to conduct interviews with students of other HSE University degree programmes or other academic institutions who are applying</w:t>
      </w:r>
      <w:r>
        <w:rPr>
          <w:rFonts w:ascii="Times New Roman" w:hAnsi="Times New Roman"/>
          <w:sz w:val="24"/>
          <w:szCs w:val="24"/>
          <w:lang w:val="en-GB"/>
        </w:rPr>
        <w:t xml:space="preserve"> for a transfer to the MP “Cognitive Sciences and Technologies: From Neuron to Cognition”.</w:t>
      </w:r>
      <w:r>
        <w:rPr>
          <w:lang w:val="en-GB"/>
        </w:rPr>
        <w:t xml:space="preserve"> </w:t>
      </w:r>
    </w:p>
    <w:p w:rsidR="00B04177" w:rsidRPr="003C79F1" w:rsidRDefault="003C79F1">
      <w:pPr>
        <w:pStyle w:val="a0"/>
        <w:tabs>
          <w:tab w:val="left" w:pos="0"/>
          <w:tab w:val="left" w:pos="284"/>
          <w:tab w:val="left" w:pos="426"/>
          <w:tab w:val="left" w:pos="567"/>
          <w:tab w:val="left" w:pos="851"/>
          <w:tab w:val="left" w:pos="993"/>
          <w:tab w:val="left" w:pos="1134"/>
          <w:tab w:val="left" w:pos="1701"/>
        </w:tabs>
        <w:spacing w:before="240" w:after="240" w:line="360" w:lineRule="atLeast"/>
        <w:jc w:val="both"/>
        <w:rPr>
          <w:lang w:val="en-US"/>
        </w:rPr>
      </w:pPr>
      <w:r>
        <w:rPr>
          <w:rFonts w:ascii="Times New Roman" w:hAnsi="Times New Roman"/>
          <w:sz w:val="24"/>
          <w:szCs w:val="24"/>
          <w:lang w:val="en-GB"/>
        </w:rPr>
        <w:lastRenderedPageBreak/>
        <w:t xml:space="preserve">An interview shall be conducted by the Evaluation Committee and possibly the faculty member who is responsible for implementing the courses that are difficult </w:t>
      </w:r>
      <w:r>
        <w:rPr>
          <w:rFonts w:ascii="Times New Roman" w:hAnsi="Times New Roman"/>
          <w:sz w:val="24"/>
          <w:szCs w:val="24"/>
          <w:lang w:val="en-US"/>
        </w:rPr>
        <w:t xml:space="preserve">for </w:t>
      </w:r>
      <w:r>
        <w:rPr>
          <w:rFonts w:ascii="Times New Roman" w:hAnsi="Times New Roman"/>
          <w:sz w:val="24"/>
          <w:szCs w:val="24"/>
          <w:lang w:val="en-US"/>
        </w:rPr>
        <w:t>re-evaluation</w:t>
      </w:r>
      <w:r>
        <w:rPr>
          <w:rFonts w:ascii="Times New Roman" w:hAnsi="Times New Roman"/>
          <w:sz w:val="24"/>
          <w:szCs w:val="24"/>
          <w:lang w:val="en-GB"/>
        </w:rPr>
        <w:t xml:space="preserve">. </w:t>
      </w:r>
    </w:p>
    <w:p w:rsidR="00B04177" w:rsidRPr="003C79F1" w:rsidRDefault="003C79F1">
      <w:pPr>
        <w:pStyle w:val="a0"/>
        <w:tabs>
          <w:tab w:val="left" w:pos="0"/>
          <w:tab w:val="left" w:pos="284"/>
          <w:tab w:val="left" w:pos="426"/>
          <w:tab w:val="left" w:pos="567"/>
          <w:tab w:val="left" w:pos="851"/>
          <w:tab w:val="left" w:pos="993"/>
          <w:tab w:val="left" w:pos="1134"/>
          <w:tab w:val="left" w:pos="1701"/>
        </w:tabs>
        <w:spacing w:before="240" w:after="240" w:line="360" w:lineRule="atLeast"/>
        <w:jc w:val="both"/>
        <w:rPr>
          <w:lang w:val="en-US"/>
        </w:rPr>
      </w:pPr>
      <w:bookmarkStart w:id="2" w:name="_Toc486007842"/>
      <w:bookmarkStart w:id="3" w:name="_Toc384147615"/>
      <w:bookmarkStart w:id="4" w:name="_Toc384147507"/>
      <w:bookmarkStart w:id="5" w:name="_Toc379450304"/>
      <w:bookmarkStart w:id="6" w:name="_Toc379450002"/>
      <w:r>
        <w:rPr>
          <w:rFonts w:ascii="Times New Roman" w:hAnsi="Times New Roman"/>
          <w:sz w:val="24"/>
          <w:szCs w:val="24"/>
          <w:lang w:val="en-GB"/>
        </w:rPr>
        <w:t>3.7. In the event that the number of students who meet all requirements for a transfer to the degree programme and have passed the re-evaluation of the courses surpasses the number of vacant</w:t>
      </w:r>
      <w:r>
        <w:rPr>
          <w:rFonts w:ascii="Times New Roman" w:hAnsi="Times New Roman"/>
          <w:sz w:val="24"/>
          <w:szCs w:val="24"/>
          <w:lang w:val="en-US"/>
        </w:rPr>
        <w:t xml:space="preserve"> transfer</w:t>
      </w:r>
      <w:r>
        <w:rPr>
          <w:rFonts w:ascii="Times New Roman" w:hAnsi="Times New Roman"/>
          <w:sz w:val="24"/>
          <w:szCs w:val="24"/>
          <w:lang w:val="en-GB"/>
        </w:rPr>
        <w:t xml:space="preserve"> places, a competitive selection shall be</w:t>
      </w:r>
      <w:r>
        <w:rPr>
          <w:rFonts w:ascii="Times New Roman" w:hAnsi="Times New Roman"/>
          <w:sz w:val="24"/>
          <w:szCs w:val="24"/>
          <w:lang w:val="en-GB"/>
        </w:rPr>
        <w:t xml:space="preserve"> carried out. The score given for the portfolio determines the ranking of participants taking part in the competitive selection. If portfolios have received the same score, an additional ranking shall be generated on the basis of the score for </w:t>
      </w:r>
      <w:r>
        <w:rPr>
          <w:rFonts w:ascii="Times New Roman" w:hAnsi="Times New Roman"/>
          <w:i/>
          <w:sz w:val="24"/>
          <w:szCs w:val="24"/>
          <w:lang w:val="en-GB"/>
        </w:rPr>
        <w:t>Linear Algeb</w:t>
      </w:r>
      <w:r>
        <w:rPr>
          <w:rFonts w:ascii="Times New Roman" w:hAnsi="Times New Roman"/>
          <w:i/>
          <w:sz w:val="24"/>
          <w:szCs w:val="24"/>
          <w:lang w:val="en-GB"/>
        </w:rPr>
        <w:t>ra</w:t>
      </w:r>
      <w:r>
        <w:rPr>
          <w:rFonts w:ascii="Times New Roman" w:hAnsi="Times New Roman"/>
          <w:sz w:val="24"/>
          <w:szCs w:val="24"/>
          <w:lang w:val="en-GB"/>
        </w:rPr>
        <w:t xml:space="preserve"> and </w:t>
      </w:r>
      <w:r>
        <w:rPr>
          <w:rFonts w:ascii="Times New Roman" w:hAnsi="Times New Roman"/>
          <w:i/>
          <w:sz w:val="24"/>
          <w:szCs w:val="24"/>
          <w:lang w:val="en-GB"/>
        </w:rPr>
        <w:t>Mathematical Analysis</w:t>
      </w:r>
      <w:bookmarkEnd w:id="2"/>
      <w:bookmarkEnd w:id="3"/>
      <w:bookmarkEnd w:id="4"/>
      <w:bookmarkEnd w:id="5"/>
      <w:bookmarkEnd w:id="6"/>
      <w:r>
        <w:rPr>
          <w:rFonts w:ascii="Times New Roman" w:hAnsi="Times New Roman"/>
          <w:sz w:val="24"/>
          <w:szCs w:val="24"/>
          <w:lang w:val="en-GB"/>
        </w:rPr>
        <w:t xml:space="preserve">. </w:t>
      </w:r>
    </w:p>
    <w:p w:rsidR="00B04177" w:rsidRPr="003C79F1" w:rsidRDefault="003C79F1">
      <w:pPr>
        <w:pStyle w:val="a0"/>
        <w:tabs>
          <w:tab w:val="left" w:pos="0"/>
          <w:tab w:val="left" w:pos="284"/>
          <w:tab w:val="left" w:pos="426"/>
          <w:tab w:val="left" w:pos="567"/>
          <w:tab w:val="left" w:pos="851"/>
          <w:tab w:val="left" w:pos="993"/>
          <w:tab w:val="left" w:pos="1134"/>
          <w:tab w:val="left" w:pos="1701"/>
        </w:tabs>
        <w:spacing w:before="240" w:after="240" w:line="360" w:lineRule="atLeast"/>
        <w:jc w:val="both"/>
        <w:rPr>
          <w:lang w:val="en-US"/>
        </w:rPr>
      </w:pPr>
      <w:r>
        <w:rPr>
          <w:rFonts w:ascii="Times New Roman" w:hAnsi="Times New Roman"/>
          <w:sz w:val="24"/>
          <w:szCs w:val="24"/>
          <w:lang w:val="en-GB"/>
        </w:rPr>
        <w:t>3.8. The Evaluation Committee of the MP “Cognitive Sciences and Technologies: From Neuron to Cognition” reviews applications submitted by students for the intra-HSE University transfer, as well as students who are re-admitted</w:t>
      </w:r>
      <w:r>
        <w:rPr>
          <w:rFonts w:ascii="Times New Roman" w:hAnsi="Times New Roman"/>
          <w:sz w:val="24"/>
          <w:szCs w:val="24"/>
          <w:lang w:val="en-GB"/>
        </w:rPr>
        <w:t xml:space="preserve"> to studies after academic leave or reinstated after dismissal with further transfer, to the MP “Cognitive Sciences and Technologies: From Neuron to Cognition” on the basis of an expert analysis of the presented documents. </w:t>
      </w:r>
    </w:p>
    <w:p w:rsidR="00B04177" w:rsidRPr="003C79F1" w:rsidRDefault="003C79F1">
      <w:pPr>
        <w:pStyle w:val="a0"/>
        <w:tabs>
          <w:tab w:val="left" w:pos="0"/>
          <w:tab w:val="left" w:pos="142"/>
          <w:tab w:val="left" w:pos="567"/>
          <w:tab w:val="left" w:pos="851"/>
          <w:tab w:val="left" w:pos="993"/>
          <w:tab w:val="left" w:pos="1134"/>
          <w:tab w:val="left" w:pos="1701"/>
        </w:tabs>
        <w:spacing w:before="240" w:after="240" w:line="360" w:lineRule="atLeast"/>
        <w:jc w:val="both"/>
        <w:rPr>
          <w:lang w:val="en-US"/>
        </w:rPr>
      </w:pPr>
      <w:r>
        <w:rPr>
          <w:rFonts w:ascii="Times New Roman" w:hAnsi="Times New Roman"/>
          <w:sz w:val="24"/>
          <w:szCs w:val="24"/>
          <w:lang w:val="en-GB"/>
        </w:rPr>
        <w:t>The Evaluation Committee conduct</w:t>
      </w:r>
      <w:r>
        <w:rPr>
          <w:rFonts w:ascii="Times New Roman" w:hAnsi="Times New Roman"/>
          <w:sz w:val="24"/>
          <w:szCs w:val="24"/>
          <w:lang w:val="en-GB"/>
        </w:rPr>
        <w:t xml:space="preserve">s an analysis of the academic differences in the students' curricula and documents on the </w:t>
      </w:r>
      <w:r>
        <w:rPr>
          <w:rFonts w:ascii="Times New Roman" w:hAnsi="Times New Roman"/>
          <w:sz w:val="24"/>
          <w:szCs w:val="24"/>
          <w:lang w:val="en-US"/>
        </w:rPr>
        <w:t>attained study</w:t>
      </w:r>
      <w:r>
        <w:rPr>
          <w:rFonts w:ascii="Times New Roman" w:hAnsi="Times New Roman"/>
          <w:sz w:val="24"/>
          <w:szCs w:val="24"/>
          <w:lang w:val="en-GB"/>
        </w:rPr>
        <w:t xml:space="preserve"> results on the basis of the Criteria established by the academic committee of the MP “Cognitive Sciences and Technologies: From Neuron to Cognition” pu</w:t>
      </w:r>
      <w:r>
        <w:rPr>
          <w:rFonts w:ascii="Times New Roman" w:hAnsi="Times New Roman"/>
          <w:sz w:val="24"/>
          <w:szCs w:val="24"/>
          <w:lang w:val="en-GB"/>
        </w:rPr>
        <w:t>blished on the programme site in the section “For Students” - “Transfer and Reinstatement to the degree programme”.</w:t>
      </w:r>
    </w:p>
    <w:p w:rsidR="00B04177" w:rsidRPr="003C79F1" w:rsidRDefault="003C79F1">
      <w:pPr>
        <w:pStyle w:val="a0"/>
        <w:tabs>
          <w:tab w:val="left" w:pos="0"/>
          <w:tab w:val="left" w:pos="567"/>
          <w:tab w:val="left" w:pos="851"/>
          <w:tab w:val="left" w:pos="1276"/>
        </w:tabs>
        <w:spacing w:before="240" w:after="240" w:line="360" w:lineRule="atLeast"/>
        <w:jc w:val="center"/>
        <w:rPr>
          <w:lang w:val="en-US"/>
        </w:rPr>
      </w:pPr>
      <w:r>
        <w:rPr>
          <w:rFonts w:ascii="Times New Roman" w:hAnsi="Times New Roman"/>
          <w:b/>
          <w:color w:val="000000"/>
          <w:sz w:val="24"/>
          <w:szCs w:val="24"/>
          <w:lang w:val="en-GB"/>
        </w:rPr>
        <w:t xml:space="preserve">4. Organization of the Transfer of Students Studying on Fee-paying Places to Vacant State-funded Places </w:t>
      </w:r>
    </w:p>
    <w:p w:rsidR="00B04177" w:rsidRPr="003C79F1" w:rsidRDefault="003C79F1">
      <w:pPr>
        <w:pStyle w:val="a0"/>
        <w:tabs>
          <w:tab w:val="left" w:pos="0"/>
          <w:tab w:val="left" w:pos="567"/>
          <w:tab w:val="left" w:pos="851"/>
          <w:tab w:val="left" w:pos="1276"/>
        </w:tabs>
        <w:spacing w:before="240" w:after="240" w:line="360" w:lineRule="atLeast"/>
        <w:jc w:val="both"/>
        <w:rPr>
          <w:lang w:val="en-US"/>
        </w:rPr>
      </w:pPr>
      <w:r>
        <w:rPr>
          <w:rFonts w:ascii="Times New Roman" w:hAnsi="Times New Roman"/>
          <w:sz w:val="24"/>
          <w:szCs w:val="24"/>
          <w:lang w:val="en-GB"/>
        </w:rPr>
        <w:t xml:space="preserve">4.1. A student is transferred from </w:t>
      </w:r>
      <w:r>
        <w:rPr>
          <w:rFonts w:ascii="Times New Roman" w:hAnsi="Times New Roman"/>
          <w:sz w:val="24"/>
          <w:szCs w:val="24"/>
          <w:lang w:val="en-GB"/>
        </w:rPr>
        <w:t>a fee-paying place to a state-funded one in accordance with order No.433 from the Ministry of Education and Science of the Russian Federation “On approving the Procedures and transfer cases for persons studying in educational programmes of secondary vocati</w:t>
      </w:r>
      <w:r>
        <w:rPr>
          <w:rFonts w:ascii="Times New Roman" w:hAnsi="Times New Roman"/>
          <w:sz w:val="24"/>
          <w:szCs w:val="24"/>
          <w:lang w:val="en-GB"/>
        </w:rPr>
        <w:t xml:space="preserve">onal and higher education, from paid to free tuition”, dated June 6, 2013, and as per the </w:t>
      </w:r>
      <w:r>
        <w:rPr>
          <w:rFonts w:ascii="Times New Roman" w:hAnsi="Times New Roman"/>
          <w:sz w:val="24"/>
          <w:szCs w:val="24"/>
          <w:lang w:val="en-US"/>
        </w:rPr>
        <w:t>Procedures for Transferring Students from Paid to Free Tuition at HSE University</w:t>
      </w:r>
      <w:r>
        <w:rPr>
          <w:rFonts w:ascii="Times New Roman" w:hAnsi="Times New Roman"/>
          <w:sz w:val="24"/>
          <w:szCs w:val="24"/>
          <w:lang w:val="en-GB"/>
        </w:rPr>
        <w:t xml:space="preserve">. </w:t>
      </w:r>
    </w:p>
    <w:p w:rsidR="00B04177" w:rsidRPr="003C79F1" w:rsidRDefault="003C79F1">
      <w:pPr>
        <w:pStyle w:val="a0"/>
        <w:tabs>
          <w:tab w:val="left" w:pos="0"/>
          <w:tab w:val="left" w:pos="567"/>
          <w:tab w:val="left" w:pos="851"/>
          <w:tab w:val="left" w:pos="1276"/>
        </w:tabs>
        <w:spacing w:before="240" w:after="240" w:line="360" w:lineRule="atLeast"/>
        <w:jc w:val="both"/>
        <w:rPr>
          <w:lang w:val="en-US"/>
        </w:rPr>
      </w:pPr>
      <w:r>
        <w:rPr>
          <w:rFonts w:ascii="Times New Roman" w:hAnsi="Times New Roman"/>
          <w:sz w:val="24"/>
          <w:szCs w:val="24"/>
          <w:lang w:val="en-GB"/>
        </w:rPr>
        <w:t xml:space="preserve">4.2. If more applications for transfer to vacant state-funded places are submitted </w:t>
      </w:r>
      <w:r>
        <w:rPr>
          <w:rFonts w:ascii="Times New Roman" w:hAnsi="Times New Roman"/>
          <w:sz w:val="24"/>
          <w:szCs w:val="24"/>
          <w:lang w:val="en-GB"/>
        </w:rPr>
        <w:t>than the actual number of vacant state-funded transfer places, students of the MP “Cognitive Sciences and Technologies: From Neuron to Cognition” are given priority. Students of this category are ranked on the basis of their mean score, place in the rankin</w:t>
      </w:r>
      <w:r>
        <w:rPr>
          <w:rFonts w:ascii="Times New Roman" w:hAnsi="Times New Roman"/>
          <w:sz w:val="24"/>
          <w:szCs w:val="24"/>
          <w:lang w:val="en-GB"/>
        </w:rPr>
        <w:t xml:space="preserve">g, and the absence of retakes. For students of other degree programmes, a portfolio contest and analysis of grades for courses in Mathematics taken at HSE University are organized, or testing on </w:t>
      </w:r>
      <w:r>
        <w:rPr>
          <w:rFonts w:ascii="Times New Roman" w:hAnsi="Times New Roman"/>
          <w:i/>
          <w:sz w:val="24"/>
          <w:szCs w:val="24"/>
          <w:lang w:val="en-GB"/>
        </w:rPr>
        <w:t>Linear Algebra</w:t>
      </w:r>
      <w:r>
        <w:rPr>
          <w:rFonts w:ascii="Times New Roman" w:hAnsi="Times New Roman"/>
          <w:sz w:val="24"/>
          <w:szCs w:val="24"/>
          <w:lang w:val="en-GB"/>
        </w:rPr>
        <w:t xml:space="preserve"> and </w:t>
      </w:r>
      <w:r>
        <w:rPr>
          <w:rFonts w:ascii="Times New Roman" w:hAnsi="Times New Roman"/>
          <w:i/>
          <w:sz w:val="24"/>
          <w:szCs w:val="24"/>
          <w:lang w:val="en-GB"/>
        </w:rPr>
        <w:t>Mathematical Analysis</w:t>
      </w:r>
      <w:r>
        <w:rPr>
          <w:rFonts w:ascii="Times New Roman" w:hAnsi="Times New Roman"/>
          <w:sz w:val="24"/>
          <w:szCs w:val="24"/>
          <w:lang w:val="en-US"/>
        </w:rPr>
        <w:t xml:space="preserve"> is held by</w:t>
      </w:r>
      <w:r>
        <w:rPr>
          <w:rFonts w:ascii="Times New Roman" w:hAnsi="Times New Roman"/>
          <w:sz w:val="24"/>
          <w:szCs w:val="24"/>
          <w:lang w:val="en-GB"/>
        </w:rPr>
        <w:t xml:space="preserve"> teachers </w:t>
      </w:r>
      <w:r>
        <w:rPr>
          <w:rFonts w:ascii="Times New Roman" w:hAnsi="Times New Roman"/>
          <w:sz w:val="24"/>
          <w:szCs w:val="24"/>
          <w:lang w:val="en-GB"/>
        </w:rPr>
        <w:t xml:space="preserve">of these courses. Further, the contents of the portfolio </w:t>
      </w:r>
      <w:r>
        <w:rPr>
          <w:rFonts w:ascii="Times New Roman" w:hAnsi="Times New Roman"/>
          <w:sz w:val="24"/>
          <w:szCs w:val="24"/>
          <w:lang w:val="en-US"/>
        </w:rPr>
        <w:t>shall be</w:t>
      </w:r>
      <w:r>
        <w:rPr>
          <w:rFonts w:ascii="Times New Roman" w:hAnsi="Times New Roman"/>
          <w:sz w:val="24"/>
          <w:szCs w:val="24"/>
          <w:lang w:val="en-GB"/>
        </w:rPr>
        <w:t xml:space="preserve"> similar to the portfolio submitted for the admission to the MP “Cognitive Sciences and Technologies: From Neuron to Cognition”. Should there be difficulties in ranking students on the basis </w:t>
      </w:r>
      <w:r>
        <w:rPr>
          <w:rFonts w:ascii="Times New Roman" w:hAnsi="Times New Roman"/>
          <w:sz w:val="24"/>
          <w:szCs w:val="24"/>
          <w:lang w:val="en-GB"/>
        </w:rPr>
        <w:t xml:space="preserve">of the presented documents and study results, the Evaluation Committee has the right to hold an interview with each candidate. </w:t>
      </w:r>
      <w:r>
        <w:rPr>
          <w:rFonts w:ascii="Times New Roman" w:hAnsi="Times New Roman"/>
          <w:sz w:val="24"/>
          <w:szCs w:val="24"/>
          <w:lang w:val="en-US"/>
        </w:rPr>
        <w:t xml:space="preserve"> </w:t>
      </w:r>
    </w:p>
    <w:p w:rsidR="00B04177" w:rsidRPr="003C79F1" w:rsidRDefault="00B04177">
      <w:pPr>
        <w:pStyle w:val="a0"/>
        <w:tabs>
          <w:tab w:val="left" w:pos="0"/>
          <w:tab w:val="left" w:pos="567"/>
          <w:tab w:val="left" w:pos="851"/>
          <w:tab w:val="left" w:pos="1276"/>
        </w:tabs>
        <w:spacing w:before="240" w:after="240" w:line="360" w:lineRule="atLeast"/>
        <w:jc w:val="both"/>
        <w:rPr>
          <w:lang w:val="en-US"/>
        </w:rPr>
      </w:pPr>
    </w:p>
    <w:sectPr w:rsidR="00B04177" w:rsidRPr="003C79F1">
      <w:footerReference w:type="default" r:id="rId7"/>
      <w:pgSz w:w="11905" w:h="16837"/>
      <w:pgMar w:top="1134" w:right="850" w:bottom="1134" w:left="1701"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C79F1">
      <w:pPr>
        <w:spacing w:after="0" w:line="240" w:lineRule="auto"/>
      </w:pPr>
      <w:r>
        <w:separator/>
      </w:r>
    </w:p>
  </w:endnote>
  <w:endnote w:type="continuationSeparator" w:id="0">
    <w:p w:rsidR="00000000" w:rsidRDefault="003C7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DejaVu LGC Sans">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177" w:rsidRDefault="003C79F1">
    <w:pPr>
      <w:pStyle w:val="af6"/>
    </w:pPr>
    <w:r>
      <w:fldChar w:fldCharType="begin"/>
    </w:r>
    <w:r>
      <w:instrText>PAGE</w:instrText>
    </w:r>
    <w:r>
      <w:fldChar w:fldCharType="separate"/>
    </w:r>
    <w:r>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C79F1">
      <w:pPr>
        <w:spacing w:after="0" w:line="240" w:lineRule="auto"/>
      </w:pPr>
      <w:r>
        <w:separator/>
      </w:r>
    </w:p>
  </w:footnote>
  <w:footnote w:type="continuationSeparator" w:id="0">
    <w:p w:rsidR="00000000" w:rsidRDefault="003C79F1">
      <w:pPr>
        <w:spacing w:after="0" w:line="240" w:lineRule="auto"/>
      </w:pPr>
      <w:r>
        <w:continuationSeparator/>
      </w:r>
    </w:p>
  </w:footnote>
  <w:footnote w:id="1">
    <w:p w:rsidR="00B04177" w:rsidRPr="003C79F1" w:rsidRDefault="003C79F1">
      <w:pPr>
        <w:pStyle w:val="af9"/>
        <w:jc w:val="both"/>
        <w:rPr>
          <w:lang w:val="en-US"/>
        </w:rPr>
      </w:pPr>
      <w:r>
        <w:tab/>
      </w:r>
      <w:r>
        <w:rPr>
          <w:lang w:val="en-US"/>
        </w:rPr>
        <w:t xml:space="preserve"> </w:t>
      </w:r>
      <w:r>
        <w:rPr>
          <w:lang w:val="en-GB"/>
        </w:rPr>
        <w:t xml:space="preserve">The number of study groups for the academic year is determined in the curriculum </w:t>
      </w:r>
      <w:r>
        <w:rPr>
          <w:lang w:val="en-US"/>
        </w:rPr>
        <w:t xml:space="preserve">for core courses </w:t>
      </w:r>
      <w:r>
        <w:rPr>
          <w:lang w:val="en-GB"/>
        </w:rPr>
        <w:t>approved by the first Vice-Rector.</w:t>
      </w:r>
      <w:r>
        <w:rPr>
          <w:lang w:val="en-US"/>
        </w:rPr>
        <w:t xml:space="preserve"> </w:t>
      </w:r>
    </w:p>
    <w:p w:rsidR="00B04177" w:rsidRPr="003C79F1" w:rsidRDefault="00B04177">
      <w:pPr>
        <w:pStyle w:val="aff"/>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A46F4"/>
    <w:multiLevelType w:val="multilevel"/>
    <w:tmpl w:val="9B1E34D8"/>
    <w:lvl w:ilvl="0">
      <w:start w:val="1"/>
      <w:numFmt w:val="decimal"/>
      <w:lvlText w:val="%1."/>
      <w:lvlJc w:val="left"/>
      <w:pPr>
        <w:ind w:left="1002" w:hanging="43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C6D392E"/>
    <w:multiLevelType w:val="multilevel"/>
    <w:tmpl w:val="D2E076FA"/>
    <w:lvl w:ilvl="0">
      <w:start w:val="1"/>
      <w:numFmt w:val="none"/>
      <w:lvlText w:val=""/>
      <w:lvlJc w:val="left"/>
      <w:pPr>
        <w:ind w:left="432" w:hanging="432"/>
      </w:pPr>
    </w:lvl>
    <w:lvl w:ilvl="1">
      <w:start w:val="1"/>
      <w:numFmt w:val="none"/>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2" w15:restartNumberingAfterBreak="0">
    <w:nsid w:val="58FC7DDE"/>
    <w:multiLevelType w:val="multilevel"/>
    <w:tmpl w:val="147657A8"/>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04177"/>
    <w:rsid w:val="003C79F1"/>
    <w:rsid w:val="00B04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3B0D8F-9C21-453E-9B20-927FD9E0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a1"/>
    <w:pPr>
      <w:keepNext/>
      <w:spacing w:before="480" w:after="0"/>
      <w:outlineLvl w:val="0"/>
    </w:pPr>
    <w:rPr>
      <w:rFonts w:ascii="Cambria" w:hAnsi="Cambria"/>
      <w:b/>
      <w:bCs/>
      <w:color w:val="365F91"/>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pPr>
      <w:tabs>
        <w:tab w:val="left" w:pos="709"/>
      </w:tabs>
      <w:suppressAutoHyphens/>
      <w:spacing w:after="200" w:line="276" w:lineRule="atLeast"/>
    </w:pPr>
    <w:rPr>
      <w:rFonts w:ascii="Calibri" w:eastAsia="Calibri" w:hAnsi="Calibri" w:cs="Times New Roman"/>
      <w:lang w:eastAsia="en-US"/>
    </w:rPr>
  </w:style>
  <w:style w:type="character" w:customStyle="1" w:styleId="ListLabel1">
    <w:name w:val="ListLabel 1"/>
    <w:rPr>
      <w:sz w:val="24"/>
    </w:rPr>
  </w:style>
  <w:style w:type="character" w:customStyle="1" w:styleId="ListLabel2">
    <w:name w:val="ListLabel 2"/>
    <w:rPr>
      <w:rFonts w:cs="Courier New"/>
    </w:rPr>
  </w:style>
  <w:style w:type="character" w:customStyle="1" w:styleId="ListLabel3">
    <w:name w:val="ListLabel 3"/>
    <w:rPr>
      <w:rFonts w:eastAsia="Arial Unicode MS" w:cs="Times New Roman"/>
    </w:rPr>
  </w:style>
  <w:style w:type="character" w:customStyle="1" w:styleId="ListLabel4">
    <w:name w:val="ListLabel 4"/>
    <w:rPr>
      <w:b/>
    </w:rPr>
  </w:style>
  <w:style w:type="character" w:customStyle="1" w:styleId="-">
    <w:name w:val="Интернет-ссылка"/>
    <w:rPr>
      <w:color w:val="0000FF"/>
      <w:u w:val="single"/>
      <w:lang w:val="ru-RU" w:eastAsia="ru-RU" w:bidi="ru-RU"/>
    </w:rPr>
  </w:style>
  <w:style w:type="character" w:customStyle="1" w:styleId="10">
    <w:name w:val="Заголовок 1 Знак"/>
    <w:basedOn w:val="a2"/>
  </w:style>
  <w:style w:type="character" w:customStyle="1" w:styleId="a5">
    <w:name w:val="Верхний колонтитул Знак"/>
    <w:basedOn w:val="a2"/>
  </w:style>
  <w:style w:type="character" w:customStyle="1" w:styleId="a6">
    <w:name w:val="Нижний колонтитул Знак"/>
    <w:basedOn w:val="a2"/>
  </w:style>
  <w:style w:type="character" w:customStyle="1" w:styleId="a7">
    <w:name w:val="Текст сноски Знак"/>
    <w:basedOn w:val="a2"/>
  </w:style>
  <w:style w:type="character" w:styleId="a8">
    <w:name w:val="footnote reference"/>
  </w:style>
  <w:style w:type="character" w:customStyle="1" w:styleId="a9">
    <w:name w:val="Текст выноски Знак"/>
    <w:basedOn w:val="a2"/>
  </w:style>
  <w:style w:type="character" w:styleId="aa">
    <w:name w:val="annotation reference"/>
    <w:basedOn w:val="a2"/>
  </w:style>
  <w:style w:type="character" w:customStyle="1" w:styleId="ab">
    <w:name w:val="Текст примечания Знак"/>
    <w:basedOn w:val="a2"/>
  </w:style>
  <w:style w:type="character" w:customStyle="1" w:styleId="ac">
    <w:name w:val="Тема примечания Знак"/>
    <w:basedOn w:val="ab"/>
  </w:style>
  <w:style w:type="character" w:customStyle="1" w:styleId="ad">
    <w:name w:val="Символ сноски"/>
  </w:style>
  <w:style w:type="character" w:customStyle="1" w:styleId="ae">
    <w:name w:val="Привязка сноски"/>
  </w:style>
  <w:style w:type="character" w:customStyle="1" w:styleId="af">
    <w:name w:val="Привязка концевой сноски"/>
  </w:style>
  <w:style w:type="character" w:customStyle="1" w:styleId="af0">
    <w:name w:val="Символы концевой сноски"/>
  </w:style>
  <w:style w:type="paragraph" w:customStyle="1" w:styleId="af1">
    <w:name w:val="Заголовок"/>
    <w:basedOn w:val="a0"/>
    <w:next w:val="a1"/>
    <w:pPr>
      <w:keepNext/>
      <w:spacing w:before="240" w:after="120"/>
    </w:pPr>
    <w:rPr>
      <w:rFonts w:ascii="Arial" w:eastAsia="DejaVu LGC Sans" w:hAnsi="Arial" w:cs="DejaVu LGC Sans"/>
      <w:sz w:val="28"/>
      <w:szCs w:val="28"/>
    </w:rPr>
  </w:style>
  <w:style w:type="paragraph" w:styleId="a1">
    <w:name w:val="Body Text"/>
    <w:basedOn w:val="a0"/>
    <w:pPr>
      <w:spacing w:after="120"/>
    </w:pPr>
  </w:style>
  <w:style w:type="paragraph" w:styleId="af2">
    <w:name w:val="List"/>
    <w:basedOn w:val="a1"/>
    <w:rPr>
      <w:rFonts w:ascii="Arial" w:hAnsi="Arial"/>
    </w:rPr>
  </w:style>
  <w:style w:type="paragraph" w:styleId="af3">
    <w:name w:val="Title"/>
    <w:basedOn w:val="a0"/>
    <w:pPr>
      <w:suppressLineNumbers/>
      <w:spacing w:before="120" w:after="120"/>
    </w:pPr>
    <w:rPr>
      <w:rFonts w:ascii="Arial" w:hAnsi="Arial"/>
      <w:i/>
      <w:iCs/>
      <w:sz w:val="20"/>
      <w:szCs w:val="24"/>
    </w:rPr>
  </w:style>
  <w:style w:type="paragraph" w:styleId="af4">
    <w:name w:val="index heading"/>
    <w:basedOn w:val="a0"/>
    <w:pPr>
      <w:suppressLineNumbers/>
    </w:pPr>
    <w:rPr>
      <w:rFonts w:ascii="Arial" w:hAnsi="Arial"/>
    </w:rPr>
  </w:style>
  <w:style w:type="paragraph" w:customStyle="1" w:styleId="11">
    <w:name w:val="Заголовок оглавления1"/>
    <w:basedOn w:val="1"/>
  </w:style>
  <w:style w:type="paragraph" w:styleId="12">
    <w:name w:val="toc 1"/>
    <w:basedOn w:val="a0"/>
    <w:pPr>
      <w:tabs>
        <w:tab w:val="left" w:pos="440"/>
        <w:tab w:val="right" w:leader="dot" w:pos="9345"/>
      </w:tabs>
      <w:spacing w:after="0" w:line="100" w:lineRule="atLeast"/>
    </w:pPr>
    <w:rPr>
      <w:rFonts w:ascii="Times New Roman" w:eastAsia="Times New Roman" w:hAnsi="Times New Roman"/>
      <w:sz w:val="24"/>
      <w:szCs w:val="24"/>
      <w:lang w:eastAsia="ru-RU"/>
    </w:rPr>
  </w:style>
  <w:style w:type="paragraph" w:styleId="af5">
    <w:name w:val="header"/>
    <w:basedOn w:val="a0"/>
    <w:pPr>
      <w:suppressLineNumbers/>
      <w:tabs>
        <w:tab w:val="center" w:pos="4677"/>
        <w:tab w:val="right" w:pos="9355"/>
      </w:tabs>
      <w:spacing w:after="0" w:line="100" w:lineRule="atLeast"/>
    </w:pPr>
  </w:style>
  <w:style w:type="paragraph" w:styleId="af6">
    <w:name w:val="footer"/>
    <w:basedOn w:val="a0"/>
    <w:pPr>
      <w:suppressLineNumbers/>
      <w:tabs>
        <w:tab w:val="center" w:pos="4677"/>
        <w:tab w:val="right" w:pos="9355"/>
      </w:tabs>
      <w:spacing w:after="0" w:line="100" w:lineRule="atLeast"/>
    </w:pPr>
  </w:style>
  <w:style w:type="paragraph" w:styleId="af7">
    <w:name w:val="List Paragraph"/>
    <w:basedOn w:val="a0"/>
  </w:style>
  <w:style w:type="paragraph" w:customStyle="1" w:styleId="13">
    <w:name w:val="Стиль1"/>
    <w:pPr>
      <w:widowControl w:val="0"/>
      <w:tabs>
        <w:tab w:val="left" w:pos="709"/>
      </w:tabs>
      <w:suppressAutoHyphens/>
      <w:spacing w:after="200" w:line="276" w:lineRule="atLeast"/>
    </w:pPr>
    <w:rPr>
      <w:rFonts w:ascii="Calibri" w:eastAsia="DejaVu LGC Sans" w:hAnsi="Calibri"/>
      <w:lang w:eastAsia="en-US"/>
    </w:rPr>
  </w:style>
  <w:style w:type="paragraph" w:styleId="af8">
    <w:name w:val="Normal (Web)"/>
    <w:basedOn w:val="a0"/>
  </w:style>
  <w:style w:type="paragraph" w:styleId="af9">
    <w:name w:val="footnote text"/>
    <w:basedOn w:val="a0"/>
  </w:style>
  <w:style w:type="paragraph" w:styleId="afa">
    <w:name w:val="Balloon Text"/>
    <w:basedOn w:val="a0"/>
  </w:style>
  <w:style w:type="paragraph" w:styleId="afb">
    <w:name w:val="annotation text"/>
    <w:basedOn w:val="a0"/>
  </w:style>
  <w:style w:type="paragraph" w:styleId="afc">
    <w:name w:val="annotation subject"/>
    <w:basedOn w:val="afb"/>
  </w:style>
  <w:style w:type="paragraph" w:styleId="afd">
    <w:name w:val="No Spacing"/>
    <w:pPr>
      <w:widowControl w:val="0"/>
      <w:tabs>
        <w:tab w:val="left" w:pos="709"/>
      </w:tabs>
      <w:suppressAutoHyphens/>
      <w:spacing w:after="200" w:line="276" w:lineRule="atLeast"/>
    </w:pPr>
    <w:rPr>
      <w:rFonts w:ascii="Calibri" w:eastAsia="DejaVu LGC Sans" w:hAnsi="Calibri"/>
      <w:lang w:eastAsia="en-US"/>
    </w:rPr>
  </w:style>
  <w:style w:type="paragraph" w:customStyle="1" w:styleId="inbox-inbox-m-9132033570937374834msolistparagraph">
    <w:name w:val="inbox-inbox-m-9132033570937374834msolistparagraph"/>
    <w:basedOn w:val="a0"/>
  </w:style>
  <w:style w:type="paragraph" w:styleId="afe">
    <w:name w:val="Revision"/>
    <w:pPr>
      <w:widowControl w:val="0"/>
      <w:tabs>
        <w:tab w:val="left" w:pos="709"/>
      </w:tabs>
      <w:suppressAutoHyphens/>
      <w:spacing w:after="200" w:line="276" w:lineRule="atLeast"/>
    </w:pPr>
    <w:rPr>
      <w:rFonts w:ascii="Calibri" w:eastAsia="DejaVu LGC Sans" w:hAnsi="Calibri"/>
      <w:lang w:eastAsia="en-US"/>
    </w:rPr>
  </w:style>
  <w:style w:type="paragraph" w:customStyle="1" w:styleId="aff">
    <w:name w:val="Сноска"/>
    <w:basedOn w:val="a0"/>
    <w:pPr>
      <w:suppressLineNumbers/>
      <w:ind w:left="283" w:hanging="28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285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1699</Words>
  <Characters>9687</Characters>
  <Application>Microsoft Office Word</Application>
  <DocSecurity>0</DocSecurity>
  <Lines>80</Lines>
  <Paragraphs>22</Paragraphs>
  <ScaleCrop>false</ScaleCrop>
  <Company>НИУ ВШЭ</Company>
  <LinksUpToDate>false</LinksUpToDate>
  <CharactersWithSpaces>11364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lojma</dc:creator>
  <cp:lastModifiedBy>Сумкина Ирина Ильинична</cp:lastModifiedBy>
  <cp:revision>3</cp:revision>
  <cp:lastPrinted>2017-08-03T08:45:00Z</cp:lastPrinted>
  <dcterms:created xsi:type="dcterms:W3CDTF">2019-10-10T10:06:00Z</dcterms:created>
  <dcterms:modified xsi:type="dcterms:W3CDTF">2019-10-18T11:30:00Z</dcterms:modified>
</cp:coreProperties>
</file>