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0A" w:rsidRPr="00750E2A" w:rsidRDefault="000448D3" w:rsidP="00750E2A">
      <w:pPr>
        <w:spacing w:after="120" w:line="240" w:lineRule="auto"/>
        <w:jc w:val="center"/>
        <w:rPr>
          <w:b/>
          <w:color w:val="548DD4" w:themeColor="text2" w:themeTint="99"/>
          <w:sz w:val="24"/>
          <w:szCs w:val="24"/>
          <w:lang w:val="en-US"/>
        </w:rPr>
      </w:pPr>
      <w:r w:rsidRPr="00750E2A">
        <w:rPr>
          <w:b/>
          <w:i/>
          <w:color w:val="1F497D" w:themeColor="text2"/>
          <w:sz w:val="24"/>
          <w:szCs w:val="24"/>
          <w:lang w:val="en-US"/>
        </w:rPr>
        <w:t>Research Skills in Global Agenda</w:t>
      </w:r>
      <w:r w:rsidRPr="00750E2A">
        <w:rPr>
          <w:b/>
          <w:color w:val="1F497D" w:themeColor="text2"/>
          <w:sz w:val="24"/>
          <w:szCs w:val="24"/>
          <w:lang w:val="en-US"/>
        </w:rPr>
        <w:t xml:space="preserve"> </w:t>
      </w:r>
      <w:r w:rsidRPr="00750E2A">
        <w:rPr>
          <w:b/>
          <w:color w:val="548DD4" w:themeColor="text2" w:themeTint="99"/>
          <w:sz w:val="24"/>
          <w:szCs w:val="24"/>
          <w:lang w:val="en-US"/>
        </w:rPr>
        <w:t>Course Syllabus</w:t>
      </w:r>
      <w:r w:rsidR="008B2750" w:rsidRPr="00750E2A">
        <w:rPr>
          <w:b/>
          <w:color w:val="548DD4" w:themeColor="text2" w:themeTint="99"/>
          <w:sz w:val="24"/>
          <w:szCs w:val="24"/>
          <w:lang w:val="en-US"/>
        </w:rPr>
        <w:t xml:space="preserve"> (</w:t>
      </w:r>
      <w:r w:rsidR="00F159F7">
        <w:rPr>
          <w:b/>
          <w:color w:val="548DD4" w:themeColor="text2" w:themeTint="99"/>
          <w:sz w:val="24"/>
          <w:szCs w:val="24"/>
          <w:lang w:val="en-US"/>
        </w:rPr>
        <w:t>Part 1: Fall 201</w:t>
      </w:r>
      <w:r w:rsidR="009762B3" w:rsidRPr="009762B3">
        <w:rPr>
          <w:b/>
          <w:color w:val="548DD4" w:themeColor="text2" w:themeTint="99"/>
          <w:sz w:val="24"/>
          <w:szCs w:val="24"/>
          <w:lang w:val="en-US"/>
        </w:rPr>
        <w:t>9</w:t>
      </w:r>
      <w:r w:rsidR="008B2750" w:rsidRPr="00750E2A">
        <w:rPr>
          <w:b/>
          <w:color w:val="548DD4" w:themeColor="text2" w:themeTint="99"/>
          <w:sz w:val="24"/>
          <w:szCs w:val="24"/>
          <w:lang w:val="en-US"/>
        </w:rPr>
        <w:t>)</w:t>
      </w:r>
    </w:p>
    <w:p w:rsidR="008D47B2" w:rsidRPr="00774662" w:rsidRDefault="008D47B2" w:rsidP="00750E2A">
      <w:pPr>
        <w:spacing w:after="120" w:line="240" w:lineRule="auto"/>
        <w:rPr>
          <w:b/>
          <w:color w:val="17365D" w:themeColor="text2" w:themeShade="BF"/>
          <w:sz w:val="20"/>
          <w:szCs w:val="20"/>
          <w:lang w:val="en-US"/>
        </w:rPr>
      </w:pPr>
      <w:r w:rsidRPr="00750E2A">
        <w:rPr>
          <w:b/>
          <w:color w:val="17365D" w:themeColor="text2" w:themeShade="BF"/>
          <w:sz w:val="20"/>
          <w:szCs w:val="20"/>
          <w:lang w:val="en-US"/>
        </w:rPr>
        <w:t xml:space="preserve">Course Objective: </w:t>
      </w:r>
      <w:r w:rsidR="00774662">
        <w:rPr>
          <w:b/>
          <w:color w:val="17365D" w:themeColor="text2" w:themeShade="BF"/>
          <w:sz w:val="20"/>
          <w:szCs w:val="20"/>
          <w:lang w:val="en-US"/>
        </w:rPr>
        <w:t xml:space="preserve"> </w:t>
      </w:r>
      <w:r w:rsidRPr="00750E2A">
        <w:rPr>
          <w:sz w:val="20"/>
          <w:szCs w:val="20"/>
          <w:lang w:val="en-US"/>
        </w:rPr>
        <w:t>To foste</w:t>
      </w:r>
      <w:r w:rsidR="003F590A" w:rsidRPr="00750E2A">
        <w:rPr>
          <w:sz w:val="20"/>
          <w:szCs w:val="20"/>
          <w:lang w:val="en-US"/>
        </w:rPr>
        <w:t>r the skills of written and oral</w:t>
      </w:r>
      <w:r w:rsidRPr="00750E2A">
        <w:rPr>
          <w:sz w:val="20"/>
          <w:szCs w:val="20"/>
          <w:lang w:val="en-US"/>
        </w:rPr>
        <w:t xml:space="preserve"> presentation (in English) of undergraduate research dealing with the issues within Global Agenda</w:t>
      </w:r>
    </w:p>
    <w:p w:rsidR="008D47B2" w:rsidRPr="00750E2A" w:rsidRDefault="007B3ED7" w:rsidP="00750E2A">
      <w:pPr>
        <w:spacing w:after="120" w:line="240" w:lineRule="auto"/>
        <w:rPr>
          <w:b/>
          <w:color w:val="17365D" w:themeColor="text2" w:themeShade="BF"/>
          <w:sz w:val="20"/>
          <w:szCs w:val="20"/>
          <w:lang w:val="en-US"/>
        </w:rPr>
      </w:pPr>
      <w:r w:rsidRPr="00750E2A">
        <w:rPr>
          <w:b/>
          <w:color w:val="17365D" w:themeColor="text2" w:themeShade="BF"/>
          <w:sz w:val="20"/>
          <w:szCs w:val="20"/>
          <w:lang w:val="en-US"/>
        </w:rPr>
        <w:t>Learning O</w:t>
      </w:r>
      <w:r w:rsidR="008D47B2" w:rsidRPr="00750E2A">
        <w:rPr>
          <w:b/>
          <w:color w:val="17365D" w:themeColor="text2" w:themeShade="BF"/>
          <w:sz w:val="20"/>
          <w:szCs w:val="20"/>
          <w:lang w:val="en-US"/>
        </w:rPr>
        <w:t>utcomes:</w:t>
      </w:r>
    </w:p>
    <w:p w:rsidR="008D47B2" w:rsidRPr="00750E2A" w:rsidRDefault="008D47B2" w:rsidP="00750E2A">
      <w:pPr>
        <w:pStyle w:val="a9"/>
        <w:numPr>
          <w:ilvl w:val="0"/>
          <w:numId w:val="1"/>
        </w:numPr>
        <w:spacing w:after="120" w:line="240" w:lineRule="auto"/>
        <w:rPr>
          <w:sz w:val="20"/>
          <w:szCs w:val="20"/>
          <w:lang w:val="en-US"/>
        </w:rPr>
      </w:pPr>
      <w:r w:rsidRPr="00750E2A">
        <w:rPr>
          <w:sz w:val="20"/>
          <w:szCs w:val="20"/>
          <w:lang w:val="en-US"/>
        </w:rPr>
        <w:t>A</w:t>
      </w:r>
      <w:r w:rsidR="003F590A" w:rsidRPr="00750E2A">
        <w:rPr>
          <w:sz w:val="20"/>
          <w:szCs w:val="20"/>
          <w:lang w:val="en-US"/>
        </w:rPr>
        <w:t>pplication of previously acquired and newly formed academic skills to research tasks</w:t>
      </w:r>
    </w:p>
    <w:p w:rsidR="003F590A" w:rsidRPr="00750E2A" w:rsidRDefault="00D25763" w:rsidP="00750E2A">
      <w:pPr>
        <w:pStyle w:val="a9"/>
        <w:numPr>
          <w:ilvl w:val="0"/>
          <w:numId w:val="1"/>
        </w:num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="007B3ED7" w:rsidRPr="00750E2A">
        <w:rPr>
          <w:sz w:val="20"/>
          <w:szCs w:val="20"/>
          <w:lang w:val="en-US"/>
        </w:rPr>
        <w:t>resentation of junior (3d year) level</w:t>
      </w:r>
      <w:r w:rsidR="003F590A" w:rsidRPr="00750E2A">
        <w:rPr>
          <w:sz w:val="20"/>
          <w:szCs w:val="20"/>
          <w:lang w:val="en-US"/>
        </w:rPr>
        <w:t xml:space="preserve"> research in academic format </w:t>
      </w:r>
    </w:p>
    <w:p w:rsidR="003F590A" w:rsidRPr="00750E2A" w:rsidRDefault="003F590A" w:rsidP="00750E2A">
      <w:pPr>
        <w:pStyle w:val="a9"/>
        <w:numPr>
          <w:ilvl w:val="0"/>
          <w:numId w:val="1"/>
        </w:numPr>
        <w:spacing w:after="120" w:line="240" w:lineRule="auto"/>
        <w:rPr>
          <w:sz w:val="20"/>
          <w:szCs w:val="20"/>
          <w:lang w:val="en-US"/>
        </w:rPr>
      </w:pPr>
      <w:r w:rsidRPr="00750E2A">
        <w:rPr>
          <w:sz w:val="20"/>
          <w:szCs w:val="20"/>
          <w:lang w:val="en-US"/>
        </w:rPr>
        <w:t xml:space="preserve">Readiness for </w:t>
      </w:r>
      <w:r w:rsidR="007B3ED7" w:rsidRPr="00750E2A">
        <w:rPr>
          <w:sz w:val="20"/>
          <w:szCs w:val="20"/>
          <w:lang w:val="en-US"/>
        </w:rPr>
        <w:t>taking senior (4th year) level exams (</w:t>
      </w:r>
      <w:r w:rsidRPr="00750E2A">
        <w:rPr>
          <w:sz w:val="20"/>
          <w:szCs w:val="20"/>
          <w:lang w:val="en-US"/>
        </w:rPr>
        <w:t>Project Proposal</w:t>
      </w:r>
      <w:r w:rsidR="007B3ED7" w:rsidRPr="00750E2A">
        <w:rPr>
          <w:sz w:val="20"/>
          <w:szCs w:val="20"/>
          <w:lang w:val="en-US"/>
        </w:rPr>
        <w:t>; GRE essay)</w:t>
      </w:r>
    </w:p>
    <w:p w:rsidR="008B2750" w:rsidRPr="00774662" w:rsidRDefault="008B2750" w:rsidP="00750E2A">
      <w:pPr>
        <w:spacing w:after="120" w:line="240" w:lineRule="auto"/>
        <w:rPr>
          <w:b/>
          <w:color w:val="17365D" w:themeColor="text2" w:themeShade="BF"/>
          <w:sz w:val="20"/>
          <w:szCs w:val="20"/>
          <w:lang w:val="en-US"/>
        </w:rPr>
      </w:pPr>
      <w:r w:rsidRPr="00750E2A">
        <w:rPr>
          <w:b/>
          <w:color w:val="17365D" w:themeColor="text2" w:themeShade="BF"/>
          <w:sz w:val="20"/>
          <w:szCs w:val="20"/>
          <w:lang w:val="en-US"/>
        </w:rPr>
        <w:t xml:space="preserve">Duration: </w:t>
      </w:r>
      <w:r w:rsidR="00774662">
        <w:rPr>
          <w:b/>
          <w:color w:val="17365D" w:themeColor="text2" w:themeShade="BF"/>
          <w:sz w:val="20"/>
          <w:szCs w:val="20"/>
          <w:lang w:val="en-US"/>
        </w:rPr>
        <w:t xml:space="preserve"> </w:t>
      </w:r>
      <w:r w:rsidR="00D25763">
        <w:rPr>
          <w:sz w:val="20"/>
          <w:szCs w:val="20"/>
          <w:lang w:val="en-US"/>
        </w:rPr>
        <w:t>Part 1: Fall 201</w:t>
      </w:r>
      <w:r w:rsidR="00D25763" w:rsidRPr="00D25763">
        <w:rPr>
          <w:sz w:val="20"/>
          <w:szCs w:val="20"/>
          <w:lang w:val="en-US"/>
        </w:rPr>
        <w:t>9</w:t>
      </w:r>
      <w:r w:rsidRPr="00750E2A">
        <w:rPr>
          <w:sz w:val="20"/>
          <w:szCs w:val="20"/>
          <w:lang w:val="en-US"/>
        </w:rPr>
        <w:t xml:space="preserve"> (M</w:t>
      </w:r>
      <w:r w:rsidR="00D25763">
        <w:rPr>
          <w:sz w:val="20"/>
          <w:szCs w:val="20"/>
          <w:lang w:val="en-US"/>
        </w:rPr>
        <w:t>odule 1, 2), Part 2: Spring 2020</w:t>
      </w:r>
      <w:r w:rsidRPr="00750E2A">
        <w:rPr>
          <w:sz w:val="20"/>
          <w:szCs w:val="20"/>
          <w:lang w:val="en-US"/>
        </w:rPr>
        <w:t xml:space="preserve"> (Module 3, 4)</w:t>
      </w:r>
    </w:p>
    <w:p w:rsidR="007B3ED7" w:rsidRPr="00750E2A" w:rsidRDefault="007B3ED7" w:rsidP="00750E2A">
      <w:pPr>
        <w:spacing w:after="120" w:line="240" w:lineRule="auto"/>
        <w:rPr>
          <w:b/>
          <w:color w:val="17365D" w:themeColor="text2" w:themeShade="BF"/>
          <w:sz w:val="20"/>
          <w:szCs w:val="20"/>
          <w:lang w:val="en-US"/>
        </w:rPr>
      </w:pPr>
      <w:r w:rsidRPr="00750E2A">
        <w:rPr>
          <w:b/>
          <w:color w:val="17365D" w:themeColor="text2" w:themeShade="BF"/>
          <w:sz w:val="20"/>
          <w:szCs w:val="20"/>
          <w:lang w:val="en-US"/>
        </w:rPr>
        <w:t>Course Materials:</w:t>
      </w:r>
    </w:p>
    <w:p w:rsidR="009762B3" w:rsidRDefault="009762B3" w:rsidP="003E4AF3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9762B3">
        <w:rPr>
          <w:sz w:val="20"/>
          <w:szCs w:val="20"/>
          <w:lang w:val="en-US"/>
        </w:rPr>
        <w:t xml:space="preserve">World Economic Forum The Global Risks Report 2018 13th Edition </w:t>
      </w:r>
    </w:p>
    <w:p w:rsidR="009762B3" w:rsidRDefault="009762B3" w:rsidP="009762B3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9762B3">
        <w:rPr>
          <w:sz w:val="20"/>
          <w:szCs w:val="20"/>
          <w:lang w:val="en-US"/>
        </w:rPr>
        <w:t>World Economic Forum The Global Risks Report 2019 14th Edition</w:t>
      </w:r>
    </w:p>
    <w:p w:rsidR="007B3ED7" w:rsidRPr="00750E2A" w:rsidRDefault="003E4AF3" w:rsidP="003E4AF3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3E4AF3">
        <w:rPr>
          <w:sz w:val="20"/>
          <w:szCs w:val="20"/>
          <w:lang w:val="en-US"/>
        </w:rPr>
        <w:t>Paterson,</w:t>
      </w:r>
      <w:r>
        <w:rPr>
          <w:sz w:val="20"/>
          <w:szCs w:val="20"/>
          <w:lang w:val="en-US"/>
        </w:rPr>
        <w:t xml:space="preserve"> K., </w:t>
      </w:r>
      <w:r w:rsidRPr="003E4AF3">
        <w:rPr>
          <w:sz w:val="20"/>
          <w:szCs w:val="20"/>
          <w:lang w:val="en-US"/>
        </w:rPr>
        <w:t>Wedge</w:t>
      </w:r>
      <w:r>
        <w:rPr>
          <w:sz w:val="20"/>
          <w:szCs w:val="20"/>
          <w:lang w:val="en-US"/>
        </w:rPr>
        <w:t xml:space="preserve">, R. (2013). </w:t>
      </w:r>
      <w:r w:rsidRPr="003E4AF3">
        <w:rPr>
          <w:sz w:val="20"/>
          <w:szCs w:val="20"/>
          <w:lang w:val="en-US"/>
        </w:rPr>
        <w:t>O</w:t>
      </w:r>
      <w:r>
        <w:rPr>
          <w:sz w:val="20"/>
          <w:szCs w:val="20"/>
          <w:lang w:val="en-US"/>
        </w:rPr>
        <w:t>xford Grammar for EAP</w:t>
      </w:r>
      <w:r w:rsidRPr="003E4AF3">
        <w:rPr>
          <w:sz w:val="20"/>
          <w:szCs w:val="20"/>
          <w:lang w:val="en-US"/>
        </w:rPr>
        <w:t>: English Grammar and Practice for Academic Purposes</w:t>
      </w:r>
      <w:r w:rsidR="0031097B">
        <w:rPr>
          <w:sz w:val="20"/>
          <w:szCs w:val="20"/>
          <w:lang w:val="en-US"/>
        </w:rPr>
        <w:t>. Oxford.</w:t>
      </w:r>
      <w:r w:rsidR="00453802">
        <w:rPr>
          <w:sz w:val="20"/>
          <w:szCs w:val="20"/>
          <w:lang w:val="en-US"/>
        </w:rPr>
        <w:t xml:space="preserve"> (FOR SELF-STUDY)</w:t>
      </w:r>
    </w:p>
    <w:p w:rsidR="007B3ED7" w:rsidRPr="00750E2A" w:rsidRDefault="008B2750" w:rsidP="00750E2A">
      <w:pPr>
        <w:spacing w:after="120" w:line="240" w:lineRule="auto"/>
        <w:rPr>
          <w:b/>
          <w:color w:val="17365D" w:themeColor="text2" w:themeShade="BF"/>
          <w:sz w:val="20"/>
          <w:szCs w:val="20"/>
          <w:lang w:val="en-US"/>
        </w:rPr>
      </w:pPr>
      <w:r w:rsidRPr="00750E2A">
        <w:rPr>
          <w:b/>
          <w:color w:val="17365D" w:themeColor="text2" w:themeShade="BF"/>
          <w:sz w:val="20"/>
          <w:szCs w:val="20"/>
          <w:lang w:val="en-US"/>
        </w:rPr>
        <w:t>Extra Resources:</w:t>
      </w:r>
    </w:p>
    <w:p w:rsidR="008B2750" w:rsidRPr="00750E2A" w:rsidRDefault="008B2750" w:rsidP="00750E2A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 w:rsidRPr="00750E2A">
        <w:rPr>
          <w:sz w:val="20"/>
          <w:szCs w:val="20"/>
          <w:lang w:val="en-US"/>
        </w:rPr>
        <w:t>Quizlet.com: username Global</w:t>
      </w:r>
      <w:r w:rsidR="00DA00A0" w:rsidRPr="00DA00A0">
        <w:rPr>
          <w:sz w:val="20"/>
          <w:szCs w:val="20"/>
          <w:lang w:val="en-US"/>
        </w:rPr>
        <w:t xml:space="preserve"> </w:t>
      </w:r>
      <w:r w:rsidRPr="00750E2A">
        <w:rPr>
          <w:sz w:val="20"/>
          <w:szCs w:val="20"/>
          <w:lang w:val="en-US"/>
        </w:rPr>
        <w:t xml:space="preserve">Agenda </w:t>
      </w:r>
      <w:hyperlink r:id="rId7" w:history="1">
        <w:r w:rsidRPr="00750E2A">
          <w:rPr>
            <w:rStyle w:val="aa"/>
            <w:sz w:val="20"/>
            <w:szCs w:val="20"/>
            <w:lang w:val="en-US"/>
          </w:rPr>
          <w:t>https://quizlet.com/subject/GlobalAgenda/</w:t>
        </w:r>
      </w:hyperlink>
      <w:r w:rsidRPr="00750E2A">
        <w:rPr>
          <w:sz w:val="20"/>
          <w:szCs w:val="20"/>
          <w:lang w:val="en-US"/>
        </w:rPr>
        <w:t xml:space="preserve"> (open access)</w:t>
      </w:r>
    </w:p>
    <w:p w:rsidR="008B2750" w:rsidRPr="00750E2A" w:rsidRDefault="00C54A87" w:rsidP="00750E2A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hyperlink r:id="rId8" w:history="1">
        <w:r w:rsidR="008B2750" w:rsidRPr="00750E2A">
          <w:rPr>
            <w:rStyle w:val="aa"/>
            <w:sz w:val="20"/>
            <w:szCs w:val="20"/>
            <w:lang w:val="en-US"/>
          </w:rPr>
          <w:t>https://scholar.google.ru/</w:t>
        </w:r>
      </w:hyperlink>
      <w:r w:rsidR="008B2750" w:rsidRPr="00750E2A">
        <w:rPr>
          <w:sz w:val="20"/>
          <w:szCs w:val="20"/>
          <w:lang w:val="en-US"/>
        </w:rPr>
        <w:t xml:space="preserve"> (open access)</w:t>
      </w:r>
    </w:p>
    <w:p w:rsidR="008B2750" w:rsidRDefault="00C54A87" w:rsidP="00750E2A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hyperlink r:id="rId9" w:history="1">
        <w:r w:rsidR="008B2750" w:rsidRPr="00750E2A">
          <w:rPr>
            <w:rStyle w:val="aa"/>
            <w:sz w:val="20"/>
            <w:szCs w:val="20"/>
            <w:lang w:val="en-US"/>
          </w:rPr>
          <w:t>http://library.hse.ru/e-resources/e-resources.htm</w:t>
        </w:r>
      </w:hyperlink>
      <w:r w:rsidR="008B2750" w:rsidRPr="00750E2A">
        <w:rPr>
          <w:sz w:val="20"/>
          <w:szCs w:val="20"/>
          <w:lang w:val="en-US"/>
        </w:rPr>
        <w:t xml:space="preserve">   (access through HSE login)</w:t>
      </w:r>
    </w:p>
    <w:p w:rsidR="00750E2A" w:rsidRPr="00D25763" w:rsidRDefault="003E4AF3" w:rsidP="00750E2A">
      <w:pPr>
        <w:pStyle w:val="a9"/>
        <w:numPr>
          <w:ilvl w:val="0"/>
          <w:numId w:val="2"/>
        </w:numPr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Ted Talks </w:t>
      </w:r>
      <w:hyperlink r:id="rId10" w:history="1">
        <w:r w:rsidRPr="006751CA">
          <w:rPr>
            <w:rStyle w:val="aa"/>
            <w:sz w:val="20"/>
            <w:szCs w:val="20"/>
            <w:lang w:val="en-US"/>
          </w:rPr>
          <w:t>https://www.ted.com/</w:t>
        </w:r>
      </w:hyperlink>
      <w:r>
        <w:rPr>
          <w:sz w:val="20"/>
          <w:szCs w:val="20"/>
          <w:lang w:val="en-US"/>
        </w:rPr>
        <w:t xml:space="preserve"> </w:t>
      </w:r>
    </w:p>
    <w:p w:rsidR="0014075D" w:rsidRPr="0014075D" w:rsidRDefault="0014075D" w:rsidP="00750E2A">
      <w:pPr>
        <w:spacing w:after="120" w:line="240" w:lineRule="auto"/>
        <w:rPr>
          <w:color w:val="0F243E" w:themeColor="text2" w:themeShade="80"/>
          <w:sz w:val="20"/>
          <w:szCs w:val="20"/>
          <w:lang w:val="en-US"/>
        </w:rPr>
      </w:pPr>
      <w:r>
        <w:rPr>
          <w:b/>
          <w:color w:val="0F243E" w:themeColor="text2" w:themeShade="80"/>
          <w:sz w:val="20"/>
          <w:szCs w:val="20"/>
          <w:lang w:val="en-US"/>
        </w:rPr>
        <w:t xml:space="preserve">Forms of Assessment: </w:t>
      </w:r>
      <w:r w:rsidR="00DA00A0">
        <w:rPr>
          <w:color w:val="0F243E" w:themeColor="text2" w:themeShade="80"/>
          <w:sz w:val="20"/>
          <w:szCs w:val="20"/>
          <w:lang w:val="en-US"/>
        </w:rPr>
        <w:t>Module 1: three</w:t>
      </w:r>
      <w:r w:rsidR="00D25763">
        <w:rPr>
          <w:color w:val="0F243E" w:themeColor="text2" w:themeShade="80"/>
          <w:sz w:val="20"/>
          <w:szCs w:val="20"/>
          <w:lang w:val="en-US"/>
        </w:rPr>
        <w:t>-minute talk</w:t>
      </w:r>
      <w:r>
        <w:rPr>
          <w:color w:val="0F243E" w:themeColor="text2" w:themeShade="80"/>
          <w:sz w:val="20"/>
          <w:szCs w:val="20"/>
          <w:lang w:val="en-US"/>
        </w:rPr>
        <w:t>. Module 2: P</w:t>
      </w:r>
      <w:r w:rsidRPr="0014075D">
        <w:rPr>
          <w:color w:val="0F243E" w:themeColor="text2" w:themeShade="80"/>
          <w:sz w:val="20"/>
          <w:szCs w:val="20"/>
          <w:lang w:val="en-US"/>
        </w:rPr>
        <w:t>resentation</w:t>
      </w:r>
      <w:r>
        <w:rPr>
          <w:color w:val="0F243E" w:themeColor="text2" w:themeShade="80"/>
          <w:sz w:val="20"/>
          <w:szCs w:val="20"/>
          <w:lang w:val="en-US"/>
        </w:rPr>
        <w:t xml:space="preserve"> (5-7 minutes) with Q&amp;A</w:t>
      </w:r>
      <w:r w:rsidRPr="0014075D">
        <w:rPr>
          <w:color w:val="0F243E" w:themeColor="text2" w:themeShade="80"/>
          <w:sz w:val="20"/>
          <w:szCs w:val="20"/>
          <w:lang w:val="en-US"/>
        </w:rPr>
        <w:t>.</w:t>
      </w:r>
    </w:p>
    <w:p w:rsidR="00341845" w:rsidRPr="0014075D" w:rsidRDefault="00341845" w:rsidP="00750E2A">
      <w:pPr>
        <w:spacing w:after="120" w:line="240" w:lineRule="auto"/>
        <w:rPr>
          <w:b/>
          <w:color w:val="0F243E" w:themeColor="text2" w:themeShade="80"/>
          <w:sz w:val="20"/>
          <w:szCs w:val="20"/>
          <w:lang w:val="en-US"/>
        </w:rPr>
      </w:pPr>
      <w:r w:rsidRPr="00774662">
        <w:rPr>
          <w:b/>
          <w:color w:val="0F243E" w:themeColor="text2" w:themeShade="80"/>
          <w:sz w:val="20"/>
          <w:szCs w:val="20"/>
          <w:lang w:val="en-US"/>
        </w:rPr>
        <w:t xml:space="preserve">Module Grade: </w:t>
      </w:r>
      <w:r w:rsidR="0014075D">
        <w:rPr>
          <w:b/>
          <w:color w:val="0F243E" w:themeColor="text2" w:themeShade="80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20% - writin</w:t>
      </w:r>
      <w:r w:rsidR="00774662">
        <w:rPr>
          <w:sz w:val="20"/>
          <w:szCs w:val="20"/>
          <w:lang w:val="en-US"/>
        </w:rPr>
        <w:t>g, 20% - listening</w:t>
      </w:r>
      <w:r>
        <w:rPr>
          <w:sz w:val="20"/>
          <w:szCs w:val="20"/>
          <w:lang w:val="en-US"/>
        </w:rPr>
        <w:t xml:space="preserve">, </w:t>
      </w:r>
      <w:r w:rsidR="00774662">
        <w:rPr>
          <w:sz w:val="20"/>
          <w:szCs w:val="20"/>
          <w:lang w:val="en-US"/>
        </w:rPr>
        <w:t>20% - speaking, 1</w:t>
      </w:r>
      <w:r>
        <w:rPr>
          <w:sz w:val="20"/>
          <w:szCs w:val="20"/>
          <w:lang w:val="en-US"/>
        </w:rPr>
        <w:t xml:space="preserve">0% - quizzes, </w:t>
      </w:r>
      <w:r w:rsidR="00774662">
        <w:rPr>
          <w:sz w:val="20"/>
          <w:szCs w:val="20"/>
          <w:lang w:val="en-US"/>
        </w:rPr>
        <w:t xml:space="preserve">10% - homework, </w:t>
      </w:r>
      <w:r>
        <w:rPr>
          <w:sz w:val="20"/>
          <w:szCs w:val="20"/>
          <w:lang w:val="en-US"/>
        </w:rPr>
        <w:t xml:space="preserve">20% - </w:t>
      </w:r>
      <w:r w:rsidR="00774662" w:rsidRPr="00774662">
        <w:rPr>
          <w:b/>
          <w:sz w:val="20"/>
          <w:szCs w:val="20"/>
          <w:lang w:val="en-US"/>
        </w:rPr>
        <w:t>UP TO INSTRUCTOR</w:t>
      </w:r>
    </w:p>
    <w:p w:rsidR="00774662" w:rsidRPr="00774662" w:rsidRDefault="00E46358" w:rsidP="0077466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(9</w:t>
      </w:r>
      <w:r w:rsidRPr="00E46358">
        <w:rPr>
          <w:sz w:val="18"/>
          <w:szCs w:val="18"/>
          <w:lang w:val="en-US"/>
        </w:rPr>
        <w:t>5</w:t>
      </w:r>
      <w:r w:rsidR="00774662" w:rsidRPr="00774662">
        <w:rPr>
          <w:sz w:val="18"/>
          <w:szCs w:val="18"/>
          <w:lang w:val="en-US"/>
        </w:rPr>
        <w:t>-100% - 10,</w:t>
      </w:r>
      <w:r>
        <w:rPr>
          <w:sz w:val="18"/>
          <w:szCs w:val="18"/>
          <w:lang w:val="en-US"/>
        </w:rPr>
        <w:t xml:space="preserve"> 88-94% - 9, 81-87% - 8, 74-80% - 7, 66-73% - 6, 58-65% - 5, 50-57% - 4, 41-49% - 3, 31-40% - 2, 0-30</w:t>
      </w:r>
      <w:r w:rsidR="00774662" w:rsidRPr="00774662">
        <w:rPr>
          <w:sz w:val="18"/>
          <w:szCs w:val="18"/>
          <w:lang w:val="en-US"/>
        </w:rPr>
        <w:t>% - 1)</w:t>
      </w:r>
    </w:p>
    <w:p w:rsidR="00476869" w:rsidRPr="00F159F7" w:rsidRDefault="00774662" w:rsidP="00750E2A">
      <w:pPr>
        <w:spacing w:after="120" w:line="240" w:lineRule="auto"/>
        <w:rPr>
          <w:sz w:val="20"/>
          <w:szCs w:val="20"/>
          <w:lang w:val="en-US"/>
        </w:rPr>
      </w:pPr>
      <w:r w:rsidRPr="00774662">
        <w:rPr>
          <w:b/>
          <w:color w:val="0F243E" w:themeColor="text2" w:themeShade="80"/>
          <w:sz w:val="20"/>
          <w:szCs w:val="20"/>
          <w:lang w:val="en-US"/>
        </w:rPr>
        <w:t>Instructor Contact Information:</w:t>
      </w:r>
      <w:r w:rsidR="0014075D">
        <w:rPr>
          <w:b/>
          <w:color w:val="0F243E" w:themeColor="text2" w:themeShade="80"/>
          <w:sz w:val="20"/>
          <w:szCs w:val="20"/>
          <w:lang w:val="en-US"/>
        </w:rPr>
        <w:t xml:space="preserve"> </w:t>
      </w:r>
      <w:r w:rsidR="00D11741" w:rsidRPr="00175884">
        <w:rPr>
          <w:i/>
          <w:sz w:val="20"/>
          <w:szCs w:val="20"/>
          <w:lang w:val="en-US"/>
        </w:rPr>
        <w:t xml:space="preserve">Olga </w:t>
      </w:r>
      <w:proofErr w:type="spellStart"/>
      <w:r w:rsidR="00D11741" w:rsidRPr="00175884">
        <w:rPr>
          <w:i/>
          <w:sz w:val="20"/>
          <w:szCs w:val="20"/>
          <w:lang w:val="en-US"/>
        </w:rPr>
        <w:t>Karamalak</w:t>
      </w:r>
      <w:proofErr w:type="spellEnd"/>
      <w:r w:rsidRPr="00175884">
        <w:rPr>
          <w:i/>
          <w:sz w:val="20"/>
          <w:szCs w:val="20"/>
          <w:lang w:val="en-US"/>
        </w:rPr>
        <w:t xml:space="preserve"> (</w:t>
      </w:r>
      <w:r w:rsidR="00360A83">
        <w:rPr>
          <w:i/>
          <w:sz w:val="20"/>
          <w:szCs w:val="20"/>
          <w:lang w:val="en-US"/>
        </w:rPr>
        <w:t>okaramalak@hse.ru</w:t>
      </w:r>
      <w:r w:rsidRPr="00175884">
        <w:rPr>
          <w:i/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 xml:space="preserve"> </w:t>
      </w:r>
      <w:proofErr w:type="gramStart"/>
      <w:r w:rsidR="00476869" w:rsidRPr="00476869">
        <w:rPr>
          <w:sz w:val="20"/>
          <w:szCs w:val="20"/>
          <w:lang w:val="en-US"/>
        </w:rPr>
        <w:t>8</w:t>
      </w:r>
      <w:proofErr w:type="gramEnd"/>
      <w:r w:rsidR="00476869">
        <w:rPr>
          <w:sz w:val="20"/>
          <w:szCs w:val="20"/>
          <w:lang w:val="en-US"/>
        </w:rPr>
        <w:t> </w:t>
      </w:r>
      <w:r w:rsidR="00E46358">
        <w:rPr>
          <w:sz w:val="20"/>
          <w:szCs w:val="20"/>
          <w:lang w:val="en-US"/>
        </w:rPr>
        <w:t>912 </w:t>
      </w:r>
      <w:r w:rsidR="00E46358" w:rsidRPr="00E46358">
        <w:rPr>
          <w:sz w:val="20"/>
          <w:szCs w:val="20"/>
          <w:lang w:val="en-US"/>
        </w:rPr>
        <w:t>313 6910</w:t>
      </w:r>
      <w:r w:rsidR="00476869" w:rsidRPr="0047686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Office hours: </w:t>
      </w:r>
      <w:r w:rsidR="00F159F7">
        <w:rPr>
          <w:sz w:val="20"/>
          <w:szCs w:val="20"/>
          <w:lang w:val="en-US"/>
        </w:rPr>
        <w:t>Friday 15:00 – 16:00</w:t>
      </w:r>
      <w:r w:rsidR="00D25763">
        <w:rPr>
          <w:sz w:val="20"/>
          <w:szCs w:val="20"/>
          <w:lang w:val="en-US"/>
        </w:rPr>
        <w:t xml:space="preserve"> (</w:t>
      </w:r>
      <w:proofErr w:type="spellStart"/>
      <w:r w:rsidR="00D25763">
        <w:rPr>
          <w:sz w:val="20"/>
          <w:szCs w:val="20"/>
          <w:lang w:val="en-US"/>
        </w:rPr>
        <w:t>Bolshaya</w:t>
      </w:r>
      <w:proofErr w:type="spellEnd"/>
      <w:r w:rsidR="00D25763">
        <w:rPr>
          <w:sz w:val="20"/>
          <w:szCs w:val="20"/>
          <w:lang w:val="en-US"/>
        </w:rPr>
        <w:t xml:space="preserve"> </w:t>
      </w:r>
      <w:proofErr w:type="spellStart"/>
      <w:r w:rsidR="00D25763">
        <w:rPr>
          <w:sz w:val="20"/>
          <w:szCs w:val="20"/>
          <w:lang w:val="en-US"/>
        </w:rPr>
        <w:t>Ordinka</w:t>
      </w:r>
      <w:proofErr w:type="spellEnd"/>
    </w:p>
    <w:p w:rsidR="00774662" w:rsidRPr="00774662" w:rsidRDefault="00774662" w:rsidP="00750E2A">
      <w:pPr>
        <w:spacing w:after="120" w:line="240" w:lineRule="auto"/>
        <w:rPr>
          <w:b/>
          <w:color w:val="0F243E" w:themeColor="text2" w:themeShade="80"/>
          <w:sz w:val="20"/>
          <w:szCs w:val="20"/>
          <w:lang w:val="en-US"/>
        </w:rPr>
      </w:pPr>
      <w:r w:rsidRPr="00774662">
        <w:rPr>
          <w:b/>
          <w:color w:val="0F243E" w:themeColor="text2" w:themeShade="80"/>
          <w:sz w:val="20"/>
          <w:szCs w:val="20"/>
          <w:lang w:val="en-US"/>
        </w:rPr>
        <w:t>Classroom policies:</w:t>
      </w:r>
    </w:p>
    <w:p w:rsidR="007F307C" w:rsidRPr="007F307C" w:rsidRDefault="000A6054" w:rsidP="00774662">
      <w:pPr>
        <w:pStyle w:val="a9"/>
        <w:numPr>
          <w:ilvl w:val="0"/>
          <w:numId w:val="3"/>
        </w:numPr>
        <w:spacing w:after="120" w:line="240" w:lineRule="auto"/>
        <w:rPr>
          <w:color w:val="FF0000"/>
          <w:sz w:val="20"/>
          <w:szCs w:val="20"/>
          <w:lang w:val="en-US"/>
        </w:rPr>
      </w:pPr>
      <w:r w:rsidRPr="007F307C">
        <w:rPr>
          <w:sz w:val="20"/>
          <w:szCs w:val="20"/>
          <w:lang w:val="en-US"/>
        </w:rPr>
        <w:t xml:space="preserve">Make-up assignments policy: 1. Make sure you understand assignments before leaving </w:t>
      </w:r>
      <w:r w:rsidR="00F159F7">
        <w:rPr>
          <w:sz w:val="20"/>
          <w:szCs w:val="20"/>
          <w:lang w:val="en-US"/>
        </w:rPr>
        <w:t>the university</w:t>
      </w:r>
      <w:r w:rsidRPr="007F307C">
        <w:rPr>
          <w:sz w:val="20"/>
          <w:szCs w:val="20"/>
          <w:lang w:val="en-US"/>
        </w:rPr>
        <w:t xml:space="preserve">. 2. Take home all necessary homework and material you will need to complete your homework. </w:t>
      </w:r>
      <w:r w:rsidR="007F307C" w:rsidRPr="007F307C">
        <w:rPr>
          <w:sz w:val="20"/>
          <w:szCs w:val="20"/>
          <w:lang w:val="en-US"/>
        </w:rPr>
        <w:t>3</w:t>
      </w:r>
      <w:r w:rsidRPr="007F307C">
        <w:rPr>
          <w:sz w:val="20"/>
          <w:szCs w:val="20"/>
          <w:lang w:val="en-US"/>
        </w:rPr>
        <w:t>. Complete homework on time and budget time for long-term projects.</w:t>
      </w:r>
      <w:r w:rsidR="007F307C" w:rsidRPr="007F307C">
        <w:rPr>
          <w:sz w:val="20"/>
          <w:szCs w:val="20"/>
          <w:lang w:val="en-US"/>
        </w:rPr>
        <w:t xml:space="preserve"> </w:t>
      </w:r>
      <w:r w:rsidR="007F307C">
        <w:rPr>
          <w:sz w:val="20"/>
          <w:szCs w:val="20"/>
          <w:lang w:val="en-US"/>
        </w:rPr>
        <w:t>All the tasks should be completed on the hard copies with your signature on them.</w:t>
      </w:r>
    </w:p>
    <w:p w:rsidR="00774662" w:rsidRPr="007F307C" w:rsidRDefault="007F307C" w:rsidP="00774662">
      <w:pPr>
        <w:pStyle w:val="a9"/>
        <w:numPr>
          <w:ilvl w:val="0"/>
          <w:numId w:val="3"/>
        </w:numPr>
        <w:spacing w:after="120" w:line="240" w:lineRule="auto"/>
        <w:rPr>
          <w:color w:val="FF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Hand-in assignments policy: </w:t>
      </w:r>
      <w:r w:rsidR="006913C3">
        <w:rPr>
          <w:sz w:val="20"/>
          <w:szCs w:val="20"/>
          <w:lang w:val="en-US"/>
        </w:rPr>
        <w:t xml:space="preserve">hand in your homework on time unless you have officially documented reasons for the delay. </w:t>
      </w:r>
      <w:r w:rsidR="00360A83">
        <w:rPr>
          <w:sz w:val="20"/>
          <w:szCs w:val="20"/>
          <w:lang w:val="en-US"/>
        </w:rPr>
        <w:t>For coursework submitted up to 2</w:t>
      </w:r>
      <w:r w:rsidR="006913C3">
        <w:rPr>
          <w:sz w:val="20"/>
          <w:szCs w:val="20"/>
          <w:lang w:val="en-US"/>
        </w:rPr>
        <w:t xml:space="preserve"> working day</w:t>
      </w:r>
      <w:r w:rsidR="00360A83">
        <w:rPr>
          <w:sz w:val="20"/>
          <w:szCs w:val="20"/>
          <w:lang w:val="en-US"/>
        </w:rPr>
        <w:t>s</w:t>
      </w:r>
      <w:r w:rsidR="006913C3" w:rsidRPr="006913C3">
        <w:rPr>
          <w:sz w:val="20"/>
          <w:szCs w:val="20"/>
          <w:lang w:val="en-US"/>
        </w:rPr>
        <w:t xml:space="preserve"> after the published hand-in deadline, </w:t>
      </w:r>
      <w:r w:rsidR="006913C3">
        <w:rPr>
          <w:sz w:val="20"/>
          <w:szCs w:val="20"/>
          <w:lang w:val="en-US"/>
        </w:rPr>
        <w:t>2 points</w:t>
      </w:r>
      <w:r w:rsidR="006913C3" w:rsidRPr="006913C3">
        <w:rPr>
          <w:sz w:val="20"/>
          <w:szCs w:val="20"/>
          <w:lang w:val="en-US"/>
        </w:rPr>
        <w:t xml:space="preserve"> of the total marks available for the assessment (</w:t>
      </w:r>
      <w:r w:rsidR="006913C3">
        <w:rPr>
          <w:sz w:val="20"/>
          <w:szCs w:val="20"/>
          <w:lang w:val="en-US"/>
        </w:rPr>
        <w:t>10 points max</w:t>
      </w:r>
      <w:r w:rsidR="006913C3" w:rsidRPr="006913C3">
        <w:rPr>
          <w:sz w:val="20"/>
          <w:szCs w:val="20"/>
          <w:lang w:val="en-US"/>
        </w:rPr>
        <w:t>) shall be deducted from the assessment mark.</w:t>
      </w:r>
      <w:r w:rsidR="006913C3">
        <w:rPr>
          <w:sz w:val="20"/>
          <w:szCs w:val="20"/>
          <w:lang w:val="en-US"/>
        </w:rPr>
        <w:t xml:space="preserve"> </w:t>
      </w:r>
      <w:r w:rsidR="006913C3" w:rsidRPr="006913C3">
        <w:rPr>
          <w:sz w:val="20"/>
          <w:szCs w:val="20"/>
          <w:lang w:val="en-US"/>
        </w:rPr>
        <w:t>The Penalty does not apply to Pass/Fail Modules, i.e. there will be no penalty for late submission if assessments on Pass/Fail are submitted up to 1 working day (24 hours) after the published hand-in deadline.</w:t>
      </w:r>
      <w:r w:rsidR="006913C3" w:rsidRPr="006913C3">
        <w:rPr>
          <w:lang w:val="en-US"/>
        </w:rPr>
        <w:t xml:space="preserve"> </w:t>
      </w:r>
      <w:r w:rsidR="00360A83">
        <w:rPr>
          <w:sz w:val="20"/>
          <w:szCs w:val="20"/>
          <w:lang w:val="en-US"/>
        </w:rPr>
        <w:t>Coursework submitted more than 2</w:t>
      </w:r>
      <w:r w:rsidR="006913C3" w:rsidRPr="006913C3">
        <w:rPr>
          <w:sz w:val="20"/>
          <w:szCs w:val="20"/>
          <w:lang w:val="en-US"/>
        </w:rPr>
        <w:t xml:space="preserve"> working day</w:t>
      </w:r>
      <w:r w:rsidR="00360A83">
        <w:rPr>
          <w:sz w:val="20"/>
          <w:szCs w:val="20"/>
          <w:lang w:val="en-US"/>
        </w:rPr>
        <w:t>s</w:t>
      </w:r>
      <w:r w:rsidR="006913C3" w:rsidRPr="006913C3">
        <w:rPr>
          <w:sz w:val="20"/>
          <w:szCs w:val="20"/>
          <w:lang w:val="en-US"/>
        </w:rPr>
        <w:t xml:space="preserve"> after the published hand-in deadline will be regarded as not having been completed. A mark of zero will be awarded for the assessment and the </w:t>
      </w:r>
      <w:r w:rsidR="006913C3">
        <w:rPr>
          <w:sz w:val="20"/>
          <w:szCs w:val="20"/>
          <w:lang w:val="en-US"/>
        </w:rPr>
        <w:t>task</w:t>
      </w:r>
      <w:r w:rsidR="006913C3" w:rsidRPr="006913C3">
        <w:rPr>
          <w:sz w:val="20"/>
          <w:szCs w:val="20"/>
          <w:lang w:val="en-US"/>
        </w:rPr>
        <w:t xml:space="preserve"> will be failed, irrespective of the overall module mark.</w:t>
      </w:r>
    </w:p>
    <w:p w:rsidR="00D11741" w:rsidRPr="006C092D" w:rsidRDefault="00D11741" w:rsidP="00D11741">
      <w:pPr>
        <w:pStyle w:val="a9"/>
        <w:numPr>
          <w:ilvl w:val="0"/>
          <w:numId w:val="3"/>
        </w:numPr>
        <w:spacing w:after="120" w:line="240" w:lineRule="auto"/>
        <w:rPr>
          <w:sz w:val="20"/>
          <w:szCs w:val="20"/>
          <w:lang w:val="en-US"/>
        </w:rPr>
      </w:pPr>
      <w:r w:rsidRPr="006C092D">
        <w:rPr>
          <w:sz w:val="20"/>
          <w:szCs w:val="20"/>
          <w:lang w:val="en-US"/>
        </w:rPr>
        <w:lastRenderedPageBreak/>
        <w:t>The use of phones for any purpose</w:t>
      </w:r>
      <w:r w:rsidR="000A6054" w:rsidRPr="006C092D">
        <w:rPr>
          <w:sz w:val="20"/>
          <w:szCs w:val="20"/>
          <w:lang w:val="en-US"/>
        </w:rPr>
        <w:t xml:space="preserve"> but study</w:t>
      </w:r>
      <w:r w:rsidRPr="006C092D">
        <w:rPr>
          <w:sz w:val="20"/>
          <w:szCs w:val="20"/>
          <w:lang w:val="en-US"/>
        </w:rPr>
        <w:t xml:space="preserve"> is not appropriate in classes. Please turn them off as you enter the classroom and keep them stored out of sight in your backpack or pocket.</w:t>
      </w:r>
      <w:r w:rsidR="000A6054" w:rsidRPr="006C092D">
        <w:rPr>
          <w:sz w:val="20"/>
          <w:szCs w:val="20"/>
          <w:lang w:val="en-US"/>
        </w:rPr>
        <w:t xml:space="preserve"> If there’s a phone call, raise your hand and if permitted</w:t>
      </w:r>
      <w:r w:rsidR="00175884">
        <w:rPr>
          <w:sz w:val="20"/>
          <w:szCs w:val="20"/>
          <w:lang w:val="en-US"/>
        </w:rPr>
        <w:t>,</w:t>
      </w:r>
      <w:r w:rsidR="000A6054" w:rsidRPr="006C092D">
        <w:rPr>
          <w:sz w:val="20"/>
          <w:szCs w:val="20"/>
          <w:lang w:val="en-US"/>
        </w:rPr>
        <w:t xml:space="preserve"> leave the class</w:t>
      </w:r>
      <w:r w:rsidR="00175884">
        <w:rPr>
          <w:sz w:val="20"/>
          <w:szCs w:val="20"/>
          <w:lang w:val="en-US"/>
        </w:rPr>
        <w:t>room</w:t>
      </w:r>
      <w:r w:rsidR="000A6054" w:rsidRPr="006C092D">
        <w:rPr>
          <w:sz w:val="20"/>
          <w:szCs w:val="20"/>
          <w:lang w:val="en-US"/>
        </w:rPr>
        <w:t xml:space="preserve"> to answer it.</w:t>
      </w:r>
    </w:p>
    <w:p w:rsidR="00D11741" w:rsidRPr="006C092D" w:rsidRDefault="000A6054" w:rsidP="000A6054">
      <w:pPr>
        <w:pStyle w:val="a9"/>
        <w:numPr>
          <w:ilvl w:val="0"/>
          <w:numId w:val="3"/>
        </w:numPr>
        <w:spacing w:after="120" w:line="240" w:lineRule="auto"/>
        <w:rPr>
          <w:sz w:val="20"/>
          <w:szCs w:val="20"/>
          <w:lang w:val="en-US"/>
        </w:rPr>
      </w:pPr>
      <w:r w:rsidRPr="006C092D">
        <w:rPr>
          <w:sz w:val="20"/>
          <w:szCs w:val="20"/>
          <w:lang w:val="en-US"/>
        </w:rPr>
        <w:t>Avoid academic dishonesty in all its forms, including: plagiarism, fabrication or falsification, cheating, other academic misconduct.</w:t>
      </w:r>
    </w:p>
    <w:p w:rsidR="000A6054" w:rsidRPr="006C092D" w:rsidRDefault="000A6054" w:rsidP="000A6054">
      <w:pPr>
        <w:pStyle w:val="a9"/>
        <w:numPr>
          <w:ilvl w:val="0"/>
          <w:numId w:val="3"/>
        </w:numPr>
        <w:spacing w:after="120" w:line="240" w:lineRule="auto"/>
        <w:rPr>
          <w:sz w:val="20"/>
          <w:szCs w:val="20"/>
          <w:lang w:val="en-US"/>
        </w:rPr>
      </w:pPr>
      <w:r w:rsidRPr="006C092D">
        <w:rPr>
          <w:sz w:val="20"/>
          <w:szCs w:val="20"/>
          <w:lang w:val="en-US"/>
        </w:rPr>
        <w:t>Don’t be late for classes.</w:t>
      </w:r>
      <w:r w:rsidR="007F307C" w:rsidRPr="006C092D">
        <w:rPr>
          <w:sz w:val="20"/>
          <w:szCs w:val="20"/>
          <w:lang w:val="en-US"/>
        </w:rPr>
        <w:t xml:space="preserve"> </w:t>
      </w:r>
    </w:p>
    <w:p w:rsidR="007F307C" w:rsidRPr="006C092D" w:rsidRDefault="007F307C" w:rsidP="000A6054">
      <w:pPr>
        <w:pStyle w:val="a9"/>
        <w:numPr>
          <w:ilvl w:val="0"/>
          <w:numId w:val="3"/>
        </w:numPr>
        <w:spacing w:after="120" w:line="240" w:lineRule="auto"/>
        <w:rPr>
          <w:sz w:val="20"/>
          <w:szCs w:val="20"/>
          <w:lang w:val="en-US"/>
        </w:rPr>
      </w:pPr>
      <w:r w:rsidRPr="006C092D">
        <w:rPr>
          <w:sz w:val="20"/>
          <w:szCs w:val="20"/>
          <w:lang w:val="en-US"/>
        </w:rPr>
        <w:t>Respect self and others in the classroom environment.</w:t>
      </w:r>
    </w:p>
    <w:p w:rsidR="006913C3" w:rsidRDefault="006913C3" w:rsidP="000A6054">
      <w:pPr>
        <w:pStyle w:val="a9"/>
        <w:numPr>
          <w:ilvl w:val="0"/>
          <w:numId w:val="3"/>
        </w:numPr>
        <w:spacing w:after="120" w:line="240" w:lineRule="auto"/>
        <w:rPr>
          <w:sz w:val="20"/>
          <w:szCs w:val="20"/>
          <w:lang w:val="en-US"/>
        </w:rPr>
      </w:pPr>
      <w:r w:rsidRPr="006C092D">
        <w:rPr>
          <w:sz w:val="20"/>
          <w:szCs w:val="20"/>
          <w:lang w:val="en-US"/>
        </w:rPr>
        <w:t>If you have any questions about the mark, your general study material or any other personal issues, please conta</w:t>
      </w:r>
      <w:r w:rsidR="00175884">
        <w:rPr>
          <w:sz w:val="20"/>
          <w:szCs w:val="20"/>
          <w:lang w:val="en-US"/>
        </w:rPr>
        <w:t xml:space="preserve">ct me during my office hours, </w:t>
      </w:r>
      <w:r w:rsidRPr="006C092D">
        <w:rPr>
          <w:sz w:val="20"/>
          <w:szCs w:val="20"/>
          <w:lang w:val="en-US"/>
        </w:rPr>
        <w:t>by email</w:t>
      </w:r>
      <w:r w:rsidR="00175884">
        <w:rPr>
          <w:sz w:val="20"/>
          <w:szCs w:val="20"/>
          <w:lang w:val="en-US"/>
        </w:rPr>
        <w:t xml:space="preserve"> or phone</w:t>
      </w:r>
      <w:r w:rsidRPr="006C092D">
        <w:rPr>
          <w:sz w:val="20"/>
          <w:szCs w:val="20"/>
          <w:lang w:val="en-US"/>
        </w:rPr>
        <w:t>.</w:t>
      </w:r>
    </w:p>
    <w:p w:rsidR="004F557E" w:rsidRDefault="004F557E" w:rsidP="004F557E">
      <w:pPr>
        <w:spacing w:after="120" w:line="240" w:lineRule="auto"/>
        <w:rPr>
          <w:sz w:val="20"/>
          <w:szCs w:val="20"/>
          <w:lang w:val="en-US"/>
        </w:rPr>
      </w:pPr>
    </w:p>
    <w:p w:rsidR="004F557E" w:rsidRDefault="004F557E" w:rsidP="004F557E">
      <w:pPr>
        <w:spacing w:after="120" w:line="240" w:lineRule="auto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506"/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650"/>
        <w:gridCol w:w="2200"/>
        <w:gridCol w:w="2200"/>
        <w:gridCol w:w="3300"/>
        <w:gridCol w:w="1980"/>
        <w:gridCol w:w="1760"/>
        <w:gridCol w:w="1397"/>
      </w:tblGrid>
      <w:tr w:rsidR="004F557E" w:rsidRPr="004F557E" w:rsidTr="000F23FA">
        <w:tc>
          <w:tcPr>
            <w:tcW w:w="1098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lastRenderedPageBreak/>
              <w:t>Module</w:t>
            </w:r>
          </w:p>
        </w:tc>
        <w:tc>
          <w:tcPr>
            <w:tcW w:w="1650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Topic</w:t>
            </w:r>
          </w:p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(main text)</w:t>
            </w:r>
          </w:p>
        </w:tc>
        <w:tc>
          <w:tcPr>
            <w:tcW w:w="2200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Issues</w:t>
            </w:r>
          </w:p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for </w:t>
            </w:r>
          </w:p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independent research</w:t>
            </w:r>
          </w:p>
        </w:tc>
        <w:tc>
          <w:tcPr>
            <w:tcW w:w="2200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Skills Focus</w:t>
            </w:r>
          </w:p>
        </w:tc>
        <w:tc>
          <w:tcPr>
            <w:tcW w:w="3300" w:type="dxa"/>
          </w:tcPr>
          <w:p w:rsidR="004F557E" w:rsidRPr="004F557E" w:rsidRDefault="004F557E" w:rsidP="004F55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Sub skills</w:t>
            </w:r>
          </w:p>
          <w:p w:rsidR="004F557E" w:rsidRPr="004F557E" w:rsidRDefault="004F557E" w:rsidP="004F55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4F557E" w:rsidRPr="004F557E" w:rsidRDefault="004F557E" w:rsidP="004F557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(from Oxford Grammar for EAP)</w:t>
            </w:r>
          </w:p>
        </w:tc>
        <w:tc>
          <w:tcPr>
            <w:tcW w:w="1980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Speaking Format</w:t>
            </w:r>
          </w:p>
        </w:tc>
        <w:tc>
          <w:tcPr>
            <w:tcW w:w="1760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Writing</w:t>
            </w:r>
          </w:p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Format</w:t>
            </w:r>
          </w:p>
        </w:tc>
        <w:tc>
          <w:tcPr>
            <w:tcW w:w="1397" w:type="dxa"/>
          </w:tcPr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Listening</w:t>
            </w:r>
          </w:p>
          <w:p w:rsidR="004F557E" w:rsidRPr="004F557E" w:rsidRDefault="004F557E" w:rsidP="004F557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Format</w:t>
            </w:r>
          </w:p>
        </w:tc>
      </w:tr>
      <w:tr w:rsidR="004F557E" w:rsidRPr="004F557E" w:rsidTr="000F23FA">
        <w:trPr>
          <w:trHeight w:val="1021"/>
        </w:trPr>
        <w:tc>
          <w:tcPr>
            <w:tcW w:w="1098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M1</w:t>
            </w:r>
          </w:p>
        </w:tc>
        <w:tc>
          <w:tcPr>
            <w:tcW w:w="1650" w:type="dxa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Geopolitical power shifts  (WEF/2018)</w:t>
            </w: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00" w:type="dxa"/>
            <w:vMerge w:val="restart"/>
          </w:tcPr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Geopolitical power shifts  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Cases of 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separatism</w:t>
            </w:r>
          </w:p>
        </w:tc>
        <w:tc>
          <w:tcPr>
            <w:tcW w:w="220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-academic discourse types 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-supporting the thesis/topic sentence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  factual discourse types</w:t>
            </w:r>
          </w:p>
          <w:p w:rsidR="004F557E" w:rsidRPr="004F557E" w:rsidRDefault="004F557E" w:rsidP="004F557E">
            <w:pPr>
              <w:spacing w:after="0"/>
              <w:ind w:left="36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  division/classification</w:t>
            </w:r>
          </w:p>
          <w:p w:rsidR="004F557E" w:rsidRPr="004F557E" w:rsidRDefault="004F557E" w:rsidP="004F557E">
            <w:pPr>
              <w:spacing w:after="0"/>
              <w:ind w:left="36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 process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 fact vs opinion 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 formal vs informal 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 collocation 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Three-minute 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talks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(purpose: to inform (factual discourse)</w:t>
            </w:r>
          </w:p>
        </w:tc>
        <w:tc>
          <w:tcPr>
            <w:tcW w:w="176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Paragraph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Mind mapping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method,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Outlining</w:t>
            </w:r>
          </w:p>
        </w:tc>
      </w:tr>
      <w:tr w:rsidR="004F557E" w:rsidRPr="004F557E" w:rsidTr="000F23FA">
        <w:trPr>
          <w:trHeight w:val="816"/>
        </w:trPr>
        <w:tc>
          <w:tcPr>
            <w:tcW w:w="1098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Nationalism# </w:t>
            </w:r>
          </w:p>
        </w:tc>
        <w:tc>
          <w:tcPr>
            <w:tcW w:w="220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vMerge/>
          </w:tcPr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F557E" w:rsidRPr="004F557E" w:rsidTr="000F23FA">
        <w:trPr>
          <w:trHeight w:val="1048"/>
        </w:trPr>
        <w:tc>
          <w:tcPr>
            <w:tcW w:w="1098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650" w:type="dxa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Heads and hearts (WEF/2019)</w:t>
            </w: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</w:rPr>
              <w:t>*</w:t>
            </w: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00" w:type="dxa"/>
            <w:vMerge w:val="restart"/>
          </w:tcPr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human side of global risks</w:t>
            </w:r>
          </w:p>
        </w:tc>
        <w:tc>
          <w:tcPr>
            <w:tcW w:w="220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</w:t>
            </w:r>
            <w:r w:rsidRPr="004F557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academic discourse types (</w:t>
            </w:r>
            <w:proofErr w:type="spellStart"/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)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-the use of data for support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vMerge w:val="restart"/>
          </w:tcPr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  argumentative patterns </w:t>
            </w:r>
          </w:p>
          <w:p w:rsidR="004F557E" w:rsidRPr="004F557E" w:rsidRDefault="004F557E" w:rsidP="004F557E">
            <w:pPr>
              <w:spacing w:after="0"/>
              <w:ind w:left="36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  cause and effect </w:t>
            </w:r>
          </w:p>
          <w:p w:rsidR="004F557E" w:rsidRPr="004F557E" w:rsidRDefault="004F557E" w:rsidP="004F557E">
            <w:pPr>
              <w:spacing w:after="0"/>
              <w:ind w:left="36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 comparison/contrast</w:t>
            </w:r>
          </w:p>
          <w:p w:rsidR="004F557E" w:rsidRPr="004F557E" w:rsidRDefault="004F557E" w:rsidP="004F557E">
            <w:pPr>
              <w:spacing w:after="0"/>
              <w:ind w:left="36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-problem/solution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-source evaluation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-referencing sources (APA)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- connectors </w:t>
            </w: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Individual presentations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(purpose: to persuade (argumentative)</w:t>
            </w:r>
          </w:p>
        </w:tc>
        <w:tc>
          <w:tcPr>
            <w:tcW w:w="1760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Annotated bibliography</w:t>
            </w:r>
          </w:p>
        </w:tc>
        <w:tc>
          <w:tcPr>
            <w:tcW w:w="1397" w:type="dxa"/>
            <w:vMerge w:val="restart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Structure of arguments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Outlining</w:t>
            </w:r>
          </w:p>
        </w:tc>
      </w:tr>
      <w:tr w:rsidR="004F557E" w:rsidRPr="004F557E" w:rsidTr="000F23FA">
        <w:trPr>
          <w:trHeight w:val="1047"/>
        </w:trPr>
        <w:tc>
          <w:tcPr>
            <w:tcW w:w="1098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Going Viral (WEF/2019)**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vMerge/>
          </w:tcPr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vMerge/>
          </w:tcPr>
          <w:p w:rsidR="004F557E" w:rsidRPr="004F557E" w:rsidRDefault="004F557E" w:rsidP="004F55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vMerge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F557E" w:rsidRPr="004F557E" w:rsidTr="000F23FA">
        <w:trPr>
          <w:trHeight w:val="604"/>
        </w:trPr>
        <w:tc>
          <w:tcPr>
            <w:tcW w:w="2748" w:type="dxa"/>
            <w:gridSpan w:val="2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Semester 1 Test:</w:t>
            </w:r>
          </w:p>
        </w:tc>
        <w:tc>
          <w:tcPr>
            <w:tcW w:w="12837" w:type="dxa"/>
            <w:gridSpan w:val="6"/>
          </w:tcPr>
          <w:p w:rsidR="004F557E" w:rsidRPr="004F557E" w:rsidRDefault="004F557E" w:rsidP="004F557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4F557E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Presentation (</w:t>
            </w:r>
            <w:proofErr w:type="spellStart"/>
            <w:r w:rsidRPr="004F557E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vocabulary+skills</w:t>
            </w:r>
            <w:proofErr w:type="spellEnd"/>
            <w:r w:rsidRPr="004F557E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). </w:t>
            </w:r>
          </w:p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4F557E" w:rsidRPr="004F557E" w:rsidTr="000F23FA">
        <w:trPr>
          <w:trHeight w:val="604"/>
        </w:trPr>
        <w:tc>
          <w:tcPr>
            <w:tcW w:w="2748" w:type="dxa"/>
            <w:gridSpan w:val="2"/>
          </w:tcPr>
          <w:p w:rsidR="004F557E" w:rsidRPr="004F557E" w:rsidRDefault="004F557E" w:rsidP="004F557E">
            <w:pPr>
              <w:spacing w:after="0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837" w:type="dxa"/>
            <w:gridSpan w:val="6"/>
          </w:tcPr>
          <w:p w:rsidR="004F557E" w:rsidRPr="004F557E" w:rsidRDefault="004F557E" w:rsidP="004F557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F557E" w:rsidRPr="004F557E" w:rsidRDefault="004F557E" w:rsidP="004F557E">
      <w:pPr>
        <w:spacing w:after="12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774662" w:rsidRPr="00774662" w:rsidRDefault="00774662" w:rsidP="00774662">
      <w:pPr>
        <w:spacing w:after="120" w:line="240" w:lineRule="auto"/>
        <w:rPr>
          <w:b/>
          <w:color w:val="0F243E" w:themeColor="text2" w:themeShade="80"/>
          <w:sz w:val="20"/>
          <w:szCs w:val="20"/>
          <w:lang w:val="en-US"/>
        </w:rPr>
      </w:pPr>
    </w:p>
    <w:p w:rsidR="00774662" w:rsidRPr="00774662" w:rsidRDefault="00774662" w:rsidP="00774662">
      <w:pPr>
        <w:spacing w:after="120" w:line="240" w:lineRule="auto"/>
        <w:rPr>
          <w:sz w:val="20"/>
          <w:szCs w:val="20"/>
          <w:lang w:val="en-US"/>
        </w:rPr>
      </w:pPr>
    </w:p>
    <w:sectPr w:rsidR="00774662" w:rsidRPr="00774662" w:rsidSect="004F557E">
      <w:headerReference w:type="defaul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87" w:rsidRDefault="00C54A87" w:rsidP="000448D3">
      <w:pPr>
        <w:spacing w:after="0" w:line="240" w:lineRule="auto"/>
      </w:pPr>
      <w:r>
        <w:separator/>
      </w:r>
    </w:p>
  </w:endnote>
  <w:endnote w:type="continuationSeparator" w:id="0">
    <w:p w:rsidR="00C54A87" w:rsidRDefault="00C54A87" w:rsidP="000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87" w:rsidRDefault="00C54A87" w:rsidP="000448D3">
      <w:pPr>
        <w:spacing w:after="0" w:line="240" w:lineRule="auto"/>
      </w:pPr>
      <w:r>
        <w:separator/>
      </w:r>
    </w:p>
  </w:footnote>
  <w:footnote w:type="continuationSeparator" w:id="0">
    <w:p w:rsidR="00C54A87" w:rsidRDefault="00C54A87" w:rsidP="000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D3" w:rsidRPr="008D47B2" w:rsidRDefault="008D47B2" w:rsidP="00341845">
    <w:pPr>
      <w:pStyle w:val="a5"/>
      <w:tabs>
        <w:tab w:val="left" w:pos="2580"/>
        <w:tab w:val="left" w:pos="2985"/>
      </w:tabs>
      <w:jc w:val="right"/>
      <w:rPr>
        <w:b/>
        <w:bCs/>
        <w:color w:val="1F497D" w:themeColor="text2"/>
        <w:sz w:val="18"/>
        <w:szCs w:val="18"/>
        <w:lang w:val="en-US"/>
      </w:rPr>
    </w:pPr>
    <w:r>
      <w:rPr>
        <w:b/>
        <w:bCs/>
        <w:noProof/>
        <w:color w:val="1F497D" w:themeColor="text2"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-186690</wp:posOffset>
          </wp:positionV>
          <wp:extent cx="688340" cy="683260"/>
          <wp:effectExtent l="19050" t="0" r="0" b="0"/>
          <wp:wrapTight wrapText="bothSides">
            <wp:wrapPolygon edited="0">
              <wp:start x="5978" y="0"/>
              <wp:lineTo x="1793" y="3011"/>
              <wp:lineTo x="-598" y="6625"/>
              <wp:lineTo x="-598" y="13851"/>
              <wp:lineTo x="2989" y="19874"/>
              <wp:lineTo x="5978" y="21078"/>
              <wp:lineTo x="15542" y="21078"/>
              <wp:lineTo x="16140" y="21078"/>
              <wp:lineTo x="18531" y="19271"/>
              <wp:lineTo x="19727" y="19271"/>
              <wp:lineTo x="21520" y="13851"/>
              <wp:lineTo x="21520" y="6625"/>
              <wp:lineTo x="19129" y="2409"/>
              <wp:lineTo x="15542" y="0"/>
              <wp:lineTo x="5978" y="0"/>
            </wp:wrapPolygon>
          </wp:wrapTight>
          <wp:docPr id="2" name="Рисунок 1" descr="http://www.hse.ru/f/src/global/i/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f/src/global/i/logo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48D3" w:rsidRPr="008D47B2">
      <w:rPr>
        <w:b/>
        <w:bCs/>
        <w:color w:val="1F497D" w:themeColor="text2"/>
        <w:sz w:val="18"/>
        <w:szCs w:val="18"/>
        <w:lang w:val="en-US"/>
      </w:rPr>
      <w:t>National Research University Higher School of Economics</w:t>
    </w:r>
  </w:p>
  <w:p w:rsidR="000448D3" w:rsidRPr="008D47B2" w:rsidRDefault="000448D3" w:rsidP="00341845">
    <w:pPr>
      <w:pStyle w:val="a5"/>
      <w:tabs>
        <w:tab w:val="left" w:pos="2580"/>
        <w:tab w:val="left" w:pos="2985"/>
      </w:tabs>
      <w:jc w:val="right"/>
      <w:rPr>
        <w:color w:val="4F81BD" w:themeColor="accent1"/>
        <w:sz w:val="18"/>
        <w:szCs w:val="18"/>
        <w:lang w:val="en-US"/>
      </w:rPr>
    </w:pPr>
    <w:r w:rsidRPr="008D47B2">
      <w:rPr>
        <w:color w:val="4F81BD" w:themeColor="accent1"/>
        <w:sz w:val="18"/>
        <w:szCs w:val="18"/>
        <w:lang w:val="en-US"/>
      </w:rPr>
      <w:t>School of World Economy and International Affairs</w:t>
    </w:r>
  </w:p>
  <w:p w:rsidR="000448D3" w:rsidRDefault="000448D3" w:rsidP="00341845">
    <w:pPr>
      <w:pStyle w:val="a5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right"/>
      <w:rPr>
        <w:color w:val="808080" w:themeColor="text1" w:themeTint="7F"/>
      </w:rPr>
    </w:pPr>
    <w:r w:rsidRPr="008D47B2">
      <w:rPr>
        <w:color w:val="808080" w:themeColor="text1" w:themeTint="7F"/>
        <w:sz w:val="18"/>
        <w:szCs w:val="18"/>
        <w:lang w:val="en-US"/>
      </w:rPr>
      <w:t>Foreign Languages Department</w:t>
    </w:r>
  </w:p>
  <w:p w:rsidR="000448D3" w:rsidRDefault="000448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31F"/>
    <w:multiLevelType w:val="hybridMultilevel"/>
    <w:tmpl w:val="77B0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6330"/>
    <w:multiLevelType w:val="hybridMultilevel"/>
    <w:tmpl w:val="7A50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61ED"/>
    <w:multiLevelType w:val="hybridMultilevel"/>
    <w:tmpl w:val="584255DC"/>
    <w:lvl w:ilvl="0" w:tplc="3A9CD0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D3"/>
    <w:rsid w:val="000448D3"/>
    <w:rsid w:val="000A6054"/>
    <w:rsid w:val="0014075D"/>
    <w:rsid w:val="00140EA6"/>
    <w:rsid w:val="00145D57"/>
    <w:rsid w:val="00175884"/>
    <w:rsid w:val="001D1639"/>
    <w:rsid w:val="001E15AE"/>
    <w:rsid w:val="001F413F"/>
    <w:rsid w:val="0020504C"/>
    <w:rsid w:val="002A0D80"/>
    <w:rsid w:val="0031097B"/>
    <w:rsid w:val="00341845"/>
    <w:rsid w:val="00360A83"/>
    <w:rsid w:val="003E4AF3"/>
    <w:rsid w:val="003F590A"/>
    <w:rsid w:val="00453802"/>
    <w:rsid w:val="00476869"/>
    <w:rsid w:val="004F557E"/>
    <w:rsid w:val="005145F8"/>
    <w:rsid w:val="00574454"/>
    <w:rsid w:val="00646700"/>
    <w:rsid w:val="006913C3"/>
    <w:rsid w:val="006C092D"/>
    <w:rsid w:val="00750E2A"/>
    <w:rsid w:val="00774662"/>
    <w:rsid w:val="007B3ED7"/>
    <w:rsid w:val="007F307C"/>
    <w:rsid w:val="008830D4"/>
    <w:rsid w:val="008B2750"/>
    <w:rsid w:val="008D47B2"/>
    <w:rsid w:val="008F2C0F"/>
    <w:rsid w:val="008F30A5"/>
    <w:rsid w:val="009762B3"/>
    <w:rsid w:val="009B6E36"/>
    <w:rsid w:val="00AD2CA1"/>
    <w:rsid w:val="00BB72A0"/>
    <w:rsid w:val="00C45897"/>
    <w:rsid w:val="00C54A87"/>
    <w:rsid w:val="00D11741"/>
    <w:rsid w:val="00D25763"/>
    <w:rsid w:val="00D40EAC"/>
    <w:rsid w:val="00D936C2"/>
    <w:rsid w:val="00DA00A0"/>
    <w:rsid w:val="00E46358"/>
    <w:rsid w:val="00F1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19E4"/>
  <w15:docId w15:val="{2CF4F288-A450-486B-91B0-5A828CE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8D3"/>
  </w:style>
  <w:style w:type="paragraph" w:styleId="a7">
    <w:name w:val="footer"/>
    <w:basedOn w:val="a"/>
    <w:link w:val="a8"/>
    <w:uiPriority w:val="99"/>
    <w:semiHidden/>
    <w:unhideWhenUsed/>
    <w:rsid w:val="0004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48D3"/>
  </w:style>
  <w:style w:type="paragraph" w:styleId="a9">
    <w:name w:val="List Paragraph"/>
    <w:basedOn w:val="a"/>
    <w:uiPriority w:val="34"/>
    <w:qFormat/>
    <w:rsid w:val="008D47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3ED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0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subject/GlobalAgen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hse.ru/e-resources/e-resourc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Research University Higher School of Economics</vt:lpstr>
      <vt:lpstr>National Research University Higher School of Economics</vt:lpstr>
    </vt:vector>
  </TitlesOfParts>
  <Company>Microsoft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Research University Higher School of Economics</dc:title>
  <dc:subject>School of World Economy and International Affairs</dc:subject>
  <dc:creator>Foreign Languages Department</dc:creator>
  <cp:keywords/>
  <dc:description/>
  <cp:lastModifiedBy>RePack by Diakov</cp:lastModifiedBy>
  <cp:revision>20</cp:revision>
  <dcterms:created xsi:type="dcterms:W3CDTF">2015-06-20T10:24:00Z</dcterms:created>
  <dcterms:modified xsi:type="dcterms:W3CDTF">2019-10-14T13:43:00Z</dcterms:modified>
</cp:coreProperties>
</file>