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95" w:rsidRDefault="008A6095">
      <w:r>
        <w:t xml:space="preserve">      </w:t>
      </w:r>
      <w:r w:rsidR="00892D45">
        <w:t xml:space="preserve">                                                       </w:t>
      </w:r>
      <w:r>
        <w:t xml:space="preserve">                                                                                                        </w:t>
      </w:r>
      <w:r w:rsidR="0068187D">
        <w:t>12</w:t>
      </w:r>
      <w:r>
        <w:t xml:space="preserve"> </w:t>
      </w:r>
      <w:r w:rsidR="0068187D">
        <w:t>Feb</w:t>
      </w:r>
      <w:r>
        <w:t xml:space="preserve"> 2020</w:t>
      </w:r>
    </w:p>
    <w:p w:rsidR="00892D45" w:rsidRPr="00892D45" w:rsidRDefault="00892D45" w:rsidP="00892D45">
      <w:pPr>
        <w:spacing w:after="0" w:line="240" w:lineRule="auto"/>
        <w:rPr>
          <w:rFonts w:cs="Times New Roman"/>
          <w:sz w:val="28"/>
          <w:szCs w:val="28"/>
        </w:rPr>
      </w:pPr>
      <w:r w:rsidRPr="00892D45">
        <w:rPr>
          <w:rFonts w:cs="Times New Roman"/>
          <w:sz w:val="28"/>
          <w:szCs w:val="28"/>
        </w:rPr>
        <w:t xml:space="preserve">                                              Gilman – applied macro (e</w:t>
      </w:r>
      <w:r w:rsidR="00286053">
        <w:rPr>
          <w:rFonts w:cs="Times New Roman"/>
          <w:sz w:val="28"/>
          <w:szCs w:val="28"/>
        </w:rPr>
        <w:t>con</w:t>
      </w:r>
      <w:r w:rsidRPr="00892D45">
        <w:rPr>
          <w:rFonts w:cs="Times New Roman"/>
          <w:sz w:val="28"/>
          <w:szCs w:val="28"/>
        </w:rPr>
        <w:t>)</w:t>
      </w:r>
    </w:p>
    <w:p w:rsidR="00892D45" w:rsidRPr="00892D45" w:rsidRDefault="00892D45" w:rsidP="00892D45">
      <w:pPr>
        <w:spacing w:after="0" w:line="240" w:lineRule="auto"/>
        <w:rPr>
          <w:rFonts w:cs="Times New Roman"/>
          <w:sz w:val="28"/>
          <w:szCs w:val="28"/>
        </w:rPr>
      </w:pPr>
      <w:r w:rsidRPr="00892D45">
        <w:rPr>
          <w:rFonts w:cs="Times New Roman"/>
          <w:sz w:val="28"/>
          <w:szCs w:val="28"/>
        </w:rPr>
        <w:t xml:space="preserve">                                            </w:t>
      </w:r>
      <w:proofErr w:type="gramStart"/>
      <w:r w:rsidRPr="00892D45">
        <w:rPr>
          <w:rFonts w:cs="Times New Roman"/>
          <w:sz w:val="28"/>
          <w:szCs w:val="28"/>
        </w:rPr>
        <w:t xml:space="preserve">Class # </w:t>
      </w:r>
      <w:r>
        <w:rPr>
          <w:rFonts w:cs="Times New Roman"/>
          <w:sz w:val="28"/>
          <w:szCs w:val="28"/>
        </w:rPr>
        <w:t>2</w:t>
      </w:r>
      <w:r w:rsidRPr="00892D45">
        <w:rPr>
          <w:rFonts w:cs="Times New Roman"/>
          <w:sz w:val="28"/>
          <w:szCs w:val="28"/>
        </w:rPr>
        <w:t>.</w:t>
      </w:r>
      <w:proofErr w:type="gramEnd"/>
      <w:r w:rsidRPr="00892D45">
        <w:rPr>
          <w:rFonts w:cs="Times New Roman"/>
          <w:sz w:val="28"/>
          <w:szCs w:val="28"/>
        </w:rPr>
        <w:t xml:space="preserve">   </w:t>
      </w:r>
      <w:r w:rsidR="0068187D">
        <w:rPr>
          <w:rFonts w:cs="Times New Roman"/>
          <w:sz w:val="28"/>
          <w:szCs w:val="28"/>
        </w:rPr>
        <w:t>12 Febr</w:t>
      </w:r>
      <w:r w:rsidRPr="00892D45">
        <w:rPr>
          <w:rFonts w:cs="Times New Roman"/>
          <w:sz w:val="28"/>
          <w:szCs w:val="28"/>
        </w:rPr>
        <w:t>uary 2020</w:t>
      </w:r>
    </w:p>
    <w:p w:rsidR="00294A5D" w:rsidRDefault="00294A5D"/>
    <w:p w:rsidR="0068187D" w:rsidRDefault="0068187D">
      <w:proofErr w:type="gramStart"/>
      <w:r>
        <w:t>Since we first met on 22 January.</w:t>
      </w:r>
      <w:proofErr w:type="gramEnd"/>
      <w:r>
        <w:t xml:space="preserve">  (Sorry we couldn’t meet on the original schedule)   </w:t>
      </w:r>
    </w:p>
    <w:p w:rsidR="006B10D5" w:rsidRDefault="006B10D5">
      <w:pPr>
        <w:rPr>
          <w:rFonts w:ascii="Arial" w:hAnsi="Arial" w:cs="Arial"/>
        </w:rPr>
      </w:pPr>
      <w:r>
        <w:t>T</w:t>
      </w:r>
      <w:r>
        <w:rPr>
          <w:rFonts w:ascii="Arial" w:hAnsi="Arial" w:cs="Arial"/>
        </w:rPr>
        <w:t xml:space="preserve">his morning Brent oil was trading </w:t>
      </w:r>
      <w:r w:rsidR="004621D2">
        <w:rPr>
          <w:rFonts w:ascii="Arial" w:hAnsi="Arial" w:cs="Arial"/>
        </w:rPr>
        <w:t xml:space="preserve">at about </w:t>
      </w:r>
      <w:r>
        <w:rPr>
          <w:rFonts w:ascii="Arial" w:hAnsi="Arial" w:cs="Arial"/>
        </w:rPr>
        <w:t>$</w:t>
      </w:r>
      <w:r w:rsidR="004621D2">
        <w:rPr>
          <w:rFonts w:ascii="Arial" w:hAnsi="Arial" w:cs="Arial"/>
        </w:rPr>
        <w:t>55</w:t>
      </w:r>
      <w:r w:rsidR="0068187D">
        <w:rPr>
          <w:rFonts w:ascii="Arial" w:hAnsi="Arial" w:cs="Arial"/>
        </w:rPr>
        <w:t>/</w:t>
      </w:r>
      <w:proofErr w:type="spellStart"/>
      <w:r>
        <w:rPr>
          <w:rFonts w:ascii="Arial" w:hAnsi="Arial" w:cs="Arial"/>
        </w:rPr>
        <w:t>bbl</w:t>
      </w:r>
      <w:proofErr w:type="spellEnd"/>
      <w:r>
        <w:rPr>
          <w:rFonts w:ascii="Arial" w:hAnsi="Arial" w:cs="Arial"/>
        </w:rPr>
        <w:t xml:space="preserve"> (ref the bet). Concerns over the spread of the coronavirus epidemic weighed on the oil market given the potential implications for demand.</w:t>
      </w:r>
      <w:r w:rsidR="00E87230">
        <w:rPr>
          <w:rFonts w:ascii="Arial" w:hAnsi="Arial" w:cs="Arial"/>
        </w:rPr>
        <w:t xml:space="preserve">  Other asset prices have also dropped.  Why?</w:t>
      </w:r>
    </w:p>
    <w:p w:rsidR="0054207A" w:rsidRDefault="006B10D5" w:rsidP="0054207A">
      <w:pPr>
        <w:numPr>
          <w:ilvl w:val="0"/>
          <w:numId w:val="3"/>
        </w:numPr>
        <w:spacing w:before="100" w:beforeAutospacing="1" w:after="75" w:line="360" w:lineRule="auto"/>
        <w:ind w:left="0"/>
        <w:rPr>
          <w:rFonts w:ascii="Helvetica" w:hAnsi="Helvetica"/>
        </w:rPr>
      </w:pPr>
      <w:r w:rsidRPr="006B10D5">
        <w:rPr>
          <w:rFonts w:ascii="Arial" w:hAnsi="Arial" w:cs="Arial"/>
          <w:b/>
        </w:rPr>
        <w:t>B</w:t>
      </w:r>
      <w:r w:rsidR="00A12BDD" w:rsidRPr="006B10D5">
        <w:rPr>
          <w:b/>
        </w:rPr>
        <w:t>lack swans</w:t>
      </w:r>
      <w:r w:rsidR="00A12BDD">
        <w:t xml:space="preserve">.  </w:t>
      </w:r>
      <w:r w:rsidR="00294A5D">
        <w:t>Coronavirus</w:t>
      </w:r>
      <w:r w:rsidR="0054207A">
        <w:t xml:space="preserve">.  </w:t>
      </w:r>
      <w:r w:rsidR="0054207A">
        <w:rPr>
          <w:rFonts w:ascii="Helvetica" w:hAnsi="Helvetica"/>
        </w:rPr>
        <w:t>The prospect of a deadly epidemic is horrific.  The actual damage (in financial or human terms) is still minimal in the greater scale of things, though the death toll (</w:t>
      </w:r>
      <w:r w:rsidR="000D12B7">
        <w:rPr>
          <w:rFonts w:ascii="Helvetica" w:hAnsi="Helvetica"/>
        </w:rPr>
        <w:t>1115</w:t>
      </w:r>
      <w:r w:rsidR="0054207A">
        <w:rPr>
          <w:rFonts w:ascii="Helvetica" w:hAnsi="Helvetica"/>
        </w:rPr>
        <w:t xml:space="preserve"> as of this morning</w:t>
      </w:r>
      <w:r w:rsidR="000D12B7">
        <w:rPr>
          <w:rFonts w:ascii="Helvetica" w:hAnsi="Helvetica"/>
        </w:rPr>
        <w:t>, all but 2 in mainland China</w:t>
      </w:r>
      <w:r w:rsidR="0054207A">
        <w:rPr>
          <w:rFonts w:ascii="Helvetica" w:hAnsi="Helvetica"/>
        </w:rPr>
        <w:t>) from the virus continues to rise, as do the number of confirmed cases</w:t>
      </w:r>
      <w:r w:rsidR="00A06D0C">
        <w:rPr>
          <w:rFonts w:ascii="Helvetica" w:hAnsi="Helvetica"/>
        </w:rPr>
        <w:t xml:space="preserve"> (</w:t>
      </w:r>
      <w:r w:rsidR="000D12B7">
        <w:rPr>
          <w:rFonts w:ascii="Helvetica" w:hAnsi="Helvetica"/>
        </w:rPr>
        <w:t>44,700), but the rise is no longer exponential, and in fact seems to be decelerating.  Worse than SARS.</w:t>
      </w:r>
    </w:p>
    <w:p w:rsidR="0054207A" w:rsidRDefault="0054207A" w:rsidP="0054207A">
      <w:pPr>
        <w:numPr>
          <w:ilvl w:val="0"/>
          <w:numId w:val="3"/>
        </w:numPr>
        <w:spacing w:before="100" w:beforeAutospacing="1" w:after="75" w:line="360" w:lineRule="auto"/>
        <w:ind w:left="0"/>
        <w:rPr>
          <w:rFonts w:ascii="Helvetica" w:hAnsi="Helvetica"/>
        </w:rPr>
      </w:pPr>
      <w:r w:rsidRPr="0054207A">
        <w:rPr>
          <w:rFonts w:ascii="Helvetica" w:hAnsi="Helvetica"/>
        </w:rPr>
        <w:t>The risks involved are truly terrifying of a global pandemic.  The chance that those risks will actually happen is close to impossible to identify.  The damage that would be involved in a realistic worst-case scenario, or even a nightmare scenario, is truly impossible to quantify.</w:t>
      </w:r>
    </w:p>
    <w:p w:rsidR="0054207A" w:rsidRDefault="0054207A" w:rsidP="0054207A">
      <w:pPr>
        <w:pStyle w:val="NormalWeb"/>
        <w:spacing w:before="240" w:beforeAutospacing="0" w:after="240" w:afterAutospacing="0" w:line="360" w:lineRule="auto"/>
        <w:rPr>
          <w:rFonts w:ascii="Helvetica" w:hAnsi="Helvetica"/>
        </w:rPr>
      </w:pPr>
      <w:r>
        <w:rPr>
          <w:rFonts w:ascii="Helvetica" w:hAnsi="Helvetica"/>
        </w:rPr>
        <w:t xml:space="preserve">The “random walk” theory would suggest world markets, which </w:t>
      </w:r>
      <w:r w:rsidR="000D12B7">
        <w:rPr>
          <w:rFonts w:ascii="Helvetica" w:hAnsi="Helvetica"/>
        </w:rPr>
        <w:t xml:space="preserve">have </w:t>
      </w:r>
      <w:r>
        <w:rPr>
          <w:rFonts w:ascii="Helvetica" w:hAnsi="Helvetica"/>
        </w:rPr>
        <w:t xml:space="preserve">plummeted, should adjust prices to each new piece of information — which at this point probably means </w:t>
      </w:r>
      <w:r w:rsidR="00EA0D5C">
        <w:rPr>
          <w:rFonts w:ascii="Helvetica" w:hAnsi="Helvetica"/>
        </w:rPr>
        <w:t xml:space="preserve">reducing </w:t>
      </w:r>
      <w:r>
        <w:rPr>
          <w:rFonts w:ascii="Helvetica" w:hAnsi="Helvetica"/>
        </w:rPr>
        <w:t>risk</w:t>
      </w:r>
      <w:r w:rsidR="00EA0D5C">
        <w:rPr>
          <w:rFonts w:ascii="Helvetica" w:hAnsi="Helvetica"/>
        </w:rPr>
        <w:t xml:space="preserve"> expectations</w:t>
      </w:r>
      <w:r>
        <w:rPr>
          <w:rFonts w:ascii="Helvetica" w:hAnsi="Helvetica"/>
        </w:rPr>
        <w:t xml:space="preserve"> somewhat.  In practice that is </w:t>
      </w:r>
      <w:r w:rsidR="000D12B7">
        <w:rPr>
          <w:rFonts w:ascii="Helvetica" w:hAnsi="Helvetica"/>
        </w:rPr>
        <w:t xml:space="preserve">not </w:t>
      </w:r>
      <w:r>
        <w:rPr>
          <w:rFonts w:ascii="Helvetica" w:hAnsi="Helvetica"/>
        </w:rPr>
        <w:t>happen</w:t>
      </w:r>
      <w:r w:rsidR="000D12B7">
        <w:rPr>
          <w:rFonts w:ascii="Helvetica" w:hAnsi="Helvetica"/>
        </w:rPr>
        <w:t>ing</w:t>
      </w:r>
      <w:r>
        <w:rPr>
          <w:rFonts w:ascii="Helvetica" w:hAnsi="Helvetica"/>
        </w:rPr>
        <w:t>. More likely, we</w:t>
      </w:r>
      <w:r w:rsidR="000D12B7">
        <w:rPr>
          <w:rFonts w:ascii="Helvetica" w:hAnsi="Helvetica"/>
        </w:rPr>
        <w:t xml:space="preserve"> seem to be suffering</w:t>
      </w:r>
      <w:r>
        <w:rPr>
          <w:rFonts w:ascii="Helvetica" w:hAnsi="Helvetica"/>
        </w:rPr>
        <w:t xml:space="preserve"> a </w:t>
      </w:r>
      <w:r w:rsidRPr="0054207A">
        <w:rPr>
          <w:rFonts w:ascii="Helvetica" w:hAnsi="Helvetica"/>
          <w:b/>
        </w:rPr>
        <w:t>classic investment panic</w:t>
      </w:r>
      <w:r>
        <w:rPr>
          <w:rFonts w:ascii="Helvetica" w:hAnsi="Helvetica"/>
        </w:rPr>
        <w:t xml:space="preserve">. The level of anxiety, rather than actual information, will dictate the market response, and that means that the market will be driven by crowd psychology. When a narrative takes hold, the Nobel </w:t>
      </w:r>
      <w:proofErr w:type="gramStart"/>
      <w:r>
        <w:rPr>
          <w:rFonts w:ascii="Helvetica" w:hAnsi="Helvetica"/>
        </w:rPr>
        <w:t>prize</w:t>
      </w:r>
      <w:proofErr w:type="gramEnd"/>
      <w:r>
        <w:rPr>
          <w:rFonts w:ascii="Helvetica" w:hAnsi="Helvetica"/>
        </w:rPr>
        <w:t xml:space="preserve"> professor Robert Shiller suggested that the best way to understand its effect on markets is through epidemiology. As the coronavirus becomes an epidemic in the physical world, we should expect fear of coronavirus to become an epidemic in the financial world.</w:t>
      </w:r>
    </w:p>
    <w:p w:rsidR="0054207A" w:rsidRDefault="0054207A" w:rsidP="0054207A">
      <w:pPr>
        <w:pStyle w:val="NormalWeb"/>
        <w:spacing w:before="240" w:beforeAutospacing="0" w:after="240" w:afterAutospacing="0" w:line="360" w:lineRule="auto"/>
        <w:rPr>
          <w:rFonts w:ascii="Helvetica" w:hAnsi="Helvetica"/>
        </w:rPr>
      </w:pPr>
      <w:r>
        <w:rPr>
          <w:rStyle w:val="Strong"/>
          <w:rFonts w:ascii="Helvetica" w:hAnsi="Helvetica"/>
        </w:rPr>
        <w:t>Previous epidemics: SARS and Ebola</w:t>
      </w:r>
      <w:r>
        <w:rPr>
          <w:rFonts w:ascii="Helvetica" w:hAnsi="Helvetica"/>
        </w:rPr>
        <w:t xml:space="preserve"> </w:t>
      </w:r>
    </w:p>
    <w:p w:rsidR="0054207A" w:rsidRDefault="0054207A" w:rsidP="0054207A">
      <w:pPr>
        <w:pStyle w:val="NormalWeb"/>
        <w:numPr>
          <w:ilvl w:val="0"/>
          <w:numId w:val="3"/>
        </w:numPr>
        <w:spacing w:before="240" w:beforeAutospacing="0" w:after="240" w:afterAutospacing="0" w:line="360" w:lineRule="auto"/>
        <w:rPr>
          <w:rFonts w:ascii="Helvetica" w:hAnsi="Helvetica"/>
        </w:rPr>
      </w:pPr>
      <w:r>
        <w:rPr>
          <w:rFonts w:ascii="Helvetica" w:hAnsi="Helvetica"/>
        </w:rPr>
        <w:t xml:space="preserve">How can we measure that crowd psychology? One good old-fashioned measure that works well is the magazine cover. Peter Atwater of Financial </w:t>
      </w:r>
      <w:proofErr w:type="spellStart"/>
      <w:r>
        <w:rPr>
          <w:rFonts w:ascii="Helvetica" w:hAnsi="Helvetica"/>
        </w:rPr>
        <w:t>Insyghts</w:t>
      </w:r>
      <w:proofErr w:type="spellEnd"/>
      <w:r>
        <w:rPr>
          <w:rFonts w:ascii="Helvetica" w:hAnsi="Helvetica"/>
        </w:rPr>
        <w:t xml:space="preserve"> provided these illustrations of how The Economist called the </w:t>
      </w:r>
      <w:r w:rsidR="00A06D0C">
        <w:rPr>
          <w:rFonts w:ascii="Helvetica" w:hAnsi="Helvetica"/>
        </w:rPr>
        <w:t>“</w:t>
      </w:r>
      <w:r>
        <w:rPr>
          <w:rFonts w:ascii="Helvetica" w:hAnsi="Helvetica"/>
        </w:rPr>
        <w:t>peak</w:t>
      </w:r>
      <w:r w:rsidR="00A06D0C">
        <w:rPr>
          <w:rFonts w:ascii="Helvetica" w:hAnsi="Helvetica"/>
        </w:rPr>
        <w:t>”</w:t>
      </w:r>
      <w:r>
        <w:rPr>
          <w:rFonts w:ascii="Helvetica" w:hAnsi="Helvetica"/>
        </w:rPr>
        <w:t xml:space="preserve"> of the panic over the last two most similar alarms over epidemics.</w:t>
      </w:r>
    </w:p>
    <w:p w:rsidR="0054207A" w:rsidRDefault="0054207A" w:rsidP="0054207A">
      <w:pPr>
        <w:pStyle w:val="NormalWeb"/>
        <w:numPr>
          <w:ilvl w:val="0"/>
          <w:numId w:val="3"/>
        </w:numPr>
        <w:spacing w:before="240" w:beforeAutospacing="0" w:after="240" w:afterAutospacing="0" w:line="360" w:lineRule="auto"/>
        <w:rPr>
          <w:rFonts w:ascii="Helvetica" w:hAnsi="Helvetica"/>
        </w:rPr>
      </w:pPr>
      <w:r>
        <w:rPr>
          <w:rFonts w:ascii="Helvetica" w:hAnsi="Helvetica"/>
        </w:rPr>
        <w:lastRenderedPageBreak/>
        <w:t>The SARS epidemic of 2003 is the most similar to what we now confront with the coronavirus. The current situation is not as grave as SARS became, but SARS might easily have spread further, and this epidemic could yet be even worse. Atwater shows that the moment of peak press interest, and the low for Hong Kong’s Hang Seng index, came as SARS made the cover of The Economist.</w:t>
      </w:r>
      <w:r w:rsidR="004E33E1">
        <w:rPr>
          <w:rFonts w:ascii="Helvetica" w:hAnsi="Helvetica"/>
        </w:rPr>
        <w:t xml:space="preserve">  </w:t>
      </w:r>
    </w:p>
    <w:p w:rsidR="004E33E1" w:rsidRDefault="004E33E1" w:rsidP="0054207A">
      <w:pPr>
        <w:pStyle w:val="NormalWeb"/>
        <w:numPr>
          <w:ilvl w:val="0"/>
          <w:numId w:val="3"/>
        </w:numPr>
        <w:spacing w:before="240" w:beforeAutospacing="0" w:after="240" w:afterAutospacing="0" w:line="360" w:lineRule="auto"/>
        <w:rPr>
          <w:rFonts w:ascii="Helvetica" w:hAnsi="Helvetica"/>
        </w:rPr>
      </w:pPr>
      <w:r>
        <w:rPr>
          <w:rFonts w:ascii="Verdana" w:hAnsi="Verdana"/>
          <w:sz w:val="21"/>
          <w:szCs w:val="21"/>
        </w:rPr>
        <w:t xml:space="preserve">China’s high population density, combined with “adventurous” eating habits means it is the center for all sorts of epidemic fears (in 2003 </w:t>
      </w:r>
      <w:proofErr w:type="spellStart"/>
      <w:r>
        <w:rPr>
          <w:rFonts w:ascii="Verdana" w:hAnsi="Verdana"/>
          <w:sz w:val="21"/>
          <w:szCs w:val="21"/>
        </w:rPr>
        <w:t>Sars</w:t>
      </w:r>
      <w:proofErr w:type="spellEnd"/>
      <w:r>
        <w:rPr>
          <w:rFonts w:ascii="Verdana" w:hAnsi="Verdana"/>
          <w:sz w:val="21"/>
          <w:szCs w:val="21"/>
        </w:rPr>
        <w:t xml:space="preserve"> was blamed on eating civets, an otherwise harmless relative of the mongoose, while the current “Wuhan flu” has been blamed variously on bat soup, rat meat and even the consumption of cobras).</w:t>
      </w:r>
    </w:p>
    <w:p w:rsidR="0054207A" w:rsidRDefault="004E33E1" w:rsidP="004E33E1">
      <w:pPr>
        <w:numPr>
          <w:ilvl w:val="0"/>
          <w:numId w:val="3"/>
        </w:numPr>
        <w:spacing w:before="100" w:beforeAutospacing="1" w:after="75" w:line="360" w:lineRule="auto"/>
        <w:rPr>
          <w:rFonts w:ascii="Helvetica" w:hAnsi="Helvetica"/>
        </w:rPr>
      </w:pPr>
      <w:r w:rsidRPr="004E33E1">
        <w:rPr>
          <w:rFonts w:ascii="Helvetica" w:hAnsi="Helvetica"/>
        </w:rPr>
        <w:t xml:space="preserve">The other obvious parallel is the 2014 American scare over the Ebola outbreak in western Africa. </w:t>
      </w:r>
      <w:r w:rsidR="00A06D0C">
        <w:rPr>
          <w:rFonts w:ascii="Helvetica" w:hAnsi="Helvetica"/>
        </w:rPr>
        <w:t>T</w:t>
      </w:r>
      <w:r w:rsidRPr="004E33E1">
        <w:rPr>
          <w:rFonts w:ascii="Helvetica" w:hAnsi="Helvetica"/>
        </w:rPr>
        <w:t xml:space="preserve">wo dips in the S&amp;P 500 in the latter half of that year overlapped exactly with peaks of concern over Ebola, as revealed by Google Trends searches. And again, The Economist was there with Ebola on the cover at the point </w:t>
      </w:r>
      <w:r>
        <w:rPr>
          <w:rFonts w:ascii="Helvetica" w:hAnsi="Helvetica"/>
        </w:rPr>
        <w:t>when the panic reached its apex.</w:t>
      </w:r>
    </w:p>
    <w:p w:rsidR="004E33E1" w:rsidRPr="004E33E1" w:rsidRDefault="004E33E1" w:rsidP="004E33E1">
      <w:pPr>
        <w:numPr>
          <w:ilvl w:val="0"/>
          <w:numId w:val="3"/>
        </w:numPr>
        <w:spacing w:before="100" w:beforeAutospacing="1" w:after="75" w:line="360" w:lineRule="auto"/>
        <w:jc w:val="both"/>
        <w:rPr>
          <w:rFonts w:ascii="Helvetica" w:eastAsia="Times New Roman" w:hAnsi="Helvetica"/>
          <w:sz w:val="21"/>
          <w:szCs w:val="21"/>
        </w:rPr>
      </w:pPr>
      <w:r w:rsidRPr="00A06D0C">
        <w:rPr>
          <w:rStyle w:val="Strong"/>
          <w:rFonts w:ascii="Verdana" w:eastAsia="Times New Roman" w:hAnsi="Verdana"/>
          <w:b w:val="0"/>
          <w:sz w:val="21"/>
          <w:szCs w:val="21"/>
        </w:rPr>
        <w:t xml:space="preserve">Also note: </w:t>
      </w:r>
      <w:r w:rsidRPr="004E33E1">
        <w:rPr>
          <w:rStyle w:val="Strong"/>
          <w:rFonts w:ascii="Verdana" w:eastAsia="Times New Roman" w:hAnsi="Verdana"/>
          <w:sz w:val="21"/>
          <w:szCs w:val="21"/>
        </w:rPr>
        <w:t xml:space="preserve"> like Russia, China evokes extreme passions in the west</w:t>
      </w:r>
      <w:r w:rsidRPr="004E33E1">
        <w:rPr>
          <w:rFonts w:ascii="Verdana" w:eastAsia="Times New Roman" w:hAnsi="Verdana"/>
          <w:sz w:val="21"/>
          <w:szCs w:val="21"/>
        </w:rPr>
        <w:t xml:space="preserve">. </w:t>
      </w:r>
      <w:r w:rsidRPr="004E33E1">
        <w:rPr>
          <w:rStyle w:val="Strong"/>
          <w:rFonts w:ascii="Verdana" w:eastAsia="Times New Roman" w:hAnsi="Verdana"/>
          <w:sz w:val="21"/>
          <w:szCs w:val="21"/>
        </w:rPr>
        <w:t>The media love nothing more than a health scare.  And the nature of the Chinese regime makes any possible pandemic even scarier</w:t>
      </w:r>
      <w:r w:rsidRPr="004E33E1">
        <w:rPr>
          <w:rFonts w:ascii="Verdana" w:eastAsia="Times New Roman" w:hAnsi="Verdana"/>
          <w:sz w:val="21"/>
          <w:szCs w:val="21"/>
        </w:rPr>
        <w:t xml:space="preserve">. </w:t>
      </w:r>
    </w:p>
    <w:p w:rsidR="004E33E1" w:rsidRPr="0054207A" w:rsidRDefault="004E33E1" w:rsidP="004E33E1">
      <w:pPr>
        <w:numPr>
          <w:ilvl w:val="0"/>
          <w:numId w:val="3"/>
        </w:numPr>
        <w:spacing w:before="100" w:beforeAutospacing="1" w:after="75" w:line="360" w:lineRule="auto"/>
        <w:rPr>
          <w:rFonts w:ascii="Helvetica" w:hAnsi="Helvetica"/>
        </w:rPr>
      </w:pPr>
      <w:r>
        <w:rPr>
          <w:rFonts w:ascii="Helvetica" w:hAnsi="Helvetica"/>
        </w:rPr>
        <w:t>But unlikely to find similar conditions for a repeat of the devastation (estimated 19 million dead) from the Spanish flu pandemic of 1918-20.</w:t>
      </w:r>
      <w:r w:rsidR="000D12B7">
        <w:rPr>
          <w:rFonts w:ascii="Helvetica" w:hAnsi="Helvetica"/>
        </w:rPr>
        <w:t xml:space="preserve">  The Economist </w:t>
      </w:r>
      <w:proofErr w:type="gramStart"/>
      <w:r w:rsidR="000D12B7">
        <w:rPr>
          <w:rFonts w:ascii="Helvetica" w:hAnsi="Helvetica"/>
        </w:rPr>
        <w:t>cover</w:t>
      </w:r>
      <w:proofErr w:type="gramEnd"/>
      <w:r w:rsidR="000D12B7">
        <w:rPr>
          <w:rFonts w:ascii="Helvetica" w:hAnsi="Helvetica"/>
        </w:rPr>
        <w:t xml:space="preserve"> of 8 February.</w:t>
      </w:r>
    </w:p>
    <w:p w:rsidR="00A075DD" w:rsidRDefault="00A075DD"/>
    <w:p w:rsidR="00893D89" w:rsidRDefault="00893D89" w:rsidP="00893D89">
      <w:pPr>
        <w:pStyle w:val="NormalWeb"/>
        <w:jc w:val="both"/>
      </w:pPr>
      <w:r>
        <w:rPr>
          <w:rFonts w:ascii="Verdana" w:hAnsi="Verdana"/>
          <w:sz w:val="21"/>
          <w:szCs w:val="21"/>
        </w:rPr>
        <w:t xml:space="preserve">(7 Feb, </w:t>
      </w:r>
      <w:proofErr w:type="spellStart"/>
      <w:r>
        <w:rPr>
          <w:rFonts w:ascii="Verdana" w:hAnsi="Verdana"/>
          <w:sz w:val="21"/>
          <w:szCs w:val="21"/>
        </w:rPr>
        <w:t>GaveKal</w:t>
      </w:r>
      <w:proofErr w:type="spellEnd"/>
      <w:r>
        <w:rPr>
          <w:rFonts w:ascii="Verdana" w:hAnsi="Verdana"/>
          <w:sz w:val="21"/>
          <w:szCs w:val="21"/>
        </w:rPr>
        <w:t xml:space="preserve">):  </w:t>
      </w:r>
      <w:r>
        <w:rPr>
          <w:rFonts w:ascii="Verdana" w:hAnsi="Verdana"/>
          <w:sz w:val="21"/>
          <w:szCs w:val="21"/>
        </w:rPr>
        <w:t xml:space="preserve">No financial market has been hit more heavily by the Wuhan coronavirus than oil, with the price of crude falling by more than -20% from its early-January high on fears the outbreak will crush China’s demand for fuels. </w:t>
      </w:r>
      <w:r w:rsidR="0077716D">
        <w:rPr>
          <w:rFonts w:ascii="Verdana" w:hAnsi="Verdana"/>
          <w:sz w:val="21"/>
          <w:szCs w:val="21"/>
        </w:rPr>
        <w:t>[</w:t>
      </w:r>
      <w:r w:rsidR="0077716D">
        <w:rPr>
          <w:rFonts w:ascii="Verdana" w:hAnsi="Verdana"/>
          <w:sz w:val="21"/>
          <w:szCs w:val="21"/>
        </w:rPr>
        <w:t>Nowhere in markets has the impact of the Wuhan flu made itself felt as forcefully as in the oil price. From an intraday high of US$71.75/</w:t>
      </w:r>
      <w:proofErr w:type="spellStart"/>
      <w:r w:rsidR="0077716D">
        <w:rPr>
          <w:rFonts w:ascii="Verdana" w:hAnsi="Verdana"/>
          <w:sz w:val="21"/>
          <w:szCs w:val="21"/>
        </w:rPr>
        <w:t>bbl</w:t>
      </w:r>
      <w:proofErr w:type="spellEnd"/>
      <w:r w:rsidR="0077716D">
        <w:rPr>
          <w:rFonts w:ascii="Verdana" w:hAnsi="Verdana"/>
          <w:sz w:val="21"/>
          <w:szCs w:val="21"/>
        </w:rPr>
        <w:t xml:space="preserve"> on January 8, the price of Brent crude has slumped to US$54.58/</w:t>
      </w:r>
      <w:proofErr w:type="spellStart"/>
      <w:r w:rsidR="0077716D">
        <w:rPr>
          <w:rFonts w:ascii="Verdana" w:hAnsi="Verdana"/>
          <w:sz w:val="21"/>
          <w:szCs w:val="21"/>
        </w:rPr>
        <w:t>bbl</w:t>
      </w:r>
      <w:proofErr w:type="spellEnd"/>
      <w:r w:rsidR="0077716D">
        <w:rPr>
          <w:rFonts w:ascii="Verdana" w:hAnsi="Verdana"/>
          <w:sz w:val="21"/>
          <w:szCs w:val="21"/>
        </w:rPr>
        <w:t xml:space="preserve"> on Wednesday morning in Asia on fears of massive demand destruction in disease-hit China. That’s a fall of -24% in just four weeks.</w:t>
      </w:r>
      <w:r w:rsidR="0077716D">
        <w:rPr>
          <w:rFonts w:ascii="Verdana" w:hAnsi="Verdana"/>
          <w:sz w:val="21"/>
          <w:szCs w:val="21"/>
        </w:rPr>
        <w:t>]</w:t>
      </w:r>
    </w:p>
    <w:p w:rsidR="00893D89" w:rsidRDefault="00893D89" w:rsidP="00893D89">
      <w:pPr>
        <w:pStyle w:val="cirbodytext"/>
        <w:rPr>
          <w:rStyle w:val="run"/>
          <w:rFonts w:cs="Arial"/>
        </w:rPr>
      </w:pPr>
      <w:r>
        <w:t xml:space="preserve">(7 Feb, Citi):  </w:t>
      </w:r>
      <w:r>
        <w:rPr>
          <w:rStyle w:val="run"/>
          <w:rFonts w:cs="Arial"/>
          <w:b/>
          <w:bCs/>
        </w:rPr>
        <w:t xml:space="preserve">France: IP slumps in Dec, de-stocking (and strikes) likely to blame – </w:t>
      </w:r>
      <w:r>
        <w:rPr>
          <w:rStyle w:val="run"/>
          <w:rFonts w:cs="Arial"/>
        </w:rPr>
        <w:t>Industrial production slumped in December (-2.8% MM vs. Mkt. -0.3%) and fell by 0.6% in 4Q-19. Manufacturing production (-2.6% MM vs. Mkt. +0.1%) also fell sharply. We think that disruption to supply lines from the recurring public sector transport strikes, as well as in some cases, temporary cuts in power supply are to blame. Rebound likely in 1Q-20, but watch out for possible drag from impact of coronavirus.</w:t>
      </w:r>
    </w:p>
    <w:p w:rsidR="0077716D" w:rsidRDefault="0077716D" w:rsidP="0077716D">
      <w:pPr>
        <w:pStyle w:val="cirbodytext"/>
        <w:rPr>
          <w:rStyle w:val="run"/>
          <w:rFonts w:cs="Arial"/>
        </w:rPr>
      </w:pPr>
      <w:r>
        <w:rPr>
          <w:rStyle w:val="run"/>
          <w:rFonts w:cs="Arial"/>
        </w:rPr>
        <w:lastRenderedPageBreak/>
        <w:t xml:space="preserve">(5 Feb, Citi):  </w:t>
      </w:r>
      <w:r w:rsidRPr="0077716D">
        <w:rPr>
          <w:rStyle w:val="run"/>
          <w:rFonts w:cs="Arial"/>
        </w:rPr>
        <w:t xml:space="preserve">What’s new in currency wars? </w:t>
      </w:r>
      <w:r>
        <w:rPr>
          <w:rStyle w:val="run"/>
          <w:rFonts w:cs="Arial"/>
        </w:rPr>
        <w:t>T</w:t>
      </w:r>
      <w:r w:rsidRPr="0077716D">
        <w:rPr>
          <w:rStyle w:val="run"/>
          <w:rFonts w:cs="Arial"/>
        </w:rPr>
        <w:t xml:space="preserve">he US Commerce Department announced a final rule for countervailing unfair currency subsidies, after it proposed a rule in May 2019. The main innovation, compared to past practice, is that the Commerce Department </w:t>
      </w:r>
      <w:proofErr w:type="spellStart"/>
      <w:r w:rsidRPr="0077716D">
        <w:rPr>
          <w:rStyle w:val="run"/>
          <w:rFonts w:cs="Arial"/>
        </w:rPr>
        <w:t>i</w:t>
      </w:r>
      <w:proofErr w:type="spellEnd"/>
      <w:r w:rsidRPr="0077716D">
        <w:rPr>
          <w:rStyle w:val="run"/>
          <w:rFonts w:cs="Arial"/>
        </w:rPr>
        <w:t xml:space="preserve">) defines currency undervaluation as a </w:t>
      </w:r>
      <w:proofErr w:type="spellStart"/>
      <w:r w:rsidRPr="0077716D">
        <w:rPr>
          <w:rStyle w:val="run"/>
          <w:rFonts w:cs="Arial"/>
        </w:rPr>
        <w:t>countervailable</w:t>
      </w:r>
      <w:proofErr w:type="spellEnd"/>
      <w:r w:rsidRPr="0077716D">
        <w:rPr>
          <w:rStyle w:val="run"/>
          <w:rFonts w:cs="Arial"/>
        </w:rPr>
        <w:t xml:space="preserve"> subsidy, and ii) that it could identify currency undervaluation even if the country in question is not designated a currency manipulator by the US Treasury department (even though the notice says the </w:t>
      </w:r>
      <w:proofErr w:type="spellStart"/>
      <w:r w:rsidRPr="0077716D">
        <w:rPr>
          <w:rStyle w:val="run"/>
          <w:rFonts w:cs="Arial"/>
        </w:rPr>
        <w:t>DoC</w:t>
      </w:r>
      <w:proofErr w:type="spellEnd"/>
      <w:r w:rsidRPr="0077716D">
        <w:rPr>
          <w:rStyle w:val="run"/>
          <w:rFonts w:cs="Arial"/>
        </w:rPr>
        <w:t xml:space="preserve"> will seek the Treasury’s expertise). </w:t>
      </w:r>
    </w:p>
    <w:p w:rsidR="0077716D" w:rsidRPr="0077716D" w:rsidRDefault="0077716D" w:rsidP="0077716D">
      <w:pPr>
        <w:pStyle w:val="cirbodytext"/>
        <w:rPr>
          <w:rStyle w:val="run"/>
          <w:rFonts w:cs="Arial"/>
        </w:rPr>
      </w:pPr>
    </w:p>
    <w:p w:rsidR="0077716D" w:rsidRDefault="0077716D" w:rsidP="0077716D">
      <w:pPr>
        <w:pStyle w:val="cirbodytext"/>
        <w:rPr>
          <w:rStyle w:val="run"/>
          <w:rFonts w:cs="Arial"/>
        </w:rPr>
      </w:pPr>
      <w:r w:rsidRPr="0077716D">
        <w:rPr>
          <w:rStyle w:val="run"/>
          <w:rFonts w:cs="Arial"/>
        </w:rPr>
        <w:t xml:space="preserve">The exact criteria for identifying currency undervaluation are relatively vague, but, again, allow the </w:t>
      </w:r>
      <w:proofErr w:type="spellStart"/>
      <w:r w:rsidRPr="0077716D">
        <w:rPr>
          <w:rStyle w:val="run"/>
          <w:rFonts w:cs="Arial"/>
        </w:rPr>
        <w:t>DoC</w:t>
      </w:r>
      <w:proofErr w:type="spellEnd"/>
      <w:r w:rsidRPr="0077716D">
        <w:rPr>
          <w:rStyle w:val="run"/>
          <w:rFonts w:cs="Arial"/>
        </w:rPr>
        <w:t xml:space="preserve"> to in principle go beyond the Treasury criteria for identifying currency manipulators. In particular, ‘multilateral undervaluation…and any corresponding bilateral undervaluation relative to the U.S. dollar’ are listed as potential reasons for identifying currency undervaluation, even though the notice also references government action that contributes to such </w:t>
      </w:r>
      <w:proofErr w:type="spellStart"/>
      <w:r w:rsidRPr="0077716D">
        <w:rPr>
          <w:rStyle w:val="run"/>
          <w:rFonts w:cs="Arial"/>
        </w:rPr>
        <w:t>undervalution</w:t>
      </w:r>
      <w:proofErr w:type="spellEnd"/>
      <w:r w:rsidRPr="0077716D">
        <w:rPr>
          <w:rStyle w:val="run"/>
          <w:rFonts w:cs="Arial"/>
        </w:rPr>
        <w:t xml:space="preserve"> as a proximate cause, and that ‘such government action will not normally include monetary and related credit policy of an independent central bank or monetary authority).</w:t>
      </w:r>
    </w:p>
    <w:p w:rsidR="0077716D" w:rsidRPr="0077716D" w:rsidRDefault="0077716D" w:rsidP="0077716D">
      <w:pPr>
        <w:pStyle w:val="cirbodytext"/>
        <w:rPr>
          <w:rStyle w:val="run"/>
          <w:rFonts w:cs="Arial"/>
        </w:rPr>
      </w:pPr>
    </w:p>
    <w:p w:rsidR="0077716D" w:rsidRDefault="0077716D" w:rsidP="0077716D">
      <w:pPr>
        <w:pStyle w:val="cirbodytext"/>
        <w:rPr>
          <w:rFonts w:cs="Arial"/>
        </w:rPr>
      </w:pPr>
      <w:r w:rsidRPr="0077716D">
        <w:rPr>
          <w:rStyle w:val="run"/>
          <w:rFonts w:cs="Arial"/>
        </w:rPr>
        <w:t>Once a currency is deemed to be undervalued, the administration can take a variety of measures, including imposing countervailing duties (effectively tariffs).</w:t>
      </w:r>
    </w:p>
    <w:tbl>
      <w:tblPr>
        <w:tblW w:w="0" w:type="auto"/>
        <w:tblCellSpacing w:w="15" w:type="dxa"/>
        <w:tblLook w:val="04A0" w:firstRow="1" w:lastRow="0" w:firstColumn="1" w:lastColumn="0" w:noHBand="0" w:noVBand="1"/>
      </w:tblPr>
      <w:tblGrid>
        <w:gridCol w:w="96"/>
      </w:tblGrid>
      <w:tr w:rsidR="00893D89" w:rsidTr="00893D89">
        <w:trPr>
          <w:trHeight w:val="135"/>
          <w:tblCellSpacing w:w="15" w:type="dxa"/>
        </w:trPr>
        <w:tc>
          <w:tcPr>
            <w:tcW w:w="0" w:type="auto"/>
            <w:tcMar>
              <w:top w:w="15" w:type="dxa"/>
              <w:left w:w="15" w:type="dxa"/>
              <w:bottom w:w="15" w:type="dxa"/>
              <w:right w:w="15" w:type="dxa"/>
            </w:tcMar>
            <w:vAlign w:val="center"/>
            <w:hideMark/>
          </w:tcPr>
          <w:p w:rsidR="00893D89" w:rsidRDefault="00893D89">
            <w:pPr>
              <w:rPr>
                <w:rFonts w:eastAsia="Times New Roman"/>
                <w:sz w:val="20"/>
                <w:szCs w:val="20"/>
              </w:rPr>
            </w:pPr>
          </w:p>
        </w:tc>
      </w:tr>
    </w:tbl>
    <w:p w:rsidR="00893D89" w:rsidRDefault="00893D89" w:rsidP="00893D89">
      <w:pPr>
        <w:pStyle w:val="cirbodytext"/>
        <w:rPr>
          <w:rFonts w:cs="Arial"/>
        </w:rPr>
      </w:pPr>
      <w:r>
        <w:rPr>
          <w:rStyle w:val="run"/>
          <w:rFonts w:cs="Arial"/>
          <w:b/>
          <w:bCs/>
        </w:rPr>
        <w:t>Germany: industrial output plunge completes year-end calamity</w:t>
      </w:r>
      <w:r>
        <w:rPr>
          <w:rStyle w:val="run"/>
          <w:rFonts w:cs="Arial"/>
        </w:rPr>
        <w:t xml:space="preserve"> – 3.5% MM drop in IP adds to orders and retail sales weakness, but points to calendar effects more than fresh underlying weakness.</w:t>
      </w:r>
    </w:p>
    <w:p w:rsidR="00893D89" w:rsidRDefault="00893D89"/>
    <w:p w:rsidR="00E23232" w:rsidRDefault="00B661BD" w:rsidP="009C74AA">
      <w:pPr>
        <w:rPr>
          <w:rFonts w:ascii="Verdana" w:hAnsi="Verdana"/>
          <w:sz w:val="20"/>
          <w:szCs w:val="20"/>
        </w:rPr>
      </w:pPr>
      <w:r>
        <w:rPr>
          <w:rFonts w:ascii="Verdana" w:hAnsi="Verdana"/>
          <w:sz w:val="20"/>
          <w:szCs w:val="20"/>
        </w:rPr>
        <w:t xml:space="preserve"> </w:t>
      </w:r>
      <w:r w:rsidR="00E23232">
        <w:rPr>
          <w:rFonts w:ascii="Verdana" w:hAnsi="Verdana"/>
          <w:sz w:val="20"/>
          <w:szCs w:val="20"/>
        </w:rPr>
        <w:t xml:space="preserve">(Citi, 28 Jan)   </w:t>
      </w:r>
      <w:proofErr w:type="gramStart"/>
      <w:r w:rsidR="00E23232">
        <w:rPr>
          <w:rFonts w:ascii="Verdana" w:hAnsi="Verdana"/>
          <w:sz w:val="20"/>
          <w:szCs w:val="20"/>
        </w:rPr>
        <w:t>ECB strategic review of monetary policy?</w:t>
      </w:r>
      <w:proofErr w:type="gramEnd"/>
      <w:r w:rsidR="00E23232">
        <w:rPr>
          <w:rFonts w:ascii="Verdana" w:hAnsi="Verdana"/>
          <w:sz w:val="20"/>
          <w:szCs w:val="20"/>
        </w:rPr>
        <w:t xml:space="preserve">  </w:t>
      </w:r>
      <w:proofErr w:type="gramStart"/>
      <w:r w:rsidR="00E23232">
        <w:rPr>
          <w:rFonts w:ascii="Verdana" w:hAnsi="Verdana"/>
          <w:sz w:val="20"/>
          <w:szCs w:val="20"/>
        </w:rPr>
        <w:t>Board meeting on Thursday.</w:t>
      </w:r>
      <w:proofErr w:type="gramEnd"/>
      <w:r w:rsidR="00E23232">
        <w:rPr>
          <w:rFonts w:ascii="Verdana" w:hAnsi="Verdana"/>
          <w:sz w:val="20"/>
          <w:szCs w:val="20"/>
        </w:rPr>
        <w:t xml:space="preserve">  </w:t>
      </w:r>
      <w:r w:rsidR="00E23232" w:rsidRPr="00E23232">
        <w:rPr>
          <w:rFonts w:ascii="Verdana" w:hAnsi="Verdana"/>
          <w:sz w:val="20"/>
          <w:szCs w:val="20"/>
        </w:rPr>
        <w:t>Average long-term inflation expectations remained at 1.7%.</w:t>
      </w:r>
      <w:r w:rsidR="00E23232">
        <w:rPr>
          <w:rFonts w:ascii="Verdana" w:hAnsi="Verdana"/>
          <w:sz w:val="20"/>
          <w:szCs w:val="20"/>
        </w:rPr>
        <w:t xml:space="preserve">  </w:t>
      </w:r>
      <w:r w:rsidR="00E23232" w:rsidRPr="00E23232">
        <w:rPr>
          <w:rFonts w:ascii="Verdana" w:hAnsi="Verdana"/>
          <w:sz w:val="20"/>
          <w:szCs w:val="20"/>
        </w:rPr>
        <w:t xml:space="preserve">ECB: </w:t>
      </w:r>
      <w:proofErr w:type="spellStart"/>
      <w:r w:rsidR="00E23232" w:rsidRPr="00E23232">
        <w:rPr>
          <w:rFonts w:ascii="Verdana" w:hAnsi="Verdana"/>
          <w:sz w:val="20"/>
          <w:szCs w:val="20"/>
        </w:rPr>
        <w:t>Mersch</w:t>
      </w:r>
      <w:proofErr w:type="spellEnd"/>
      <w:r w:rsidR="00E23232" w:rsidRPr="00E23232">
        <w:rPr>
          <w:rFonts w:ascii="Verdana" w:hAnsi="Verdana"/>
          <w:sz w:val="20"/>
          <w:szCs w:val="20"/>
        </w:rPr>
        <w:t xml:space="preserve"> calls on ECB to “lean against” inflated asset prices</w:t>
      </w:r>
      <w:r w:rsidR="00E23232">
        <w:rPr>
          <w:rFonts w:ascii="Verdana" w:hAnsi="Verdana"/>
          <w:sz w:val="20"/>
          <w:szCs w:val="20"/>
        </w:rPr>
        <w:t xml:space="preserve"> – stability concerns.  He </w:t>
      </w:r>
      <w:r w:rsidR="00E23232" w:rsidRPr="00E23232">
        <w:rPr>
          <w:rFonts w:ascii="Verdana" w:hAnsi="Verdana"/>
          <w:sz w:val="20"/>
          <w:szCs w:val="20"/>
        </w:rPr>
        <w:t xml:space="preserve">is prepared to compromise on price stability out of financial stability concerns. </w:t>
      </w:r>
      <w:r w:rsidR="00E23232">
        <w:rPr>
          <w:rFonts w:ascii="Verdana" w:hAnsi="Verdana"/>
          <w:sz w:val="20"/>
          <w:szCs w:val="20"/>
        </w:rPr>
        <w:t xml:space="preserve"> </w:t>
      </w:r>
      <w:proofErr w:type="spellStart"/>
      <w:r w:rsidR="00E23232" w:rsidRPr="00E23232">
        <w:rPr>
          <w:rFonts w:ascii="Verdana" w:hAnsi="Verdana"/>
          <w:sz w:val="20"/>
          <w:szCs w:val="20"/>
        </w:rPr>
        <w:t>Mersch</w:t>
      </w:r>
      <w:proofErr w:type="spellEnd"/>
      <w:r w:rsidR="00E23232" w:rsidRPr="00E23232">
        <w:rPr>
          <w:rFonts w:ascii="Verdana" w:hAnsi="Verdana"/>
          <w:sz w:val="20"/>
          <w:szCs w:val="20"/>
        </w:rPr>
        <w:t xml:space="preserve"> acknowledges the reversal rate argument but suggests it is a problem of ECB credibility rather than an effective lower bound on policy rates.</w:t>
      </w:r>
    </w:p>
    <w:p w:rsidR="009C74AA" w:rsidRPr="009C74AA" w:rsidRDefault="009C74AA" w:rsidP="009C74AA">
      <w:pPr>
        <w:rPr>
          <w:rFonts w:ascii="Verdana" w:hAnsi="Verdana"/>
          <w:sz w:val="20"/>
          <w:szCs w:val="20"/>
        </w:rPr>
      </w:pPr>
      <w:r w:rsidRPr="009C74AA">
        <w:rPr>
          <w:rFonts w:ascii="Verdana" w:hAnsi="Verdana"/>
          <w:sz w:val="20"/>
          <w:szCs w:val="20"/>
        </w:rPr>
        <w:t>(DJ, 17 Jan)  Chinese economic growth slowed to 6.1% last year, according to figures released today, as sagging trade and business confidence pulled the reading to its lowest level in nearly three decades.</w:t>
      </w:r>
    </w:p>
    <w:p w:rsidR="009C74AA" w:rsidRPr="009C74AA" w:rsidRDefault="009C74AA" w:rsidP="009C74AA">
      <w:pPr>
        <w:rPr>
          <w:rFonts w:ascii="Verdana" w:eastAsia="Times New Roman" w:hAnsi="Verdana"/>
          <w:color w:val="0000A6"/>
        </w:rPr>
      </w:pPr>
      <w:r w:rsidRPr="009C74AA">
        <w:rPr>
          <w:rFonts w:ascii="Verdana" w:eastAsia="Times New Roman" w:hAnsi="Verdana"/>
          <w:color w:val="0000A6"/>
        </w:rPr>
        <w:t>Donald Trump nominates Federal Reserve critic (</w:t>
      </w:r>
      <w:r w:rsidRPr="009C74AA">
        <w:rPr>
          <w:rFonts w:ascii="Verdana" w:hAnsi="Verdana"/>
          <w:sz w:val="20"/>
          <w:szCs w:val="20"/>
        </w:rPr>
        <w:t xml:space="preserve">Judy Shelton of </w:t>
      </w:r>
      <w:r w:rsidR="00A06D0C">
        <w:rPr>
          <w:rFonts w:ascii="Verdana" w:hAnsi="Verdana"/>
          <w:sz w:val="20"/>
          <w:szCs w:val="20"/>
        </w:rPr>
        <w:t>gold</w:t>
      </w:r>
      <w:r w:rsidRPr="009C74AA">
        <w:rPr>
          <w:rFonts w:ascii="Verdana" w:hAnsi="Verdana"/>
          <w:sz w:val="20"/>
          <w:szCs w:val="20"/>
        </w:rPr>
        <w:t xml:space="preserve"> fame) </w:t>
      </w:r>
      <w:r w:rsidRPr="009C74AA">
        <w:rPr>
          <w:rFonts w:ascii="Verdana" w:eastAsia="Times New Roman" w:hAnsi="Verdana"/>
          <w:color w:val="0000A6"/>
        </w:rPr>
        <w:t>to central bank’s board (FT)</w:t>
      </w:r>
    </w:p>
    <w:p w:rsidR="009C74AA" w:rsidRPr="009C74AA" w:rsidRDefault="009C74AA" w:rsidP="009C74AA">
      <w:r w:rsidRPr="009C74AA">
        <w:t>(Jan. 17):  Head of IMF says global economy risks return of Great Depression (The Guardian)</w:t>
      </w:r>
    </w:p>
    <w:tbl>
      <w:tblPr>
        <w:tblW w:w="5000" w:type="pct"/>
        <w:tblCellSpacing w:w="0" w:type="dxa"/>
        <w:tblCellMar>
          <w:top w:w="75" w:type="dxa"/>
          <w:left w:w="0" w:type="dxa"/>
          <w:right w:w="0" w:type="dxa"/>
        </w:tblCellMar>
        <w:tblLook w:val="04A0" w:firstRow="1" w:lastRow="0" w:firstColumn="1" w:lastColumn="0" w:noHBand="0" w:noVBand="1"/>
      </w:tblPr>
      <w:tblGrid>
        <w:gridCol w:w="9360"/>
      </w:tblGrid>
      <w:tr w:rsidR="00EF0B8D" w:rsidRPr="00EF0B8D" w:rsidTr="00EF0B8D">
        <w:trPr>
          <w:tblCellSpacing w:w="0" w:type="dxa"/>
        </w:trPr>
        <w:tc>
          <w:tcPr>
            <w:tcW w:w="0" w:type="auto"/>
            <w:vAlign w:val="center"/>
            <w:hideMark/>
          </w:tcPr>
          <w:p w:rsidR="00EF0B8D" w:rsidRPr="00EF0B8D" w:rsidRDefault="00EF0B8D" w:rsidP="00EF0B8D">
            <w:pPr>
              <w:rPr>
                <w:b/>
                <w:bCs/>
              </w:rPr>
            </w:pPr>
            <w:r w:rsidRPr="00EF0B8D">
              <w:rPr>
                <w:b/>
                <w:bCs/>
              </w:rPr>
              <w:t xml:space="preserve">Japan Dec Core Consumer Inflation Ticks Up, But Far From </w:t>
            </w:r>
            <w:proofErr w:type="spellStart"/>
            <w:r w:rsidRPr="00EF0B8D">
              <w:rPr>
                <w:b/>
                <w:bCs/>
              </w:rPr>
              <w:t>BoJ's</w:t>
            </w:r>
            <w:proofErr w:type="spellEnd"/>
            <w:r w:rsidRPr="00EF0B8D">
              <w:rPr>
                <w:b/>
                <w:bCs/>
              </w:rPr>
              <w:t xml:space="preserve"> Target (Reuters)</w:t>
            </w:r>
          </w:p>
          <w:tbl>
            <w:tblPr>
              <w:tblW w:w="5000" w:type="pct"/>
              <w:tblCellSpacing w:w="0" w:type="dxa"/>
              <w:tblCellMar>
                <w:left w:w="0" w:type="dxa"/>
                <w:right w:w="0" w:type="dxa"/>
              </w:tblCellMar>
              <w:tblLook w:val="04A0" w:firstRow="1" w:lastRow="0" w:firstColumn="1" w:lastColumn="0" w:noHBand="0" w:noVBand="1"/>
            </w:tblPr>
            <w:tblGrid>
              <w:gridCol w:w="9360"/>
            </w:tblGrid>
            <w:tr w:rsidR="00EF0B8D" w:rsidRPr="00EF0B8D">
              <w:trPr>
                <w:tblCellSpacing w:w="0" w:type="dxa"/>
              </w:trPr>
              <w:tc>
                <w:tcPr>
                  <w:tcW w:w="0" w:type="auto"/>
                  <w:hideMark/>
                </w:tcPr>
                <w:p w:rsidR="00EF0B8D" w:rsidRPr="00EF0B8D" w:rsidRDefault="00EF0B8D" w:rsidP="00235437">
                  <w:r w:rsidRPr="00EF0B8D">
                    <w:t xml:space="preserve">Japan's core consumer prices rose in December from a year earlier, data showed today, nudging up from the previous month, but inflation was still well short of the central bank's elusive 2% target. The tame data, which was also boosted by a sales tax increase last October, underscored the challenge faced by the country's central bank, analysts said. The core consumer price index rose 0.7% in December from a </w:t>
                  </w:r>
                  <w:r w:rsidRPr="00EF0B8D">
                    <w:lastRenderedPageBreak/>
                    <w:t>year earlier. In November, the index rose 0.5%. The so-called core-core inflation index grew 0.9% in December from a year earlier, the fastest pace of growth since March 2016. The index rose 0.8% in November. Without the impact of a sales tax hike in October, core CPI index rose only 0.4% in December from a year earlier and the core-core inflation index grew 0.6%, the data showed.</w:t>
                  </w:r>
                </w:p>
              </w:tc>
            </w:tr>
          </w:tbl>
          <w:p w:rsidR="00EF0B8D" w:rsidRPr="00EF0B8D" w:rsidRDefault="00EF0B8D" w:rsidP="00EF0B8D"/>
        </w:tc>
      </w:tr>
    </w:tbl>
    <w:p w:rsidR="00EF0B8D" w:rsidRPr="00EF0B8D" w:rsidRDefault="00EF0B8D" w:rsidP="00EF0B8D">
      <w:pPr>
        <w:rPr>
          <w:vanish/>
        </w:rPr>
      </w:pPr>
    </w:p>
    <w:tbl>
      <w:tblPr>
        <w:tblW w:w="5000" w:type="pct"/>
        <w:tblCellSpacing w:w="0" w:type="dxa"/>
        <w:tblCellMar>
          <w:top w:w="75" w:type="dxa"/>
          <w:left w:w="0" w:type="dxa"/>
          <w:right w:w="0" w:type="dxa"/>
        </w:tblCellMar>
        <w:tblLook w:val="04A0" w:firstRow="1" w:lastRow="0" w:firstColumn="1" w:lastColumn="0" w:noHBand="0" w:noVBand="1"/>
      </w:tblPr>
      <w:tblGrid>
        <w:gridCol w:w="9360"/>
      </w:tblGrid>
      <w:tr w:rsidR="00EF0B8D" w:rsidRPr="00EF0B8D" w:rsidTr="00EF0B8D">
        <w:trPr>
          <w:tblCellSpacing w:w="0" w:type="dxa"/>
        </w:trPr>
        <w:tc>
          <w:tcPr>
            <w:tcW w:w="0" w:type="auto"/>
            <w:vAlign w:val="center"/>
            <w:hideMark/>
          </w:tcPr>
          <w:p w:rsidR="00EF0B8D" w:rsidRPr="00EF0B8D" w:rsidRDefault="00EF0B8D" w:rsidP="00EF0B8D"/>
        </w:tc>
      </w:tr>
    </w:tbl>
    <w:p w:rsidR="00EF0B8D" w:rsidRPr="00EF0B8D" w:rsidRDefault="00EF0B8D" w:rsidP="00EF0B8D">
      <w:pPr>
        <w:rPr>
          <w:vanish/>
        </w:rPr>
      </w:pPr>
    </w:p>
    <w:tbl>
      <w:tblPr>
        <w:tblW w:w="5000" w:type="pct"/>
        <w:tblCellSpacing w:w="0" w:type="dxa"/>
        <w:tblCellMar>
          <w:top w:w="75" w:type="dxa"/>
          <w:left w:w="0" w:type="dxa"/>
          <w:right w:w="0" w:type="dxa"/>
        </w:tblCellMar>
        <w:tblLook w:val="04A0" w:firstRow="1" w:lastRow="0" w:firstColumn="1" w:lastColumn="0" w:noHBand="0" w:noVBand="1"/>
      </w:tblPr>
      <w:tblGrid>
        <w:gridCol w:w="9360"/>
      </w:tblGrid>
      <w:tr w:rsidR="00EF0B8D" w:rsidRPr="00EF0B8D" w:rsidTr="00EF0B8D">
        <w:trPr>
          <w:tblCellSpacing w:w="0" w:type="dxa"/>
        </w:trPr>
        <w:tc>
          <w:tcPr>
            <w:tcW w:w="0" w:type="auto"/>
            <w:vAlign w:val="center"/>
            <w:hideMark/>
          </w:tcPr>
          <w:p w:rsidR="00EF0B8D" w:rsidRPr="00EF0B8D" w:rsidRDefault="00EF0B8D" w:rsidP="00EF0B8D"/>
        </w:tc>
      </w:tr>
    </w:tbl>
    <w:p w:rsidR="00E94223" w:rsidRPr="00E94223" w:rsidRDefault="00E94223" w:rsidP="00E94223">
      <w:pPr>
        <w:pStyle w:val="cirbodytext"/>
        <w:rPr>
          <w:rStyle w:val="run"/>
          <w:rFonts w:cs="Arial"/>
          <w:bCs/>
        </w:rPr>
      </w:pPr>
      <w:r w:rsidRPr="00E94223">
        <w:rPr>
          <w:rStyle w:val="run"/>
          <w:rFonts w:cs="Arial"/>
          <w:bCs/>
        </w:rPr>
        <w:t>(Citi, 23 Jan) –</w:t>
      </w:r>
    </w:p>
    <w:p w:rsidR="00E94223" w:rsidRDefault="00E94223" w:rsidP="00E94223">
      <w:pPr>
        <w:pStyle w:val="cirbodytext"/>
        <w:rPr>
          <w:rFonts w:cs="Arial"/>
        </w:rPr>
      </w:pPr>
      <w:r>
        <w:rPr>
          <w:rStyle w:val="run"/>
          <w:rFonts w:cs="Arial"/>
          <w:b/>
          <w:bCs/>
        </w:rPr>
        <w:t xml:space="preserve">UK: CBI data show record bounce in industrial sentiment – </w:t>
      </w:r>
      <w:r>
        <w:rPr>
          <w:rStyle w:val="run"/>
          <w:rFonts w:cs="Arial"/>
        </w:rPr>
        <w:t xml:space="preserve">CBI Industrial business optimism rebounded in January, increasing from -44 in October to +23 in January according to this survey. This corroborates previous surveys showing a broader rebound in economic sentiment since December’s election. </w:t>
      </w:r>
    </w:p>
    <w:tbl>
      <w:tblPr>
        <w:tblW w:w="0" w:type="auto"/>
        <w:tblCellSpacing w:w="15" w:type="dxa"/>
        <w:tblLook w:val="04A0" w:firstRow="1" w:lastRow="0" w:firstColumn="1" w:lastColumn="0" w:noHBand="0" w:noVBand="1"/>
      </w:tblPr>
      <w:tblGrid>
        <w:gridCol w:w="96"/>
      </w:tblGrid>
      <w:tr w:rsidR="00E94223" w:rsidTr="00E94223">
        <w:trPr>
          <w:trHeight w:val="135"/>
          <w:tblCellSpacing w:w="15" w:type="dxa"/>
        </w:trPr>
        <w:tc>
          <w:tcPr>
            <w:tcW w:w="0" w:type="auto"/>
            <w:tcMar>
              <w:top w:w="15" w:type="dxa"/>
              <w:left w:w="15" w:type="dxa"/>
              <w:bottom w:w="15" w:type="dxa"/>
              <w:right w:w="15" w:type="dxa"/>
            </w:tcMar>
            <w:vAlign w:val="center"/>
            <w:hideMark/>
          </w:tcPr>
          <w:p w:rsidR="00E94223" w:rsidRDefault="00E94223">
            <w:pPr>
              <w:rPr>
                <w:rFonts w:eastAsia="Times New Roman"/>
                <w:sz w:val="20"/>
                <w:szCs w:val="20"/>
              </w:rPr>
            </w:pPr>
          </w:p>
        </w:tc>
      </w:tr>
    </w:tbl>
    <w:p w:rsidR="00E94223" w:rsidRDefault="00E94223" w:rsidP="00E94223">
      <w:pPr>
        <w:pStyle w:val="cirbodytext"/>
        <w:rPr>
          <w:rFonts w:cs="Arial"/>
        </w:rPr>
      </w:pPr>
      <w:r>
        <w:rPr>
          <w:rStyle w:val="run"/>
          <w:rFonts w:cs="Arial"/>
          <w:b/>
          <w:bCs/>
        </w:rPr>
        <w:t xml:space="preserve">Spain: government agrees on 5.5% minimum wage increase in 2020, after 22% in 2019 </w:t>
      </w:r>
      <w:r>
        <w:rPr>
          <w:rStyle w:val="run"/>
          <w:rFonts w:cs="Arial"/>
        </w:rPr>
        <w:t>– impact of 22% hike in 2019 on employment appears limited so far. But the closer it gets to the average wage, the bigger the impact on jobs will be.</w:t>
      </w:r>
    </w:p>
    <w:tbl>
      <w:tblPr>
        <w:tblW w:w="0" w:type="auto"/>
        <w:tblCellSpacing w:w="15" w:type="dxa"/>
        <w:tblLook w:val="04A0" w:firstRow="1" w:lastRow="0" w:firstColumn="1" w:lastColumn="0" w:noHBand="0" w:noVBand="1"/>
      </w:tblPr>
      <w:tblGrid>
        <w:gridCol w:w="96"/>
      </w:tblGrid>
      <w:tr w:rsidR="00E94223" w:rsidTr="00E94223">
        <w:trPr>
          <w:trHeight w:val="135"/>
          <w:tblCellSpacing w:w="15" w:type="dxa"/>
        </w:trPr>
        <w:tc>
          <w:tcPr>
            <w:tcW w:w="0" w:type="auto"/>
            <w:tcMar>
              <w:top w:w="15" w:type="dxa"/>
              <w:left w:w="15" w:type="dxa"/>
              <w:bottom w:w="15" w:type="dxa"/>
              <w:right w:w="15" w:type="dxa"/>
            </w:tcMar>
            <w:vAlign w:val="center"/>
            <w:hideMark/>
          </w:tcPr>
          <w:p w:rsidR="00E94223" w:rsidRDefault="00E94223">
            <w:pPr>
              <w:rPr>
                <w:rFonts w:eastAsia="Times New Roman"/>
                <w:sz w:val="20"/>
                <w:szCs w:val="20"/>
              </w:rPr>
            </w:pPr>
          </w:p>
        </w:tc>
      </w:tr>
    </w:tbl>
    <w:p w:rsidR="000F3C11" w:rsidRDefault="00E94223" w:rsidP="000F3C11">
      <w:pPr>
        <w:rPr>
          <w:rFonts w:ascii="Verdana" w:eastAsia="Times New Roman" w:hAnsi="Verdana"/>
          <w:color w:val="0000A6"/>
        </w:rPr>
      </w:pPr>
      <w:r>
        <w:rPr>
          <w:rStyle w:val="run"/>
          <w:rFonts w:cs="Arial"/>
          <w:b/>
          <w:bCs/>
        </w:rPr>
        <w:t xml:space="preserve">Sweden: Inflation expectations show early signs of </w:t>
      </w:r>
      <w:proofErr w:type="spellStart"/>
      <w:r>
        <w:rPr>
          <w:rStyle w:val="run"/>
          <w:rFonts w:cs="Arial"/>
          <w:b/>
          <w:bCs/>
        </w:rPr>
        <w:t>stabilisation</w:t>
      </w:r>
      <w:proofErr w:type="spellEnd"/>
      <w:r>
        <w:rPr>
          <w:rStyle w:val="run"/>
          <w:rFonts w:cs="Arial"/>
          <w:b/>
          <w:bCs/>
        </w:rPr>
        <w:t xml:space="preserve"> – </w:t>
      </w:r>
      <w:r>
        <w:rPr>
          <w:rStyle w:val="run"/>
          <w:rFonts w:cs="Arial"/>
        </w:rPr>
        <w:t xml:space="preserve">According to the monthly </w:t>
      </w:r>
      <w:proofErr w:type="spellStart"/>
      <w:r>
        <w:rPr>
          <w:rStyle w:val="run"/>
          <w:rFonts w:cs="Arial"/>
        </w:rPr>
        <w:t>Prospera</w:t>
      </w:r>
      <w:proofErr w:type="spellEnd"/>
      <w:r>
        <w:rPr>
          <w:rStyle w:val="run"/>
          <w:rFonts w:cs="Arial"/>
        </w:rPr>
        <w:t xml:space="preserve"> survey of money market players, expectations for CPIF inflation (the </w:t>
      </w:r>
      <w:proofErr w:type="spellStart"/>
      <w:r>
        <w:rPr>
          <w:rStyle w:val="run"/>
          <w:rFonts w:cs="Arial"/>
        </w:rPr>
        <w:t>Riksbank's</w:t>
      </w:r>
      <w:proofErr w:type="spellEnd"/>
      <w:r>
        <w:rPr>
          <w:rStyle w:val="run"/>
          <w:rFonts w:cs="Arial"/>
        </w:rPr>
        <w:t xml:space="preserve"> target measure) remained stable from December to January. This comes after the downtrend in 2019. </w:t>
      </w:r>
      <w:r w:rsidR="000F3C11">
        <w:rPr>
          <w:rFonts w:ascii="Verdana" w:eastAsia="Times New Roman" w:hAnsi="Verdana"/>
          <w:color w:val="0000A6"/>
        </w:rPr>
        <w:t xml:space="preserve">Swedish </w:t>
      </w:r>
      <w:proofErr w:type="spellStart"/>
      <w:r w:rsidR="000F3C11">
        <w:rPr>
          <w:rFonts w:ascii="Verdana" w:eastAsia="Times New Roman" w:hAnsi="Verdana"/>
          <w:color w:val="0000A6"/>
        </w:rPr>
        <w:t>c.bank's</w:t>
      </w:r>
      <w:proofErr w:type="spellEnd"/>
      <w:r w:rsidR="000F3C11">
        <w:rPr>
          <w:rFonts w:ascii="Verdana" w:eastAsia="Times New Roman" w:hAnsi="Verdana"/>
          <w:color w:val="0000A6"/>
        </w:rPr>
        <w:t xml:space="preserve"> </w:t>
      </w:r>
      <w:proofErr w:type="spellStart"/>
      <w:r w:rsidR="000F3C11">
        <w:rPr>
          <w:rFonts w:ascii="Verdana" w:eastAsia="Times New Roman" w:hAnsi="Verdana"/>
          <w:color w:val="0000A6"/>
        </w:rPr>
        <w:t>Ingves</w:t>
      </w:r>
      <w:proofErr w:type="spellEnd"/>
      <w:r w:rsidR="000F3C11">
        <w:rPr>
          <w:rFonts w:ascii="Verdana" w:eastAsia="Times New Roman" w:hAnsi="Verdana"/>
          <w:color w:val="0000A6"/>
        </w:rPr>
        <w:t xml:space="preserve"> says low rates long-term could be a challenge to stability (Reuters, 28 Jan)</w:t>
      </w:r>
    </w:p>
    <w:p w:rsidR="00895BBA" w:rsidRDefault="00895BBA" w:rsidP="00E94223">
      <w:pPr>
        <w:pStyle w:val="cirbodytext"/>
        <w:rPr>
          <w:rStyle w:val="run"/>
          <w:rFonts w:cs="Arial"/>
        </w:rPr>
      </w:pPr>
    </w:p>
    <w:p w:rsidR="000F3C11" w:rsidRDefault="000F3C11" w:rsidP="000F3C11">
      <w:pPr>
        <w:rPr>
          <w:rFonts w:ascii="Verdana" w:eastAsia="Times New Roman" w:hAnsi="Verdana"/>
          <w:color w:val="0000A6"/>
        </w:rPr>
      </w:pPr>
      <w:proofErr w:type="spellStart"/>
      <w:r>
        <w:rPr>
          <w:rFonts w:ascii="Verdana" w:eastAsia="Times New Roman" w:hAnsi="Verdana"/>
          <w:color w:val="0000A6"/>
        </w:rPr>
        <w:t>Spectre</w:t>
      </w:r>
      <w:proofErr w:type="spellEnd"/>
      <w:r>
        <w:rPr>
          <w:rFonts w:ascii="Verdana" w:eastAsia="Times New Roman" w:hAnsi="Verdana"/>
          <w:color w:val="0000A6"/>
        </w:rPr>
        <w:t xml:space="preserve"> of stagflation looms over India and China, and</w:t>
      </w:r>
      <w:r w:rsidR="00235437">
        <w:rPr>
          <w:rFonts w:ascii="Verdana" w:eastAsia="Times New Roman" w:hAnsi="Verdana"/>
          <w:color w:val="0000A6"/>
        </w:rPr>
        <w:t xml:space="preserve"> </w:t>
      </w:r>
      <w:r>
        <w:rPr>
          <w:rFonts w:ascii="Verdana" w:eastAsia="Times New Roman" w:hAnsi="Verdana"/>
          <w:color w:val="0000A6"/>
        </w:rPr>
        <w:t>UK and EU set for post-Brexit crash course over fish and financial services (FT, 28 Jan)</w:t>
      </w:r>
    </w:p>
    <w:p w:rsidR="00895BBA" w:rsidRPr="00895BBA" w:rsidRDefault="00895BBA" w:rsidP="00895BBA">
      <w:pPr>
        <w:rPr>
          <w:rFonts w:ascii="Verdana" w:hAnsi="Verdana"/>
          <w:sz w:val="20"/>
          <w:szCs w:val="20"/>
        </w:rPr>
      </w:pPr>
      <w:r w:rsidRPr="00895BBA">
        <w:rPr>
          <w:rFonts w:ascii="ff-meta-serif-web-pro" w:hAnsi="ff-meta-serif-web-pro"/>
          <w:color w:val="2B2B2B"/>
          <w:sz w:val="27"/>
          <w:szCs w:val="27"/>
          <w:shd w:val="clear" w:color="auto" w:fill="FFFFFF"/>
        </w:rPr>
        <w:t xml:space="preserve">(IMF WEO update, 21 Jan):  </w:t>
      </w:r>
      <w:r w:rsidRPr="00895BBA">
        <w:rPr>
          <w:rFonts w:ascii="Verdana" w:hAnsi="Verdana"/>
          <w:sz w:val="20"/>
          <w:szCs w:val="20"/>
        </w:rPr>
        <w:t xml:space="preserve">In its </w:t>
      </w:r>
      <w:hyperlink r:id="rId7" w:history="1">
        <w:r w:rsidRPr="00895BBA">
          <w:rPr>
            <w:rFonts w:ascii="Verdana" w:hAnsi="Verdana"/>
            <w:color w:val="0000FF"/>
            <w:sz w:val="20"/>
            <w:szCs w:val="20"/>
            <w:u w:val="single"/>
          </w:rPr>
          <w:t>WEO Update</w:t>
        </w:r>
      </w:hyperlink>
      <w:r w:rsidRPr="00895BBA">
        <w:rPr>
          <w:rFonts w:ascii="Verdana" w:hAnsi="Verdana"/>
          <w:sz w:val="20"/>
          <w:szCs w:val="20"/>
        </w:rPr>
        <w:t xml:space="preserve"> released yesterday, the IMF lowered its global growth estimate for 2020 to 3.3%, 0.1% lower than the previous report released in October. Nevertheless, the IMF numbers for 2020 indicate a modest increase in growth compared to 2019.</w:t>
      </w:r>
    </w:p>
    <w:p w:rsidR="00895BBA" w:rsidRPr="00895BBA" w:rsidRDefault="00895BBA" w:rsidP="00895BBA">
      <w:pPr>
        <w:rPr>
          <w:rFonts w:ascii="Verdana" w:eastAsia="Times New Roman" w:hAnsi="Verdana"/>
          <w:color w:val="0000A6"/>
        </w:rPr>
      </w:pPr>
      <w:r w:rsidRPr="00895BBA">
        <w:rPr>
          <w:rFonts w:ascii="Verdana" w:eastAsia="Times New Roman" w:hAnsi="Verdana"/>
          <w:color w:val="0000A6"/>
        </w:rPr>
        <w:t xml:space="preserve">(21 Jan):   After Australia's bushfires, climate change </w:t>
      </w:r>
      <w:r w:rsidR="00386711">
        <w:rPr>
          <w:rFonts w:ascii="Verdana" w:eastAsia="Times New Roman" w:hAnsi="Verdana"/>
          <w:color w:val="0000A6"/>
        </w:rPr>
        <w:t xml:space="preserve">was </w:t>
      </w:r>
      <w:r w:rsidRPr="00895BBA">
        <w:rPr>
          <w:rFonts w:ascii="Verdana" w:eastAsia="Times New Roman" w:hAnsi="Verdana"/>
          <w:color w:val="0000A6"/>
        </w:rPr>
        <w:t>high on the agenda at Davos (Sydney Morning Herald)</w:t>
      </w:r>
    </w:p>
    <w:p w:rsidR="00895BBA" w:rsidRPr="00895BBA" w:rsidRDefault="00895BBA" w:rsidP="00895BBA">
      <w:pPr>
        <w:spacing w:before="100" w:beforeAutospacing="1" w:after="100" w:afterAutospacing="1" w:line="240" w:lineRule="auto"/>
        <w:rPr>
          <w:rFonts w:ascii="Verdana" w:hAnsi="Verdana" w:cs="Times New Roman"/>
          <w:sz w:val="20"/>
          <w:szCs w:val="20"/>
        </w:rPr>
      </w:pPr>
      <w:r w:rsidRPr="00895BBA">
        <w:rPr>
          <w:rFonts w:ascii="Verdana" w:eastAsia="Times New Roman" w:hAnsi="Verdana" w:cs="Times New Roman"/>
          <w:sz w:val="20"/>
          <w:szCs w:val="20"/>
        </w:rPr>
        <w:t>The IMF says the Australian drought and bushfire catastrophe could help trigger a sharper than expected fall in global economic growth, as world leaders are warned they need to show more "political will" on curbing greenhouse gas emissions.</w:t>
      </w:r>
    </w:p>
    <w:tbl>
      <w:tblPr>
        <w:tblW w:w="0" w:type="auto"/>
        <w:tblCellSpacing w:w="15" w:type="dxa"/>
        <w:tblLook w:val="04A0" w:firstRow="1" w:lastRow="0" w:firstColumn="1" w:lastColumn="0" w:noHBand="0" w:noVBand="1"/>
      </w:tblPr>
      <w:tblGrid>
        <w:gridCol w:w="7293"/>
      </w:tblGrid>
      <w:tr w:rsidR="00E94223" w:rsidTr="00E94223">
        <w:trPr>
          <w:trHeight w:val="135"/>
          <w:tblCellSpacing w:w="15" w:type="dxa"/>
        </w:trPr>
        <w:tc>
          <w:tcPr>
            <w:tcW w:w="0" w:type="auto"/>
            <w:tcMar>
              <w:top w:w="15" w:type="dxa"/>
              <w:left w:w="15" w:type="dxa"/>
              <w:bottom w:w="15" w:type="dxa"/>
              <w:right w:w="15" w:type="dxa"/>
            </w:tcMar>
            <w:vAlign w:val="center"/>
            <w:hideMark/>
          </w:tcPr>
          <w:p w:rsidR="00E94223" w:rsidRDefault="00895BBA">
            <w:pPr>
              <w:rPr>
                <w:rFonts w:eastAsia="Times New Roman"/>
                <w:sz w:val="20"/>
                <w:szCs w:val="20"/>
              </w:rPr>
            </w:pPr>
            <w:r w:rsidRPr="00895BBA">
              <w:rPr>
                <w:rFonts w:ascii="Verdana" w:eastAsia="Times New Roman" w:hAnsi="Verdana"/>
                <w:color w:val="0000A6"/>
              </w:rPr>
              <w:t>(21 Jan):  Emerging market inflation hits near-six-year high (FT)</w:t>
            </w:r>
          </w:p>
        </w:tc>
      </w:tr>
    </w:tbl>
    <w:p w:rsidR="008A6095" w:rsidRDefault="001F0CE3">
      <w:r>
        <w:t>Citi, in coming days:</w:t>
      </w:r>
    </w:p>
    <w:p w:rsidR="001F0CE3" w:rsidRDefault="001F0CE3" w:rsidP="001F0CE3">
      <w:pPr>
        <w:numPr>
          <w:ilvl w:val="0"/>
          <w:numId w:val="2"/>
        </w:numPr>
        <w:spacing w:before="100" w:beforeAutospacing="1" w:after="225" w:line="270" w:lineRule="atLeast"/>
        <w:ind w:left="375"/>
        <w:rPr>
          <w:rFonts w:ascii="Verdana" w:eastAsia="Times New Roman" w:hAnsi="Verdana"/>
          <w:color w:val="333333"/>
          <w:sz w:val="21"/>
          <w:szCs w:val="21"/>
        </w:rPr>
      </w:pPr>
      <w:r>
        <w:rPr>
          <w:rFonts w:ascii="Verdana" w:eastAsia="Times New Roman" w:hAnsi="Verdana"/>
          <w:color w:val="333333"/>
          <w:sz w:val="21"/>
          <w:szCs w:val="21"/>
        </w:rPr>
        <w:t xml:space="preserve">In the US — Politics in focus ahead of Iowa caucus. </w:t>
      </w:r>
      <w:hyperlink r:id="rId8" w:tgtFrame="_self" w:history="1">
        <w:r>
          <w:rPr>
            <w:rStyle w:val="Hyperlink"/>
            <w:rFonts w:ascii="Verdana" w:eastAsia="Times New Roman" w:hAnsi="Verdana"/>
            <w:sz w:val="21"/>
            <w:szCs w:val="21"/>
          </w:rPr>
          <w:t> Stricter CFIUS reviews starting in February.</w:t>
        </w:r>
      </w:hyperlink>
      <w:r>
        <w:rPr>
          <w:rFonts w:ascii="Verdana" w:eastAsia="Times New Roman" w:hAnsi="Verdana"/>
          <w:color w:val="333333"/>
          <w:sz w:val="21"/>
          <w:szCs w:val="21"/>
        </w:rPr>
        <w:t xml:space="preserve"> The FOMC meets Wednesday. Durable goods Tuesday expected at -0.6% (consensus +0.5%). Thursday, we expect Q4 GDP at 2.4%QQsaar.</w:t>
      </w:r>
    </w:p>
    <w:p w:rsidR="001F0CE3" w:rsidRDefault="001F0CE3" w:rsidP="001F0CE3">
      <w:pPr>
        <w:numPr>
          <w:ilvl w:val="0"/>
          <w:numId w:val="2"/>
        </w:numPr>
        <w:spacing w:before="100" w:beforeAutospacing="1" w:after="225" w:line="270" w:lineRule="atLeast"/>
        <w:ind w:left="375"/>
        <w:rPr>
          <w:rFonts w:ascii="Verdana" w:eastAsia="Times New Roman" w:hAnsi="Verdana"/>
          <w:color w:val="333333"/>
          <w:sz w:val="21"/>
          <w:szCs w:val="21"/>
        </w:rPr>
      </w:pPr>
      <w:r>
        <w:rPr>
          <w:rFonts w:ascii="Verdana" w:eastAsia="Times New Roman" w:hAnsi="Verdana"/>
          <w:color w:val="333333"/>
          <w:sz w:val="21"/>
          <w:szCs w:val="21"/>
        </w:rPr>
        <w:lastRenderedPageBreak/>
        <w:t xml:space="preserve">In Europe — Friday marks the official UK leave date from the EU. We expect BoE on hold. Chances of a snapback election in Italy depend on regional elections on Sunday. </w:t>
      </w:r>
    </w:p>
    <w:p w:rsidR="001F0CE3" w:rsidRDefault="001F0CE3" w:rsidP="001F0CE3">
      <w:pPr>
        <w:numPr>
          <w:ilvl w:val="0"/>
          <w:numId w:val="2"/>
        </w:numPr>
        <w:spacing w:before="100" w:beforeAutospacing="1" w:after="225" w:line="270" w:lineRule="atLeast"/>
        <w:ind w:left="375"/>
        <w:rPr>
          <w:rFonts w:ascii="Verdana" w:eastAsia="Times New Roman" w:hAnsi="Verdana"/>
          <w:color w:val="333333"/>
          <w:sz w:val="21"/>
          <w:szCs w:val="21"/>
        </w:rPr>
      </w:pPr>
      <w:r>
        <w:rPr>
          <w:rFonts w:ascii="Verdana" w:eastAsia="Times New Roman" w:hAnsi="Verdana"/>
          <w:color w:val="333333"/>
          <w:sz w:val="21"/>
          <w:szCs w:val="21"/>
        </w:rPr>
        <w:t>In China — PMI on Thursday is expected to fall to 49.8.  But virus?</w:t>
      </w:r>
    </w:p>
    <w:p w:rsidR="001F0CE3" w:rsidRDefault="001F0CE3" w:rsidP="001F0CE3">
      <w:pPr>
        <w:numPr>
          <w:ilvl w:val="0"/>
          <w:numId w:val="2"/>
        </w:numPr>
        <w:spacing w:before="100" w:beforeAutospacing="1" w:after="225" w:line="270" w:lineRule="atLeast"/>
        <w:ind w:left="375"/>
        <w:rPr>
          <w:rFonts w:ascii="Verdana" w:eastAsia="Times New Roman" w:hAnsi="Verdana"/>
          <w:color w:val="333333"/>
          <w:sz w:val="21"/>
          <w:szCs w:val="21"/>
        </w:rPr>
      </w:pPr>
      <w:r>
        <w:rPr>
          <w:rFonts w:ascii="Verdana" w:eastAsia="Times New Roman" w:hAnsi="Verdana"/>
          <w:color w:val="333333"/>
          <w:sz w:val="21"/>
          <w:szCs w:val="21"/>
        </w:rPr>
        <w:t>Central Banks —Hungary (Tuesday, on hold), Pakistan (Tuesday), United States (Wednesday, on hold), United Kingdom (Thursday, on hold), Colombia (Friday, on hold)</w:t>
      </w:r>
    </w:p>
    <w:p w:rsidR="001F0CE3" w:rsidRDefault="001F0CE3" w:rsidP="001F0CE3">
      <w:pPr>
        <w:numPr>
          <w:ilvl w:val="0"/>
          <w:numId w:val="2"/>
        </w:numPr>
        <w:spacing w:before="100" w:beforeAutospacing="1" w:after="225" w:line="270" w:lineRule="atLeast"/>
        <w:ind w:left="375"/>
        <w:rPr>
          <w:rFonts w:ascii="Verdana" w:eastAsia="Times New Roman" w:hAnsi="Verdana"/>
          <w:color w:val="333333"/>
          <w:sz w:val="21"/>
          <w:szCs w:val="21"/>
        </w:rPr>
      </w:pPr>
      <w:r>
        <w:rPr>
          <w:rFonts w:ascii="Verdana" w:eastAsia="Times New Roman" w:hAnsi="Verdana"/>
          <w:color w:val="333333"/>
          <w:sz w:val="21"/>
          <w:szCs w:val="21"/>
        </w:rPr>
        <w:t>What to watch for the following week — Iowa Democratic Caucus (Monday), US ISM (Monday), RBA (Tuesday), German IP(Friday), US payrolls (Friday)</w:t>
      </w:r>
    </w:p>
    <w:p w:rsidR="002D27B7" w:rsidRDefault="002D27B7" w:rsidP="002D27B7">
      <w:pPr>
        <w:pStyle w:val="cirbodytext"/>
        <w:rPr>
          <w:rFonts w:cs="Arial"/>
        </w:rPr>
      </w:pPr>
      <w:r>
        <w:rPr>
          <w:rFonts w:eastAsia="Times New Roman"/>
          <w:color w:val="333333"/>
          <w:sz w:val="21"/>
          <w:szCs w:val="21"/>
        </w:rPr>
        <w:t xml:space="preserve">(Citi, 10 Feb):   </w:t>
      </w:r>
      <w:r>
        <w:rPr>
          <w:rStyle w:val="run"/>
          <w:rFonts w:cs="Arial"/>
          <w:b/>
          <w:bCs/>
        </w:rPr>
        <w:t xml:space="preserve">Germany: </w:t>
      </w:r>
      <w:hyperlink r:id="rId9" w:history="1">
        <w:r>
          <w:rPr>
            <w:rStyle w:val="Hyperlink"/>
            <w:rFonts w:cs="Arial"/>
            <w:b/>
            <w:bCs/>
          </w:rPr>
          <w:t>AKK steps down</w:t>
        </w:r>
      </w:hyperlink>
      <w:r>
        <w:rPr>
          <w:rStyle w:val="run"/>
          <w:rFonts w:cs="Arial"/>
        </w:rPr>
        <w:t xml:space="preserve"> – The </w:t>
      </w:r>
      <w:hyperlink r:id="rId10" w:history="1">
        <w:r>
          <w:rPr>
            <w:rStyle w:val="Hyperlink"/>
            <w:rFonts w:cs="Arial"/>
          </w:rPr>
          <w:t>Thuringia event</w:t>
        </w:r>
      </w:hyperlink>
      <w:r>
        <w:rPr>
          <w:rStyle w:val="run"/>
          <w:rFonts w:cs="Arial"/>
        </w:rPr>
        <w:t xml:space="preserve"> last week has re-opened the battle of the wings within the </w:t>
      </w:r>
      <w:proofErr w:type="spellStart"/>
      <w:r>
        <w:rPr>
          <w:rStyle w:val="run"/>
          <w:rFonts w:cs="Arial"/>
        </w:rPr>
        <w:t>centre</w:t>
      </w:r>
      <w:proofErr w:type="spellEnd"/>
      <w:r>
        <w:rPr>
          <w:rStyle w:val="run"/>
          <w:rFonts w:cs="Arial"/>
        </w:rPr>
        <w:t xml:space="preserve">-right and has a major impact on who succeeds Angela Merkel. </w:t>
      </w:r>
    </w:p>
    <w:tbl>
      <w:tblPr>
        <w:tblW w:w="0" w:type="auto"/>
        <w:tblCellSpacing w:w="15" w:type="dxa"/>
        <w:tblLook w:val="04A0" w:firstRow="1" w:lastRow="0" w:firstColumn="1" w:lastColumn="0" w:noHBand="0" w:noVBand="1"/>
      </w:tblPr>
      <w:tblGrid>
        <w:gridCol w:w="96"/>
      </w:tblGrid>
      <w:tr w:rsidR="002D27B7" w:rsidTr="002D27B7">
        <w:trPr>
          <w:trHeight w:val="135"/>
          <w:tblCellSpacing w:w="15" w:type="dxa"/>
        </w:trPr>
        <w:tc>
          <w:tcPr>
            <w:tcW w:w="0" w:type="auto"/>
            <w:tcMar>
              <w:top w:w="15" w:type="dxa"/>
              <w:left w:w="15" w:type="dxa"/>
              <w:bottom w:w="15" w:type="dxa"/>
              <w:right w:w="15" w:type="dxa"/>
            </w:tcMar>
            <w:vAlign w:val="center"/>
            <w:hideMark/>
          </w:tcPr>
          <w:p w:rsidR="002D27B7" w:rsidRDefault="002D27B7">
            <w:pPr>
              <w:rPr>
                <w:rFonts w:eastAsia="Times New Roman"/>
                <w:sz w:val="20"/>
                <w:szCs w:val="20"/>
              </w:rPr>
            </w:pPr>
          </w:p>
        </w:tc>
      </w:tr>
    </w:tbl>
    <w:p w:rsidR="002D27B7" w:rsidRDefault="002D27B7" w:rsidP="002D27B7">
      <w:pPr>
        <w:pStyle w:val="cirbodytext"/>
        <w:rPr>
          <w:rStyle w:val="run"/>
        </w:rPr>
      </w:pPr>
      <w:r>
        <w:rPr>
          <w:rStyle w:val="run"/>
          <w:rFonts w:cs="Arial"/>
          <w:b/>
          <w:bCs/>
        </w:rPr>
        <w:t xml:space="preserve">Italy: Fitch maintains negative outlook on BBB rating due to political uncertainty </w:t>
      </w:r>
      <w:r>
        <w:rPr>
          <w:rStyle w:val="run"/>
          <w:rFonts w:cs="Arial"/>
        </w:rPr>
        <w:t xml:space="preserve">– Despite much reduced cost of funding, which is helping debt sustainability, rating agency sees it also as a negative factor which </w:t>
      </w:r>
      <w:r>
        <w:rPr>
          <w:rStyle w:val="run"/>
          <w:i/>
          <w:iCs/>
        </w:rPr>
        <w:t>“could also ease pressure on the government to reduce public debt and implement structural reforms.”</w:t>
      </w:r>
      <w:r>
        <w:rPr>
          <w:rStyle w:val="run"/>
        </w:rPr>
        <w:t xml:space="preserve"> Political uncertainty and risk of a more profligate fiscal stance remain the main factors weighing on Italian ratings at present </w:t>
      </w:r>
    </w:p>
    <w:p w:rsidR="002D27B7" w:rsidRDefault="002D27B7" w:rsidP="002D27B7">
      <w:pPr>
        <w:pStyle w:val="cirbodytext"/>
        <w:rPr>
          <w:rStyle w:val="run"/>
        </w:rPr>
      </w:pPr>
    </w:p>
    <w:p w:rsidR="002D27B7" w:rsidRDefault="002D27B7" w:rsidP="002D27B7">
      <w:pPr>
        <w:pStyle w:val="cirbodytext"/>
        <w:rPr>
          <w:rFonts w:cs="Arial"/>
        </w:rPr>
      </w:pPr>
      <w:r>
        <w:rPr>
          <w:rStyle w:val="run"/>
          <w:rFonts w:cs="Arial"/>
          <w:b/>
          <w:bCs/>
        </w:rPr>
        <w:t>Italy: industrial output slumps by 2.7% MM in January, 4Q-19 worst quarter since 2012</w:t>
      </w:r>
      <w:r>
        <w:rPr>
          <w:rStyle w:val="run"/>
          <w:rFonts w:cs="Arial"/>
        </w:rPr>
        <w:t xml:space="preserve"> – Seasonal factors possibly behind the Dec weakness, but this may reflect also underlying reasons, as firms allow more time off at times of subdued demand/high inventory levels.  Rebounding PMI in January (to 48.9) bodes well for a pick-up in Jan IP. </w:t>
      </w:r>
    </w:p>
    <w:p w:rsidR="00E87230" w:rsidRDefault="00E87230" w:rsidP="009C74AA">
      <w:pPr>
        <w:spacing w:after="0" w:line="240" w:lineRule="auto"/>
      </w:pPr>
    </w:p>
    <w:p w:rsidR="00235437" w:rsidRDefault="00235437" w:rsidP="009C74AA">
      <w:pPr>
        <w:spacing w:after="0" w:line="240" w:lineRule="auto"/>
      </w:pPr>
    </w:p>
    <w:p w:rsidR="00E87230" w:rsidRDefault="00235437" w:rsidP="009C74AA">
      <w:pPr>
        <w:spacing w:after="0" w:line="240" w:lineRule="auto"/>
      </w:pPr>
      <w:r w:rsidRPr="00235437">
        <w:rPr>
          <w:b/>
          <w:sz w:val="24"/>
        </w:rPr>
        <w:t xml:space="preserve">Class </w:t>
      </w:r>
      <w:proofErr w:type="gramStart"/>
      <w:r>
        <w:t>--  c</w:t>
      </w:r>
      <w:r w:rsidR="00E87230">
        <w:t>larification</w:t>
      </w:r>
      <w:proofErr w:type="gramEnd"/>
      <w:r w:rsidR="00E87230">
        <w:t xml:space="preserve"> re essay for those who wish to submit for a higher potential mark in the class.</w:t>
      </w:r>
    </w:p>
    <w:p w:rsidR="00E87230" w:rsidRDefault="00E87230" w:rsidP="009C74AA">
      <w:pPr>
        <w:spacing w:after="0" w:line="240" w:lineRule="auto"/>
      </w:pPr>
    </w:p>
    <w:p w:rsidR="008A6095" w:rsidRDefault="00386711" w:rsidP="009C74AA">
      <w:pPr>
        <w:spacing w:after="0" w:line="240" w:lineRule="auto"/>
      </w:pPr>
      <w:r>
        <w:t>Recall Misery index</w:t>
      </w:r>
      <w:r w:rsidR="009C74AA" w:rsidRPr="009C74AA">
        <w:t xml:space="preserve"> doesn’t work in quite the way that it once did. When both were high in the 1970s, they certainly brought misery in their wake. But keeping both low now appears to be having the same effect.</w:t>
      </w:r>
      <w:r w:rsidR="00EA0D5C">
        <w:t xml:space="preserve"> </w:t>
      </w:r>
      <w:r w:rsidR="009C74AA" w:rsidRPr="009C74AA">
        <w:t xml:space="preserve"> And that leads to the question of whether the interplay of inflation and unemployment really is as central to the economy as we have been taught to think.</w:t>
      </w:r>
      <w:r w:rsidR="009C74AA">
        <w:t xml:space="preserve">  An</w:t>
      </w:r>
      <w:r w:rsidR="009C74AA" w:rsidRPr="009C74AA">
        <w:t xml:space="preserve"> alternative view, that economics </w:t>
      </w:r>
      <w:r w:rsidR="00EA0D5C">
        <w:t xml:space="preserve">is </w:t>
      </w:r>
      <w:r w:rsidR="009C74AA" w:rsidRPr="009C74AA">
        <w:t xml:space="preserve">driven by an unstable banking system and flows of </w:t>
      </w:r>
      <w:proofErr w:type="gramStart"/>
      <w:r w:rsidR="009C74AA" w:rsidRPr="009C74AA">
        <w:t>capital,</w:t>
      </w:r>
      <w:proofErr w:type="gramEnd"/>
      <w:r w:rsidR="009C74AA" w:rsidRPr="009C74AA">
        <w:t xml:space="preserve"> </w:t>
      </w:r>
      <w:r w:rsidR="009C74AA">
        <w:t xml:space="preserve">would be based upon </w:t>
      </w:r>
      <w:r w:rsidR="009C74AA" w:rsidRPr="009C74AA">
        <w:t>Hyman Minsky</w:t>
      </w:r>
      <w:r w:rsidR="009C74AA">
        <w:t xml:space="preserve"> (see reading).</w:t>
      </w:r>
    </w:p>
    <w:p w:rsidR="00FE7549" w:rsidRDefault="00FE7549" w:rsidP="009C74AA">
      <w:pPr>
        <w:spacing w:after="0" w:line="240" w:lineRule="auto"/>
      </w:pPr>
    </w:p>
    <w:p w:rsidR="00FE7549" w:rsidRDefault="00FE7549" w:rsidP="009C74AA">
      <w:pPr>
        <w:spacing w:after="0" w:line="240" w:lineRule="auto"/>
      </w:pPr>
    </w:p>
    <w:p w:rsidR="00895BBA" w:rsidRDefault="00895BBA" w:rsidP="00895BBA">
      <w:pPr>
        <w:spacing w:before="240" w:after="240" w:line="360" w:lineRule="auto"/>
        <w:rPr>
          <w:rFonts w:ascii="Helvetica" w:eastAsia="Times New Roman" w:hAnsi="Helvetica" w:cs="Helvetica"/>
          <w:sz w:val="24"/>
          <w:szCs w:val="24"/>
        </w:rPr>
      </w:pPr>
      <w:r w:rsidRPr="00895BBA">
        <w:rPr>
          <w:rFonts w:ascii="Helvetica" w:eastAsia="Times New Roman" w:hAnsi="Helvetica" w:cs="Helvetica"/>
          <w:sz w:val="24"/>
          <w:szCs w:val="24"/>
        </w:rPr>
        <w:t xml:space="preserve">There is an argument that </w:t>
      </w:r>
      <w:r w:rsidR="00386711">
        <w:rPr>
          <w:rFonts w:ascii="Helvetica" w:eastAsia="Times New Roman" w:hAnsi="Helvetica" w:cs="Helvetica"/>
          <w:sz w:val="24"/>
          <w:szCs w:val="24"/>
        </w:rPr>
        <w:t>inflated</w:t>
      </w:r>
      <w:r w:rsidRPr="00895BBA">
        <w:rPr>
          <w:rFonts w:ascii="Helvetica" w:eastAsia="Times New Roman" w:hAnsi="Helvetica" w:cs="Helvetica"/>
          <w:sz w:val="24"/>
          <w:szCs w:val="24"/>
        </w:rPr>
        <w:t xml:space="preserve"> asset prices matter the most to the modern business cycle because they pose the nearest and most substantial danger of a recession. Since the early 1980s, recessions in the West have all been driven by asset price busts, and not by the traditional fear of excessive wage increases leading to inflation. If this is true, monetary policy, and the regulation of capitalism more generally, need to be radically different.  That, essentially, is the argument of the late economist Hyman </w:t>
      </w:r>
      <w:r w:rsidRPr="00D478B3">
        <w:rPr>
          <w:rFonts w:ascii="Helvetica" w:eastAsia="Times New Roman" w:hAnsi="Helvetica" w:cs="Helvetica"/>
          <w:b/>
          <w:sz w:val="24"/>
          <w:szCs w:val="24"/>
        </w:rPr>
        <w:t>Minsky</w:t>
      </w:r>
      <w:r w:rsidRPr="00895BBA">
        <w:rPr>
          <w:rFonts w:ascii="Helvetica" w:eastAsia="Times New Roman" w:hAnsi="Helvetica" w:cs="Helvetica"/>
          <w:sz w:val="24"/>
          <w:szCs w:val="24"/>
        </w:rPr>
        <w:t>.</w:t>
      </w:r>
    </w:p>
    <w:p w:rsidR="00386711" w:rsidRDefault="00386711" w:rsidP="00895BBA">
      <w:pPr>
        <w:spacing w:before="240" w:after="240" w:line="360" w:lineRule="auto"/>
        <w:rPr>
          <w:rFonts w:ascii="Helvetica" w:eastAsia="Times New Roman" w:hAnsi="Helvetica" w:cs="Helvetica"/>
          <w:sz w:val="24"/>
          <w:szCs w:val="24"/>
        </w:rPr>
      </w:pPr>
      <w:r>
        <w:rPr>
          <w:rFonts w:ascii="Helvetica" w:eastAsia="Times New Roman" w:hAnsi="Helvetica" w:cs="Helvetica"/>
          <w:sz w:val="24"/>
          <w:szCs w:val="24"/>
        </w:rPr>
        <w:lastRenderedPageBreak/>
        <w:t xml:space="preserve">    Hedge,   Speculative</w:t>
      </w:r>
      <w:proofErr w:type="gramStart"/>
      <w:r>
        <w:rPr>
          <w:rFonts w:ascii="Helvetica" w:eastAsia="Times New Roman" w:hAnsi="Helvetica" w:cs="Helvetica"/>
          <w:sz w:val="24"/>
          <w:szCs w:val="24"/>
        </w:rPr>
        <w:t>,  Ponzi</w:t>
      </w:r>
      <w:proofErr w:type="gramEnd"/>
    </w:p>
    <w:p w:rsidR="00EA0D5C" w:rsidRPr="00832FB5" w:rsidRDefault="00EA0D5C" w:rsidP="00EA0D5C">
      <w:r w:rsidRPr="00832FB5">
        <w:t>Maudlin:  Hyman Minsky showed how stability leads to instability. Humans have a way of reinterpreting stable periods that seemingly redefines words like reasonable, manageable, and prudent. That’s why we continue chasing yield and risk until we go too far.</w:t>
      </w:r>
    </w:p>
    <w:p w:rsidR="00EA0D5C" w:rsidRPr="00832FB5" w:rsidRDefault="00EA0D5C" w:rsidP="00EA0D5C">
      <w:r w:rsidRPr="00832FB5">
        <w:t>To think that we have somehow eliminated recessions and risk, or that central banks and the government have somehow become adept at managing the business cycle, is simply foolish. Yet we keep doing it, every single time.</w:t>
      </w:r>
    </w:p>
    <w:p w:rsidR="00EA0D5C" w:rsidRDefault="00EA0D5C" w:rsidP="00EA0D5C">
      <w:r w:rsidRPr="00832FB5">
        <w:t xml:space="preserve">Debt seems harmless enough at first. You have reliable cash flow, repayment is no problem, and you’re going to spend the borrowed money wisely. But human nature tends to make us overdo otherwise good things. </w:t>
      </w:r>
      <w:r>
        <w:t xml:space="preserve"> </w:t>
      </w:r>
      <w:r w:rsidRPr="00832FB5">
        <w:t>And, with debt, you may also have lenders actively urging you to borrow even more. E</w:t>
      </w:r>
      <w:r>
        <w:t xml:space="preserve"> </w:t>
      </w:r>
      <w:proofErr w:type="spellStart"/>
      <w:r w:rsidRPr="00832FB5">
        <w:t>verything</w:t>
      </w:r>
      <w:proofErr w:type="spellEnd"/>
      <w:r w:rsidRPr="00832FB5">
        <w:t xml:space="preserve"> is fine… until it’s not.  </w:t>
      </w:r>
    </w:p>
    <w:p w:rsidR="00EA0D5C" w:rsidRDefault="00EA0D5C" w:rsidP="00EA0D5C">
      <w:r>
        <w:t>D</w:t>
      </w:r>
      <w:r w:rsidRPr="00832FB5">
        <w:t>ebt is future consumption brought forward in time.</w:t>
      </w:r>
      <w:r>
        <w:t xml:space="preserve">   </w:t>
      </w:r>
      <w:r w:rsidRPr="00832FB5">
        <w:t xml:space="preserve">Debt lets you consume more now, but to repay it you (or someone) must consume less in the future. </w:t>
      </w:r>
      <w:r>
        <w:t xml:space="preserve"> </w:t>
      </w:r>
      <w:r w:rsidRPr="00832FB5">
        <w:t>Used properly, debt can enhance growth enough to cover the eventual repayment. That’s not what is happening—an</w:t>
      </w:r>
      <w:r>
        <w:t>d</w:t>
      </w:r>
      <w:r w:rsidRPr="00832FB5">
        <w:t xml:space="preserve"> it’s a big problem in a consumer-driven economy.</w:t>
      </w:r>
    </w:p>
    <w:p w:rsidR="00FE7549" w:rsidRDefault="00FE7549" w:rsidP="00EA0D5C"/>
    <w:p w:rsidR="00FE7549" w:rsidRPr="00FE7549" w:rsidRDefault="00DA650C" w:rsidP="00FE7549">
      <w:pPr>
        <w:spacing w:after="0" w:line="240" w:lineRule="auto"/>
        <w:rPr>
          <w:rFonts w:ascii="Arial" w:eastAsia="Times New Roman" w:hAnsi="Arial" w:cs="Arial"/>
          <w:sz w:val="18"/>
          <w:szCs w:val="24"/>
        </w:rPr>
      </w:pPr>
      <w:r>
        <w:t xml:space="preserve">Securitized Banking and the Run on Repo Gary B. Gorton and Andrew </w:t>
      </w:r>
      <w:proofErr w:type="spellStart"/>
      <w:r>
        <w:t>Metrick</w:t>
      </w:r>
      <w:proofErr w:type="spellEnd"/>
      <w:r>
        <w:t xml:space="preserve"> NBER Working Paper No. 15223 August </w:t>
      </w:r>
      <w:proofErr w:type="gramStart"/>
      <w:r>
        <w:t>2009</w:t>
      </w:r>
      <w:r>
        <w:t xml:space="preserve">  </w:t>
      </w:r>
      <w:r w:rsidRPr="00DA650C">
        <w:rPr>
          <w:rFonts w:ascii="Arial" w:eastAsia="Times New Roman" w:hAnsi="Arial" w:cs="Arial"/>
          <w:sz w:val="18"/>
          <w:szCs w:val="24"/>
        </w:rPr>
        <w:t>(</w:t>
      </w:r>
      <w:proofErr w:type="gramEnd"/>
      <w:r w:rsidRPr="00DA650C">
        <w:rPr>
          <w:rFonts w:ascii="Arial" w:eastAsia="Times New Roman" w:hAnsi="Arial" w:cs="Arial"/>
          <w:sz w:val="18"/>
          <w:szCs w:val="24"/>
        </w:rPr>
        <w:t>link on webpage)</w:t>
      </w:r>
      <w:r>
        <w:rPr>
          <w:rFonts w:ascii="Arial" w:eastAsia="Times New Roman" w:hAnsi="Arial" w:cs="Arial"/>
          <w:sz w:val="18"/>
          <w:szCs w:val="24"/>
        </w:rPr>
        <w:t xml:space="preserve"> from abstract:  </w:t>
      </w:r>
      <w:r>
        <w:t>The Panic of 2007-2008 was a run on the sale and repurchase market (the “repo” market), which is a very large, short-term market that provides financing for a wide range of securitization activities and financial institutions. Repo transactions are collateralized, frequently with securitized bonds.</w:t>
      </w:r>
    </w:p>
    <w:p w:rsidR="00FE7549" w:rsidRPr="00FE7549" w:rsidRDefault="00FE7549" w:rsidP="00FE7549">
      <w:pPr>
        <w:spacing w:after="0" w:line="240" w:lineRule="auto"/>
        <w:rPr>
          <w:rFonts w:ascii="Arial" w:eastAsia="Times New Roman" w:hAnsi="Arial" w:cs="Arial"/>
          <w:sz w:val="24"/>
          <w:szCs w:val="24"/>
        </w:rPr>
      </w:pPr>
    </w:p>
    <w:p w:rsidR="00FE7549" w:rsidRPr="00FE7549" w:rsidRDefault="00FE7549" w:rsidP="00FE7549">
      <w:pPr>
        <w:spacing w:after="0" w:line="240" w:lineRule="auto"/>
        <w:rPr>
          <w:rFonts w:ascii="Arial" w:eastAsia="Times New Roman" w:hAnsi="Arial" w:cs="Arial"/>
          <w:sz w:val="24"/>
          <w:szCs w:val="24"/>
        </w:rPr>
      </w:pPr>
      <w:r w:rsidRPr="00FE7549">
        <w:rPr>
          <w:rFonts w:ascii="Arial" w:eastAsia="Times New Roman" w:hAnsi="Arial" w:cs="Arial"/>
          <w:sz w:val="24"/>
          <w:szCs w:val="24"/>
        </w:rPr>
        <w:t xml:space="preserve">The “shadow banking system,” at the heart of the current credit crisis is, in fact, a real banking system and is vulnerable to a banking panic. </w:t>
      </w:r>
      <w:r w:rsidR="00DA650C">
        <w:rPr>
          <w:rFonts w:ascii="Arial" w:eastAsia="Times New Roman" w:hAnsi="Arial" w:cs="Arial"/>
          <w:sz w:val="24"/>
          <w:szCs w:val="24"/>
        </w:rPr>
        <w:t xml:space="preserve"> </w:t>
      </w:r>
      <w:r w:rsidRPr="00FE7549">
        <w:rPr>
          <w:rFonts w:ascii="Arial" w:eastAsia="Times New Roman" w:hAnsi="Arial" w:cs="Arial"/>
          <w:sz w:val="24"/>
          <w:szCs w:val="24"/>
        </w:rPr>
        <w:t>Indeed, the events starting in August 2007 were a banking panic.  A banking panic is a systemic event because the banking system</w:t>
      </w:r>
      <w:r w:rsidR="00DA650C">
        <w:rPr>
          <w:rFonts w:ascii="Arial" w:eastAsia="Times New Roman" w:hAnsi="Arial" w:cs="Arial"/>
          <w:sz w:val="24"/>
          <w:szCs w:val="24"/>
        </w:rPr>
        <w:t xml:space="preserve"> </w:t>
      </w:r>
      <w:r w:rsidRPr="00FE7549">
        <w:rPr>
          <w:rFonts w:ascii="Arial" w:eastAsia="Times New Roman" w:hAnsi="Arial" w:cs="Arial"/>
          <w:sz w:val="24"/>
          <w:szCs w:val="24"/>
        </w:rPr>
        <w:t xml:space="preserve">cannot honor its obligations and is insolvent. </w:t>
      </w:r>
    </w:p>
    <w:p w:rsidR="00FE7549" w:rsidRPr="00FE7549" w:rsidRDefault="00FE7549" w:rsidP="00FE7549">
      <w:pPr>
        <w:spacing w:after="0" w:line="240" w:lineRule="auto"/>
        <w:rPr>
          <w:rFonts w:ascii="Arial" w:eastAsia="Times New Roman" w:hAnsi="Arial" w:cs="Arial"/>
          <w:sz w:val="24"/>
          <w:szCs w:val="24"/>
        </w:rPr>
      </w:pPr>
    </w:p>
    <w:p w:rsidR="00FE7549" w:rsidRPr="00FE7549" w:rsidRDefault="00FE7549" w:rsidP="00FE7549">
      <w:pPr>
        <w:spacing w:after="0" w:line="240" w:lineRule="auto"/>
        <w:rPr>
          <w:rFonts w:ascii="Arial" w:eastAsia="Times New Roman" w:hAnsi="Arial" w:cs="Arial"/>
          <w:sz w:val="24"/>
          <w:szCs w:val="24"/>
        </w:rPr>
      </w:pPr>
      <w:r w:rsidRPr="00FE7549">
        <w:rPr>
          <w:rFonts w:ascii="Arial" w:eastAsia="Times New Roman" w:hAnsi="Arial" w:cs="Arial"/>
          <w:sz w:val="24"/>
          <w:szCs w:val="24"/>
        </w:rPr>
        <w:t>Unlike the historical banking panics of the 19</w:t>
      </w:r>
      <w:r w:rsidRPr="00FE7549">
        <w:rPr>
          <w:rFonts w:ascii="Arial" w:eastAsia="Times New Roman" w:hAnsi="Arial" w:cs="Arial"/>
          <w:sz w:val="24"/>
          <w:szCs w:val="24"/>
          <w:vertAlign w:val="superscript"/>
        </w:rPr>
        <w:t>th</w:t>
      </w:r>
      <w:r w:rsidRPr="00FE7549">
        <w:rPr>
          <w:rFonts w:ascii="Arial" w:eastAsia="Times New Roman" w:hAnsi="Arial" w:cs="Arial"/>
          <w:sz w:val="24"/>
          <w:szCs w:val="24"/>
        </w:rPr>
        <w:t xml:space="preserve"> and early 20</w:t>
      </w:r>
      <w:r w:rsidRPr="00FE7549">
        <w:rPr>
          <w:rFonts w:ascii="Arial" w:eastAsia="Times New Roman" w:hAnsi="Arial" w:cs="Arial"/>
          <w:sz w:val="24"/>
          <w:szCs w:val="24"/>
          <w:vertAlign w:val="superscript"/>
        </w:rPr>
        <w:t>th</w:t>
      </w:r>
      <w:r w:rsidRPr="00FE7549">
        <w:rPr>
          <w:rFonts w:ascii="Arial" w:eastAsia="Times New Roman" w:hAnsi="Arial" w:cs="Arial"/>
          <w:sz w:val="24"/>
          <w:szCs w:val="24"/>
        </w:rPr>
        <w:t xml:space="preserve"> centuries, the latest banking panic was a wholesale panic, not a retail panic. In the earlier episodes, depositors ran to their banks and demanded cash in exchange for their checking accounts.  Unable to meet those demands, the banking system became insolvent. The current panic involved financial firms “running” on other financial firms by not renewing sale and repurchase agreements (repo) or increasing the repo margin (“haircut”), forcing massive deleveraging, and resulting in the banking system being insolvent. </w:t>
      </w:r>
    </w:p>
    <w:p w:rsidR="00FE7549" w:rsidRPr="00FE7549" w:rsidRDefault="00FE7549" w:rsidP="00FE7549">
      <w:pPr>
        <w:spacing w:after="0" w:line="240" w:lineRule="auto"/>
        <w:rPr>
          <w:rFonts w:ascii="Arial" w:eastAsia="Times New Roman" w:hAnsi="Arial" w:cs="Arial"/>
          <w:sz w:val="24"/>
          <w:szCs w:val="24"/>
        </w:rPr>
      </w:pPr>
    </w:p>
    <w:p w:rsidR="00FE7549" w:rsidRPr="00FE7549" w:rsidRDefault="00FE7549" w:rsidP="00FE7549">
      <w:pPr>
        <w:spacing w:after="0" w:line="240" w:lineRule="auto"/>
        <w:rPr>
          <w:rFonts w:ascii="Arial" w:eastAsia="Times New Roman" w:hAnsi="Arial" w:cs="Arial"/>
          <w:sz w:val="24"/>
          <w:szCs w:val="24"/>
        </w:rPr>
      </w:pPr>
      <w:r w:rsidRPr="00FE7549">
        <w:rPr>
          <w:rFonts w:ascii="Arial" w:eastAsia="Times New Roman" w:hAnsi="Arial" w:cs="Arial"/>
          <w:sz w:val="24"/>
          <w:szCs w:val="24"/>
        </w:rPr>
        <w:t>The earlier episodes have many features in common with the current crisis, and examination of history can help understand the current situation and guide thoughts about reform of bank regulation. New regulation can facilitate the functioning of the shadow banking system, making it less vulnerable to panic.</w:t>
      </w:r>
    </w:p>
    <w:p w:rsidR="00FE7549" w:rsidRPr="00FE7549" w:rsidRDefault="00FE7549" w:rsidP="00FE7549">
      <w:pPr>
        <w:spacing w:after="0" w:line="240" w:lineRule="auto"/>
        <w:rPr>
          <w:rFonts w:ascii="Arial Black" w:eastAsia="Times New Roman" w:hAnsi="Arial Black" w:cs="Times New Roman"/>
          <w:sz w:val="32"/>
          <w:szCs w:val="32"/>
        </w:rPr>
      </w:pPr>
    </w:p>
    <w:p w:rsidR="00FE7549" w:rsidRDefault="00DA650C" w:rsidP="00EA0D5C">
      <w:r>
        <w:t>The Flight from Maturity</w:t>
      </w:r>
      <w:r>
        <w:t xml:space="preserve">, Gorton, </w:t>
      </w:r>
      <w:proofErr w:type="spellStart"/>
      <w:r>
        <w:t>Metrick</w:t>
      </w:r>
      <w:proofErr w:type="spellEnd"/>
      <w:r>
        <w:t xml:space="preserve">, and </w:t>
      </w:r>
      <w:proofErr w:type="spellStart"/>
      <w:r>
        <w:t>Xie</w:t>
      </w:r>
      <w:proofErr w:type="spellEnd"/>
      <w:r>
        <w:t xml:space="preserve"> (May 2015), also on class webpage:  they</w:t>
      </w:r>
      <w:r>
        <w:t xml:space="preserve"> test the hypothesis of maturity shortening across all major money market instruments and show the link to increasing fragility</w:t>
      </w:r>
      <w:r>
        <w:t xml:space="preserve">, </w:t>
      </w:r>
      <w:r>
        <w:t>characteriz</w:t>
      </w:r>
      <w:r>
        <w:t>ing</w:t>
      </w:r>
      <w:r>
        <w:t xml:space="preserve"> the dynamic process of shortening as the crisis progressed. </w:t>
      </w:r>
      <w:r>
        <w:t xml:space="preserve"> They</w:t>
      </w:r>
      <w:r>
        <w:t xml:space="preserve"> argue that the financial system became increasingly fragile during the crisis due to maturity shortening, so that even a small shock would have led to a large response at that point in the crisis.</w:t>
      </w:r>
    </w:p>
    <w:p w:rsidR="00DA650C" w:rsidRDefault="000D2812" w:rsidP="00EA0D5C">
      <w:r>
        <w:t xml:space="preserve">The run on Lehman was the result of an endogenous buildup of risk. </w:t>
      </w:r>
      <w:r>
        <w:t xml:space="preserve"> Their</w:t>
      </w:r>
      <w:r>
        <w:t xml:space="preserve"> argument, that fragility is endogenous, conflicts with the standard “two shock” view of the financial crisis of 2007-2008 involv</w:t>
      </w:r>
      <w:r>
        <w:t>ing</w:t>
      </w:r>
      <w:r>
        <w:t xml:space="preserve"> two distinct phases, corresponding to two distinct shocks, the “subprime shock” and the “Lehman shock,” e.g. </w:t>
      </w:r>
      <w:proofErr w:type="spellStart"/>
      <w:r>
        <w:t>Mishkin</w:t>
      </w:r>
      <w:proofErr w:type="spellEnd"/>
      <w:r>
        <w:t xml:space="preserve"> (2011).</w:t>
      </w:r>
    </w:p>
    <w:p w:rsidR="00FE7549" w:rsidRDefault="00FE7549" w:rsidP="00EA0D5C"/>
    <w:p w:rsidR="00DE0902" w:rsidRPr="00DE0902" w:rsidRDefault="00DE0902" w:rsidP="00DE0902">
      <w:pPr>
        <w:rPr>
          <w:rFonts w:ascii="Arial Black" w:eastAsia="Times New Roman" w:hAnsi="Arial Black" w:cs="Times New Roman"/>
          <w:sz w:val="24"/>
          <w:szCs w:val="24"/>
        </w:rPr>
      </w:pPr>
      <w:r>
        <w:t xml:space="preserve">Policy response to sovereign debt:  </w:t>
      </w:r>
    </w:p>
    <w:p w:rsidR="00DE0902" w:rsidRPr="00DE0902" w:rsidRDefault="00DE0902" w:rsidP="00DE0902">
      <w:pPr>
        <w:spacing w:after="0" w:line="240" w:lineRule="auto"/>
        <w:rPr>
          <w:rFonts w:ascii="Arial Black" w:eastAsia="Times New Roman" w:hAnsi="Arial Black" w:cs="Times New Roman"/>
          <w:sz w:val="24"/>
          <w:szCs w:val="24"/>
        </w:rPr>
      </w:pPr>
    </w:p>
    <w:p w:rsidR="00DE0902" w:rsidRPr="00DE0902" w:rsidRDefault="00DE0902" w:rsidP="00DE0902">
      <w:pPr>
        <w:spacing w:after="0" w:line="240" w:lineRule="auto"/>
        <w:rPr>
          <w:rFonts w:ascii="Arial Black" w:eastAsia="Times New Roman" w:hAnsi="Arial Black" w:cs="Times New Roman"/>
          <w:sz w:val="24"/>
          <w:szCs w:val="24"/>
        </w:rPr>
      </w:pPr>
      <w:r w:rsidRPr="00DE0902">
        <w:rPr>
          <w:rFonts w:ascii="Arial Black" w:eastAsia="Times New Roman" w:hAnsi="Arial Black" w:cs="Times New Roman"/>
          <w:sz w:val="24"/>
          <w:szCs w:val="24"/>
        </w:rPr>
        <w:t>1)   Pay it back</w:t>
      </w:r>
    </w:p>
    <w:p w:rsidR="00DE0902" w:rsidRPr="00DE0902" w:rsidRDefault="00DE0902" w:rsidP="00DE0902">
      <w:pPr>
        <w:spacing w:after="0" w:line="240" w:lineRule="auto"/>
        <w:rPr>
          <w:rFonts w:ascii="Arial Black" w:eastAsia="Times New Roman" w:hAnsi="Arial Black" w:cs="Times New Roman"/>
          <w:sz w:val="24"/>
          <w:szCs w:val="24"/>
        </w:rPr>
      </w:pPr>
      <w:r w:rsidRPr="00DE0902">
        <w:rPr>
          <w:rFonts w:ascii="Arial Black" w:eastAsia="Times New Roman" w:hAnsi="Arial Black" w:cs="Times New Roman"/>
          <w:sz w:val="24"/>
          <w:szCs w:val="24"/>
        </w:rPr>
        <w:t>2)   Default/ restructure</w:t>
      </w:r>
    </w:p>
    <w:p w:rsidR="00DE0902" w:rsidRPr="00DE0902" w:rsidRDefault="00DE0902" w:rsidP="00DE0902">
      <w:pPr>
        <w:spacing w:after="0" w:line="240" w:lineRule="auto"/>
        <w:rPr>
          <w:rFonts w:ascii="Arial Black" w:eastAsia="Times New Roman" w:hAnsi="Arial Black" w:cs="Times New Roman"/>
          <w:sz w:val="24"/>
          <w:szCs w:val="24"/>
        </w:rPr>
      </w:pPr>
      <w:r w:rsidRPr="00DE0902">
        <w:rPr>
          <w:rFonts w:ascii="Arial Black" w:eastAsia="Times New Roman" w:hAnsi="Arial Black" w:cs="Times New Roman"/>
          <w:sz w:val="24"/>
          <w:szCs w:val="24"/>
        </w:rPr>
        <w:t>3)   Inflate it away</w:t>
      </w:r>
    </w:p>
    <w:p w:rsidR="00DE0902" w:rsidRPr="00DE0902" w:rsidRDefault="00DE0902" w:rsidP="00DE0902">
      <w:pPr>
        <w:spacing w:after="0" w:line="240" w:lineRule="auto"/>
        <w:rPr>
          <w:rFonts w:ascii="Arial Black" w:eastAsia="Times New Roman" w:hAnsi="Arial Black" w:cs="Times New Roman"/>
          <w:sz w:val="24"/>
          <w:szCs w:val="24"/>
        </w:rPr>
      </w:pPr>
    </w:p>
    <w:p w:rsidR="00DE0902" w:rsidRDefault="00DE0902" w:rsidP="00EA0D5C"/>
    <w:p w:rsidR="00895BBA" w:rsidRPr="00895BBA" w:rsidRDefault="00895BBA" w:rsidP="00895BBA">
      <w:pPr>
        <w:spacing w:after="0" w:line="240" w:lineRule="auto"/>
        <w:rPr>
          <w:rFonts w:ascii="Arial Black" w:eastAsia="Times New Roman" w:hAnsi="Arial Black" w:cs="Times New Roman"/>
        </w:rPr>
      </w:pPr>
      <w:r w:rsidRPr="00895BBA">
        <w:rPr>
          <w:rFonts w:ascii="Arial Black" w:eastAsia="Times New Roman" w:hAnsi="Arial Black" w:cs="Times New Roman"/>
        </w:rPr>
        <w:t>How could the crash in 2008 and great recession have been possible?</w:t>
      </w:r>
    </w:p>
    <w:p w:rsidR="00895BBA" w:rsidRPr="00895BBA" w:rsidRDefault="00895BBA" w:rsidP="00895BBA">
      <w:pPr>
        <w:spacing w:after="0" w:line="240" w:lineRule="auto"/>
        <w:rPr>
          <w:rFonts w:ascii="Arial Black" w:eastAsia="Times New Roman" w:hAnsi="Arial Black" w:cs="Times New Roman"/>
        </w:rPr>
      </w:pPr>
    </w:p>
    <w:p w:rsidR="00895BBA" w:rsidRPr="00895BBA" w:rsidRDefault="00895BBA" w:rsidP="00895BBA">
      <w:pPr>
        <w:spacing w:after="0" w:line="240" w:lineRule="auto"/>
        <w:rPr>
          <w:rFonts w:cs="Times New Roman"/>
          <w:sz w:val="24"/>
          <w:szCs w:val="24"/>
        </w:rPr>
      </w:pPr>
      <w:r w:rsidRPr="00895BBA">
        <w:rPr>
          <w:rFonts w:cs="Times New Roman"/>
          <w:sz w:val="24"/>
          <w:szCs w:val="24"/>
        </w:rPr>
        <w:t xml:space="preserve">Miranda Xafa and the “new” paradigm        </w:t>
      </w:r>
    </w:p>
    <w:p w:rsidR="00895BBA" w:rsidRPr="00895BBA" w:rsidRDefault="00895BBA" w:rsidP="00386711">
      <w:r w:rsidRPr="00895BBA">
        <w:t xml:space="preserve">Paul </w:t>
      </w:r>
      <w:proofErr w:type="spellStart"/>
      <w:proofErr w:type="gramStart"/>
      <w:r w:rsidRPr="00895BBA">
        <w:t>Romer</w:t>
      </w:r>
      <w:proofErr w:type="spellEnd"/>
      <w:r w:rsidRPr="00895BBA">
        <w:t xml:space="preserve">  --</w:t>
      </w:r>
      <w:proofErr w:type="gramEnd"/>
      <w:r w:rsidRPr="00895BBA">
        <w:t xml:space="preserve"> 2018 Nobel Prize</w:t>
      </w:r>
      <w:r w:rsidR="00386711">
        <w:t xml:space="preserve"> --  </w:t>
      </w:r>
      <w:r w:rsidRPr="00895BBA">
        <w:t>The Trouble With Macroeconomics:</w:t>
      </w:r>
    </w:p>
    <w:p w:rsidR="00895BBA" w:rsidRPr="00895BBA" w:rsidRDefault="00895BBA" w:rsidP="00895BBA">
      <w:pPr>
        <w:spacing w:after="0" w:line="240" w:lineRule="auto"/>
        <w:rPr>
          <w:rFonts w:cs="Times New Roman"/>
          <w:sz w:val="24"/>
          <w:szCs w:val="24"/>
        </w:rPr>
      </w:pPr>
    </w:p>
    <w:p w:rsidR="00895BBA" w:rsidRPr="00895BBA" w:rsidRDefault="00895BBA" w:rsidP="00895BBA">
      <w:pPr>
        <w:spacing w:after="0" w:line="240" w:lineRule="auto"/>
        <w:rPr>
          <w:rFonts w:cs="Times New Roman"/>
          <w:sz w:val="24"/>
          <w:szCs w:val="24"/>
        </w:rPr>
      </w:pPr>
      <w:r w:rsidRPr="00895BBA">
        <w:rPr>
          <w:rFonts w:cs="Times New Roman"/>
          <w:sz w:val="24"/>
          <w:szCs w:val="24"/>
        </w:rPr>
        <w:t xml:space="preserve">Example:   Robert Lucas (1995 Nobel) </w:t>
      </w:r>
      <w:proofErr w:type="gramStart"/>
      <w:r w:rsidRPr="00895BBA">
        <w:rPr>
          <w:rFonts w:cs="Times New Roman"/>
          <w:sz w:val="24"/>
          <w:szCs w:val="24"/>
        </w:rPr>
        <w:t>--  his</w:t>
      </w:r>
      <w:proofErr w:type="gramEnd"/>
      <w:r w:rsidRPr="00895BBA">
        <w:rPr>
          <w:rFonts w:cs="Times New Roman"/>
          <w:sz w:val="24"/>
          <w:szCs w:val="24"/>
        </w:rPr>
        <w:t xml:space="preserve"> thesis is that “macroeconomics has succeeded: its central problem of depression prevention has been solved, for all practical purposes, and has in fact been solved for many decades.”  </w:t>
      </w:r>
      <w:proofErr w:type="gramStart"/>
      <w:r w:rsidRPr="00895BBA">
        <w:rPr>
          <w:rFonts w:cs="Times New Roman"/>
          <w:sz w:val="24"/>
          <w:szCs w:val="24"/>
        </w:rPr>
        <w:t xml:space="preserve">Using the worldwide loss of output as a metric, the financial crisis of 2008-9 shows that Lucas’s prediction </w:t>
      </w:r>
      <w:r w:rsidR="00386711">
        <w:rPr>
          <w:rFonts w:cs="Times New Roman"/>
          <w:sz w:val="24"/>
          <w:szCs w:val="24"/>
        </w:rPr>
        <w:t>wa</w:t>
      </w:r>
      <w:r w:rsidRPr="00895BBA">
        <w:rPr>
          <w:rFonts w:cs="Times New Roman"/>
          <w:sz w:val="24"/>
          <w:szCs w:val="24"/>
        </w:rPr>
        <w:t>s a serious failure.</w:t>
      </w:r>
      <w:proofErr w:type="gramEnd"/>
      <w:r w:rsidRPr="00895BBA">
        <w:rPr>
          <w:rFonts w:cs="Times New Roman"/>
          <w:sz w:val="24"/>
          <w:szCs w:val="24"/>
        </w:rPr>
        <w:t xml:space="preserve">   </w:t>
      </w:r>
    </w:p>
    <w:p w:rsidR="00895BBA" w:rsidRPr="00895BBA" w:rsidRDefault="00895BBA" w:rsidP="00895BBA">
      <w:pPr>
        <w:spacing w:after="0" w:line="240" w:lineRule="auto"/>
        <w:rPr>
          <w:rFonts w:ascii="Arial Black" w:eastAsia="Times New Roman" w:hAnsi="Arial Black" w:cs="Times New Roman"/>
        </w:rPr>
      </w:pPr>
    </w:p>
    <w:p w:rsidR="00895BBA" w:rsidRPr="00895BBA" w:rsidRDefault="00895BBA" w:rsidP="00895BBA">
      <w:pPr>
        <w:spacing w:after="0" w:line="240" w:lineRule="auto"/>
        <w:rPr>
          <w:rFonts w:ascii="Calibri" w:eastAsia="Times New Roman" w:hAnsi="Calibri" w:cs="Times New Roman"/>
          <w:sz w:val="28"/>
          <w:szCs w:val="28"/>
        </w:rPr>
      </w:pPr>
      <w:r w:rsidRPr="00895BBA">
        <w:rPr>
          <w:rFonts w:ascii="Calibri" w:eastAsia="Times New Roman" w:hAnsi="Calibri" w:cs="Times New Roman"/>
          <w:sz w:val="28"/>
          <w:szCs w:val="28"/>
        </w:rPr>
        <w:t xml:space="preserve">It’s important to note that what happened 11 years ago was not what economists expected.   Rather we expected:  the unsustainable </w:t>
      </w:r>
      <w:proofErr w:type="gramStart"/>
      <w:r w:rsidRPr="00895BBA">
        <w:rPr>
          <w:rFonts w:ascii="Calibri" w:eastAsia="Times New Roman" w:hAnsi="Calibri" w:cs="Times New Roman"/>
          <w:sz w:val="28"/>
          <w:szCs w:val="28"/>
        </w:rPr>
        <w:t>disequilibrium,</w:t>
      </w:r>
      <w:proofErr w:type="gramEnd"/>
      <w:r w:rsidRPr="00895BBA">
        <w:rPr>
          <w:rFonts w:ascii="Calibri" w:eastAsia="Times New Roman" w:hAnsi="Calibri" w:cs="Times New Roman"/>
          <w:sz w:val="28"/>
          <w:szCs w:val="28"/>
        </w:rPr>
        <w:t xml:space="preserve"> or Larry Summers’ “balance of financial terror” but we got a different kind of crisis…</w:t>
      </w:r>
    </w:p>
    <w:p w:rsidR="00895BBA" w:rsidRPr="00895BBA" w:rsidRDefault="00895BBA" w:rsidP="00895BBA">
      <w:pPr>
        <w:spacing w:after="0" w:line="240" w:lineRule="auto"/>
        <w:rPr>
          <w:rFonts w:ascii="Calibri" w:eastAsia="Times New Roman" w:hAnsi="Calibri" w:cs="Times New Roman"/>
          <w:sz w:val="28"/>
          <w:szCs w:val="28"/>
        </w:rPr>
      </w:pPr>
    </w:p>
    <w:p w:rsidR="00895BBA" w:rsidRPr="00895BBA" w:rsidRDefault="00895BBA" w:rsidP="00895BBA">
      <w:pPr>
        <w:spacing w:after="0" w:line="240" w:lineRule="auto"/>
        <w:rPr>
          <w:rFonts w:ascii="Calibri" w:eastAsia="Times New Roman" w:hAnsi="Calibri" w:cs="Times New Roman"/>
          <w:sz w:val="28"/>
          <w:szCs w:val="28"/>
        </w:rPr>
      </w:pPr>
      <w:r w:rsidRPr="00895BBA">
        <w:rPr>
          <w:rFonts w:ascii="Calibri" w:eastAsia="Times New Roman" w:hAnsi="Calibri" w:cs="Times New Roman"/>
          <w:sz w:val="28"/>
          <w:szCs w:val="28"/>
        </w:rPr>
        <w:t xml:space="preserve">In retrospect we do understand that a series of bubbles helped keep the world economy driving forward over the past three decades.  Behind these, however, lay a credit super-bubble, which burst in 2008. This is why private spending </w:t>
      </w:r>
      <w:bookmarkStart w:id="0" w:name="_GoBack"/>
      <w:bookmarkEnd w:id="0"/>
      <w:r w:rsidRPr="00895BBA">
        <w:rPr>
          <w:rFonts w:ascii="Calibri" w:eastAsia="Times New Roman" w:hAnsi="Calibri" w:cs="Times New Roman"/>
          <w:sz w:val="28"/>
          <w:szCs w:val="28"/>
        </w:rPr>
        <w:t xml:space="preserve">imploded and fiscal deficits exploded. </w:t>
      </w:r>
    </w:p>
    <w:p w:rsidR="00895BBA" w:rsidRDefault="00895BBA" w:rsidP="00895BBA">
      <w:pPr>
        <w:spacing w:after="0" w:line="240" w:lineRule="auto"/>
        <w:rPr>
          <w:rFonts w:ascii="Calibri" w:eastAsia="Times New Roman" w:hAnsi="Calibri" w:cs="Times New Roman"/>
          <w:sz w:val="28"/>
          <w:szCs w:val="28"/>
        </w:rPr>
      </w:pPr>
      <w:r w:rsidRPr="00895BBA">
        <w:rPr>
          <w:rFonts w:ascii="Calibri" w:eastAsia="Times New Roman" w:hAnsi="Calibri" w:cs="Times New Roman"/>
          <w:sz w:val="28"/>
          <w:szCs w:val="28"/>
        </w:rPr>
        <w:lastRenderedPageBreak/>
        <w:t xml:space="preserve">Some of the most famous economists in the world such as Stiglitz, </w:t>
      </w:r>
      <w:proofErr w:type="gramStart"/>
      <w:r w:rsidRPr="00895BBA">
        <w:rPr>
          <w:rFonts w:ascii="Calibri" w:eastAsia="Times New Roman" w:hAnsi="Calibri" w:cs="Times New Roman"/>
          <w:sz w:val="28"/>
          <w:szCs w:val="28"/>
        </w:rPr>
        <w:t>Summers</w:t>
      </w:r>
      <w:proofErr w:type="gramEnd"/>
      <w:r w:rsidRPr="00895BBA">
        <w:rPr>
          <w:rFonts w:ascii="Calibri" w:eastAsia="Times New Roman" w:hAnsi="Calibri" w:cs="Times New Roman"/>
          <w:sz w:val="28"/>
          <w:szCs w:val="28"/>
        </w:rPr>
        <w:t xml:space="preserve">, Krugman, Rogoff, William White, </w:t>
      </w:r>
      <w:r w:rsidR="00EA0D5C">
        <w:rPr>
          <w:rFonts w:ascii="Calibri" w:eastAsia="Times New Roman" w:hAnsi="Calibri" w:cs="Times New Roman"/>
          <w:sz w:val="28"/>
          <w:szCs w:val="28"/>
        </w:rPr>
        <w:t>have</w:t>
      </w:r>
      <w:r w:rsidRPr="00895BBA">
        <w:rPr>
          <w:rFonts w:ascii="Calibri" w:eastAsia="Times New Roman" w:hAnsi="Calibri" w:cs="Times New Roman"/>
          <w:sz w:val="28"/>
          <w:szCs w:val="28"/>
        </w:rPr>
        <w:t xml:space="preserve"> divergent views.  And the IMF, BIS, OECD.  The economics profession, in my view, has made no progress since then.    Even MMT …</w:t>
      </w:r>
      <w:r w:rsidR="00386711">
        <w:rPr>
          <w:rFonts w:ascii="Calibri" w:eastAsia="Times New Roman" w:hAnsi="Calibri" w:cs="Times New Roman"/>
          <w:sz w:val="28"/>
          <w:szCs w:val="28"/>
        </w:rPr>
        <w:t xml:space="preserve">   (We’ll return to this next week)</w:t>
      </w:r>
    </w:p>
    <w:p w:rsidR="00895BBA" w:rsidRPr="00895BBA" w:rsidRDefault="00895BBA" w:rsidP="00895BBA">
      <w:pPr>
        <w:spacing w:after="0" w:line="240" w:lineRule="auto"/>
        <w:ind w:left="720"/>
        <w:rPr>
          <w:rFonts w:cs="Times New Roman"/>
          <w:sz w:val="24"/>
          <w:szCs w:val="24"/>
        </w:rPr>
      </w:pPr>
    </w:p>
    <w:p w:rsidR="00895BBA" w:rsidRPr="00895BBA" w:rsidRDefault="00895BBA" w:rsidP="00895BBA">
      <w:pPr>
        <w:spacing w:after="0" w:line="240" w:lineRule="auto"/>
        <w:rPr>
          <w:rFonts w:cs="Times New Roman"/>
          <w:sz w:val="28"/>
          <w:szCs w:val="28"/>
        </w:rPr>
      </w:pPr>
      <w:r w:rsidRPr="00895BBA">
        <w:rPr>
          <w:rFonts w:cs="Times New Roman"/>
          <w:sz w:val="28"/>
          <w:szCs w:val="28"/>
        </w:rPr>
        <w:t>Thus, William White – 10 years after Lehman Bros:</w:t>
      </w:r>
    </w:p>
    <w:p w:rsidR="00895BBA" w:rsidRPr="00895BBA" w:rsidRDefault="00895BBA" w:rsidP="00895BBA">
      <w:pPr>
        <w:spacing w:after="0" w:line="240" w:lineRule="auto"/>
        <w:rPr>
          <w:rFonts w:cs="Times New Roman"/>
          <w:sz w:val="28"/>
          <w:szCs w:val="28"/>
        </w:rPr>
      </w:pPr>
      <w:r w:rsidRPr="00895BBA">
        <w:rPr>
          <w:rFonts w:cs="Times New Roman"/>
          <w:sz w:val="28"/>
          <w:szCs w:val="28"/>
        </w:rPr>
        <w:t xml:space="preserve">   </w:t>
      </w:r>
      <w:proofErr w:type="gramStart"/>
      <w:r w:rsidRPr="00895BBA">
        <w:rPr>
          <w:rFonts w:cs="Times New Roman"/>
          <w:sz w:val="28"/>
          <w:szCs w:val="28"/>
        </w:rPr>
        <w:t>at</w:t>
      </w:r>
      <w:proofErr w:type="gramEnd"/>
      <w:r w:rsidRPr="00895BBA">
        <w:rPr>
          <w:rFonts w:cs="Times New Roman"/>
          <w:sz w:val="28"/>
          <w:szCs w:val="28"/>
        </w:rPr>
        <w:t xml:space="preserve"> least six “false” </w:t>
      </w:r>
      <w:r w:rsidR="00EA0D5C">
        <w:rPr>
          <w:rFonts w:cs="Times New Roman"/>
          <w:sz w:val="28"/>
          <w:szCs w:val="28"/>
        </w:rPr>
        <w:t>premises</w:t>
      </w:r>
      <w:r w:rsidRPr="00895BBA">
        <w:rPr>
          <w:rFonts w:cs="Times New Roman"/>
          <w:sz w:val="28"/>
          <w:szCs w:val="28"/>
        </w:rPr>
        <w:t>, widely held before the crisis:</w:t>
      </w:r>
    </w:p>
    <w:p w:rsidR="00895BBA" w:rsidRPr="00895BBA" w:rsidRDefault="00895BBA" w:rsidP="00895BBA">
      <w:pPr>
        <w:spacing w:after="0" w:line="240" w:lineRule="auto"/>
        <w:rPr>
          <w:rFonts w:cs="Times New Roman"/>
          <w:sz w:val="28"/>
          <w:szCs w:val="28"/>
        </w:rPr>
      </w:pPr>
    </w:p>
    <w:p w:rsidR="00895BBA" w:rsidRPr="00895BBA" w:rsidRDefault="00895BBA" w:rsidP="00895BBA">
      <w:pPr>
        <w:numPr>
          <w:ilvl w:val="0"/>
          <w:numId w:val="8"/>
        </w:numPr>
        <w:spacing w:after="0" w:line="240" w:lineRule="auto"/>
        <w:rPr>
          <w:rFonts w:cs="Times New Roman"/>
          <w:sz w:val="28"/>
          <w:szCs w:val="28"/>
        </w:rPr>
      </w:pPr>
      <w:r w:rsidRPr="00895BBA">
        <w:rPr>
          <w:rFonts w:cs="Times New Roman"/>
          <w:sz w:val="28"/>
          <w:szCs w:val="28"/>
        </w:rPr>
        <w:t>First, domestic price stability is sufficient to ensure macroeconomic stability.</w:t>
      </w:r>
    </w:p>
    <w:p w:rsidR="00895BBA" w:rsidRPr="00895BBA" w:rsidRDefault="00895BBA" w:rsidP="00895BBA">
      <w:pPr>
        <w:numPr>
          <w:ilvl w:val="0"/>
          <w:numId w:val="8"/>
        </w:numPr>
        <w:spacing w:after="0" w:line="240" w:lineRule="auto"/>
        <w:rPr>
          <w:rFonts w:cs="Times New Roman"/>
          <w:sz w:val="28"/>
          <w:szCs w:val="28"/>
        </w:rPr>
      </w:pPr>
      <w:proofErr w:type="gramStart"/>
      <w:r w:rsidRPr="00895BBA">
        <w:rPr>
          <w:rFonts w:cs="Times New Roman"/>
          <w:sz w:val="28"/>
          <w:szCs w:val="28"/>
        </w:rPr>
        <w:t>financial</w:t>
      </w:r>
      <w:proofErr w:type="gramEnd"/>
      <w:r w:rsidRPr="00895BBA">
        <w:rPr>
          <w:rFonts w:cs="Times New Roman"/>
          <w:sz w:val="28"/>
          <w:szCs w:val="28"/>
        </w:rPr>
        <w:t xml:space="preserve"> developments (especially involving equities) are not a significant threat to macroeconomic stability.</w:t>
      </w:r>
    </w:p>
    <w:p w:rsidR="00895BBA" w:rsidRPr="00895BBA" w:rsidRDefault="00895BBA" w:rsidP="00895BBA">
      <w:pPr>
        <w:numPr>
          <w:ilvl w:val="0"/>
          <w:numId w:val="8"/>
        </w:numPr>
        <w:spacing w:after="0" w:line="240" w:lineRule="auto"/>
        <w:rPr>
          <w:rFonts w:cs="Times New Roman"/>
          <w:sz w:val="28"/>
          <w:szCs w:val="28"/>
        </w:rPr>
      </w:pPr>
      <w:proofErr w:type="gramStart"/>
      <w:r w:rsidRPr="00895BBA">
        <w:rPr>
          <w:rFonts w:cs="Times New Roman"/>
          <w:sz w:val="28"/>
          <w:szCs w:val="28"/>
        </w:rPr>
        <w:t>floating</w:t>
      </w:r>
      <w:proofErr w:type="gramEnd"/>
      <w:r w:rsidRPr="00895BBA">
        <w:rPr>
          <w:rFonts w:cs="Times New Roman"/>
          <w:sz w:val="28"/>
          <w:szCs w:val="28"/>
        </w:rPr>
        <w:t xml:space="preserve"> exchange rates will suffice to deal with current account imbalances. </w:t>
      </w:r>
    </w:p>
    <w:p w:rsidR="00895BBA" w:rsidRPr="00895BBA" w:rsidRDefault="00895BBA" w:rsidP="00895BBA">
      <w:pPr>
        <w:numPr>
          <w:ilvl w:val="0"/>
          <w:numId w:val="8"/>
        </w:numPr>
        <w:spacing w:after="0" w:line="240" w:lineRule="auto"/>
        <w:rPr>
          <w:rFonts w:cs="Times New Roman"/>
          <w:sz w:val="28"/>
          <w:szCs w:val="28"/>
        </w:rPr>
      </w:pPr>
      <w:proofErr w:type="gramStart"/>
      <w:r w:rsidRPr="00895BBA">
        <w:rPr>
          <w:rFonts w:cs="Times New Roman"/>
          <w:sz w:val="28"/>
          <w:szCs w:val="28"/>
        </w:rPr>
        <w:t>given</w:t>
      </w:r>
      <w:proofErr w:type="gramEnd"/>
      <w:r w:rsidRPr="00895BBA">
        <w:rPr>
          <w:rFonts w:cs="Times New Roman"/>
          <w:sz w:val="28"/>
          <w:szCs w:val="28"/>
        </w:rPr>
        <w:t xml:space="preserve"> floating exchange rates, international “spillovers” from domestic monetary policies (especially those of the US) are unimportant.</w:t>
      </w:r>
    </w:p>
    <w:p w:rsidR="00895BBA" w:rsidRPr="00895BBA" w:rsidRDefault="00895BBA" w:rsidP="00895BBA">
      <w:pPr>
        <w:numPr>
          <w:ilvl w:val="0"/>
          <w:numId w:val="8"/>
        </w:numPr>
        <w:spacing w:after="0" w:line="240" w:lineRule="auto"/>
        <w:rPr>
          <w:rFonts w:cs="Times New Roman"/>
          <w:sz w:val="28"/>
          <w:szCs w:val="28"/>
        </w:rPr>
      </w:pPr>
      <w:proofErr w:type="gramStart"/>
      <w:r w:rsidRPr="00895BBA">
        <w:rPr>
          <w:rFonts w:cs="Times New Roman"/>
          <w:sz w:val="28"/>
          <w:szCs w:val="28"/>
        </w:rPr>
        <w:t>if</w:t>
      </w:r>
      <w:proofErr w:type="gramEnd"/>
      <w:r w:rsidRPr="00895BBA">
        <w:rPr>
          <w:rFonts w:cs="Times New Roman"/>
          <w:sz w:val="28"/>
          <w:szCs w:val="28"/>
        </w:rPr>
        <w:t xml:space="preserve"> domestic price stability and floating rule out future crises, then we do not need to prepare for them.</w:t>
      </w:r>
    </w:p>
    <w:p w:rsidR="00895BBA" w:rsidRPr="00895BBA" w:rsidRDefault="00895BBA" w:rsidP="00895BBA">
      <w:pPr>
        <w:numPr>
          <w:ilvl w:val="0"/>
          <w:numId w:val="8"/>
        </w:numPr>
        <w:spacing w:after="0" w:line="240" w:lineRule="auto"/>
        <w:rPr>
          <w:rFonts w:cs="Times New Roman"/>
          <w:sz w:val="28"/>
          <w:szCs w:val="28"/>
        </w:rPr>
      </w:pPr>
      <w:proofErr w:type="gramStart"/>
      <w:r w:rsidRPr="00895BBA">
        <w:rPr>
          <w:rFonts w:cs="Times New Roman"/>
          <w:sz w:val="28"/>
          <w:szCs w:val="28"/>
        </w:rPr>
        <w:t>to</w:t>
      </w:r>
      <w:proofErr w:type="gramEnd"/>
      <w:r w:rsidRPr="00895BBA">
        <w:rPr>
          <w:rFonts w:cs="Times New Roman"/>
          <w:sz w:val="28"/>
          <w:szCs w:val="28"/>
        </w:rPr>
        <w:t xml:space="preserve"> the limited extent the mainstream thought about distributional issues at all, growing inequality was thought to be a price worth paying to get faster economic growth.</w:t>
      </w:r>
    </w:p>
    <w:p w:rsidR="00895BBA" w:rsidRPr="00895BBA" w:rsidRDefault="00895BBA" w:rsidP="00895BBA">
      <w:pPr>
        <w:spacing w:after="0" w:line="240" w:lineRule="auto"/>
        <w:rPr>
          <w:rFonts w:cs="Times New Roman"/>
        </w:rPr>
      </w:pPr>
    </w:p>
    <w:p w:rsidR="00895BBA" w:rsidRPr="00895BBA" w:rsidRDefault="00895BBA" w:rsidP="00895BBA">
      <w:pPr>
        <w:spacing w:after="0" w:line="240" w:lineRule="auto"/>
        <w:rPr>
          <w:rFonts w:cs="Times New Roman"/>
          <w:sz w:val="24"/>
          <w:szCs w:val="24"/>
        </w:rPr>
      </w:pPr>
      <w:r w:rsidRPr="00895BBA">
        <w:rPr>
          <w:rFonts w:cs="Times New Roman"/>
          <w:sz w:val="24"/>
          <w:szCs w:val="24"/>
        </w:rPr>
        <w:t xml:space="preserve">In retrospect, we now understand that leading into the 2008 GFC, some financial institutions underwrote products with excessive leverage in real estate investments (notably US, Ireland, Iceland, </w:t>
      </w:r>
      <w:proofErr w:type="gramStart"/>
      <w:r w:rsidRPr="00895BBA">
        <w:rPr>
          <w:rFonts w:cs="Times New Roman"/>
          <w:sz w:val="24"/>
          <w:szCs w:val="24"/>
        </w:rPr>
        <w:t>Spain</w:t>
      </w:r>
      <w:proofErr w:type="gramEnd"/>
      <w:r w:rsidRPr="00895BBA">
        <w:rPr>
          <w:rFonts w:cs="Times New Roman"/>
          <w:sz w:val="24"/>
          <w:szCs w:val="24"/>
        </w:rPr>
        <w:t>).  The collapse of liquidity in these products impaired balance sheets, and governments backstopped the crisis.  Soon enough governments themselves were propped by extraordinary monetary stimulus from central banks.   Central banks purchased ~$15T of financial assets, mostly government obligations.</w:t>
      </w:r>
    </w:p>
    <w:p w:rsidR="00895BBA" w:rsidRPr="00895BBA" w:rsidRDefault="00895BBA" w:rsidP="00895BBA">
      <w:pPr>
        <w:spacing w:after="0" w:line="240" w:lineRule="auto"/>
        <w:ind w:left="360"/>
        <w:rPr>
          <w:rFonts w:cs="Times New Roman"/>
          <w:sz w:val="24"/>
          <w:szCs w:val="24"/>
        </w:rPr>
      </w:pPr>
    </w:p>
    <w:p w:rsidR="00895BBA" w:rsidRPr="00895BBA" w:rsidRDefault="00895BBA" w:rsidP="00895BBA">
      <w:pPr>
        <w:spacing w:after="0" w:line="240" w:lineRule="auto"/>
        <w:rPr>
          <w:rFonts w:cs="Times New Roman"/>
          <w:sz w:val="24"/>
          <w:szCs w:val="24"/>
        </w:rPr>
      </w:pPr>
      <w:r w:rsidRPr="00895BBA">
        <w:rPr>
          <w:rFonts w:cs="Times New Roman"/>
          <w:sz w:val="24"/>
          <w:szCs w:val="24"/>
        </w:rPr>
        <w:t xml:space="preserve">This accommodation </w:t>
      </w:r>
      <w:r w:rsidR="00FB2B04">
        <w:rPr>
          <w:rFonts w:cs="Times New Roman"/>
          <w:sz w:val="24"/>
          <w:szCs w:val="24"/>
        </w:rPr>
        <w:t>was</w:t>
      </w:r>
      <w:r w:rsidRPr="00895BBA">
        <w:rPr>
          <w:rFonts w:cs="Times New Roman"/>
          <w:sz w:val="24"/>
          <w:szCs w:val="24"/>
        </w:rPr>
        <w:t xml:space="preserve"> expected to reverse.   </w:t>
      </w:r>
      <w:r w:rsidR="00FB2B04">
        <w:rPr>
          <w:rFonts w:cs="Times New Roman"/>
          <w:sz w:val="24"/>
          <w:szCs w:val="24"/>
        </w:rPr>
        <w:t>If and when s</w:t>
      </w:r>
      <w:r w:rsidRPr="00895BBA">
        <w:rPr>
          <w:rFonts w:cs="Times New Roman"/>
          <w:sz w:val="24"/>
          <w:szCs w:val="24"/>
        </w:rPr>
        <w:t xml:space="preserve">uch outflows (or lack of new inflows) </w:t>
      </w:r>
      <w:r w:rsidR="00792D44">
        <w:rPr>
          <w:rFonts w:cs="Times New Roman"/>
          <w:sz w:val="24"/>
          <w:szCs w:val="24"/>
        </w:rPr>
        <w:t xml:space="preserve">take place </w:t>
      </w:r>
      <w:r w:rsidRPr="00895BBA">
        <w:rPr>
          <w:rFonts w:cs="Times New Roman"/>
          <w:sz w:val="24"/>
          <w:szCs w:val="24"/>
        </w:rPr>
        <w:t xml:space="preserve">could lead to asset declines and liquidity disruptions, and potentially cause a financial crisis or a hypothetical “Great Liquidity Crisis” (GLC). The timing will largely be determined by the pace of central bank normalization, business cycle dynamics and various idiosyncratic events, and hence cannot be known accurately. This is similar to the 2008 GFC, when those that accurately predicted the nature of the GFC started doing so around 2006 (Shiller, Rogoff, </w:t>
      </w:r>
      <w:proofErr w:type="spellStart"/>
      <w:proofErr w:type="gramStart"/>
      <w:r w:rsidRPr="00895BBA">
        <w:rPr>
          <w:rFonts w:cs="Times New Roman"/>
          <w:sz w:val="24"/>
          <w:szCs w:val="24"/>
        </w:rPr>
        <w:t>Roubini</w:t>
      </w:r>
      <w:proofErr w:type="spellEnd"/>
      <w:proofErr w:type="gramEnd"/>
      <w:r w:rsidRPr="00895BBA">
        <w:rPr>
          <w:rFonts w:cs="Times New Roman"/>
          <w:sz w:val="24"/>
          <w:szCs w:val="24"/>
        </w:rPr>
        <w:t>).</w:t>
      </w:r>
    </w:p>
    <w:sectPr w:rsidR="00895BBA" w:rsidRPr="00895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ff-meta-serif-web-pro">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A15"/>
    <w:multiLevelType w:val="hybridMultilevel"/>
    <w:tmpl w:val="13924A30"/>
    <w:lvl w:ilvl="0" w:tplc="850A6214">
      <w:numFmt w:val="bullet"/>
      <w:lvlText w:val=""/>
      <w:lvlJc w:val="left"/>
      <w:pPr>
        <w:tabs>
          <w:tab w:val="num" w:pos="675"/>
        </w:tabs>
        <w:ind w:left="675" w:hanging="360"/>
      </w:pPr>
      <w:rPr>
        <w:rFonts w:ascii="Wingdings" w:eastAsia="Times New Roman" w:hAnsi="Wingdings" w:hint="default"/>
      </w:rPr>
    </w:lvl>
    <w:lvl w:ilvl="1" w:tplc="04090003" w:tentative="1">
      <w:start w:val="1"/>
      <w:numFmt w:val="bullet"/>
      <w:lvlText w:val="o"/>
      <w:lvlJc w:val="left"/>
      <w:pPr>
        <w:tabs>
          <w:tab w:val="num" w:pos="1395"/>
        </w:tabs>
        <w:ind w:left="1395" w:hanging="360"/>
      </w:pPr>
      <w:rPr>
        <w:rFonts w:ascii="Courier New" w:hAnsi="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
    <w:nsid w:val="0B3523D2"/>
    <w:multiLevelType w:val="hybridMultilevel"/>
    <w:tmpl w:val="6DE680B2"/>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
    <w:nsid w:val="1A501CE6"/>
    <w:multiLevelType w:val="multilevel"/>
    <w:tmpl w:val="A816D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E0692D"/>
    <w:multiLevelType w:val="multilevel"/>
    <w:tmpl w:val="4878A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33B74DD"/>
    <w:multiLevelType w:val="hybridMultilevel"/>
    <w:tmpl w:val="4D6A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14F2E"/>
    <w:multiLevelType w:val="multilevel"/>
    <w:tmpl w:val="95848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7F01256"/>
    <w:multiLevelType w:val="hybridMultilevel"/>
    <w:tmpl w:val="99DAACE2"/>
    <w:lvl w:ilvl="0" w:tplc="344C9D5E">
      <w:start w:val="13"/>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A044907"/>
    <w:multiLevelType w:val="multilevel"/>
    <w:tmpl w:val="CB4CC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3F"/>
    <w:rsid w:val="000A63F5"/>
    <w:rsid w:val="000D12B7"/>
    <w:rsid w:val="000D2812"/>
    <w:rsid w:val="000F3C11"/>
    <w:rsid w:val="001108CF"/>
    <w:rsid w:val="00186A12"/>
    <w:rsid w:val="001C0D30"/>
    <w:rsid w:val="001D6052"/>
    <w:rsid w:val="001F074D"/>
    <w:rsid w:val="001F0CE3"/>
    <w:rsid w:val="00235437"/>
    <w:rsid w:val="00260AE7"/>
    <w:rsid w:val="00286053"/>
    <w:rsid w:val="00294A5D"/>
    <w:rsid w:val="002D27B7"/>
    <w:rsid w:val="0037055D"/>
    <w:rsid w:val="00386711"/>
    <w:rsid w:val="003B061F"/>
    <w:rsid w:val="003C2AE2"/>
    <w:rsid w:val="00455520"/>
    <w:rsid w:val="004621D2"/>
    <w:rsid w:val="004D2296"/>
    <w:rsid w:val="004E33E1"/>
    <w:rsid w:val="0054207A"/>
    <w:rsid w:val="0061319F"/>
    <w:rsid w:val="0068187D"/>
    <w:rsid w:val="006A1B44"/>
    <w:rsid w:val="006B10D5"/>
    <w:rsid w:val="0075106B"/>
    <w:rsid w:val="0077716D"/>
    <w:rsid w:val="00792D44"/>
    <w:rsid w:val="008122FF"/>
    <w:rsid w:val="00832FB5"/>
    <w:rsid w:val="00892D45"/>
    <w:rsid w:val="00893D89"/>
    <w:rsid w:val="00895BBA"/>
    <w:rsid w:val="008A6095"/>
    <w:rsid w:val="008D4BC8"/>
    <w:rsid w:val="008E5DA5"/>
    <w:rsid w:val="009C74AA"/>
    <w:rsid w:val="00A06D0C"/>
    <w:rsid w:val="00A075DD"/>
    <w:rsid w:val="00A12BDD"/>
    <w:rsid w:val="00AC4310"/>
    <w:rsid w:val="00B62016"/>
    <w:rsid w:val="00B661BD"/>
    <w:rsid w:val="00CC2B98"/>
    <w:rsid w:val="00CF18B2"/>
    <w:rsid w:val="00CF2C93"/>
    <w:rsid w:val="00D478B3"/>
    <w:rsid w:val="00D66DCE"/>
    <w:rsid w:val="00DA2663"/>
    <w:rsid w:val="00DA650C"/>
    <w:rsid w:val="00DE0902"/>
    <w:rsid w:val="00E23232"/>
    <w:rsid w:val="00E5793F"/>
    <w:rsid w:val="00E87230"/>
    <w:rsid w:val="00E94223"/>
    <w:rsid w:val="00EA0D5C"/>
    <w:rsid w:val="00EF0B8D"/>
    <w:rsid w:val="00FB2B04"/>
    <w:rsid w:val="00FE337B"/>
    <w:rsid w:val="00FE4FEF"/>
    <w:rsid w:val="00FE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9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793F"/>
    <w:rPr>
      <w:color w:val="0000FF"/>
      <w:u w:val="single"/>
    </w:rPr>
  </w:style>
  <w:style w:type="character" w:customStyle="1" w:styleId="commentcount">
    <w:name w:val="comment__count"/>
    <w:basedOn w:val="DefaultParagraphFont"/>
    <w:rsid w:val="00E5793F"/>
  </w:style>
  <w:style w:type="character" w:customStyle="1" w:styleId="italic">
    <w:name w:val="italic"/>
    <w:basedOn w:val="DefaultParagraphFont"/>
    <w:rsid w:val="0037055D"/>
  </w:style>
  <w:style w:type="paragraph" w:customStyle="1" w:styleId="cirbodytext">
    <w:name w:val="cirbodytext"/>
    <w:basedOn w:val="Normal"/>
    <w:rsid w:val="00E94223"/>
    <w:pPr>
      <w:spacing w:after="0" w:line="270" w:lineRule="atLeast"/>
    </w:pPr>
    <w:rPr>
      <w:rFonts w:ascii="Verdana" w:hAnsi="Verdana" w:cs="Times New Roman"/>
      <w:color w:val="000000"/>
      <w:sz w:val="20"/>
      <w:szCs w:val="20"/>
    </w:rPr>
  </w:style>
  <w:style w:type="character" w:customStyle="1" w:styleId="run">
    <w:name w:val="run"/>
    <w:basedOn w:val="DefaultParagraphFont"/>
    <w:rsid w:val="00E94223"/>
  </w:style>
  <w:style w:type="character" w:styleId="Strong">
    <w:name w:val="Strong"/>
    <w:basedOn w:val="DefaultParagraphFont"/>
    <w:uiPriority w:val="22"/>
    <w:qFormat/>
    <w:rsid w:val="005420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9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793F"/>
    <w:rPr>
      <w:color w:val="0000FF"/>
      <w:u w:val="single"/>
    </w:rPr>
  </w:style>
  <w:style w:type="character" w:customStyle="1" w:styleId="commentcount">
    <w:name w:val="comment__count"/>
    <w:basedOn w:val="DefaultParagraphFont"/>
    <w:rsid w:val="00E5793F"/>
  </w:style>
  <w:style w:type="character" w:customStyle="1" w:styleId="italic">
    <w:name w:val="italic"/>
    <w:basedOn w:val="DefaultParagraphFont"/>
    <w:rsid w:val="0037055D"/>
  </w:style>
  <w:style w:type="paragraph" w:customStyle="1" w:styleId="cirbodytext">
    <w:name w:val="cirbodytext"/>
    <w:basedOn w:val="Normal"/>
    <w:rsid w:val="00E94223"/>
    <w:pPr>
      <w:spacing w:after="0" w:line="270" w:lineRule="atLeast"/>
    </w:pPr>
    <w:rPr>
      <w:rFonts w:ascii="Verdana" w:hAnsi="Verdana" w:cs="Times New Roman"/>
      <w:color w:val="000000"/>
      <w:sz w:val="20"/>
      <w:szCs w:val="20"/>
    </w:rPr>
  </w:style>
  <w:style w:type="character" w:customStyle="1" w:styleId="run">
    <w:name w:val="run"/>
    <w:basedOn w:val="DefaultParagraphFont"/>
    <w:rsid w:val="00E94223"/>
  </w:style>
  <w:style w:type="character" w:styleId="Strong">
    <w:name w:val="Strong"/>
    <w:basedOn w:val="DefaultParagraphFont"/>
    <w:uiPriority w:val="22"/>
    <w:qFormat/>
    <w:rsid w:val="00542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4832">
      <w:bodyDiv w:val="1"/>
      <w:marLeft w:val="0"/>
      <w:marRight w:val="0"/>
      <w:marTop w:val="0"/>
      <w:marBottom w:val="0"/>
      <w:divBdr>
        <w:top w:val="none" w:sz="0" w:space="0" w:color="auto"/>
        <w:left w:val="none" w:sz="0" w:space="0" w:color="auto"/>
        <w:bottom w:val="none" w:sz="0" w:space="0" w:color="auto"/>
        <w:right w:val="none" w:sz="0" w:space="0" w:color="auto"/>
      </w:divBdr>
    </w:div>
    <w:div w:id="401803553">
      <w:bodyDiv w:val="1"/>
      <w:marLeft w:val="0"/>
      <w:marRight w:val="0"/>
      <w:marTop w:val="0"/>
      <w:marBottom w:val="0"/>
      <w:divBdr>
        <w:top w:val="none" w:sz="0" w:space="0" w:color="auto"/>
        <w:left w:val="none" w:sz="0" w:space="0" w:color="auto"/>
        <w:bottom w:val="none" w:sz="0" w:space="0" w:color="auto"/>
        <w:right w:val="none" w:sz="0" w:space="0" w:color="auto"/>
      </w:divBdr>
    </w:div>
    <w:div w:id="487400990">
      <w:bodyDiv w:val="1"/>
      <w:marLeft w:val="0"/>
      <w:marRight w:val="0"/>
      <w:marTop w:val="0"/>
      <w:marBottom w:val="0"/>
      <w:divBdr>
        <w:top w:val="none" w:sz="0" w:space="0" w:color="auto"/>
        <w:left w:val="none" w:sz="0" w:space="0" w:color="auto"/>
        <w:bottom w:val="none" w:sz="0" w:space="0" w:color="auto"/>
        <w:right w:val="none" w:sz="0" w:space="0" w:color="auto"/>
      </w:divBdr>
    </w:div>
    <w:div w:id="529995429">
      <w:bodyDiv w:val="1"/>
      <w:marLeft w:val="0"/>
      <w:marRight w:val="0"/>
      <w:marTop w:val="0"/>
      <w:marBottom w:val="0"/>
      <w:divBdr>
        <w:top w:val="none" w:sz="0" w:space="0" w:color="auto"/>
        <w:left w:val="none" w:sz="0" w:space="0" w:color="auto"/>
        <w:bottom w:val="none" w:sz="0" w:space="0" w:color="auto"/>
        <w:right w:val="none" w:sz="0" w:space="0" w:color="auto"/>
      </w:divBdr>
    </w:div>
    <w:div w:id="743727289">
      <w:bodyDiv w:val="1"/>
      <w:marLeft w:val="0"/>
      <w:marRight w:val="0"/>
      <w:marTop w:val="0"/>
      <w:marBottom w:val="0"/>
      <w:divBdr>
        <w:top w:val="none" w:sz="0" w:space="0" w:color="auto"/>
        <w:left w:val="none" w:sz="0" w:space="0" w:color="auto"/>
        <w:bottom w:val="none" w:sz="0" w:space="0" w:color="auto"/>
        <w:right w:val="none" w:sz="0" w:space="0" w:color="auto"/>
      </w:divBdr>
    </w:div>
    <w:div w:id="763377681">
      <w:bodyDiv w:val="1"/>
      <w:marLeft w:val="0"/>
      <w:marRight w:val="0"/>
      <w:marTop w:val="0"/>
      <w:marBottom w:val="0"/>
      <w:divBdr>
        <w:top w:val="none" w:sz="0" w:space="0" w:color="auto"/>
        <w:left w:val="none" w:sz="0" w:space="0" w:color="auto"/>
        <w:bottom w:val="none" w:sz="0" w:space="0" w:color="auto"/>
        <w:right w:val="none" w:sz="0" w:space="0" w:color="auto"/>
      </w:divBdr>
    </w:div>
    <w:div w:id="935796449">
      <w:bodyDiv w:val="1"/>
      <w:marLeft w:val="0"/>
      <w:marRight w:val="0"/>
      <w:marTop w:val="0"/>
      <w:marBottom w:val="0"/>
      <w:divBdr>
        <w:top w:val="none" w:sz="0" w:space="0" w:color="auto"/>
        <w:left w:val="none" w:sz="0" w:space="0" w:color="auto"/>
        <w:bottom w:val="none" w:sz="0" w:space="0" w:color="auto"/>
        <w:right w:val="none" w:sz="0" w:space="0" w:color="auto"/>
      </w:divBdr>
    </w:div>
    <w:div w:id="1124235426">
      <w:bodyDiv w:val="1"/>
      <w:marLeft w:val="0"/>
      <w:marRight w:val="0"/>
      <w:marTop w:val="0"/>
      <w:marBottom w:val="0"/>
      <w:divBdr>
        <w:top w:val="none" w:sz="0" w:space="0" w:color="auto"/>
        <w:left w:val="none" w:sz="0" w:space="0" w:color="auto"/>
        <w:bottom w:val="none" w:sz="0" w:space="0" w:color="auto"/>
        <w:right w:val="none" w:sz="0" w:space="0" w:color="auto"/>
      </w:divBdr>
    </w:div>
    <w:div w:id="1353726132">
      <w:bodyDiv w:val="1"/>
      <w:marLeft w:val="0"/>
      <w:marRight w:val="0"/>
      <w:marTop w:val="0"/>
      <w:marBottom w:val="0"/>
      <w:divBdr>
        <w:top w:val="none" w:sz="0" w:space="0" w:color="auto"/>
        <w:left w:val="none" w:sz="0" w:space="0" w:color="auto"/>
        <w:bottom w:val="none" w:sz="0" w:space="0" w:color="auto"/>
        <w:right w:val="none" w:sz="0" w:space="0" w:color="auto"/>
      </w:divBdr>
    </w:div>
    <w:div w:id="1453327276">
      <w:bodyDiv w:val="1"/>
      <w:marLeft w:val="0"/>
      <w:marRight w:val="0"/>
      <w:marTop w:val="0"/>
      <w:marBottom w:val="0"/>
      <w:divBdr>
        <w:top w:val="none" w:sz="0" w:space="0" w:color="auto"/>
        <w:left w:val="none" w:sz="0" w:space="0" w:color="auto"/>
        <w:bottom w:val="none" w:sz="0" w:space="0" w:color="auto"/>
        <w:right w:val="none" w:sz="0" w:space="0" w:color="auto"/>
      </w:divBdr>
    </w:div>
    <w:div w:id="1625890442">
      <w:bodyDiv w:val="1"/>
      <w:marLeft w:val="0"/>
      <w:marRight w:val="0"/>
      <w:marTop w:val="0"/>
      <w:marBottom w:val="0"/>
      <w:divBdr>
        <w:top w:val="none" w:sz="0" w:space="0" w:color="auto"/>
        <w:left w:val="none" w:sz="0" w:space="0" w:color="auto"/>
        <w:bottom w:val="none" w:sz="0" w:space="0" w:color="auto"/>
        <w:right w:val="none" w:sz="0" w:space="0" w:color="auto"/>
      </w:divBdr>
    </w:div>
    <w:div w:id="1657300615">
      <w:bodyDiv w:val="1"/>
      <w:marLeft w:val="0"/>
      <w:marRight w:val="0"/>
      <w:marTop w:val="0"/>
      <w:marBottom w:val="0"/>
      <w:divBdr>
        <w:top w:val="none" w:sz="0" w:space="0" w:color="auto"/>
        <w:left w:val="none" w:sz="0" w:space="0" w:color="auto"/>
        <w:bottom w:val="none" w:sz="0" w:space="0" w:color="auto"/>
        <w:right w:val="none" w:sz="0" w:space="0" w:color="auto"/>
      </w:divBdr>
    </w:div>
    <w:div w:id="1658454224">
      <w:bodyDiv w:val="1"/>
      <w:marLeft w:val="0"/>
      <w:marRight w:val="0"/>
      <w:marTop w:val="0"/>
      <w:marBottom w:val="0"/>
      <w:divBdr>
        <w:top w:val="none" w:sz="0" w:space="0" w:color="auto"/>
        <w:left w:val="none" w:sz="0" w:space="0" w:color="auto"/>
        <w:bottom w:val="none" w:sz="0" w:space="0" w:color="auto"/>
        <w:right w:val="none" w:sz="0" w:space="0" w:color="auto"/>
      </w:divBdr>
    </w:div>
    <w:div w:id="1784416030">
      <w:bodyDiv w:val="1"/>
      <w:marLeft w:val="0"/>
      <w:marRight w:val="0"/>
      <w:marTop w:val="0"/>
      <w:marBottom w:val="0"/>
      <w:divBdr>
        <w:top w:val="none" w:sz="0" w:space="0" w:color="auto"/>
        <w:left w:val="none" w:sz="0" w:space="0" w:color="auto"/>
        <w:bottom w:val="none" w:sz="0" w:space="0" w:color="auto"/>
        <w:right w:val="none" w:sz="0" w:space="0" w:color="auto"/>
      </w:divBdr>
    </w:div>
    <w:div w:id="1790512161">
      <w:bodyDiv w:val="1"/>
      <w:marLeft w:val="0"/>
      <w:marRight w:val="0"/>
      <w:marTop w:val="0"/>
      <w:marBottom w:val="0"/>
      <w:divBdr>
        <w:top w:val="none" w:sz="0" w:space="0" w:color="auto"/>
        <w:left w:val="none" w:sz="0" w:space="0" w:color="auto"/>
        <w:bottom w:val="none" w:sz="0" w:space="0" w:color="auto"/>
        <w:right w:val="none" w:sz="0" w:space="0" w:color="auto"/>
      </w:divBdr>
    </w:div>
    <w:div w:id="21071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velocity.com/rendition/eppublic/documentService/dXNlcl9pZD1VOXBPLWJ3VVJzaGJ5SVgxT3QyX3ZRJmVtYWlsX3NlbmRfaWQ9MTk0MTAxMTYxMw/ZG9jX2lkPTk2MzQxMSZwbGF0Zm9ybT04NCZ2ZW5kb3I9Q2l0aSBWZWxvY2l0eQ?zx=pnp572opvacq" TargetMode="External"/><Relationship Id="rId3" Type="http://schemas.openxmlformats.org/officeDocument/2006/relationships/styles" Target="styles.xml"/><Relationship Id="rId7" Type="http://schemas.openxmlformats.org/officeDocument/2006/relationships/hyperlink" Target="https://infodesk.us12.list-manage.com/track/click?u=ce167c6680592510a775b6472&amp;id=2933d94f1a&amp;e=45e4b96aa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itivelocity.com/rendition/eppublic/documentService/dXNlcl9pZD1VOXBPLWJ3VVJzaGJ5SVgxT3QyX3ZRJmVtYWlsX3NlbmRfaWQ9MTk1Mjc1NTU3Mg/ZG9jX2lkPTk3MjQxOSZwbGF0Zm9ybT04NCZ2ZW5kb3I9Q2l0aSBWZWxvY2l0eQ" TargetMode="External"/><Relationship Id="rId4" Type="http://schemas.microsoft.com/office/2007/relationships/stylesWithEffects" Target="stylesWithEffects.xml"/><Relationship Id="rId9" Type="http://schemas.openxmlformats.org/officeDocument/2006/relationships/hyperlink" Target="https://www.citivelocity.com/rendition/eppublic/documentService/dXNlcl9pZD1VOXBPLWJ3VVJzaGJ5SVgxT3QyX3ZRJmVtYWlsX3NlbmRfaWQ9MTk1Mjc1NTU3Mg/ZG9jX2lkPTk3MzYwOCZwbGF0Zm9ybT04NCZ2ZW5kb3I9Q2l0aSBWZWxvY2l0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592E-5435-4A60-A15F-728ED266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2020-02-12T10:28:00Z</dcterms:created>
  <dcterms:modified xsi:type="dcterms:W3CDTF">2020-02-12T10:28:00Z</dcterms:modified>
</cp:coreProperties>
</file>