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B7" w:rsidRPr="003B4A4D" w:rsidRDefault="006221B7" w:rsidP="00FC776B">
      <w:pPr>
        <w:jc w:val="both"/>
        <w:rPr>
          <w:b/>
          <w:sz w:val="28"/>
          <w:szCs w:val="28"/>
        </w:rPr>
      </w:pPr>
      <w:r w:rsidRPr="003B4A4D">
        <w:rPr>
          <w:b/>
          <w:sz w:val="28"/>
          <w:szCs w:val="28"/>
        </w:rPr>
        <w:t xml:space="preserve">Исследовательский потенциал </w:t>
      </w:r>
      <w:r w:rsidR="001F22DF" w:rsidRPr="003B4A4D">
        <w:rPr>
          <w:b/>
          <w:sz w:val="28"/>
          <w:szCs w:val="28"/>
          <w:lang w:val="en-US"/>
        </w:rPr>
        <w:t>CV</w:t>
      </w:r>
      <w:r w:rsidR="001F22DF" w:rsidRPr="003B4A4D">
        <w:rPr>
          <w:b/>
          <w:sz w:val="28"/>
          <w:szCs w:val="28"/>
        </w:rPr>
        <w:t xml:space="preserve"> (резюме)</w:t>
      </w:r>
      <w:r w:rsidR="003B4A4D" w:rsidRPr="003B4A4D">
        <w:rPr>
          <w:b/>
          <w:sz w:val="28"/>
          <w:szCs w:val="28"/>
        </w:rPr>
        <w:t xml:space="preserve"> в изучении карьерного пути</w:t>
      </w:r>
    </w:p>
    <w:p w:rsidR="00843938" w:rsidRDefault="00843938" w:rsidP="00FC776B">
      <w:pPr>
        <w:jc w:val="both"/>
      </w:pPr>
      <w:r>
        <w:t xml:space="preserve">В докладе обсуждается  исследовательский потенциал обращения к такому источнику социально-биографической информации как </w:t>
      </w:r>
      <w:r>
        <w:rPr>
          <w:lang w:val="en-US"/>
        </w:rPr>
        <w:t>CV</w:t>
      </w:r>
      <w:r>
        <w:t xml:space="preserve"> (резюме). Автор привлекает этот ресурс для изучения профессиональных карьер управленческой элиты в рамках проекта РНФ </w:t>
      </w:r>
      <w:r>
        <w:rPr>
          <w:rStyle w:val="ac"/>
        </w:rPr>
        <w:footnoteReference w:id="1"/>
      </w:r>
      <w:r>
        <w:t xml:space="preserve">. </w:t>
      </w:r>
    </w:p>
    <w:p w:rsidR="00297F78" w:rsidRDefault="0001735E" w:rsidP="00FC776B">
      <w:pPr>
        <w:jc w:val="both"/>
      </w:pPr>
      <w:r>
        <w:t xml:space="preserve">Впервые на потенциал </w:t>
      </w:r>
      <w:r>
        <w:rPr>
          <w:lang w:val="en-US"/>
        </w:rPr>
        <w:t>CV</w:t>
      </w:r>
      <w:r>
        <w:t xml:space="preserve"> (резюме) обратили внимание на рубеже веков в контексте эв</w:t>
      </w:r>
      <w:r w:rsidR="00497468">
        <w:t>о</w:t>
      </w:r>
      <w:r>
        <w:t xml:space="preserve">люции работы научных коллективов или программ на предмет объективного замера </w:t>
      </w:r>
      <w:r w:rsidR="00297F78">
        <w:t xml:space="preserve">знаний, которые </w:t>
      </w:r>
      <w:r>
        <w:t xml:space="preserve">расцениваются как «общественное благо», </w:t>
      </w:r>
      <w:r w:rsidR="00297F78">
        <w:t>то есть</w:t>
      </w:r>
      <w:r>
        <w:t>,</w:t>
      </w:r>
      <w:r w:rsidR="00297F78">
        <w:t xml:space="preserve"> фундаментальной </w:t>
      </w:r>
      <w:proofErr w:type="gramStart"/>
      <w:r w:rsidR="00297F78">
        <w:t>наук</w:t>
      </w:r>
      <w:r>
        <w:t xml:space="preserve">и </w:t>
      </w:r>
      <w:r w:rsidR="00297F78">
        <w:t xml:space="preserve"> (</w:t>
      </w:r>
      <w:proofErr w:type="spellStart"/>
      <w:proofErr w:type="gramEnd"/>
      <w:r w:rsidR="00297F78">
        <w:t>Bozeman</w:t>
      </w:r>
      <w:proofErr w:type="spellEnd"/>
      <w:r w:rsidR="00297F78">
        <w:t xml:space="preserve"> </w:t>
      </w:r>
      <w:proofErr w:type="spellStart"/>
      <w:r w:rsidR="00297F78">
        <w:t>and</w:t>
      </w:r>
      <w:proofErr w:type="spellEnd"/>
      <w:r w:rsidR="00297F78">
        <w:t xml:space="preserve"> </w:t>
      </w:r>
      <w:proofErr w:type="spellStart"/>
      <w:r w:rsidR="00297F78">
        <w:t>Rogers</w:t>
      </w:r>
      <w:proofErr w:type="spellEnd"/>
      <w:r w:rsidR="00297F78">
        <w:t>, 2002). В рамках более традиционных под</w:t>
      </w:r>
      <w:bookmarkStart w:id="0" w:name="_GoBack"/>
      <w:bookmarkEnd w:id="0"/>
      <w:r w:rsidR="00297F78">
        <w:t xml:space="preserve">ходов к </w:t>
      </w:r>
      <w:r>
        <w:t xml:space="preserve">экономике </w:t>
      </w:r>
      <w:r w:rsidR="00297F78">
        <w:t>знаний, результаты исследовательского процесса измеряются и в конечном итоге оцениваются, если они преобразуются в товары</w:t>
      </w:r>
      <w:r>
        <w:t xml:space="preserve"> для обмена </w:t>
      </w:r>
      <w:r w:rsidR="00297F78">
        <w:t>на рынках (например, инноваци</w:t>
      </w:r>
      <w:r>
        <w:t>онные продукты</w:t>
      </w:r>
      <w:r w:rsidR="00297F78">
        <w:t>). Поэтому оценка исследований традиционно ориентирована на материальные и легко вычислимые результаты исследований, такие как научные публикации и патенты.</w:t>
      </w:r>
    </w:p>
    <w:p w:rsidR="00297F78" w:rsidRDefault="00E90111" w:rsidP="00FC776B">
      <w:pPr>
        <w:jc w:val="both"/>
      </w:pPr>
      <w:proofErr w:type="spellStart"/>
      <w:r>
        <w:t>Боземан</w:t>
      </w:r>
      <w:proofErr w:type="spellEnd"/>
      <w:r>
        <w:t xml:space="preserve"> с коллегами (</w:t>
      </w:r>
      <w:proofErr w:type="spellStart"/>
      <w:r w:rsidR="00297F78">
        <w:t>Bozeman</w:t>
      </w:r>
      <w:proofErr w:type="spellEnd"/>
      <w:r w:rsidRPr="00E90111"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., </w:t>
      </w:r>
      <w:r w:rsidR="0001735E">
        <w:t>2001</w:t>
      </w:r>
      <w:r w:rsidR="00297F78">
        <w:t>) предложил изменить парадигму для оценки исследовательской деятельности, проводимой отдельными лицами и организациями</w:t>
      </w:r>
      <w:r w:rsidR="0001735E">
        <w:t xml:space="preserve">, </w:t>
      </w:r>
      <w:r w:rsidR="00297F78">
        <w:t>пере</w:t>
      </w:r>
      <w:r w:rsidR="0001735E">
        <w:t>йдя</w:t>
      </w:r>
      <w:r w:rsidR="00297F78">
        <w:t xml:space="preserve"> от «парадигмы</w:t>
      </w:r>
      <w:r w:rsidR="00A05937">
        <w:t xml:space="preserve"> результата</w:t>
      </w:r>
      <w:r w:rsidR="00297F78">
        <w:t>» к «парадигме потенциала». Новый подход сме</w:t>
      </w:r>
      <w:r w:rsidR="00A05937">
        <w:t>щает</w:t>
      </w:r>
      <w:r w:rsidR="00297F78">
        <w:t xml:space="preserve"> фокус оценки на «научно-технический человеческий капитал», который объединяет способности</w:t>
      </w:r>
      <w:r w:rsidR="00A05937">
        <w:t xml:space="preserve"> индивидов</w:t>
      </w:r>
      <w:r w:rsidR="00297F78">
        <w:t xml:space="preserve">, </w:t>
      </w:r>
      <w:r w:rsidR="00A05937">
        <w:t>организаций,</w:t>
      </w:r>
      <w:r w:rsidR="00297F78">
        <w:t xml:space="preserve"> </w:t>
      </w:r>
      <w:r w:rsidR="00A05937">
        <w:t xml:space="preserve">программ </w:t>
      </w:r>
      <w:r w:rsidR="00297F78">
        <w:t xml:space="preserve">вносить вклад в научные и технологические знания. С этой новой точки зрения успех или неудача </w:t>
      </w:r>
      <w:r w:rsidR="00A05937">
        <w:t>социально-</w:t>
      </w:r>
      <w:r w:rsidR="00297F78">
        <w:t xml:space="preserve">политических действий (таких как финансирование проектов и программ) должны оцениваться с точки зрения их способности повышать индивидуальный и организационный потенциал для получения знаний или применения </w:t>
      </w:r>
      <w:r w:rsidR="00A05937">
        <w:t xml:space="preserve">их </w:t>
      </w:r>
      <w:r w:rsidR="00297F78">
        <w:t xml:space="preserve">в технологии. С этой точки зрения, </w:t>
      </w:r>
      <w:r w:rsidR="00A05937">
        <w:t xml:space="preserve">решающее значение приобретает </w:t>
      </w:r>
      <w:r w:rsidR="00297F78">
        <w:t xml:space="preserve">долгосрочная </w:t>
      </w:r>
      <w:r w:rsidR="00A05937">
        <w:t>стратегия</w:t>
      </w:r>
      <w:r w:rsidR="00297F78">
        <w:t>, а не конкретные продукты знаний в определенное время.</w:t>
      </w:r>
    </w:p>
    <w:p w:rsidR="00297F78" w:rsidRDefault="00297F78" w:rsidP="00FC776B">
      <w:pPr>
        <w:jc w:val="both"/>
      </w:pPr>
      <w:r>
        <w:t xml:space="preserve">Подход, ориентированный на потенциал, подтверждает значимость неоклассической теории человеческого капитала, </w:t>
      </w:r>
      <w:r w:rsidR="00A05937">
        <w:t xml:space="preserve">но </w:t>
      </w:r>
      <w:r>
        <w:t>также указывает на ее пробелы, особенно в отношении предположения о</w:t>
      </w:r>
      <w:r w:rsidR="00A05937">
        <w:t>б</w:t>
      </w:r>
      <w:r>
        <w:t xml:space="preserve"> однородности агента и </w:t>
      </w:r>
      <w:r w:rsidR="00A05937">
        <w:t xml:space="preserve">его </w:t>
      </w:r>
      <w:r>
        <w:t xml:space="preserve">автономии. </w:t>
      </w:r>
      <w:r w:rsidR="00A05937">
        <w:t xml:space="preserve">Преодолевая эти </w:t>
      </w:r>
      <w:proofErr w:type="gramStart"/>
      <w:r w:rsidR="00A05937">
        <w:t xml:space="preserve">ограничения,  </w:t>
      </w:r>
      <w:r>
        <w:t>исследователи</w:t>
      </w:r>
      <w:proofErr w:type="gramEnd"/>
      <w:r>
        <w:t xml:space="preserve"> (</w:t>
      </w:r>
      <w:proofErr w:type="spellStart"/>
      <w:r>
        <w:t>Dietz</w:t>
      </w:r>
      <w:proofErr w:type="spellEnd"/>
      <w:r>
        <w:t>, 2000)</w:t>
      </w:r>
      <w:r w:rsidR="00A05937">
        <w:t xml:space="preserve"> привлекают идею о эквивалентности </w:t>
      </w:r>
      <w:r>
        <w:t>«научн</w:t>
      </w:r>
      <w:r w:rsidR="00A05937">
        <w:t>о-</w:t>
      </w:r>
      <w:r>
        <w:t>технологическ</w:t>
      </w:r>
      <w:r w:rsidR="00A05937">
        <w:t>ого</w:t>
      </w:r>
      <w:r>
        <w:t xml:space="preserve"> социальн</w:t>
      </w:r>
      <w:r w:rsidR="00A05937">
        <w:t>ого</w:t>
      </w:r>
      <w:r>
        <w:t xml:space="preserve"> капитал</w:t>
      </w:r>
      <w:r w:rsidR="00A05937">
        <w:t>а</w:t>
      </w:r>
      <w:r>
        <w:t>» сетевы</w:t>
      </w:r>
      <w:r w:rsidR="00A05937">
        <w:t>м</w:t>
      </w:r>
      <w:r>
        <w:t xml:space="preserve"> актив</w:t>
      </w:r>
      <w:r w:rsidR="00A05937">
        <w:t>ам</w:t>
      </w:r>
      <w:r>
        <w:t xml:space="preserve">, которые </w:t>
      </w:r>
      <w:r w:rsidR="00A05937">
        <w:t xml:space="preserve">образуются благодаря </w:t>
      </w:r>
      <w:r>
        <w:t>внешни</w:t>
      </w:r>
      <w:r w:rsidR="00A05937">
        <w:t>м</w:t>
      </w:r>
      <w:r>
        <w:t xml:space="preserve"> связ</w:t>
      </w:r>
      <w:r w:rsidR="00A05937">
        <w:t>ям</w:t>
      </w:r>
      <w:r>
        <w:t xml:space="preserve"> (например, с другими исследователями, организациями, финансирующими исследования, профессиональными ассоциациями). </w:t>
      </w:r>
      <w:r w:rsidR="0084428D">
        <w:t xml:space="preserve"> Если рассматривать </w:t>
      </w:r>
      <w:r>
        <w:t xml:space="preserve">«парадигму </w:t>
      </w:r>
      <w:proofErr w:type="gramStart"/>
      <w:r>
        <w:t xml:space="preserve">потенциала» </w:t>
      </w:r>
      <w:r w:rsidR="0084428D">
        <w:t xml:space="preserve"> применительно</w:t>
      </w:r>
      <w:proofErr w:type="gramEnd"/>
      <w:r w:rsidR="0084428D">
        <w:t xml:space="preserve"> к любой карьере, важны отслеживаемые связи индивида </w:t>
      </w:r>
      <w:r>
        <w:t>и организаци</w:t>
      </w:r>
      <w:r w:rsidR="0084428D">
        <w:t>и, их последовательный порядок</w:t>
      </w:r>
      <w:r w:rsidR="00504CE8">
        <w:t>, время на позиции</w:t>
      </w:r>
      <w:r w:rsidR="0084428D">
        <w:t xml:space="preserve"> и динамика.  </w:t>
      </w:r>
    </w:p>
    <w:p w:rsidR="00AA40D4" w:rsidRDefault="00297F78" w:rsidP="00FC776B">
      <w:pPr>
        <w:jc w:val="both"/>
      </w:pPr>
      <w:r>
        <w:t>Предложение концепции</w:t>
      </w:r>
      <w:r w:rsidR="0084428D">
        <w:t>,</w:t>
      </w:r>
      <w:r>
        <w:t xml:space="preserve"> основанной на потенциале и человеческо</w:t>
      </w:r>
      <w:r w:rsidR="0084428D">
        <w:t>м</w:t>
      </w:r>
      <w:r>
        <w:t xml:space="preserve"> капитал</w:t>
      </w:r>
      <w:r w:rsidR="0084428D">
        <w:t>е</w:t>
      </w:r>
      <w:r>
        <w:t xml:space="preserve"> прив</w:t>
      </w:r>
      <w:r w:rsidR="0084428D">
        <w:t xml:space="preserve">одит </w:t>
      </w:r>
      <w:r>
        <w:t>к проблем</w:t>
      </w:r>
      <w:r w:rsidR="0084428D">
        <w:t>е их измерения</w:t>
      </w:r>
      <w:r>
        <w:t xml:space="preserve"> для эмпирических исследований, особенно «Как можно наблюдать и измерять потенциал»? Анализ потенциала</w:t>
      </w:r>
      <w:r w:rsidR="00E90111">
        <w:t xml:space="preserve"> </w:t>
      </w:r>
      <w:r w:rsidR="00504CE8">
        <w:t xml:space="preserve">может быть сфокусирован на кратких </w:t>
      </w:r>
      <w:r>
        <w:t>биографиях</w:t>
      </w:r>
      <w:r w:rsidR="00504CE8">
        <w:t xml:space="preserve"> социальных </w:t>
      </w:r>
      <w:proofErr w:type="spellStart"/>
      <w:r w:rsidR="00504CE8">
        <w:t>акторов</w:t>
      </w:r>
      <w:proofErr w:type="spellEnd"/>
      <w:r w:rsidR="00504CE8">
        <w:t xml:space="preserve">, их </w:t>
      </w:r>
      <w:r w:rsidR="00504CE8">
        <w:rPr>
          <w:lang w:val="en-US"/>
        </w:rPr>
        <w:t>CV</w:t>
      </w:r>
      <w:r w:rsidR="00504CE8">
        <w:t xml:space="preserve"> или резюме. </w:t>
      </w:r>
      <w:r>
        <w:t xml:space="preserve">CV представляет собой богатый источник </w:t>
      </w:r>
      <w:proofErr w:type="spellStart"/>
      <w:r w:rsidR="00504CE8">
        <w:t>темпоральной</w:t>
      </w:r>
      <w:proofErr w:type="spellEnd"/>
      <w:r w:rsidR="00504CE8">
        <w:t xml:space="preserve"> </w:t>
      </w:r>
      <w:r>
        <w:t xml:space="preserve">информации, </w:t>
      </w:r>
      <w:r w:rsidR="00504CE8">
        <w:t xml:space="preserve">последовательно </w:t>
      </w:r>
      <w:r>
        <w:t>охватывающей практически все аспекты карьеры (</w:t>
      </w:r>
      <w:proofErr w:type="spellStart"/>
      <w:r>
        <w:t>Bozeman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, 2001</w:t>
      </w:r>
      <w:r w:rsidR="00E90111">
        <w:t>)</w:t>
      </w:r>
      <w:r>
        <w:t xml:space="preserve">. Несмотря на свой очевидный потенциал, </w:t>
      </w:r>
      <w:r w:rsidR="00504CE8">
        <w:t xml:space="preserve">CV </w:t>
      </w:r>
      <w:r>
        <w:t>редко использ</w:t>
      </w:r>
      <w:r w:rsidR="00504CE8">
        <w:t>уется</w:t>
      </w:r>
      <w:r>
        <w:t xml:space="preserve"> в качестве инструмента оценки (см. </w:t>
      </w:r>
      <w:proofErr w:type="spellStart"/>
      <w:r>
        <w:t>Dietz</w:t>
      </w:r>
      <w:proofErr w:type="spellEnd"/>
      <w:r>
        <w:t>, 2000).</w:t>
      </w:r>
      <w:r w:rsidR="00504CE8">
        <w:t xml:space="preserve"> Очевидно, также открытый характер этих данных, размещаемых в сети, имеющей институциональную привязку, открывает широкую перспективу </w:t>
      </w:r>
      <w:r>
        <w:t>применени</w:t>
      </w:r>
      <w:r w:rsidR="00504CE8">
        <w:t>я</w:t>
      </w:r>
      <w:r>
        <w:t xml:space="preserve"> информационных и коммуникационных технологий</w:t>
      </w:r>
      <w:r w:rsidR="00504CE8">
        <w:t>. Так, р</w:t>
      </w:r>
      <w:r w:rsidR="00AA40D4">
        <w:t>азработка электронных баз данных CV открывает новые возможности, но также создает новые проблемы для исследователей</w:t>
      </w:r>
      <w:r w:rsidR="00504CE8">
        <w:t xml:space="preserve">. </w:t>
      </w:r>
      <w:r w:rsidR="00AA40D4">
        <w:t xml:space="preserve"> </w:t>
      </w:r>
    </w:p>
    <w:p w:rsidR="00AA40D4" w:rsidRDefault="00504CE8" w:rsidP="00FC776B">
      <w:pPr>
        <w:jc w:val="both"/>
      </w:pPr>
      <w:r>
        <w:rPr>
          <w:b/>
        </w:rPr>
        <w:t>Потенциальн</w:t>
      </w:r>
      <w:r w:rsidR="00C914D9">
        <w:rPr>
          <w:b/>
        </w:rPr>
        <w:t>ый</w:t>
      </w:r>
      <w:r>
        <w:rPr>
          <w:b/>
        </w:rPr>
        <w:t xml:space="preserve"> </w:t>
      </w:r>
      <w:r w:rsidR="00AA40D4" w:rsidRPr="00E43604">
        <w:rPr>
          <w:b/>
        </w:rPr>
        <w:t xml:space="preserve">фокус </w:t>
      </w:r>
      <w:r>
        <w:rPr>
          <w:b/>
        </w:rPr>
        <w:t xml:space="preserve">анализа </w:t>
      </w:r>
      <w:r w:rsidR="00AA40D4" w:rsidRPr="00E43604">
        <w:rPr>
          <w:b/>
        </w:rPr>
        <w:t>CV</w:t>
      </w:r>
    </w:p>
    <w:p w:rsidR="00AA40D4" w:rsidRDefault="00AA40D4" w:rsidP="00FC776B">
      <w:pPr>
        <w:jc w:val="both"/>
      </w:pPr>
      <w:r>
        <w:lastRenderedPageBreak/>
        <w:t>CV</w:t>
      </w:r>
      <w:r w:rsidR="00C914D9">
        <w:t xml:space="preserve"> как источник данных структурирован трояко: это сведения о </w:t>
      </w:r>
      <w:r>
        <w:t>карьерны</w:t>
      </w:r>
      <w:r w:rsidR="00C914D9">
        <w:t>х</w:t>
      </w:r>
      <w:r>
        <w:t xml:space="preserve"> траектори</w:t>
      </w:r>
      <w:r w:rsidR="00C914D9">
        <w:t>ях</w:t>
      </w:r>
      <w:r>
        <w:t xml:space="preserve">, </w:t>
      </w:r>
      <w:r w:rsidR="00C914D9">
        <w:t xml:space="preserve">профессиональной </w:t>
      </w:r>
      <w:r>
        <w:t>мобильност</w:t>
      </w:r>
      <w:r w:rsidR="00C914D9">
        <w:t>и</w:t>
      </w:r>
      <w:r>
        <w:t xml:space="preserve"> и картографирование </w:t>
      </w:r>
      <w:r w:rsidR="00C914D9">
        <w:t xml:space="preserve">внутриотраслевых и межотраслевых связей социального </w:t>
      </w:r>
      <w:proofErr w:type="spellStart"/>
      <w:r w:rsidR="00C914D9">
        <w:t>актора</w:t>
      </w:r>
      <w:proofErr w:type="spellEnd"/>
      <w:r w:rsidR="00C914D9">
        <w:t>. Фоновая информация – возраст, пол, отчасти этничность, география, иногда семейный/партнерский статус, а также время, закладываемое в сменяемые позиции.</w:t>
      </w:r>
    </w:p>
    <w:p w:rsidR="00AA40D4" w:rsidRPr="00FC776B" w:rsidRDefault="0010538F" w:rsidP="00FC776B">
      <w:pPr>
        <w:jc w:val="both"/>
      </w:pPr>
      <w:r>
        <w:t>В отношении к</w:t>
      </w:r>
      <w:r w:rsidR="00AA40D4" w:rsidRPr="00C914D9">
        <w:t>арьерны</w:t>
      </w:r>
      <w:r>
        <w:t>х</w:t>
      </w:r>
      <w:r w:rsidR="00AA40D4" w:rsidRPr="00C914D9">
        <w:t xml:space="preserve"> траектори</w:t>
      </w:r>
      <w:r>
        <w:t>й</w:t>
      </w:r>
      <w:r w:rsidR="00C914D9" w:rsidRPr="00C914D9">
        <w:t xml:space="preserve"> </w:t>
      </w:r>
      <w:r>
        <w:t xml:space="preserve">CV дает возможность оценить время, затрачиваемое на прохождение ступеней карьеры от низших позиций к высшим, в сочетании, например, с </w:t>
      </w:r>
      <w:proofErr w:type="spellStart"/>
      <w:r>
        <w:t>поколенческими</w:t>
      </w:r>
      <w:proofErr w:type="spellEnd"/>
      <w:r>
        <w:t xml:space="preserve"> характеристиками, гендерными, внутри отрасли или при смене отрасли. </w:t>
      </w:r>
      <w:r w:rsidR="001D1685" w:rsidRPr="001D1685">
        <w:t xml:space="preserve">CV отражает различные институциональные рамки, в которых развиваются карьеры, и дает возможность отслеживать различные формы </w:t>
      </w:r>
      <w:r w:rsidR="001D1685">
        <w:t xml:space="preserve">влияния </w:t>
      </w:r>
      <w:r w:rsidR="001D1685" w:rsidRPr="001D1685">
        <w:t>сети</w:t>
      </w:r>
      <w:r w:rsidR="001D1685">
        <w:t>, например, через параллельные к занятости формы дополнительного образования</w:t>
      </w:r>
      <w:r w:rsidR="001D1685" w:rsidRPr="00E92A95">
        <w:t xml:space="preserve">.  </w:t>
      </w:r>
      <w:r w:rsidR="00E92A95" w:rsidRPr="00E92A95">
        <w:t xml:space="preserve">В некоторых случаях CV полезен для идентификации членства </w:t>
      </w:r>
      <w:r w:rsidRPr="00E92A95">
        <w:t>Другой фактор – про</w:t>
      </w:r>
      <w:r>
        <w:t xml:space="preserve">фессиональная мобильность - </w:t>
      </w:r>
      <w:r w:rsidR="00AA40D4">
        <w:t xml:space="preserve">как в ее географических, так и организационных измерениях. </w:t>
      </w:r>
      <w:r>
        <w:t>И</w:t>
      </w:r>
      <w:r w:rsidR="00AA40D4">
        <w:t xml:space="preserve">зучение международной мобильности высококвалифицированных кадровых ресурсов в целом </w:t>
      </w:r>
      <w:r>
        <w:t xml:space="preserve">поощряется ввиду </w:t>
      </w:r>
      <w:r w:rsidR="00AA40D4">
        <w:t>убежденност</w:t>
      </w:r>
      <w:r>
        <w:t>и</w:t>
      </w:r>
      <w:r w:rsidR="00AA40D4">
        <w:t xml:space="preserve"> политиков в позитивном влиянии </w:t>
      </w:r>
      <w:r>
        <w:t xml:space="preserve">профессиональной </w:t>
      </w:r>
      <w:r w:rsidR="00AA40D4">
        <w:t>мобильности на распр</w:t>
      </w:r>
      <w:r>
        <w:t xml:space="preserve">еделение социальных капиталов </w:t>
      </w:r>
      <w:r w:rsidR="00AA40D4">
        <w:t xml:space="preserve">и создание </w:t>
      </w:r>
      <w:r>
        <w:t xml:space="preserve">институциональных </w:t>
      </w:r>
      <w:r w:rsidR="00AA40D4">
        <w:t>канал</w:t>
      </w:r>
      <w:r>
        <w:t>ов такого распределения (</w:t>
      </w:r>
      <w:proofErr w:type="spellStart"/>
      <w:r>
        <w:t>Auriol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, 2007</w:t>
      </w:r>
      <w:r w:rsidR="00AA40D4">
        <w:t xml:space="preserve">). </w:t>
      </w:r>
      <w:r w:rsidR="00FC776B">
        <w:t>Профессиональная м</w:t>
      </w:r>
      <w:r w:rsidR="00AA40D4">
        <w:t>обильность - динамичная и реляционная конфигурация индивидуального и коллективного человеческого капитала. Анализ CV откры</w:t>
      </w:r>
      <w:r w:rsidR="00FC776B">
        <w:t xml:space="preserve">вает </w:t>
      </w:r>
      <w:r w:rsidR="00AA40D4">
        <w:t xml:space="preserve">возможности для </w:t>
      </w:r>
      <w:r w:rsidR="00FC776B">
        <w:t xml:space="preserve">отслеживания профессиональной </w:t>
      </w:r>
      <w:r w:rsidR="00AA40D4">
        <w:t>мобильност</w:t>
      </w:r>
      <w:r w:rsidR="00FC776B">
        <w:t xml:space="preserve">и </w:t>
      </w:r>
      <w:r w:rsidR="00AA40D4" w:rsidRPr="00FC776B">
        <w:t>(</w:t>
      </w:r>
      <w:proofErr w:type="spellStart"/>
      <w:r w:rsidR="00AA40D4" w:rsidRPr="00FC776B">
        <w:rPr>
          <w:lang w:val="en-US"/>
        </w:rPr>
        <w:t>Gaughan</w:t>
      </w:r>
      <w:proofErr w:type="spellEnd"/>
      <w:r w:rsidR="00AA40D4" w:rsidRPr="00FC776B">
        <w:t xml:space="preserve"> </w:t>
      </w:r>
      <w:r w:rsidR="00AA40D4" w:rsidRPr="00FC776B">
        <w:rPr>
          <w:lang w:val="en-US"/>
        </w:rPr>
        <w:t>and</w:t>
      </w:r>
      <w:r w:rsidR="00AA40D4" w:rsidRPr="00FC776B">
        <w:t xml:space="preserve"> </w:t>
      </w:r>
      <w:r w:rsidR="00AA40D4" w:rsidRPr="00FC776B">
        <w:rPr>
          <w:lang w:val="en-US"/>
        </w:rPr>
        <w:t>Robin</w:t>
      </w:r>
      <w:r w:rsidR="00AA40D4" w:rsidRPr="00FC776B">
        <w:t xml:space="preserve">, 2004; </w:t>
      </w:r>
      <w:r w:rsidR="00AA40D4" w:rsidRPr="00FC776B">
        <w:rPr>
          <w:lang w:val="en-US"/>
        </w:rPr>
        <w:t>Sabatier</w:t>
      </w:r>
      <w:r w:rsidR="00AA40D4" w:rsidRPr="00FC776B">
        <w:t xml:space="preserve"> </w:t>
      </w:r>
      <w:r w:rsidR="00AA40D4" w:rsidRPr="00FC776B">
        <w:rPr>
          <w:lang w:val="en-US"/>
        </w:rPr>
        <w:t>et</w:t>
      </w:r>
      <w:r w:rsidR="00AA40D4" w:rsidRPr="00FC776B">
        <w:t xml:space="preserve"> </w:t>
      </w:r>
      <w:r w:rsidR="00AA40D4" w:rsidRPr="00FC776B">
        <w:rPr>
          <w:lang w:val="en-US"/>
        </w:rPr>
        <w:t>al</w:t>
      </w:r>
      <w:r w:rsidR="00E90111">
        <w:t>.</w:t>
      </w:r>
      <w:r w:rsidR="00AA40D4" w:rsidRPr="00FC776B">
        <w:t>, 2007)</w:t>
      </w:r>
      <w:r w:rsidR="00FC776B">
        <w:t xml:space="preserve">, продуктивности, отраженной в CV, </w:t>
      </w:r>
      <w:r w:rsidR="00AA40D4" w:rsidRPr="00FC776B">
        <w:t>(</w:t>
      </w:r>
      <w:r w:rsidR="00AA40D4" w:rsidRPr="00AA40D4">
        <w:rPr>
          <w:lang w:val="en-US"/>
        </w:rPr>
        <w:t>Dietz</w:t>
      </w:r>
      <w:r w:rsidR="00AA40D4" w:rsidRPr="00FC776B">
        <w:t xml:space="preserve"> </w:t>
      </w:r>
      <w:r w:rsidR="00AA40D4" w:rsidRPr="00AA40D4">
        <w:rPr>
          <w:lang w:val="en-US"/>
        </w:rPr>
        <w:t>and</w:t>
      </w:r>
      <w:r w:rsidR="00AA40D4" w:rsidRPr="00FC776B">
        <w:t xml:space="preserve"> </w:t>
      </w:r>
      <w:r w:rsidR="00AA40D4" w:rsidRPr="00AA40D4">
        <w:rPr>
          <w:lang w:val="en-US"/>
        </w:rPr>
        <w:t>Bozeman</w:t>
      </w:r>
      <w:r w:rsidR="00AA40D4" w:rsidRPr="00FC776B">
        <w:t xml:space="preserve">, 2005; </w:t>
      </w:r>
      <w:r w:rsidR="00AA40D4" w:rsidRPr="00AA40D4">
        <w:rPr>
          <w:lang w:val="en-US"/>
        </w:rPr>
        <w:t>Ca</w:t>
      </w:r>
      <w:r w:rsidR="00AA40D4" w:rsidRPr="00FC776B">
        <w:t>ñ</w:t>
      </w:r>
      <w:proofErr w:type="spellStart"/>
      <w:r w:rsidR="00AA40D4" w:rsidRPr="00AA40D4">
        <w:rPr>
          <w:lang w:val="en-US"/>
        </w:rPr>
        <w:t>ibano</w:t>
      </w:r>
      <w:proofErr w:type="spellEnd"/>
      <w:r w:rsidR="00AA40D4" w:rsidRPr="00FC776B">
        <w:t xml:space="preserve"> </w:t>
      </w:r>
      <w:r w:rsidR="00AA40D4" w:rsidRPr="00AA40D4">
        <w:rPr>
          <w:lang w:val="en-US"/>
        </w:rPr>
        <w:t>et</w:t>
      </w:r>
      <w:r w:rsidR="00AA40D4" w:rsidRPr="00FC776B">
        <w:t xml:space="preserve"> </w:t>
      </w:r>
      <w:r w:rsidR="00AA40D4" w:rsidRPr="00AA40D4">
        <w:rPr>
          <w:lang w:val="en-US"/>
        </w:rPr>
        <w:t>al</w:t>
      </w:r>
      <w:r w:rsidR="00AA40D4" w:rsidRPr="00FC776B">
        <w:t xml:space="preserve">., 2008; </w:t>
      </w:r>
      <w:proofErr w:type="spellStart"/>
      <w:r w:rsidR="00AA40D4" w:rsidRPr="00AA40D4">
        <w:rPr>
          <w:lang w:val="en-US"/>
        </w:rPr>
        <w:t>Jonkers</w:t>
      </w:r>
      <w:proofErr w:type="spellEnd"/>
      <w:r w:rsidR="00AA40D4" w:rsidRPr="00FC776B">
        <w:t xml:space="preserve"> </w:t>
      </w:r>
      <w:r w:rsidR="00AA40D4" w:rsidRPr="00AA40D4">
        <w:rPr>
          <w:lang w:val="en-US"/>
        </w:rPr>
        <w:t>and</w:t>
      </w:r>
      <w:r w:rsidR="00AA40D4" w:rsidRPr="00FC776B">
        <w:t xml:space="preserve"> </w:t>
      </w:r>
      <w:proofErr w:type="spellStart"/>
      <w:r w:rsidR="00AA40D4" w:rsidRPr="00AA40D4">
        <w:rPr>
          <w:lang w:val="en-US"/>
        </w:rPr>
        <w:t>Tijssen</w:t>
      </w:r>
      <w:proofErr w:type="spellEnd"/>
      <w:r w:rsidR="00AA40D4" w:rsidRPr="00FC776B">
        <w:t>, 2008).</w:t>
      </w:r>
    </w:p>
    <w:p w:rsidR="00AA40D4" w:rsidRDefault="00FC776B" w:rsidP="00FC776B">
      <w:pPr>
        <w:jc w:val="both"/>
      </w:pPr>
      <w:r>
        <w:t>CV или р</w:t>
      </w:r>
      <w:r w:rsidR="00AA40D4">
        <w:t xml:space="preserve">езюме </w:t>
      </w:r>
      <w:r>
        <w:t xml:space="preserve">социального </w:t>
      </w:r>
      <w:proofErr w:type="spellStart"/>
      <w:r>
        <w:t>актора</w:t>
      </w:r>
      <w:proofErr w:type="spellEnd"/>
      <w:r>
        <w:t xml:space="preserve"> </w:t>
      </w:r>
      <w:r w:rsidR="00AA40D4">
        <w:t xml:space="preserve">- это ресурс для сопоставления отдельных </w:t>
      </w:r>
      <w:r>
        <w:t xml:space="preserve">профессиональных </w:t>
      </w:r>
      <w:r w:rsidR="00AA40D4">
        <w:t>траекторий.</w:t>
      </w:r>
      <w:r>
        <w:t xml:space="preserve"> При этом, </w:t>
      </w:r>
      <w:r w:rsidR="00AA40D4">
        <w:t xml:space="preserve">отдельные профессиональные траектории развертываются </w:t>
      </w:r>
      <w:r>
        <w:t xml:space="preserve">как </w:t>
      </w:r>
      <w:r w:rsidR="00AA40D4">
        <w:t xml:space="preserve">постоянно </w:t>
      </w:r>
      <w:r>
        <w:t xml:space="preserve">меняющиеся </w:t>
      </w:r>
      <w:r w:rsidR="00AA40D4">
        <w:t>социальные конфигурации</w:t>
      </w:r>
      <w:r>
        <w:t xml:space="preserve"> на базе различных </w:t>
      </w:r>
      <w:r w:rsidR="00AA40D4">
        <w:t>социальны</w:t>
      </w:r>
      <w:r>
        <w:t xml:space="preserve">х, профессиональных </w:t>
      </w:r>
      <w:r w:rsidR="00AA40D4">
        <w:t>и человечески</w:t>
      </w:r>
      <w:r>
        <w:t>х</w:t>
      </w:r>
      <w:r w:rsidR="00AA40D4">
        <w:t xml:space="preserve"> капитал</w:t>
      </w:r>
      <w:r>
        <w:t xml:space="preserve">ов, встроенных </w:t>
      </w:r>
      <w:r w:rsidR="00AA40D4">
        <w:t xml:space="preserve">в социальные и профессиональные сети. </w:t>
      </w:r>
      <w:r w:rsidR="00AA40D4" w:rsidRPr="00FC776B">
        <w:rPr>
          <w:color w:val="000000" w:themeColor="text1"/>
        </w:rPr>
        <w:t xml:space="preserve">CV можно </w:t>
      </w:r>
      <w:r w:rsidRPr="00FC776B">
        <w:rPr>
          <w:color w:val="000000" w:themeColor="text1"/>
        </w:rPr>
        <w:t xml:space="preserve">рассматривать </w:t>
      </w:r>
      <w:r w:rsidR="00AA40D4" w:rsidRPr="00FC776B">
        <w:rPr>
          <w:color w:val="000000" w:themeColor="text1"/>
        </w:rPr>
        <w:t>как отчет о процессах накопления капитала. Эти процессы</w:t>
      </w:r>
      <w:r w:rsidR="00AA40D4">
        <w:t xml:space="preserve"> являются индивидуальными и</w:t>
      </w:r>
      <w:r>
        <w:t xml:space="preserve"> групповыми</w:t>
      </w:r>
      <w:r w:rsidR="00AA40D4">
        <w:t xml:space="preserve">, а CV содержат следы как относительно индивидуализированного накопления человеческого капитала, так и относительно </w:t>
      </w:r>
      <w:r>
        <w:t xml:space="preserve">группового </w:t>
      </w:r>
      <w:r w:rsidR="00AA40D4">
        <w:t>накопления социального капитала.</w:t>
      </w:r>
    </w:p>
    <w:p w:rsidR="004620DD" w:rsidRDefault="004620DD" w:rsidP="00FC776B">
      <w:pPr>
        <w:jc w:val="both"/>
        <w:rPr>
          <w:b/>
        </w:rPr>
      </w:pPr>
      <w:r>
        <w:rPr>
          <w:b/>
        </w:rPr>
        <w:t>Эмпирическое исследование профессиональных карьер</w:t>
      </w:r>
    </w:p>
    <w:p w:rsidR="004B082C" w:rsidRPr="0094644F" w:rsidRDefault="004620DD" w:rsidP="009568F2">
      <w:pPr>
        <w:jc w:val="both"/>
        <w:rPr>
          <w:rFonts w:eastAsia="Times New Roman" w:cs="Times New Roman"/>
          <w:lang w:eastAsia="ru-RU"/>
        </w:rPr>
      </w:pPr>
      <w:r w:rsidRPr="004B082C">
        <w:t xml:space="preserve">В докладе </w:t>
      </w:r>
      <w:r w:rsidR="004B082C">
        <w:t xml:space="preserve">проанализированы 698 </w:t>
      </w:r>
      <w:r w:rsidR="004B082C">
        <w:rPr>
          <w:lang w:val="en-US"/>
        </w:rPr>
        <w:t>CV</w:t>
      </w:r>
      <w:r w:rsidR="004B082C">
        <w:t xml:space="preserve"> (резюме) руководител</w:t>
      </w:r>
      <w:r w:rsidR="0094644F">
        <w:t>е</w:t>
      </w:r>
      <w:r w:rsidR="004B082C">
        <w:t xml:space="preserve">й и членов правления/совета директоров от 51 </w:t>
      </w:r>
      <w:r w:rsidR="004B082C" w:rsidRPr="004B082C">
        <w:rPr>
          <w:rFonts w:eastAsia="Times New Roman" w:cs="Arial"/>
          <w:color w:val="000000"/>
          <w:shd w:val="clear" w:color="auto" w:fill="FFFFFF"/>
          <w:lang w:eastAsia="ru-RU"/>
        </w:rPr>
        <w:t>публично</w:t>
      </w:r>
      <w:r w:rsidR="004B082C">
        <w:rPr>
          <w:rFonts w:eastAsia="Times New Roman" w:cs="Arial"/>
          <w:color w:val="000000"/>
          <w:shd w:val="clear" w:color="auto" w:fill="FFFFFF"/>
          <w:lang w:eastAsia="ru-RU"/>
        </w:rPr>
        <w:t xml:space="preserve">го </w:t>
      </w:r>
      <w:r w:rsidR="004B082C" w:rsidRPr="004B082C">
        <w:rPr>
          <w:rFonts w:eastAsia="Times New Roman" w:cs="Arial"/>
          <w:color w:val="000000"/>
          <w:shd w:val="clear" w:color="auto" w:fill="FFFFFF"/>
          <w:lang w:eastAsia="ru-RU"/>
        </w:rPr>
        <w:t>акционерно</w:t>
      </w:r>
      <w:r w:rsidR="004B082C">
        <w:rPr>
          <w:rFonts w:eastAsia="Times New Roman" w:cs="Arial"/>
          <w:color w:val="000000"/>
          <w:shd w:val="clear" w:color="auto" w:fill="FFFFFF"/>
          <w:lang w:eastAsia="ru-RU"/>
        </w:rPr>
        <w:t xml:space="preserve">го </w:t>
      </w:r>
      <w:r w:rsidR="004B082C" w:rsidRPr="004B082C">
        <w:rPr>
          <w:rFonts w:eastAsia="Times New Roman" w:cs="Arial"/>
          <w:color w:val="000000"/>
          <w:shd w:val="clear" w:color="auto" w:fill="FFFFFF"/>
          <w:lang w:eastAsia="ru-RU"/>
        </w:rPr>
        <w:t>обществ</w:t>
      </w:r>
      <w:r w:rsidR="004B082C">
        <w:rPr>
          <w:rFonts w:eastAsia="Times New Roman" w:cs="Arial"/>
          <w:color w:val="000000"/>
          <w:shd w:val="clear" w:color="auto" w:fill="FFFFFF"/>
          <w:lang w:eastAsia="ru-RU"/>
        </w:rPr>
        <w:t>а (федеральных и региональных), размещенных на московской бирже в открытом доступе.</w:t>
      </w:r>
      <w:r w:rsidR="009568F2"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="004B082C">
        <w:rPr>
          <w:rFonts w:eastAsia="Times New Roman" w:cs="Arial"/>
          <w:color w:val="000000"/>
          <w:shd w:val="clear" w:color="auto" w:fill="FFFFFF"/>
          <w:lang w:eastAsia="ru-RU"/>
        </w:rPr>
        <w:t xml:space="preserve"> </w:t>
      </w:r>
      <w:r w:rsidR="009568F2">
        <w:rPr>
          <w:rFonts w:eastAsia="Times New Roman" w:cs="Arial"/>
          <w:color w:val="000000"/>
          <w:shd w:val="clear" w:color="auto" w:fill="FFFFFF"/>
          <w:lang w:eastAsia="ru-RU"/>
        </w:rPr>
        <w:t xml:space="preserve">Результаты в самом общем виде демонстрируют существенные </w:t>
      </w:r>
      <w:proofErr w:type="spellStart"/>
      <w:r w:rsidR="009568F2">
        <w:rPr>
          <w:rFonts w:eastAsia="Times New Roman" w:cs="Arial"/>
          <w:color w:val="000000"/>
          <w:shd w:val="clear" w:color="auto" w:fill="FFFFFF"/>
          <w:lang w:eastAsia="ru-RU"/>
        </w:rPr>
        <w:t>поколенческие</w:t>
      </w:r>
      <w:proofErr w:type="spellEnd"/>
      <w:r w:rsidR="009568F2">
        <w:rPr>
          <w:rFonts w:eastAsia="Times New Roman" w:cs="Arial"/>
          <w:color w:val="000000"/>
          <w:shd w:val="clear" w:color="auto" w:fill="FFFFFF"/>
          <w:lang w:eastAsia="ru-RU"/>
        </w:rPr>
        <w:t xml:space="preserve"> различия в построении карьеры: отход от традиционного типа карьеры для старшего поколения, менявшего позиции и отрасли, комбинировавшего различные типы профессионального образования и управленческих компетенций, и более гомогенные типы карьеры молодых поколений, получавших профильное образование, совместимое с занятостью</w:t>
      </w:r>
      <w:r w:rsidR="009568F2" w:rsidRPr="009568F2">
        <w:rPr>
          <w:rFonts w:eastAsia="Times New Roman" w:cs="Arial"/>
          <w:color w:val="000000"/>
          <w:shd w:val="clear" w:color="auto" w:fill="FFFFFF"/>
          <w:lang w:eastAsia="ru-RU"/>
        </w:rPr>
        <w:t xml:space="preserve">. Анализ траекторий уровня СЕО показывает, что рост карьерных позиций </w:t>
      </w:r>
      <w:r w:rsidR="009568F2" w:rsidRPr="009568F2">
        <w:t>и увеличение ответственности заставляет</w:t>
      </w:r>
      <w:r w:rsidR="009568F2">
        <w:t xml:space="preserve"> </w:t>
      </w:r>
      <w:r w:rsidR="009568F2" w:rsidRPr="009568F2">
        <w:t xml:space="preserve">руководителей постепенно дистанцироваться от </w:t>
      </w:r>
      <w:proofErr w:type="gramStart"/>
      <w:r w:rsidR="009568F2" w:rsidRPr="009568F2">
        <w:t>узко-профессиональных</w:t>
      </w:r>
      <w:proofErr w:type="gramEnd"/>
      <w:r w:rsidR="009568F2" w:rsidRPr="009568F2">
        <w:t xml:space="preserve"> функций </w:t>
      </w:r>
      <w:r w:rsidR="009568F2">
        <w:t xml:space="preserve">и переходить к </w:t>
      </w:r>
      <w:r w:rsidR="009568F2" w:rsidRPr="009568F2">
        <w:t>сфере с более общим управленческим функционалом</w:t>
      </w:r>
      <w:r w:rsidR="009568F2" w:rsidRPr="0094644F">
        <w:t>.</w:t>
      </w:r>
      <w:r w:rsidR="0020420B" w:rsidRPr="0094644F">
        <w:t xml:space="preserve"> </w:t>
      </w:r>
      <w:r w:rsidR="0094644F">
        <w:t xml:space="preserve">Важной маршрутизацией к позиции СЕО кажется </w:t>
      </w:r>
      <w:r w:rsidR="0094644F" w:rsidRPr="0094644F">
        <w:t>ранняя профессиональная карьера с опытом перехода границ отраслей</w:t>
      </w:r>
      <w:r w:rsidR="0094644F">
        <w:t xml:space="preserve"> и последующая ее консервация на определенных руководящих ролях. </w:t>
      </w:r>
      <w:r w:rsidR="0094644F" w:rsidRPr="0094644F">
        <w:t>Существенные различия в доступе к высшим позициям в гендерном аспекте: женщин на позиции СЕО и в совете директоров</w:t>
      </w:r>
      <w:r w:rsidR="0094644F">
        <w:t>/правлении – не более 10%, их карьеры отличаются меньшей отраслевой мобильностью</w:t>
      </w:r>
      <w:r w:rsidR="003B4A4D">
        <w:t>, отражая внутриотраслевой рост.</w:t>
      </w:r>
      <w:r w:rsidR="0094644F">
        <w:t xml:space="preserve"> </w:t>
      </w:r>
      <w:r w:rsidR="0094644F" w:rsidRPr="0094644F">
        <w:t xml:space="preserve">   </w:t>
      </w:r>
    </w:p>
    <w:p w:rsidR="0020420B" w:rsidRDefault="0020420B" w:rsidP="00FC776B">
      <w:pPr>
        <w:jc w:val="both"/>
        <w:rPr>
          <w:b/>
        </w:rPr>
      </w:pPr>
    </w:p>
    <w:p w:rsidR="00AA40D4" w:rsidRPr="006221B7" w:rsidRDefault="006221B7" w:rsidP="00FC776B">
      <w:pPr>
        <w:jc w:val="both"/>
        <w:rPr>
          <w:b/>
        </w:rPr>
      </w:pPr>
      <w:r w:rsidRPr="006221B7">
        <w:rPr>
          <w:b/>
        </w:rPr>
        <w:t>Ограничения методологического порядка</w:t>
      </w:r>
    </w:p>
    <w:p w:rsidR="00AA40D4" w:rsidRDefault="001F22DF" w:rsidP="00FC776B">
      <w:pPr>
        <w:jc w:val="both"/>
      </w:pPr>
      <w:r>
        <w:lastRenderedPageBreak/>
        <w:t xml:space="preserve">Данные </w:t>
      </w:r>
      <w:r w:rsidR="00AA40D4">
        <w:t xml:space="preserve">CV </w:t>
      </w:r>
      <w:r>
        <w:t xml:space="preserve">относительно доступны </w:t>
      </w:r>
      <w:r w:rsidR="00AA40D4">
        <w:t>через Интернет</w:t>
      </w:r>
      <w:r>
        <w:t>, хотя есть отраслевые и страновые различия</w:t>
      </w:r>
      <w:r w:rsidR="00AA40D4">
        <w:t xml:space="preserve">. В </w:t>
      </w:r>
      <w:r>
        <w:t xml:space="preserve">отношении изучения научно-исследовательской мобильности авторы указывают на получение информации по CV по </w:t>
      </w:r>
      <w:r w:rsidR="00AA40D4">
        <w:t>специальн</w:t>
      </w:r>
      <w:r>
        <w:t xml:space="preserve">ому </w:t>
      </w:r>
      <w:r w:rsidR="00AA40D4">
        <w:t>запрос</w:t>
      </w:r>
      <w:r>
        <w:t>у</w:t>
      </w:r>
      <w:r w:rsidR="00AA40D4">
        <w:t xml:space="preserve"> (</w:t>
      </w:r>
      <w:proofErr w:type="spellStart"/>
      <w:r w:rsidR="00AA40D4">
        <w:t>Dietz</w:t>
      </w:r>
      <w:proofErr w:type="spellEnd"/>
      <w:r w:rsidR="00AA40D4">
        <w:t xml:space="preserve">, 2000; </w:t>
      </w:r>
      <w:proofErr w:type="spellStart"/>
      <w:r w:rsidR="00AA40D4">
        <w:t>Dietz</w:t>
      </w:r>
      <w:proofErr w:type="spellEnd"/>
      <w:r w:rsidR="00AA40D4">
        <w:t xml:space="preserve">, 2004). </w:t>
      </w:r>
      <w:r>
        <w:t xml:space="preserve">Другие авторы </w:t>
      </w:r>
      <w:r w:rsidR="00AA40D4">
        <w:t xml:space="preserve">в США </w:t>
      </w:r>
      <w:r>
        <w:t>указывают на сложности в получении данных CV</w:t>
      </w:r>
      <w:r w:rsidR="00AA40D4">
        <w:t xml:space="preserve"> (</w:t>
      </w:r>
      <w:proofErr w:type="spellStart"/>
      <w:r w:rsidR="00AA40D4">
        <w:t>Gaughan</w:t>
      </w:r>
      <w:proofErr w:type="spellEnd"/>
      <w:r w:rsidR="00AA40D4">
        <w:t xml:space="preserve"> </w:t>
      </w:r>
      <w:proofErr w:type="spellStart"/>
      <w:r w:rsidR="00AA40D4">
        <w:t>and</w:t>
      </w:r>
      <w:proofErr w:type="spellEnd"/>
      <w:r w:rsidR="00AA40D4">
        <w:t xml:space="preserve"> </w:t>
      </w:r>
      <w:proofErr w:type="spellStart"/>
      <w:r w:rsidR="00AA40D4">
        <w:t>Ponomariov</w:t>
      </w:r>
      <w:proofErr w:type="spellEnd"/>
      <w:r w:rsidR="00AA40D4">
        <w:t xml:space="preserve">, 2008). </w:t>
      </w:r>
      <w:r w:rsidR="00497468">
        <w:t>Неудивительно, что решением становится квази-</w:t>
      </w:r>
      <w:r w:rsidR="00AA40D4">
        <w:t>пассивн</w:t>
      </w:r>
      <w:r w:rsidR="00497468">
        <w:t>ая</w:t>
      </w:r>
      <w:r w:rsidR="00AA40D4">
        <w:t xml:space="preserve"> систем</w:t>
      </w:r>
      <w:r w:rsidR="00497468">
        <w:t>а</w:t>
      </w:r>
      <w:r w:rsidR="00AA40D4">
        <w:t xml:space="preserve"> сбора CV через </w:t>
      </w:r>
      <w:r w:rsidR="00497468">
        <w:t xml:space="preserve">поисковик в </w:t>
      </w:r>
      <w:r w:rsidR="00AA40D4">
        <w:t>интернет</w:t>
      </w:r>
      <w:r w:rsidR="00497468">
        <w:t>е</w:t>
      </w:r>
      <w:r w:rsidR="00AA40D4">
        <w:t xml:space="preserve">, что является достаточным для составления </w:t>
      </w:r>
      <w:r w:rsidR="00497468">
        <w:t xml:space="preserve">базы в отношении </w:t>
      </w:r>
      <w:r w:rsidR="00AA40D4">
        <w:t xml:space="preserve">конкретного </w:t>
      </w:r>
      <w:r w:rsidR="00497468">
        <w:t>профессионального поля</w:t>
      </w:r>
      <w:r w:rsidR="00AA40D4">
        <w:t>, объединяющего данные CV с другими источниками информации.</w:t>
      </w:r>
      <w:r w:rsidR="00497468">
        <w:t xml:space="preserve"> Например, можно получить </w:t>
      </w:r>
      <w:r w:rsidR="00AA40D4">
        <w:t>резюме из реестров, доступных через институциональные каналы (</w:t>
      </w:r>
      <w:r w:rsidR="009568F2">
        <w:t>например, Московская биржа и список публичных акционерных обществ)</w:t>
      </w:r>
      <w:r w:rsidR="00AA40D4">
        <w:t xml:space="preserve">. Систематический сбор и хранение резюме </w:t>
      </w:r>
      <w:r w:rsidR="008F0E83">
        <w:t xml:space="preserve">сотрудников </w:t>
      </w:r>
      <w:r w:rsidR="00AA40D4">
        <w:t>учреждени</w:t>
      </w:r>
      <w:r w:rsidR="008F0E83">
        <w:t>й</w:t>
      </w:r>
      <w:r w:rsidR="00AA40D4">
        <w:t xml:space="preserve"> подразумевает, что количество потенциально доступных резюме может быть </w:t>
      </w:r>
      <w:r w:rsidR="008F0E83">
        <w:t xml:space="preserve">достаточно </w:t>
      </w:r>
      <w:r w:rsidR="00AA40D4">
        <w:t>высоким</w:t>
      </w:r>
      <w:r w:rsidR="008F0E83">
        <w:t>.</w:t>
      </w:r>
    </w:p>
    <w:p w:rsidR="00AA40D4" w:rsidRPr="00827970" w:rsidRDefault="008F0E83" w:rsidP="00FC776B">
      <w:pPr>
        <w:jc w:val="both"/>
        <w:rPr>
          <w:sz w:val="24"/>
          <w:szCs w:val="24"/>
        </w:rPr>
      </w:pPr>
      <w:r>
        <w:t>Наряду с проблемой доступности, актуальна и проблема разнородности</w:t>
      </w:r>
      <w:r w:rsidRPr="008F0E83">
        <w:t xml:space="preserve"> </w:t>
      </w:r>
      <w:r>
        <w:t xml:space="preserve">CV и, как следствие, сопоставимости этих данных в выборке. Стандарты исполнения CV институционально варьируют: по длине </w:t>
      </w:r>
      <w:r w:rsidR="00AA40D4">
        <w:t>(короткие и длинные форматы) и упорядочению информации (</w:t>
      </w:r>
      <w:proofErr w:type="spellStart"/>
      <w:r w:rsidR="00AA40D4">
        <w:t>Dietz</w:t>
      </w:r>
      <w:proofErr w:type="spellEnd"/>
      <w:r w:rsidR="00AA40D4">
        <w:t xml:space="preserve">, 2000; </w:t>
      </w:r>
      <w:proofErr w:type="spellStart"/>
      <w:r w:rsidR="00AA40D4">
        <w:t>Corley</w:t>
      </w:r>
      <w:proofErr w:type="spellEnd"/>
      <w:r w:rsidR="00AA40D4">
        <w:t xml:space="preserve"> </w:t>
      </w:r>
      <w:proofErr w:type="spellStart"/>
      <w:r w:rsidR="00AA40D4">
        <w:t>et</w:t>
      </w:r>
      <w:proofErr w:type="spellEnd"/>
      <w:r w:rsidR="00AA40D4">
        <w:t xml:space="preserve"> </w:t>
      </w:r>
      <w:proofErr w:type="spellStart"/>
      <w:r w:rsidR="00AA40D4">
        <w:t>al</w:t>
      </w:r>
      <w:proofErr w:type="spellEnd"/>
      <w:r w:rsidR="006532C5">
        <w:t>.</w:t>
      </w:r>
      <w:r w:rsidR="00AA40D4">
        <w:t xml:space="preserve">, 2003; </w:t>
      </w:r>
      <w:proofErr w:type="spellStart"/>
      <w:r w:rsidR="00AA40D4">
        <w:t>Dietz</w:t>
      </w:r>
      <w:proofErr w:type="spellEnd"/>
      <w:r w:rsidR="00AA40D4">
        <w:t xml:space="preserve">, 2004). </w:t>
      </w:r>
      <w:r>
        <w:t xml:space="preserve">Соответственно, исследователю необходимо решать проблему гетерогенности CV, восстанавливая недостающую информацию из других источников, например, возраст женщин, зачастую опускаемый, или </w:t>
      </w:r>
      <w:r w:rsidR="00827970">
        <w:t>прямую/</w:t>
      </w:r>
      <w:r>
        <w:t>обратную последовательность событий профессиональной карьеры</w:t>
      </w:r>
      <w:r w:rsidR="00827970">
        <w:t xml:space="preserve">. </w:t>
      </w:r>
      <w:r w:rsidR="00AA40D4" w:rsidRPr="00827970">
        <w:t>Кодирование данных</w:t>
      </w:r>
      <w:r w:rsidR="00827970">
        <w:t xml:space="preserve"> </w:t>
      </w:r>
      <w:r w:rsidR="00AA40D4">
        <w:t>CV для последующего анализа данных требует усилий</w:t>
      </w:r>
      <w:r w:rsidR="00827970">
        <w:t xml:space="preserve"> и </w:t>
      </w:r>
      <w:r w:rsidR="00AA40D4">
        <w:t xml:space="preserve">времени, </w:t>
      </w:r>
      <w:r w:rsidR="00827970">
        <w:t xml:space="preserve">для чего созданы определенные </w:t>
      </w:r>
      <w:r w:rsidR="00AA40D4">
        <w:t>инструменты</w:t>
      </w:r>
      <w:r w:rsidR="00827970">
        <w:t xml:space="preserve"> (</w:t>
      </w:r>
      <w:proofErr w:type="spellStart"/>
      <w:r w:rsidR="00AA40D4">
        <w:t>Gaughan</w:t>
      </w:r>
      <w:proofErr w:type="spellEnd"/>
      <w:r w:rsidR="00AA40D4">
        <w:t xml:space="preserve"> </w:t>
      </w:r>
      <w:proofErr w:type="spellStart"/>
      <w:r w:rsidR="00AA40D4">
        <w:t>and</w:t>
      </w:r>
      <w:proofErr w:type="spellEnd"/>
      <w:r w:rsidR="00AA40D4">
        <w:t xml:space="preserve"> </w:t>
      </w:r>
      <w:proofErr w:type="spellStart"/>
      <w:r w:rsidR="00AA40D4">
        <w:t>Pronomariov</w:t>
      </w:r>
      <w:proofErr w:type="spellEnd"/>
      <w:r w:rsidR="00AA40D4">
        <w:t>, 2008)</w:t>
      </w:r>
      <w:r w:rsidR="00827970">
        <w:t>.</w:t>
      </w:r>
      <w:r w:rsidR="00AA40D4">
        <w:t xml:space="preserve"> Однако основные проблемы, связанные с кодированием, </w:t>
      </w:r>
      <w:r w:rsidR="00827970">
        <w:t xml:space="preserve">решаемы путем </w:t>
      </w:r>
      <w:r w:rsidR="00AA40D4">
        <w:t>четк</w:t>
      </w:r>
      <w:r w:rsidR="00827970">
        <w:t>ого определения и</w:t>
      </w:r>
      <w:r w:rsidR="00AA40D4">
        <w:t>сследовательски</w:t>
      </w:r>
      <w:r w:rsidR="00827970">
        <w:t>х</w:t>
      </w:r>
      <w:r w:rsidR="00AA40D4">
        <w:t xml:space="preserve"> </w:t>
      </w:r>
      <w:r w:rsidR="00AA40D4" w:rsidRPr="00827970">
        <w:rPr>
          <w:sz w:val="24"/>
          <w:szCs w:val="24"/>
        </w:rPr>
        <w:t>цел</w:t>
      </w:r>
      <w:r w:rsidR="00827970" w:rsidRPr="00827970">
        <w:rPr>
          <w:sz w:val="24"/>
          <w:szCs w:val="24"/>
        </w:rPr>
        <w:t xml:space="preserve">ей </w:t>
      </w:r>
      <w:r w:rsidR="00AA40D4" w:rsidRPr="00827970">
        <w:rPr>
          <w:sz w:val="24"/>
          <w:szCs w:val="24"/>
        </w:rPr>
        <w:t>и вопрос</w:t>
      </w:r>
      <w:r w:rsidR="00827970" w:rsidRPr="00827970">
        <w:rPr>
          <w:sz w:val="24"/>
          <w:szCs w:val="24"/>
        </w:rPr>
        <w:t>ов</w:t>
      </w:r>
      <w:r w:rsidR="00AA40D4" w:rsidRPr="00827970">
        <w:rPr>
          <w:sz w:val="24"/>
          <w:szCs w:val="24"/>
        </w:rPr>
        <w:t xml:space="preserve">, </w:t>
      </w:r>
      <w:proofErr w:type="spellStart"/>
      <w:r w:rsidR="00827970" w:rsidRPr="00827970">
        <w:rPr>
          <w:sz w:val="24"/>
          <w:szCs w:val="24"/>
        </w:rPr>
        <w:t>операционализирующих</w:t>
      </w:r>
      <w:proofErr w:type="spellEnd"/>
      <w:r w:rsidR="00827970" w:rsidRPr="00827970">
        <w:rPr>
          <w:sz w:val="24"/>
          <w:szCs w:val="24"/>
        </w:rPr>
        <w:t xml:space="preserve"> </w:t>
      </w:r>
      <w:r w:rsidR="00AA40D4" w:rsidRPr="00827970">
        <w:rPr>
          <w:sz w:val="24"/>
          <w:szCs w:val="24"/>
        </w:rPr>
        <w:t>характер необходимых переменных (</w:t>
      </w:r>
      <w:proofErr w:type="spellStart"/>
      <w:r w:rsidR="00AA40D4" w:rsidRPr="00827970">
        <w:rPr>
          <w:sz w:val="24"/>
          <w:szCs w:val="24"/>
        </w:rPr>
        <w:t>Gaughan</w:t>
      </w:r>
      <w:proofErr w:type="spellEnd"/>
      <w:r w:rsidR="00015F22">
        <w:rPr>
          <w:sz w:val="24"/>
          <w:szCs w:val="24"/>
        </w:rPr>
        <w:t xml:space="preserve"> </w:t>
      </w:r>
      <w:r w:rsidR="00015F22">
        <w:rPr>
          <w:sz w:val="24"/>
          <w:szCs w:val="24"/>
          <w:lang w:val="en-US"/>
        </w:rPr>
        <w:t>and</w:t>
      </w:r>
      <w:r w:rsidR="00015F22" w:rsidRPr="00015F22">
        <w:rPr>
          <w:sz w:val="24"/>
          <w:szCs w:val="24"/>
        </w:rPr>
        <w:t xml:space="preserve"> </w:t>
      </w:r>
      <w:r w:rsidR="00827970" w:rsidRPr="00827970">
        <w:rPr>
          <w:sz w:val="24"/>
          <w:szCs w:val="24"/>
          <w:lang w:val="en-US"/>
        </w:rPr>
        <w:t>Bozeman</w:t>
      </w:r>
      <w:r w:rsidR="00015F22" w:rsidRPr="00015F22">
        <w:rPr>
          <w:sz w:val="24"/>
          <w:szCs w:val="24"/>
        </w:rPr>
        <w:t>,</w:t>
      </w:r>
      <w:r w:rsidR="00827970" w:rsidRPr="00827970">
        <w:rPr>
          <w:sz w:val="24"/>
          <w:szCs w:val="24"/>
        </w:rPr>
        <w:t xml:space="preserve"> 2002</w:t>
      </w:r>
      <w:r w:rsidR="00AA40D4" w:rsidRPr="00827970">
        <w:rPr>
          <w:sz w:val="24"/>
          <w:szCs w:val="24"/>
        </w:rPr>
        <w:t>).</w:t>
      </w:r>
    </w:p>
    <w:p w:rsidR="00AA40D4" w:rsidRDefault="00AA40D4" w:rsidP="00FC776B">
      <w:pPr>
        <w:jc w:val="both"/>
      </w:pPr>
      <w:r>
        <w:t xml:space="preserve">Разработка электронных баз данных CV в некоторых странах облегчит преобразование CV-данных в группы переменных, которые готовы к анализу для решения конкретных вопросов оценки без использования кодирования. Некоторые переменные, такие как пол, возраст, исследовательская организация или область исследований, автоматически загружаются из этого типа базы данных и готовы к анализу. Тем не менее, для тщательного анализа и экспериментирования требуется использовать другие </w:t>
      </w:r>
      <w:r w:rsidRPr="00FB2719">
        <w:rPr>
          <w:sz w:val="24"/>
          <w:szCs w:val="24"/>
        </w:rPr>
        <w:t>группы переменных для оценки, включая публикации, мобильность, гранты и деятельность по проектам.</w:t>
      </w:r>
      <w:r w:rsidR="00FB2719">
        <w:rPr>
          <w:sz w:val="24"/>
          <w:szCs w:val="24"/>
        </w:rPr>
        <w:t xml:space="preserve"> Авторы (</w:t>
      </w:r>
      <w:r w:rsidR="00FB2719" w:rsidRPr="00FB2719">
        <w:rPr>
          <w:sz w:val="24"/>
          <w:szCs w:val="24"/>
          <w:lang w:val="en-US"/>
        </w:rPr>
        <w:t>Corley</w:t>
      </w:r>
      <w:r w:rsidR="00015F22" w:rsidRPr="00015F22">
        <w:t xml:space="preserve"> </w:t>
      </w:r>
      <w:proofErr w:type="spellStart"/>
      <w:r w:rsidR="00015F22">
        <w:t>et</w:t>
      </w:r>
      <w:proofErr w:type="spellEnd"/>
      <w:r w:rsidR="00015F22">
        <w:t xml:space="preserve"> </w:t>
      </w:r>
      <w:proofErr w:type="spellStart"/>
      <w:r w:rsidR="00015F22">
        <w:t>al</w:t>
      </w:r>
      <w:proofErr w:type="spellEnd"/>
      <w:r w:rsidR="00015F22">
        <w:t>.,</w:t>
      </w:r>
      <w:r w:rsidR="00FB2719" w:rsidRPr="00FB2719">
        <w:rPr>
          <w:sz w:val="24"/>
          <w:szCs w:val="24"/>
        </w:rPr>
        <w:t xml:space="preserve"> 2003</w:t>
      </w:r>
      <w:r w:rsidR="00FB2719">
        <w:rPr>
          <w:sz w:val="24"/>
          <w:szCs w:val="24"/>
        </w:rPr>
        <w:t xml:space="preserve">) </w:t>
      </w:r>
      <w:r w:rsidRPr="00FB2719">
        <w:rPr>
          <w:sz w:val="24"/>
          <w:szCs w:val="24"/>
        </w:rPr>
        <w:t xml:space="preserve">указывают, </w:t>
      </w:r>
      <w:r w:rsidR="00FB2719">
        <w:rPr>
          <w:sz w:val="24"/>
          <w:szCs w:val="24"/>
        </w:rPr>
        <w:t>что</w:t>
      </w:r>
      <w:r w:rsidRPr="00FB2719">
        <w:rPr>
          <w:sz w:val="24"/>
          <w:szCs w:val="24"/>
        </w:rPr>
        <w:t xml:space="preserve"> изобилие информаци</w:t>
      </w:r>
      <w:r w:rsidR="00FB2719">
        <w:rPr>
          <w:sz w:val="24"/>
          <w:szCs w:val="24"/>
        </w:rPr>
        <w:t xml:space="preserve">и из </w:t>
      </w:r>
      <w:r w:rsidR="00FB2719">
        <w:t>CV</w:t>
      </w:r>
      <w:r w:rsidRPr="00FB2719">
        <w:rPr>
          <w:sz w:val="24"/>
          <w:szCs w:val="24"/>
        </w:rPr>
        <w:t xml:space="preserve"> может быть благословением</w:t>
      </w:r>
      <w:r>
        <w:t xml:space="preserve"> и проклятием. Проблема кодирования в эт</w:t>
      </w:r>
      <w:r w:rsidR="00FB2719">
        <w:t xml:space="preserve">ом </w:t>
      </w:r>
      <w:r>
        <w:t>случа</w:t>
      </w:r>
      <w:r w:rsidR="00FB2719">
        <w:t>е</w:t>
      </w:r>
      <w:r>
        <w:t xml:space="preserve"> заменяется другими методологическими вопросами, такими как очистка</w:t>
      </w:r>
      <w:r w:rsidR="00FB2719">
        <w:t xml:space="preserve">/ремонт выборки </w:t>
      </w:r>
      <w:r>
        <w:t xml:space="preserve">или </w:t>
      </w:r>
      <w:r w:rsidR="00FB2719">
        <w:t xml:space="preserve">обоснование </w:t>
      </w:r>
      <w:r>
        <w:t>критериев загрузки.</w:t>
      </w:r>
      <w:r w:rsidR="00FB2719">
        <w:t xml:space="preserve"> Н</w:t>
      </w:r>
      <w:r>
        <w:t xml:space="preserve">овые методологические проблемы возникают, однако, для социологов, использующих электронные данные CV, собранные </w:t>
      </w:r>
      <w:r w:rsidR="00FB2719">
        <w:t xml:space="preserve">на основе реестра членства в политических партиях и организациях, проблемы </w:t>
      </w:r>
      <w:r>
        <w:t>сохранени</w:t>
      </w:r>
      <w:r w:rsidR="00FB2719">
        <w:t>я</w:t>
      </w:r>
      <w:r>
        <w:t xml:space="preserve"> </w:t>
      </w:r>
      <w:r w:rsidR="00FB2719">
        <w:t xml:space="preserve">чьих-либо </w:t>
      </w:r>
      <w:r>
        <w:t>прав и конфиденциальност</w:t>
      </w:r>
      <w:r w:rsidR="00FB2719">
        <w:t>и</w:t>
      </w:r>
      <w:r>
        <w:t xml:space="preserve"> </w:t>
      </w:r>
      <w:r w:rsidR="00FB2719">
        <w:t xml:space="preserve">используемых в дальнейшем личных </w:t>
      </w:r>
      <w:r>
        <w:t xml:space="preserve">данных. </w:t>
      </w:r>
    </w:p>
    <w:p w:rsidR="00AA40D4" w:rsidRDefault="001D1685" w:rsidP="00FC776B">
      <w:pPr>
        <w:jc w:val="both"/>
      </w:pPr>
      <w:r>
        <w:t xml:space="preserve">Размышляя о будущем такого исследовательского инструмента как </w:t>
      </w:r>
      <w:r>
        <w:rPr>
          <w:lang w:val="en-US"/>
        </w:rPr>
        <w:t>CV</w:t>
      </w:r>
      <w:r>
        <w:t>-анализ, поместим эту тему в ширящиеся возможности персон</w:t>
      </w:r>
      <w:r w:rsidR="00AA40D4">
        <w:t>альн</w:t>
      </w:r>
      <w:r>
        <w:t>ого</w:t>
      </w:r>
      <w:r w:rsidR="00AA40D4">
        <w:t xml:space="preserve"> маркетинг</w:t>
      </w:r>
      <w:r>
        <w:t>а для специалиста- профессионала</w:t>
      </w:r>
      <w:r w:rsidR="00AA40D4">
        <w:t xml:space="preserve">. </w:t>
      </w:r>
      <w:r>
        <w:t xml:space="preserve">В этом </w:t>
      </w:r>
      <w:r w:rsidRPr="001D1685">
        <w:t xml:space="preserve">смысле </w:t>
      </w:r>
      <w:r w:rsidR="00AA40D4" w:rsidRPr="001D1685">
        <w:t xml:space="preserve">CV является одним из </w:t>
      </w:r>
      <w:r>
        <w:t xml:space="preserve">видов </w:t>
      </w:r>
      <w:proofErr w:type="spellStart"/>
      <w:r>
        <w:t>професионального</w:t>
      </w:r>
      <w:proofErr w:type="spellEnd"/>
      <w:r>
        <w:t xml:space="preserve"> </w:t>
      </w:r>
      <w:r w:rsidR="00AA40D4" w:rsidRPr="001D1685">
        <w:t>портфолио</w:t>
      </w:r>
      <w:r>
        <w:t>, максимально объективирующего динамичный образ профессиональной карьеры</w:t>
      </w:r>
      <w:r w:rsidR="00AA40D4" w:rsidRPr="001D1685">
        <w:t xml:space="preserve">. </w:t>
      </w:r>
      <w:r>
        <w:t xml:space="preserve">Рискнем утверждать, что </w:t>
      </w:r>
      <w:r w:rsidR="00AA40D4" w:rsidRPr="001D1685">
        <w:t xml:space="preserve">институты сертификации </w:t>
      </w:r>
      <w:r>
        <w:t xml:space="preserve">- в кризисе, а </w:t>
      </w:r>
      <w:r w:rsidR="00AA40D4" w:rsidRPr="001D1685">
        <w:t>CV</w:t>
      </w:r>
      <w:r>
        <w:t xml:space="preserve"> как индивидуализированная форма демонстрируемого профессионального и социального капитала </w:t>
      </w:r>
      <w:r w:rsidR="00E92A95">
        <w:t xml:space="preserve">расцветает. </w:t>
      </w:r>
    </w:p>
    <w:p w:rsidR="00AA40D4" w:rsidRPr="006532C5" w:rsidRDefault="00AA40D4" w:rsidP="00FC776B">
      <w:pPr>
        <w:pStyle w:val="a3"/>
        <w:spacing w:before="1"/>
        <w:jc w:val="both"/>
        <w:rPr>
          <w:rFonts w:ascii="Arial"/>
          <w:sz w:val="24"/>
          <w:szCs w:val="24"/>
          <w:lang w:val="ru-RU"/>
        </w:rPr>
      </w:pPr>
    </w:p>
    <w:p w:rsidR="00AA40D4" w:rsidRPr="00015F22" w:rsidRDefault="00015F22" w:rsidP="00FC776B">
      <w:pPr>
        <w:pStyle w:val="a3"/>
        <w:spacing w:before="1"/>
        <w:jc w:val="both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  <w:lang w:val="ru-RU"/>
        </w:rPr>
        <w:t>Литература</w:t>
      </w:r>
    </w:p>
    <w:p w:rsidR="00AA40D4" w:rsidRPr="00015F22" w:rsidRDefault="00AA40D4" w:rsidP="003B4A4D">
      <w:pPr>
        <w:spacing w:after="0" w:line="235" w:lineRule="auto"/>
        <w:ind w:right="116"/>
        <w:jc w:val="both"/>
        <w:rPr>
          <w:lang w:val="en-US"/>
        </w:rPr>
      </w:pPr>
      <w:r w:rsidRPr="00015F22">
        <w:rPr>
          <w:lang w:val="en-US"/>
        </w:rPr>
        <w:t>Auriol, L</w:t>
      </w:r>
      <w:r w:rsidR="00015F22">
        <w:rPr>
          <w:lang w:val="en-US"/>
        </w:rPr>
        <w:t>.</w:t>
      </w:r>
      <w:r w:rsidRPr="00015F22">
        <w:rPr>
          <w:lang w:val="en-US"/>
        </w:rPr>
        <w:t>, Bernard</w:t>
      </w:r>
      <w:r w:rsidR="00015F22">
        <w:rPr>
          <w:lang w:val="en-US"/>
        </w:rPr>
        <w:t>,</w:t>
      </w:r>
      <w:r w:rsidRPr="00015F22">
        <w:rPr>
          <w:lang w:val="en-US"/>
        </w:rPr>
        <w:t xml:space="preserve"> </w:t>
      </w:r>
      <w:r w:rsidR="00015F22">
        <w:rPr>
          <w:lang w:val="en-US"/>
        </w:rPr>
        <w:t xml:space="preserve">F., </w:t>
      </w:r>
      <w:r w:rsidRPr="00015F22">
        <w:rPr>
          <w:lang w:val="en-US"/>
        </w:rPr>
        <w:t>Fernández-</w:t>
      </w:r>
      <w:proofErr w:type="spellStart"/>
      <w:r w:rsidRPr="00015F22">
        <w:rPr>
          <w:lang w:val="en-US"/>
        </w:rPr>
        <w:t>Polcuch</w:t>
      </w:r>
      <w:proofErr w:type="spellEnd"/>
      <w:r w:rsidR="00015F22">
        <w:rPr>
          <w:lang w:val="en-US"/>
        </w:rPr>
        <w:t>, E.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2007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>. Mapping careers and mobility of doctorate holders: draft guidelines, model questionnaire and indicators. OECD/UNESCO Institute for Statistics/EUROSTAT Careers of Doctorate Holders (CDH) Project. STI Working Paper 2007/6. DSTI/</w:t>
      </w:r>
      <w:proofErr w:type="gramStart"/>
      <w:r w:rsidRPr="00015F22">
        <w:rPr>
          <w:lang w:val="en-US"/>
        </w:rPr>
        <w:t>DIC(</w:t>
      </w:r>
      <w:proofErr w:type="gramEnd"/>
      <w:r w:rsidRPr="00015F22">
        <w:rPr>
          <w:lang w:val="en-US"/>
        </w:rPr>
        <w:t>2007)6.</w:t>
      </w:r>
    </w:p>
    <w:p w:rsidR="00AA40D4" w:rsidRPr="00015F22" w:rsidRDefault="00AA40D4" w:rsidP="003B4A4D">
      <w:pPr>
        <w:spacing w:after="0" w:line="235" w:lineRule="auto"/>
        <w:ind w:right="115"/>
        <w:jc w:val="both"/>
        <w:rPr>
          <w:lang w:val="en-US"/>
        </w:rPr>
      </w:pPr>
      <w:r w:rsidRPr="00015F22">
        <w:rPr>
          <w:lang w:val="en-US"/>
        </w:rPr>
        <w:lastRenderedPageBreak/>
        <w:t>Bozeman, B</w:t>
      </w:r>
      <w:r w:rsidR="00015F22">
        <w:rPr>
          <w:lang w:val="en-US"/>
        </w:rPr>
        <w:t xml:space="preserve">., </w:t>
      </w:r>
      <w:r w:rsidRPr="00015F22">
        <w:rPr>
          <w:lang w:val="en-US"/>
        </w:rPr>
        <w:t>Rogers</w:t>
      </w:r>
      <w:r w:rsidR="00015F22">
        <w:rPr>
          <w:lang w:val="en-US"/>
        </w:rPr>
        <w:t>, J.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2002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A churn model of scientific knowledge value: Internet researchers as a knowledge value collective. </w:t>
      </w:r>
      <w:r w:rsidRPr="00015F22">
        <w:rPr>
          <w:i/>
          <w:lang w:val="en-US"/>
        </w:rPr>
        <w:t>Research Policy</w:t>
      </w:r>
      <w:r w:rsidRPr="00015F22">
        <w:rPr>
          <w:lang w:val="en-US"/>
        </w:rPr>
        <w:t xml:space="preserve">, 31,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769–794.</w:t>
      </w:r>
    </w:p>
    <w:p w:rsidR="00AA40D4" w:rsidRPr="00015F22" w:rsidRDefault="00AA40D4" w:rsidP="003B4A4D">
      <w:pPr>
        <w:spacing w:after="0" w:line="235" w:lineRule="auto"/>
        <w:ind w:right="38"/>
        <w:jc w:val="both"/>
        <w:rPr>
          <w:lang w:val="en-US"/>
        </w:rPr>
      </w:pPr>
      <w:r w:rsidRPr="00015F22">
        <w:rPr>
          <w:lang w:val="en-US"/>
        </w:rPr>
        <w:t>Bozeman, B</w:t>
      </w:r>
      <w:r w:rsidR="00015F22">
        <w:rPr>
          <w:lang w:val="en-US"/>
        </w:rPr>
        <w:t>.</w:t>
      </w:r>
      <w:r w:rsidRPr="00015F22">
        <w:rPr>
          <w:lang w:val="en-US"/>
        </w:rPr>
        <w:t>, Dietz</w:t>
      </w:r>
      <w:r w:rsidR="00015F22">
        <w:rPr>
          <w:lang w:val="en-US"/>
        </w:rPr>
        <w:t>, J.,</w:t>
      </w:r>
      <w:r w:rsidRPr="00015F22">
        <w:rPr>
          <w:lang w:val="en-US"/>
        </w:rPr>
        <w:t xml:space="preserve"> </w:t>
      </w:r>
      <w:proofErr w:type="spellStart"/>
      <w:r w:rsidRPr="00015F22">
        <w:rPr>
          <w:lang w:val="en-US"/>
        </w:rPr>
        <w:t>Gaughan</w:t>
      </w:r>
      <w:proofErr w:type="spellEnd"/>
      <w:r w:rsidR="00015F22">
        <w:rPr>
          <w:lang w:val="en-US"/>
        </w:rPr>
        <w:t>, M.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2001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Scientific and technical human capital: an alternative model for research evaluation. </w:t>
      </w:r>
      <w:r w:rsidRPr="00015F22">
        <w:rPr>
          <w:i/>
          <w:lang w:val="en-US"/>
        </w:rPr>
        <w:t>International Journal of Technology Management</w:t>
      </w:r>
      <w:r w:rsidRPr="00015F22">
        <w:rPr>
          <w:lang w:val="en-US"/>
        </w:rPr>
        <w:t>, 22(7/8</w:t>
      </w:r>
      <w:proofErr w:type="gramStart"/>
      <w:r w:rsidRPr="00015F22">
        <w:rPr>
          <w:lang w:val="en-US"/>
        </w:rPr>
        <w:t>),</w:t>
      </w:r>
      <w:r w:rsidR="00015F22" w:rsidRPr="00015F22">
        <w:rPr>
          <w:lang w:val="en-US"/>
        </w:rPr>
        <w:t>pp.</w:t>
      </w:r>
      <w:proofErr w:type="gramEnd"/>
      <w:r w:rsidRPr="00015F22">
        <w:rPr>
          <w:lang w:val="en-US"/>
        </w:rPr>
        <w:t>716–740.</w:t>
      </w:r>
    </w:p>
    <w:p w:rsidR="00AA40D4" w:rsidRPr="00015F22" w:rsidRDefault="00AA40D4" w:rsidP="003B4A4D">
      <w:pPr>
        <w:spacing w:after="0" w:line="235" w:lineRule="auto"/>
        <w:ind w:right="39"/>
        <w:jc w:val="both"/>
        <w:rPr>
          <w:lang w:val="en-US"/>
        </w:rPr>
      </w:pPr>
      <w:proofErr w:type="spellStart"/>
      <w:r w:rsidRPr="00015F22">
        <w:rPr>
          <w:lang w:val="en-US"/>
        </w:rPr>
        <w:t>Cañibano</w:t>
      </w:r>
      <w:proofErr w:type="spellEnd"/>
      <w:r w:rsidRPr="00015F22">
        <w:rPr>
          <w:lang w:val="en-US"/>
        </w:rPr>
        <w:t>, C</w:t>
      </w:r>
      <w:r w:rsidR="00015F22">
        <w:rPr>
          <w:lang w:val="en-US"/>
        </w:rPr>
        <w:t>.</w:t>
      </w:r>
      <w:r w:rsidRPr="00015F22">
        <w:rPr>
          <w:lang w:val="en-US"/>
        </w:rPr>
        <w:t>, Otamendi</w:t>
      </w:r>
      <w:r w:rsidR="00015F22">
        <w:rPr>
          <w:lang w:val="en-US"/>
        </w:rPr>
        <w:t>,</w:t>
      </w:r>
      <w:r w:rsidR="00015F22" w:rsidRPr="00015F22">
        <w:rPr>
          <w:lang w:val="en-US"/>
        </w:rPr>
        <w:t xml:space="preserve"> J.</w:t>
      </w:r>
      <w:r w:rsidR="00015F22">
        <w:rPr>
          <w:lang w:val="en-US"/>
        </w:rPr>
        <w:t xml:space="preserve">, </w:t>
      </w:r>
      <w:proofErr w:type="spellStart"/>
      <w:r w:rsidRPr="00015F22">
        <w:rPr>
          <w:lang w:val="en-US"/>
        </w:rPr>
        <w:t>Anujar</w:t>
      </w:r>
      <w:proofErr w:type="spellEnd"/>
      <w:r w:rsidR="00015F22">
        <w:rPr>
          <w:lang w:val="en-US"/>
        </w:rPr>
        <w:t>, I.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2008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Measuring and assessing researcher mobility from CV analysis: the case of the Ramon y </w:t>
      </w:r>
      <w:proofErr w:type="spellStart"/>
      <w:r w:rsidRPr="00015F22">
        <w:rPr>
          <w:lang w:val="en-US"/>
        </w:rPr>
        <w:t>Cajal</w:t>
      </w:r>
      <w:proofErr w:type="spellEnd"/>
      <w:r w:rsidRPr="00015F22">
        <w:rPr>
          <w:lang w:val="en-US"/>
        </w:rPr>
        <w:t xml:space="preserve"> </w:t>
      </w:r>
      <w:proofErr w:type="spellStart"/>
      <w:r w:rsidRPr="00015F22">
        <w:rPr>
          <w:lang w:val="en-US"/>
        </w:rPr>
        <w:t>programme</w:t>
      </w:r>
      <w:proofErr w:type="spellEnd"/>
      <w:r w:rsidRPr="00015F22">
        <w:rPr>
          <w:lang w:val="en-US"/>
        </w:rPr>
        <w:t xml:space="preserve"> in Spain. </w:t>
      </w:r>
      <w:r w:rsidRPr="00015F22">
        <w:rPr>
          <w:i/>
          <w:lang w:val="en-US"/>
        </w:rPr>
        <w:t>Research Evaluation</w:t>
      </w:r>
      <w:r w:rsidRPr="00015F22">
        <w:rPr>
          <w:lang w:val="en-US"/>
        </w:rPr>
        <w:t xml:space="preserve">, 17(1), March,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17–31.</w:t>
      </w:r>
    </w:p>
    <w:p w:rsidR="00AA40D4" w:rsidRPr="00843938" w:rsidRDefault="00AA40D4" w:rsidP="003B4A4D">
      <w:pPr>
        <w:spacing w:after="0" w:line="235" w:lineRule="auto"/>
        <w:ind w:right="38"/>
        <w:jc w:val="both"/>
        <w:rPr>
          <w:lang w:val="en-US"/>
        </w:rPr>
      </w:pPr>
      <w:r w:rsidRPr="00015F22">
        <w:rPr>
          <w:lang w:val="en-US"/>
        </w:rPr>
        <w:t>Corley, E</w:t>
      </w:r>
      <w:r w:rsidR="005E28FE">
        <w:rPr>
          <w:lang w:val="en-US"/>
        </w:rPr>
        <w:t>.</w:t>
      </w:r>
      <w:r w:rsidRPr="00015F22">
        <w:rPr>
          <w:lang w:val="en-US"/>
        </w:rPr>
        <w:t>, Bozeman</w:t>
      </w:r>
      <w:r w:rsidR="005E28FE">
        <w:rPr>
          <w:lang w:val="en-US"/>
        </w:rPr>
        <w:t>, B.,</w:t>
      </w:r>
      <w:r w:rsidRPr="00015F22">
        <w:rPr>
          <w:lang w:val="en-US"/>
        </w:rPr>
        <w:t xml:space="preserve"> </w:t>
      </w:r>
      <w:proofErr w:type="spellStart"/>
      <w:r w:rsidRPr="00015F22">
        <w:rPr>
          <w:lang w:val="en-US"/>
        </w:rPr>
        <w:t>Gaughan</w:t>
      </w:r>
      <w:proofErr w:type="spellEnd"/>
      <w:r w:rsidR="005E28FE">
        <w:rPr>
          <w:lang w:val="en-US"/>
        </w:rPr>
        <w:t>, M.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2003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Evaluating the impacts of grants on women scientists’ careers: the curriculum vita as a tool for research assessment. In </w:t>
      </w:r>
      <w:r w:rsidRPr="00015F22">
        <w:rPr>
          <w:i/>
          <w:lang w:val="en-US"/>
        </w:rPr>
        <w:t xml:space="preserve">Learning from Sci- </w:t>
      </w:r>
      <w:proofErr w:type="spellStart"/>
      <w:r w:rsidRPr="00015F22">
        <w:rPr>
          <w:i/>
          <w:lang w:val="en-US"/>
        </w:rPr>
        <w:t>ence</w:t>
      </w:r>
      <w:proofErr w:type="spellEnd"/>
      <w:r w:rsidRPr="00015F22">
        <w:rPr>
          <w:i/>
          <w:lang w:val="en-US"/>
        </w:rPr>
        <w:t xml:space="preserve"> and Technology Policy Evaluation: Experiences from the</w:t>
      </w:r>
      <w:r w:rsidR="00E92A95" w:rsidRPr="00015F22">
        <w:rPr>
          <w:i/>
          <w:lang w:val="en-US"/>
        </w:rPr>
        <w:t xml:space="preserve"> </w:t>
      </w:r>
      <w:r w:rsidRPr="00015F22">
        <w:rPr>
          <w:i/>
          <w:lang w:val="en-US"/>
        </w:rPr>
        <w:t>U.S.</w:t>
      </w:r>
      <w:r w:rsidRPr="00015F22">
        <w:rPr>
          <w:i/>
          <w:spacing w:val="18"/>
          <w:lang w:val="en-US"/>
        </w:rPr>
        <w:t xml:space="preserve"> </w:t>
      </w:r>
      <w:r w:rsidRPr="00015F22">
        <w:rPr>
          <w:i/>
          <w:lang w:val="en-US"/>
        </w:rPr>
        <w:t>and</w:t>
      </w:r>
      <w:r w:rsidRPr="00015F22">
        <w:rPr>
          <w:i/>
          <w:spacing w:val="18"/>
          <w:lang w:val="en-US"/>
        </w:rPr>
        <w:t xml:space="preserve"> </w:t>
      </w:r>
      <w:r w:rsidRPr="00015F22">
        <w:rPr>
          <w:i/>
          <w:lang w:val="en-US"/>
        </w:rPr>
        <w:t>Europe</w:t>
      </w:r>
      <w:r w:rsidRPr="00015F22">
        <w:rPr>
          <w:lang w:val="en-US"/>
        </w:rPr>
        <w:t>,</w:t>
      </w:r>
      <w:r w:rsidRPr="00015F22">
        <w:rPr>
          <w:spacing w:val="18"/>
          <w:lang w:val="en-US"/>
        </w:rPr>
        <w:t xml:space="preserve"> </w:t>
      </w:r>
      <w:r w:rsidRPr="00015F22">
        <w:rPr>
          <w:lang w:val="en-US"/>
        </w:rPr>
        <w:t>eds.</w:t>
      </w:r>
      <w:r w:rsidRPr="00015F22">
        <w:rPr>
          <w:spacing w:val="19"/>
          <w:lang w:val="en-US"/>
        </w:rPr>
        <w:t xml:space="preserve"> </w:t>
      </w:r>
      <w:r w:rsidRPr="00015F22">
        <w:rPr>
          <w:lang w:val="en-US"/>
        </w:rPr>
        <w:t>P</w:t>
      </w:r>
      <w:r w:rsidRPr="00015F22">
        <w:rPr>
          <w:spacing w:val="18"/>
          <w:lang w:val="en-US"/>
        </w:rPr>
        <w:t xml:space="preserve"> </w:t>
      </w:r>
      <w:r w:rsidRPr="00015F22">
        <w:rPr>
          <w:lang w:val="en-US"/>
        </w:rPr>
        <w:t>Shapira</w:t>
      </w:r>
      <w:r w:rsidRPr="00015F22">
        <w:rPr>
          <w:spacing w:val="19"/>
          <w:lang w:val="en-US"/>
        </w:rPr>
        <w:t xml:space="preserve"> </w:t>
      </w:r>
      <w:r w:rsidRPr="00015F22">
        <w:rPr>
          <w:lang w:val="en-US"/>
        </w:rPr>
        <w:t>and</w:t>
      </w:r>
      <w:r w:rsidRPr="00015F22">
        <w:rPr>
          <w:spacing w:val="19"/>
          <w:lang w:val="en-US"/>
        </w:rPr>
        <w:t xml:space="preserve"> </w:t>
      </w:r>
      <w:r w:rsidRPr="00015F22">
        <w:rPr>
          <w:lang w:val="en-US"/>
        </w:rPr>
        <w:t>S</w:t>
      </w:r>
      <w:r w:rsidRPr="00015F22">
        <w:rPr>
          <w:spacing w:val="18"/>
          <w:lang w:val="en-US"/>
        </w:rPr>
        <w:t xml:space="preserve"> </w:t>
      </w:r>
      <w:proofErr w:type="gramStart"/>
      <w:r w:rsidRPr="00015F22">
        <w:rPr>
          <w:lang w:val="en-US"/>
        </w:rPr>
        <w:t>Kuhlmann,.</w:t>
      </w:r>
      <w:proofErr w:type="gramEnd"/>
      <w:r w:rsidRPr="00015F22">
        <w:rPr>
          <w:lang w:val="en-US"/>
        </w:rPr>
        <w:t xml:space="preserve"> Cheltenham, UK: Edward Elgar</w:t>
      </w:r>
      <w:r w:rsidR="00015F22" w:rsidRPr="00015F22">
        <w:rPr>
          <w:lang w:val="en-US"/>
        </w:rPr>
        <w:t>, pp.</w:t>
      </w:r>
      <w:r w:rsidR="00015F22" w:rsidRPr="00015F22">
        <w:rPr>
          <w:spacing w:val="18"/>
          <w:lang w:val="en-US"/>
        </w:rPr>
        <w:t xml:space="preserve"> </w:t>
      </w:r>
      <w:r w:rsidR="00015F22" w:rsidRPr="00015F22">
        <w:rPr>
          <w:lang w:val="en-US"/>
        </w:rPr>
        <w:t>293–315</w:t>
      </w:r>
      <w:r w:rsidR="003B4A4D" w:rsidRPr="00843938">
        <w:rPr>
          <w:lang w:val="en-US"/>
        </w:rPr>
        <w:t>.</w:t>
      </w:r>
    </w:p>
    <w:p w:rsidR="00AA40D4" w:rsidRPr="00015F22" w:rsidRDefault="00AA40D4" w:rsidP="003B4A4D">
      <w:pPr>
        <w:spacing w:after="0" w:line="235" w:lineRule="auto"/>
        <w:ind w:right="40"/>
        <w:jc w:val="both"/>
        <w:rPr>
          <w:lang w:val="en-US"/>
        </w:rPr>
      </w:pPr>
      <w:r w:rsidRPr="00015F22">
        <w:rPr>
          <w:lang w:val="en-US"/>
        </w:rPr>
        <w:t>Dietz, J</w:t>
      </w:r>
      <w:r w:rsidR="00015F22" w:rsidRPr="00015F22">
        <w:rPr>
          <w:lang w:val="en-US"/>
        </w:rPr>
        <w:t>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2000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Building a social capital of research development: the case of Experimental Program to Stimulate Competitive Research. </w:t>
      </w:r>
      <w:r w:rsidRPr="00015F22">
        <w:rPr>
          <w:i/>
          <w:lang w:val="en-US"/>
        </w:rPr>
        <w:t>Science and Public Policy</w:t>
      </w:r>
      <w:r w:rsidRPr="00015F22">
        <w:rPr>
          <w:lang w:val="en-US"/>
        </w:rPr>
        <w:t xml:space="preserve">, 27(2), April,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137–145.</w:t>
      </w:r>
    </w:p>
    <w:p w:rsidR="00AA40D4" w:rsidRPr="00015F22" w:rsidRDefault="00AA40D4" w:rsidP="003B4A4D">
      <w:pPr>
        <w:spacing w:after="0" w:line="235" w:lineRule="auto"/>
        <w:ind w:right="38"/>
        <w:jc w:val="both"/>
        <w:rPr>
          <w:lang w:val="en-US"/>
        </w:rPr>
      </w:pPr>
      <w:r w:rsidRPr="00015F22">
        <w:rPr>
          <w:lang w:val="en-US"/>
        </w:rPr>
        <w:t>Dietz, J</w:t>
      </w:r>
      <w:r w:rsidR="00015F22" w:rsidRPr="00015F22">
        <w:rPr>
          <w:lang w:val="en-US"/>
        </w:rPr>
        <w:t>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2004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>. Scientists and Engineers in Academic Research Centers – an Examination of Career Patterns and Productivity. PhD dissertation. School of Public Policy, Georgia Institute of Technology. February.</w:t>
      </w:r>
    </w:p>
    <w:p w:rsidR="00AA40D4" w:rsidRPr="00015F22" w:rsidRDefault="00AA40D4" w:rsidP="003B4A4D">
      <w:pPr>
        <w:spacing w:after="0" w:line="235" w:lineRule="auto"/>
        <w:ind w:right="38"/>
        <w:jc w:val="both"/>
        <w:rPr>
          <w:lang w:val="en-US"/>
        </w:rPr>
      </w:pPr>
      <w:r w:rsidRPr="00015F22">
        <w:rPr>
          <w:lang w:val="en-US"/>
        </w:rPr>
        <w:t>Dietz, J</w:t>
      </w:r>
      <w:r w:rsidR="00015F22" w:rsidRPr="00015F22">
        <w:rPr>
          <w:lang w:val="en-US"/>
        </w:rPr>
        <w:t>.</w:t>
      </w:r>
      <w:r w:rsidR="005E28FE">
        <w:rPr>
          <w:lang w:val="en-US"/>
        </w:rPr>
        <w:t>,</w:t>
      </w:r>
      <w:r w:rsidRPr="00015F22">
        <w:rPr>
          <w:lang w:val="en-US"/>
        </w:rPr>
        <w:t xml:space="preserve"> Bozeman</w:t>
      </w:r>
      <w:r w:rsidR="005E28FE">
        <w:rPr>
          <w:lang w:val="en-US"/>
        </w:rPr>
        <w:t>, B.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2005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Academic careers, patents and productivity: industry experience as scientific and technical human capital. </w:t>
      </w:r>
      <w:r w:rsidRPr="00015F22">
        <w:rPr>
          <w:i/>
          <w:lang w:val="en-US"/>
        </w:rPr>
        <w:t>Research Policy</w:t>
      </w:r>
      <w:r w:rsidRPr="00015F22">
        <w:rPr>
          <w:lang w:val="en-US"/>
        </w:rPr>
        <w:t xml:space="preserve">, 34,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349–367.</w:t>
      </w:r>
    </w:p>
    <w:p w:rsidR="00AA40D4" w:rsidRPr="00015F22" w:rsidRDefault="00AA40D4" w:rsidP="003B4A4D">
      <w:pPr>
        <w:spacing w:after="0" w:line="235" w:lineRule="auto"/>
        <w:ind w:right="342"/>
        <w:jc w:val="both"/>
        <w:rPr>
          <w:lang w:val="en-US"/>
        </w:rPr>
      </w:pPr>
      <w:proofErr w:type="spellStart"/>
      <w:r w:rsidRPr="00015F22">
        <w:rPr>
          <w:lang w:val="en-US"/>
        </w:rPr>
        <w:t>Gaughan</w:t>
      </w:r>
      <w:proofErr w:type="spellEnd"/>
      <w:r w:rsidRPr="00015F22">
        <w:rPr>
          <w:lang w:val="en-US"/>
        </w:rPr>
        <w:t>, M</w:t>
      </w:r>
      <w:r w:rsidR="00015F22" w:rsidRPr="00015F22">
        <w:rPr>
          <w:lang w:val="en-US"/>
        </w:rPr>
        <w:t>.</w:t>
      </w:r>
      <w:r w:rsidR="005E28FE">
        <w:rPr>
          <w:lang w:val="en-US"/>
        </w:rPr>
        <w:t xml:space="preserve">, </w:t>
      </w:r>
      <w:r w:rsidRPr="00015F22">
        <w:rPr>
          <w:lang w:val="en-US"/>
        </w:rPr>
        <w:t>Bozeman</w:t>
      </w:r>
      <w:r w:rsidR="005E28FE">
        <w:rPr>
          <w:lang w:val="en-US"/>
        </w:rPr>
        <w:t>, B.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2002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Using curriculum vitae to compare some impacts of NSF research center grants with re- search center funding. </w:t>
      </w:r>
      <w:r w:rsidRPr="00015F22">
        <w:rPr>
          <w:i/>
          <w:lang w:val="en-US"/>
        </w:rPr>
        <w:t>Research Evaluation</w:t>
      </w:r>
      <w:r w:rsidRPr="00015F22">
        <w:rPr>
          <w:lang w:val="en-US"/>
        </w:rPr>
        <w:t xml:space="preserve">, 11(1), April,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17–26.</w:t>
      </w:r>
    </w:p>
    <w:p w:rsidR="00AA40D4" w:rsidRPr="00015F22" w:rsidRDefault="00AA40D4" w:rsidP="003B4A4D">
      <w:pPr>
        <w:spacing w:after="0" w:line="235" w:lineRule="auto"/>
        <w:ind w:right="344"/>
        <w:jc w:val="both"/>
        <w:rPr>
          <w:lang w:val="en-US"/>
        </w:rPr>
      </w:pPr>
      <w:proofErr w:type="spellStart"/>
      <w:r w:rsidRPr="00015F22">
        <w:rPr>
          <w:lang w:val="en-US"/>
        </w:rPr>
        <w:t>Gaughan</w:t>
      </w:r>
      <w:proofErr w:type="spellEnd"/>
      <w:r w:rsidRPr="00015F22">
        <w:rPr>
          <w:lang w:val="en-US"/>
        </w:rPr>
        <w:t>, M</w:t>
      </w:r>
      <w:r w:rsidR="00015F22" w:rsidRPr="00015F22">
        <w:rPr>
          <w:lang w:val="en-US"/>
        </w:rPr>
        <w:t>.</w:t>
      </w:r>
      <w:r w:rsidR="005E28FE">
        <w:rPr>
          <w:lang w:val="en-US"/>
        </w:rPr>
        <w:t xml:space="preserve">, </w:t>
      </w:r>
      <w:r w:rsidRPr="00015F22">
        <w:rPr>
          <w:lang w:val="en-US"/>
        </w:rPr>
        <w:t>Robin</w:t>
      </w:r>
      <w:r w:rsidR="005E28FE">
        <w:rPr>
          <w:lang w:val="en-US"/>
        </w:rPr>
        <w:t>, S.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2004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National science training policy and early scientific careers in France and the United States. </w:t>
      </w:r>
      <w:r w:rsidRPr="00015F22">
        <w:rPr>
          <w:i/>
          <w:lang w:val="en-US"/>
        </w:rPr>
        <w:t>Research Policy</w:t>
      </w:r>
      <w:r w:rsidRPr="00015F22">
        <w:rPr>
          <w:lang w:val="en-US"/>
        </w:rPr>
        <w:t xml:space="preserve">, 33,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569–581.</w:t>
      </w:r>
    </w:p>
    <w:p w:rsidR="00AA40D4" w:rsidRPr="00015F22" w:rsidRDefault="00AA40D4" w:rsidP="003B4A4D">
      <w:pPr>
        <w:spacing w:after="0" w:line="235" w:lineRule="auto"/>
        <w:ind w:right="342"/>
        <w:jc w:val="both"/>
        <w:rPr>
          <w:lang w:val="en-US"/>
        </w:rPr>
      </w:pPr>
      <w:proofErr w:type="spellStart"/>
      <w:r w:rsidRPr="00015F22">
        <w:rPr>
          <w:lang w:val="en-US"/>
        </w:rPr>
        <w:t>Gaughan</w:t>
      </w:r>
      <w:proofErr w:type="spellEnd"/>
      <w:r w:rsidRPr="00015F22">
        <w:rPr>
          <w:lang w:val="en-US"/>
        </w:rPr>
        <w:t>, M</w:t>
      </w:r>
      <w:r w:rsidR="00015F22" w:rsidRPr="00015F22">
        <w:rPr>
          <w:lang w:val="en-US"/>
        </w:rPr>
        <w:t>.</w:t>
      </w:r>
      <w:r w:rsidR="005E28FE">
        <w:rPr>
          <w:lang w:val="en-US"/>
        </w:rPr>
        <w:t xml:space="preserve">, </w:t>
      </w:r>
      <w:proofErr w:type="spellStart"/>
      <w:r w:rsidRPr="00015F22">
        <w:rPr>
          <w:lang w:val="en-US"/>
        </w:rPr>
        <w:t>Ponomariov</w:t>
      </w:r>
      <w:proofErr w:type="spellEnd"/>
      <w:r w:rsidR="005E28FE">
        <w:rPr>
          <w:lang w:val="en-US"/>
        </w:rPr>
        <w:t>, B.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2008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Faculty publication productivity, collaboration, and grants velocity: using curricula vitae to compare center-affiliated scientists and unaffiliated scientists. </w:t>
      </w:r>
      <w:r w:rsidRPr="00015F22">
        <w:rPr>
          <w:i/>
          <w:lang w:val="en-US"/>
        </w:rPr>
        <w:t>Research Evaluation</w:t>
      </w:r>
      <w:r w:rsidRPr="00015F22">
        <w:rPr>
          <w:lang w:val="en-US"/>
        </w:rPr>
        <w:t xml:space="preserve">, 17(2), June,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103–110.</w:t>
      </w:r>
    </w:p>
    <w:p w:rsidR="005E28FE" w:rsidRDefault="00AA40D4" w:rsidP="003B4A4D">
      <w:pPr>
        <w:spacing w:after="0" w:line="235" w:lineRule="auto"/>
        <w:ind w:right="343"/>
        <w:jc w:val="both"/>
        <w:rPr>
          <w:w w:val="99"/>
          <w:lang w:val="en-US"/>
        </w:rPr>
      </w:pPr>
      <w:proofErr w:type="spellStart"/>
      <w:r w:rsidRPr="00015F22">
        <w:rPr>
          <w:lang w:val="en-US"/>
        </w:rPr>
        <w:t>Jonkers</w:t>
      </w:r>
      <w:proofErr w:type="spellEnd"/>
      <w:r w:rsidRPr="00015F22">
        <w:rPr>
          <w:lang w:val="en-US"/>
        </w:rPr>
        <w:t>, K</w:t>
      </w:r>
      <w:r w:rsidR="00015F22" w:rsidRPr="00015F22">
        <w:rPr>
          <w:lang w:val="en-US"/>
        </w:rPr>
        <w:t>.</w:t>
      </w:r>
      <w:r w:rsidR="005E28FE">
        <w:rPr>
          <w:lang w:val="en-US"/>
        </w:rPr>
        <w:t xml:space="preserve">, </w:t>
      </w:r>
      <w:proofErr w:type="spellStart"/>
      <w:r w:rsidRPr="00015F22">
        <w:rPr>
          <w:lang w:val="en-US"/>
        </w:rPr>
        <w:t>Tijssen</w:t>
      </w:r>
      <w:proofErr w:type="spellEnd"/>
      <w:r w:rsidR="005E28FE">
        <w:rPr>
          <w:lang w:val="en-US"/>
        </w:rPr>
        <w:t>, R.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2008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>. Chinese researchers returning</w:t>
      </w:r>
      <w:r w:rsidRPr="00015F22">
        <w:rPr>
          <w:w w:val="99"/>
          <w:lang w:val="en-US"/>
        </w:rPr>
        <w:t xml:space="preserve"> </w:t>
      </w:r>
      <w:r w:rsidRPr="00015F22">
        <w:rPr>
          <w:lang w:val="en-US"/>
        </w:rPr>
        <w:t xml:space="preserve">home: impacts of international mobility on research </w:t>
      </w:r>
      <w:proofErr w:type="spellStart"/>
      <w:r w:rsidRPr="00015F22">
        <w:rPr>
          <w:lang w:val="en-US"/>
        </w:rPr>
        <w:t>collabora</w:t>
      </w:r>
      <w:proofErr w:type="spellEnd"/>
      <w:r w:rsidRPr="00015F22">
        <w:rPr>
          <w:lang w:val="en-US"/>
        </w:rPr>
        <w:t>-</w:t>
      </w:r>
      <w:r w:rsidRPr="00015F22">
        <w:rPr>
          <w:w w:val="99"/>
          <w:lang w:val="en-US"/>
        </w:rPr>
        <w:t xml:space="preserve"> </w:t>
      </w:r>
      <w:proofErr w:type="spellStart"/>
      <w:r w:rsidRPr="00015F22">
        <w:rPr>
          <w:lang w:val="en-US"/>
        </w:rPr>
        <w:t>tion</w:t>
      </w:r>
      <w:proofErr w:type="spellEnd"/>
      <w:r w:rsidRPr="00015F22">
        <w:rPr>
          <w:lang w:val="en-US"/>
        </w:rPr>
        <w:t xml:space="preserve"> and scientific productivity. </w:t>
      </w:r>
      <w:proofErr w:type="spellStart"/>
      <w:r w:rsidRPr="00015F22">
        <w:rPr>
          <w:i/>
          <w:lang w:val="en-US"/>
        </w:rPr>
        <w:t>Scientometrics</w:t>
      </w:r>
      <w:proofErr w:type="spellEnd"/>
      <w:r w:rsidRPr="00015F22">
        <w:rPr>
          <w:lang w:val="en-US"/>
        </w:rPr>
        <w:t xml:space="preserve">, 77(2), </w:t>
      </w:r>
      <w:r w:rsidR="005E28FE">
        <w:rPr>
          <w:lang w:val="en-US"/>
        </w:rPr>
        <w:t>pp.</w:t>
      </w:r>
      <w:r w:rsidRPr="00015F22">
        <w:rPr>
          <w:lang w:val="en-US"/>
        </w:rPr>
        <w:t>309–333.</w:t>
      </w:r>
      <w:r w:rsidRPr="00015F22">
        <w:rPr>
          <w:w w:val="99"/>
          <w:lang w:val="en-US"/>
        </w:rPr>
        <w:t xml:space="preserve"> </w:t>
      </w:r>
    </w:p>
    <w:p w:rsidR="00AA40D4" w:rsidRPr="00015F22" w:rsidRDefault="00AA40D4" w:rsidP="00015F22">
      <w:pPr>
        <w:spacing w:line="235" w:lineRule="auto"/>
        <w:ind w:right="343"/>
        <w:jc w:val="both"/>
        <w:rPr>
          <w:lang w:val="en-US"/>
        </w:rPr>
      </w:pPr>
      <w:r w:rsidRPr="00015F22">
        <w:rPr>
          <w:lang w:val="en-US"/>
        </w:rPr>
        <w:t>Sabatier</w:t>
      </w:r>
      <w:r w:rsidR="005E28FE">
        <w:rPr>
          <w:lang w:val="en-US"/>
        </w:rPr>
        <w:t>,</w:t>
      </w:r>
      <w:r w:rsidRPr="00015F22">
        <w:rPr>
          <w:lang w:val="en-US"/>
        </w:rPr>
        <w:t xml:space="preserve"> M</w:t>
      </w:r>
      <w:r w:rsidR="005E28FE">
        <w:rPr>
          <w:lang w:val="en-US"/>
        </w:rPr>
        <w:t>.</w:t>
      </w:r>
      <w:r w:rsidRPr="00015F22">
        <w:rPr>
          <w:lang w:val="en-US"/>
        </w:rPr>
        <w:t>, Carrere</w:t>
      </w:r>
      <w:r w:rsidR="005E28FE">
        <w:rPr>
          <w:lang w:val="en-US"/>
        </w:rPr>
        <w:t>, M.,</w:t>
      </w:r>
      <w:r w:rsidRPr="00015F22">
        <w:rPr>
          <w:lang w:val="en-US"/>
        </w:rPr>
        <w:t xml:space="preserve"> </w:t>
      </w:r>
      <w:proofErr w:type="spellStart"/>
      <w:r w:rsidRPr="00015F22">
        <w:rPr>
          <w:lang w:val="en-US"/>
        </w:rPr>
        <w:t>Mangematin</w:t>
      </w:r>
      <w:proofErr w:type="spellEnd"/>
      <w:r w:rsidR="005E28FE">
        <w:rPr>
          <w:lang w:val="en-US"/>
        </w:rPr>
        <w:t>, V.</w:t>
      </w:r>
      <w:r w:rsidRPr="00015F22">
        <w:rPr>
          <w:lang w:val="en-US"/>
        </w:rPr>
        <w:t xml:space="preserve"> </w:t>
      </w:r>
      <w:r w:rsidR="00015F22" w:rsidRPr="00015F22">
        <w:rPr>
          <w:lang w:val="en-US"/>
        </w:rPr>
        <w:t>(</w:t>
      </w:r>
      <w:r w:rsidRPr="00015F22">
        <w:rPr>
          <w:lang w:val="en-US"/>
        </w:rPr>
        <w:t>2006</w:t>
      </w:r>
      <w:r w:rsidR="00015F22" w:rsidRPr="00015F22">
        <w:rPr>
          <w:lang w:val="en-US"/>
        </w:rPr>
        <w:t>)</w:t>
      </w:r>
      <w:r w:rsidRPr="00015F22">
        <w:rPr>
          <w:lang w:val="en-US"/>
        </w:rPr>
        <w:t xml:space="preserve">. </w:t>
      </w:r>
      <w:r w:rsidR="00015F22" w:rsidRPr="00015F22">
        <w:rPr>
          <w:lang w:val="en-US"/>
        </w:rPr>
        <w:t>P</w:t>
      </w:r>
      <w:r w:rsidRPr="00015F22">
        <w:rPr>
          <w:lang w:val="en-US"/>
        </w:rPr>
        <w:t xml:space="preserve">rofiles of academic activities and careers: does gender matter? An analysis based on French life scientists’ CVs. </w:t>
      </w:r>
      <w:r w:rsidRPr="00015F22">
        <w:rPr>
          <w:i/>
          <w:lang w:val="en-US"/>
        </w:rPr>
        <w:t xml:space="preserve">Journal of Technology Transfer, </w:t>
      </w:r>
      <w:r w:rsidRPr="00015F22">
        <w:rPr>
          <w:lang w:val="en-US"/>
        </w:rPr>
        <w:t xml:space="preserve">31, </w:t>
      </w:r>
      <w:r w:rsidR="00015F22" w:rsidRPr="00015F22">
        <w:rPr>
          <w:lang w:val="en-US"/>
        </w:rPr>
        <w:t>pp.</w:t>
      </w:r>
      <w:r w:rsidRPr="00015F22">
        <w:rPr>
          <w:lang w:val="en-US"/>
        </w:rPr>
        <w:t>311–324.</w:t>
      </w:r>
    </w:p>
    <w:p w:rsidR="00AA40D4" w:rsidRPr="00015F22" w:rsidRDefault="00AA40D4" w:rsidP="00FC776B">
      <w:pPr>
        <w:jc w:val="both"/>
        <w:rPr>
          <w:sz w:val="20"/>
          <w:szCs w:val="20"/>
          <w:lang w:val="en-US"/>
        </w:rPr>
      </w:pPr>
    </w:p>
    <w:sectPr w:rsidR="00AA40D4" w:rsidRPr="00015F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A8D" w:rsidRDefault="00EB2A8D" w:rsidP="00F97AFE">
      <w:pPr>
        <w:spacing w:after="0" w:line="240" w:lineRule="auto"/>
      </w:pPr>
      <w:r>
        <w:separator/>
      </w:r>
    </w:p>
  </w:endnote>
  <w:endnote w:type="continuationSeparator" w:id="0">
    <w:p w:rsidR="00EB2A8D" w:rsidRDefault="00EB2A8D" w:rsidP="00F9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478979"/>
      <w:docPartObj>
        <w:docPartGallery w:val="Page Numbers (Bottom of Page)"/>
        <w:docPartUnique/>
      </w:docPartObj>
    </w:sdtPr>
    <w:sdtEndPr/>
    <w:sdtContent>
      <w:p w:rsidR="00F97AFE" w:rsidRDefault="00F97A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2D">
          <w:rPr>
            <w:noProof/>
          </w:rPr>
          <w:t>1</w:t>
        </w:r>
        <w:r>
          <w:fldChar w:fldCharType="end"/>
        </w:r>
      </w:p>
    </w:sdtContent>
  </w:sdt>
  <w:p w:rsidR="00F97AFE" w:rsidRDefault="00F97A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A8D" w:rsidRDefault="00EB2A8D" w:rsidP="00F97AFE">
      <w:pPr>
        <w:spacing w:after="0" w:line="240" w:lineRule="auto"/>
      </w:pPr>
      <w:r>
        <w:separator/>
      </w:r>
    </w:p>
  </w:footnote>
  <w:footnote w:type="continuationSeparator" w:id="0">
    <w:p w:rsidR="00EB2A8D" w:rsidRDefault="00EB2A8D" w:rsidP="00F97AFE">
      <w:pPr>
        <w:spacing w:after="0" w:line="240" w:lineRule="auto"/>
      </w:pPr>
      <w:r>
        <w:continuationSeparator/>
      </w:r>
    </w:p>
  </w:footnote>
  <w:footnote w:id="1">
    <w:p w:rsidR="00843938" w:rsidRDefault="00843938">
      <w:pPr>
        <w:pStyle w:val="aa"/>
      </w:pPr>
      <w:r>
        <w:rPr>
          <w:rStyle w:val="ac"/>
        </w:rPr>
        <w:footnoteRef/>
      </w:r>
      <w:r>
        <w:t xml:space="preserve"> </w:t>
      </w:r>
      <w:r w:rsidRPr="000B0B6E">
        <w:rPr>
          <w:rFonts w:cs="Times New Roman"/>
          <w:szCs w:val="28"/>
        </w:rPr>
        <w:t>«</w:t>
      </w:r>
      <w:proofErr w:type="spellStart"/>
      <w:r w:rsidRPr="000B0B6E">
        <w:rPr>
          <w:rFonts w:cs="Times New Roman"/>
          <w:szCs w:val="28"/>
        </w:rPr>
        <w:t>Межпоколенная</w:t>
      </w:r>
      <w:proofErr w:type="spellEnd"/>
      <w:r w:rsidRPr="000B0B6E">
        <w:rPr>
          <w:rFonts w:cs="Times New Roman"/>
          <w:szCs w:val="28"/>
        </w:rPr>
        <w:t xml:space="preserve"> социальная мобильность от ХХ к ХХI веку: четыре генерации российской истории» (грант РНФ № 14-28-00217-П)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59E3"/>
    <w:multiLevelType w:val="hybridMultilevel"/>
    <w:tmpl w:val="3BB879AE"/>
    <w:lvl w:ilvl="0" w:tplc="A3EE684A">
      <w:start w:val="1"/>
      <w:numFmt w:val="decimal"/>
      <w:lvlText w:val="%1."/>
      <w:lvlJc w:val="left"/>
      <w:pPr>
        <w:ind w:left="560" w:hanging="228"/>
        <w:jc w:val="left"/>
      </w:pPr>
      <w:rPr>
        <w:rFonts w:ascii="Arial" w:eastAsia="Arial" w:hAnsi="Arial" w:cs="Arial" w:hint="default"/>
        <w:w w:val="99"/>
        <w:sz w:val="16"/>
        <w:szCs w:val="16"/>
      </w:rPr>
    </w:lvl>
    <w:lvl w:ilvl="1" w:tplc="46E8A43C">
      <w:numFmt w:val="bullet"/>
      <w:lvlText w:val="•"/>
      <w:lvlJc w:val="left"/>
      <w:pPr>
        <w:ind w:left="1017" w:hanging="228"/>
      </w:pPr>
      <w:rPr>
        <w:rFonts w:hint="default"/>
      </w:rPr>
    </w:lvl>
    <w:lvl w:ilvl="2" w:tplc="03D8B82A">
      <w:numFmt w:val="bullet"/>
      <w:lvlText w:val="•"/>
      <w:lvlJc w:val="left"/>
      <w:pPr>
        <w:ind w:left="1474" w:hanging="228"/>
      </w:pPr>
      <w:rPr>
        <w:rFonts w:hint="default"/>
      </w:rPr>
    </w:lvl>
    <w:lvl w:ilvl="3" w:tplc="B100C34C">
      <w:numFmt w:val="bullet"/>
      <w:lvlText w:val="•"/>
      <w:lvlJc w:val="left"/>
      <w:pPr>
        <w:ind w:left="1931" w:hanging="228"/>
      </w:pPr>
      <w:rPr>
        <w:rFonts w:hint="default"/>
      </w:rPr>
    </w:lvl>
    <w:lvl w:ilvl="4" w:tplc="CA522C30">
      <w:numFmt w:val="bullet"/>
      <w:lvlText w:val="•"/>
      <w:lvlJc w:val="left"/>
      <w:pPr>
        <w:ind w:left="2388" w:hanging="228"/>
      </w:pPr>
      <w:rPr>
        <w:rFonts w:hint="default"/>
      </w:rPr>
    </w:lvl>
    <w:lvl w:ilvl="5" w:tplc="9F027A58">
      <w:numFmt w:val="bullet"/>
      <w:lvlText w:val="•"/>
      <w:lvlJc w:val="left"/>
      <w:pPr>
        <w:ind w:left="2845" w:hanging="228"/>
      </w:pPr>
      <w:rPr>
        <w:rFonts w:hint="default"/>
      </w:rPr>
    </w:lvl>
    <w:lvl w:ilvl="6" w:tplc="FD80B036">
      <w:numFmt w:val="bullet"/>
      <w:lvlText w:val="•"/>
      <w:lvlJc w:val="left"/>
      <w:pPr>
        <w:ind w:left="3302" w:hanging="228"/>
      </w:pPr>
      <w:rPr>
        <w:rFonts w:hint="default"/>
      </w:rPr>
    </w:lvl>
    <w:lvl w:ilvl="7" w:tplc="88742A00">
      <w:numFmt w:val="bullet"/>
      <w:lvlText w:val="•"/>
      <w:lvlJc w:val="left"/>
      <w:pPr>
        <w:ind w:left="3759" w:hanging="228"/>
      </w:pPr>
      <w:rPr>
        <w:rFonts w:hint="default"/>
      </w:rPr>
    </w:lvl>
    <w:lvl w:ilvl="8" w:tplc="B5A4F6BA">
      <w:numFmt w:val="bullet"/>
      <w:lvlText w:val="•"/>
      <w:lvlJc w:val="left"/>
      <w:pPr>
        <w:ind w:left="4216" w:hanging="2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78"/>
    <w:rsid w:val="00015F22"/>
    <w:rsid w:val="0001735E"/>
    <w:rsid w:val="0010538F"/>
    <w:rsid w:val="001C252D"/>
    <w:rsid w:val="001D1685"/>
    <w:rsid w:val="001F22DF"/>
    <w:rsid w:val="0020420B"/>
    <w:rsid w:val="0026534D"/>
    <w:rsid w:val="00297F78"/>
    <w:rsid w:val="00323C59"/>
    <w:rsid w:val="003B4A4D"/>
    <w:rsid w:val="00457CE9"/>
    <w:rsid w:val="004620DD"/>
    <w:rsid w:val="00497468"/>
    <w:rsid w:val="004B082C"/>
    <w:rsid w:val="004F7CD4"/>
    <w:rsid w:val="00504CE8"/>
    <w:rsid w:val="005C38FB"/>
    <w:rsid w:val="005E28FE"/>
    <w:rsid w:val="006221B7"/>
    <w:rsid w:val="006532C5"/>
    <w:rsid w:val="006C1B2B"/>
    <w:rsid w:val="00827970"/>
    <w:rsid w:val="00843938"/>
    <w:rsid w:val="0084428D"/>
    <w:rsid w:val="008D6EC4"/>
    <w:rsid w:val="008F0E83"/>
    <w:rsid w:val="0094644F"/>
    <w:rsid w:val="009568F2"/>
    <w:rsid w:val="00A05937"/>
    <w:rsid w:val="00AA40D4"/>
    <w:rsid w:val="00C914D9"/>
    <w:rsid w:val="00E0351A"/>
    <w:rsid w:val="00E43604"/>
    <w:rsid w:val="00E90111"/>
    <w:rsid w:val="00E92A95"/>
    <w:rsid w:val="00EB2A8D"/>
    <w:rsid w:val="00F72A10"/>
    <w:rsid w:val="00F97AFE"/>
    <w:rsid w:val="00FB2719"/>
    <w:rsid w:val="00FB52B1"/>
    <w:rsid w:val="00FC2562"/>
    <w:rsid w:val="00F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3AAF1-8ACE-4043-A170-C26182A4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A4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A40D4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1"/>
    <w:qFormat/>
    <w:rsid w:val="00AA40D4"/>
    <w:pPr>
      <w:widowControl w:val="0"/>
      <w:autoSpaceDE w:val="0"/>
      <w:autoSpaceDN w:val="0"/>
      <w:spacing w:after="0" w:line="240" w:lineRule="auto"/>
      <w:ind w:left="560" w:hanging="226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F9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7AFE"/>
  </w:style>
  <w:style w:type="paragraph" w:styleId="a8">
    <w:name w:val="footer"/>
    <w:basedOn w:val="a"/>
    <w:link w:val="a9"/>
    <w:uiPriority w:val="99"/>
    <w:unhideWhenUsed/>
    <w:rsid w:val="00F9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7AFE"/>
  </w:style>
  <w:style w:type="character" w:customStyle="1" w:styleId="20">
    <w:name w:val="Заголовок 2 Знак"/>
    <w:basedOn w:val="a0"/>
    <w:link w:val="2"/>
    <w:uiPriority w:val="9"/>
    <w:rsid w:val="004B08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4393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4393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43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9C2B7-4158-48DF-9583-43722AFC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2</cp:revision>
  <dcterms:created xsi:type="dcterms:W3CDTF">2020-06-17T12:03:00Z</dcterms:created>
  <dcterms:modified xsi:type="dcterms:W3CDTF">2020-06-17T12:03:00Z</dcterms:modified>
</cp:coreProperties>
</file>