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4956" w:firstLine="70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</w:t>
      </w:r>
      <w:r/>
    </w:p>
    <w:p>
      <w:pPr>
        <w:contextualSpacing w:val="true"/>
        <w:ind w:left="4956" w:firstLine="70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ind w:left="4956" w:firstLine="70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УТВЕРЖДЕНЫ</w:t>
      </w:r>
      <w:r/>
    </w:p>
    <w:p>
      <w:pPr>
        <w:contextualSpacing w:val="true"/>
        <w:ind w:left="5664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НИУ ВШЭ </w:t>
      </w:r>
      <w:r/>
    </w:p>
    <w:p>
      <w:pPr>
        <w:contextualSpacing w:val="true"/>
        <w:ind w:left="5664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12.05.</w:t>
      </w:r>
      <w:r>
        <w:rPr>
          <w:rFonts w:ascii="Times New Roman" w:hAnsi="Times New Roman"/>
          <w:sz w:val="26"/>
          <w:szCs w:val="26"/>
        </w:rPr>
        <w:t xml:space="preserve">20</w:t>
      </w:r>
      <w:r>
        <w:rPr>
          <w:rFonts w:ascii="Times New Roman" w:hAnsi="Times New Roman"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  <w:lang w:val="en-US"/>
        </w:rPr>
        <w:t xml:space="preserve">_</w:t>
      </w:r>
      <w:r>
        <w:rPr>
          <w:rFonts w:ascii="Tahoma" w:hAnsi="Tahoma" w:cs="Tahoma" w:eastAsia="Tahoma"/>
          <w:color w:val="000000"/>
          <w:sz w:val="17"/>
        </w:rPr>
        <w:t xml:space="preserve"> </w:t>
      </w:r>
      <w:r>
        <w:rPr>
          <w:rFonts w:ascii="Tahoma" w:hAnsi="Tahoma" w:cs="Tahoma" w:eastAsia="Tahoma"/>
          <w:color w:val="000000"/>
          <w:sz w:val="22"/>
          <w:u w:val="single"/>
        </w:rPr>
        <w:t xml:space="preserve">6.18.1-01/1205-10</w:t>
      </w:r>
      <w:r>
        <w:rPr>
          <w:rFonts w:ascii="Times New Roman" w:hAnsi="Times New Roman"/>
          <w:sz w:val="26"/>
          <w:szCs w:val="26"/>
          <w:lang w:val="en-US"/>
        </w:rPr>
        <w:t xml:space="preserve">_</w:t>
      </w:r>
      <w:r/>
    </w:p>
    <w:p>
      <w:pPr>
        <w:contextualSpacing w:val="true"/>
        <w:ind w:left="5664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ind w:left="5664"/>
        <w:spacing w:lineRule="auto" w:line="240"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</w:t>
        <w:tab/>
        <w:tab/>
      </w:r>
      <w:r/>
    </w:p>
    <w:p>
      <w:pPr>
        <w:contextualSpacing w:val="true"/>
        <w:ind w:left="5664"/>
        <w:spacing w:lineRule="auto" w:line="240"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  <w:r/>
    </w:p>
    <w:p>
      <w:pPr>
        <w:contextualSpacing w:val="true"/>
        <w:ind w:left="5664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  <w:tab/>
        <w:tab/>
        <w:tab/>
        <w:tab/>
      </w:r>
      <w:r/>
    </w:p>
    <w:p>
      <w:pPr>
        <w:contextualSpacing w:val="true"/>
        <w:ind w:left="5664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Правила </w:t>
      </w:r>
      <w:r>
        <w:rPr>
          <w:rFonts w:ascii="Times New Roman" w:hAnsi="Times New Roman"/>
          <w:b/>
          <w:sz w:val="26"/>
          <w:szCs w:val="26"/>
        </w:rPr>
        <w:t xml:space="preserve">планирования и </w:t>
      </w:r>
      <w:r>
        <w:rPr>
          <w:rFonts w:ascii="Times New Roman" w:hAnsi="Times New Roman"/>
          <w:b/>
          <w:sz w:val="26"/>
          <w:szCs w:val="26"/>
        </w:rPr>
        <w:t xml:space="preserve">регламентации объема учебной нагрузки </w:t>
      </w:r>
      <w:r>
        <w:rPr>
          <w:rFonts w:ascii="Times New Roman" w:hAnsi="Times New Roman"/>
          <w:b/>
          <w:sz w:val="26"/>
          <w:szCs w:val="26"/>
        </w:rPr>
        <w:t xml:space="preserve">научно-педагогических работников </w:t>
      </w:r>
      <w:r>
        <w:rPr>
          <w:rFonts w:ascii="Times New Roman" w:hAnsi="Times New Roman"/>
          <w:b/>
          <w:sz w:val="26"/>
          <w:szCs w:val="26"/>
        </w:rPr>
        <w:t xml:space="preserve">на ст</w:t>
      </w:r>
      <w:r>
        <w:rPr>
          <w:rFonts w:ascii="Times New Roman" w:hAnsi="Times New Roman"/>
          <w:b/>
          <w:sz w:val="26"/>
          <w:szCs w:val="26"/>
        </w:rPr>
        <w:t xml:space="preserve">а</w:t>
      </w:r>
      <w:r>
        <w:rPr>
          <w:rFonts w:ascii="Times New Roman" w:hAnsi="Times New Roman"/>
          <w:b/>
          <w:sz w:val="26"/>
          <w:szCs w:val="26"/>
        </w:rPr>
        <w:t xml:space="preserve">вку по определенной должности </w:t>
      </w:r>
      <w:r>
        <w:rPr>
          <w:rFonts w:ascii="Times New Roman" w:hAnsi="Times New Roman"/>
          <w:b/>
          <w:sz w:val="26"/>
          <w:szCs w:val="26"/>
        </w:rPr>
        <w:t xml:space="preserve"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/>
    </w:p>
    <w:p>
      <w:pPr>
        <w:contextualSpacing w:val="true"/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</w:t>
      </w:r>
      <w:r>
        <w:rPr>
          <w:rFonts w:ascii="Times New Roman" w:hAnsi="Times New Roman"/>
          <w:b/>
          <w:sz w:val="26"/>
          <w:szCs w:val="26"/>
        </w:rPr>
        <w:t xml:space="preserve">ациональном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исследовательском </w:t>
      </w:r>
      <w:r>
        <w:rPr>
          <w:rFonts w:ascii="Times New Roman" w:hAnsi="Times New Roman"/>
          <w:b/>
          <w:sz w:val="26"/>
          <w:szCs w:val="26"/>
        </w:rPr>
        <w:t xml:space="preserve">университете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/>
    </w:p>
    <w:p>
      <w:pPr>
        <w:contextualSpacing w:val="true"/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«Высшая школа экономики»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20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b/>
          <w:sz w:val="26"/>
          <w:szCs w:val="26"/>
        </w:rPr>
        <w:t xml:space="preserve">/</w:t>
      </w:r>
      <w:r>
        <w:rPr>
          <w:rFonts w:ascii="Times New Roman" w:hAnsi="Times New Roman"/>
          <w:b/>
          <w:sz w:val="26"/>
          <w:szCs w:val="26"/>
        </w:rPr>
        <w:t xml:space="preserve">202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учебный год</w:t>
      </w:r>
      <w:r/>
    </w:p>
    <w:p>
      <w:pPr>
        <w:contextualSpacing w:val="true"/>
        <w:jc w:val="center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793"/>
        <w:numPr>
          <w:ilvl w:val="0"/>
          <w:numId w:val="2"/>
        </w:numPr>
        <w:ind w:left="0" w:firstLine="0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Общие положения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 нагрузка (далее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</w:rPr>
        <w:t xml:space="preserve">чебная работа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является одним из видов образовательной работы, выполняемой на</w:t>
      </w:r>
      <w:r>
        <w:rPr>
          <w:rFonts w:ascii="Times New Roman" w:hAnsi="Times New Roman"/>
          <w:sz w:val="26"/>
          <w:szCs w:val="26"/>
        </w:rPr>
        <w:t xml:space="preserve">учно-педагогически</w:t>
      </w:r>
      <w:r>
        <w:rPr>
          <w:rFonts w:ascii="Times New Roman" w:hAnsi="Times New Roman"/>
          <w:sz w:val="26"/>
          <w:szCs w:val="26"/>
        </w:rPr>
        <w:t xml:space="preserve">ми</w:t>
      </w:r>
      <w:r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 xml:space="preserve">ами НИУ</w:t>
      </w:r>
      <w:r>
        <w:rPr>
          <w:rFonts w:ascii="Times New Roman" w:hAnsi="Times New Roman"/>
          <w:sz w:val="26"/>
          <w:szCs w:val="26"/>
        </w:rPr>
        <w:t xml:space="preserve"> </w:t>
      </w:r>
      <w:r>
        <w:rPr>
          <w:rFonts w:ascii="Times New Roman" w:hAnsi="Times New Roman"/>
          <w:sz w:val="26"/>
          <w:szCs w:val="26"/>
        </w:rPr>
        <w:t xml:space="preserve">ВШЭ.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 работа </w:t>
      </w:r>
      <w:r>
        <w:rPr>
          <w:rFonts w:ascii="Times New Roman" w:hAnsi="Times New Roman"/>
          <w:sz w:val="26"/>
          <w:szCs w:val="26"/>
        </w:rPr>
        <w:t xml:space="preserve">педагогического работника профессорско-преподавательского состава (далее – работник ППС)</w:t>
      </w:r>
      <w:r>
        <w:rPr>
          <w:rFonts w:ascii="Times New Roman" w:hAnsi="Times New Roman"/>
          <w:sz w:val="26"/>
          <w:szCs w:val="26"/>
        </w:rPr>
        <w:t xml:space="preserve"> включается в общий объем работы, который определяется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793"/>
        <w:numPr>
          <w:ilvl w:val="2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36-часовой шестидневной рабочей недели</w:t>
      </w:r>
      <w:r>
        <w:rPr>
          <w:rStyle w:val="780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 – для работника ППС, работающего </w:t>
      </w:r>
      <w:r>
        <w:rPr>
          <w:rFonts w:ascii="Times New Roman" w:hAnsi="Times New Roman"/>
          <w:sz w:val="26"/>
          <w:szCs w:val="26"/>
        </w:rPr>
        <w:t xml:space="preserve">по основному месту работы на полную ставку</w:t>
      </w:r>
      <w:r>
        <w:rPr>
          <w:rFonts w:ascii="Times New Roman" w:hAnsi="Times New Roman"/>
          <w:sz w:val="26"/>
          <w:szCs w:val="26"/>
        </w:rPr>
        <w:t xml:space="preserve"> (на условиях полного рабочего времени);</w:t>
      </w:r>
      <w:r/>
    </w:p>
    <w:p>
      <w:pPr>
        <w:pStyle w:val="793"/>
        <w:numPr>
          <w:ilvl w:val="2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пропорционально доле ставки/продолжительности рабочего времени по отношению к </w:t>
      </w:r>
      <w:r>
        <w:rPr>
          <w:rFonts w:ascii="Times New Roman" w:hAnsi="Times New Roman"/>
          <w:sz w:val="26"/>
          <w:szCs w:val="26"/>
        </w:rPr>
        <w:t xml:space="preserve">образовательной</w:t>
      </w:r>
      <w:r>
        <w:rPr>
          <w:rFonts w:ascii="Times New Roman" w:hAnsi="Times New Roman"/>
          <w:sz w:val="26"/>
          <w:szCs w:val="26"/>
        </w:rPr>
        <w:t xml:space="preserve"> работе научно-педагогического работника, работающего по основному месту работы на полную ставку</w:t>
      </w:r>
      <w:r>
        <w:rPr>
          <w:rFonts w:ascii="Times New Roman" w:hAnsi="Times New Roman"/>
          <w:sz w:val="26"/>
          <w:szCs w:val="26"/>
        </w:rPr>
        <w:t xml:space="preserve"> для работника ППС, работающего </w:t>
      </w:r>
      <w:r>
        <w:rPr>
          <w:rFonts w:ascii="Times New Roman" w:hAnsi="Times New Roman"/>
          <w:sz w:val="26"/>
          <w:szCs w:val="26"/>
        </w:rPr>
        <w:t xml:space="preserve">на условиях совместительства или неполного рабочего времени.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Структура и объем учебной работы </w:t>
      </w:r>
      <w:r>
        <w:rPr>
          <w:rFonts w:ascii="Times New Roman" w:hAnsi="Times New Roman"/>
          <w:sz w:val="26"/>
          <w:szCs w:val="26"/>
        </w:rPr>
        <w:t xml:space="preserve">составляют</w:t>
      </w:r>
      <w:r>
        <w:rPr>
          <w:rFonts w:ascii="Times New Roman" w:hAnsi="Times New Roman"/>
          <w:b/>
          <w:sz w:val="26"/>
          <w:szCs w:val="26"/>
        </w:rPr>
        <w:t xml:space="preserve"> учебную нагрузку.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 учебной нагрузки </w:t>
      </w:r>
      <w:r>
        <w:rPr>
          <w:rFonts w:ascii="Times New Roman" w:hAnsi="Times New Roman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 xml:space="preserve">ППС </w:t>
      </w:r>
      <w:r>
        <w:rPr>
          <w:rFonts w:ascii="Times New Roman" w:hAnsi="Times New Roman"/>
          <w:sz w:val="26"/>
          <w:szCs w:val="26"/>
        </w:rPr>
        <w:t xml:space="preserve">осуществляется руководителем структурного подразделения</w:t>
      </w:r>
      <w:r>
        <w:rPr>
          <w:rStyle w:val="780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 xml:space="preserve">, работники которого принимают участие в реализации образовательных программ высшего образования (далее – Департамент), в соответствии с </w:t>
      </w:r>
      <w:r>
        <w:rPr>
          <w:rFonts w:ascii="Times New Roman" w:hAnsi="Times New Roman"/>
          <w:sz w:val="26"/>
          <w:szCs w:val="26"/>
        </w:rPr>
        <w:t xml:space="preserve">Порядком</w:t>
      </w:r>
      <w:r>
        <w:rPr>
          <w:b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установления норм времени по видам контактной работы на одного обучающегося 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Национально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 исследовательско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 университет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«Высшая школа экономики» на 20</w:t>
      </w:r>
      <w:r>
        <w:rPr>
          <w:rFonts w:ascii="Times New Roman" w:hAnsi="Times New Roman"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/202</w:t>
      </w:r>
      <w:r>
        <w:rPr>
          <w:rFonts w:ascii="Times New Roman" w:hAnsi="Times New Roman"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учебный год (далее – </w:t>
      </w:r>
      <w:r>
        <w:rPr>
          <w:rFonts w:ascii="Times New Roman" w:hAnsi="Times New Roman"/>
          <w:sz w:val="26"/>
          <w:szCs w:val="26"/>
        </w:rPr>
        <w:t xml:space="preserve">Порядок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Нормативы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Трудовым кодексом Российской Федерации и иными нормативными правовыми актами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Style w:val="780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 xml:space="preserve">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</w:t>
      </w:r>
      <w:r>
        <w:rPr>
          <w:rFonts w:ascii="Times New Roman" w:hAnsi="Times New Roman"/>
          <w:sz w:val="26"/>
          <w:szCs w:val="26"/>
        </w:rPr>
        <w:t xml:space="preserve"> нагрузк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научного работника, выполняющего образовательную работу </w:t>
      </w:r>
      <w:r>
        <w:rPr>
          <w:rFonts w:ascii="Times New Roman" w:hAnsi="Times New Roman"/>
          <w:sz w:val="26"/>
          <w:szCs w:val="26"/>
        </w:rPr>
        <w:t xml:space="preserve">в рамках трудового договора, </w:t>
      </w:r>
      <w:r>
        <w:rPr>
          <w:rFonts w:ascii="Times New Roman" w:hAnsi="Times New Roman"/>
          <w:sz w:val="26"/>
          <w:szCs w:val="26"/>
        </w:rPr>
        <w:t xml:space="preserve">заключаемого </w:t>
      </w:r>
      <w:r>
        <w:rPr>
          <w:rFonts w:ascii="Times New Roman" w:hAnsi="Times New Roman"/>
          <w:sz w:val="26"/>
          <w:szCs w:val="26"/>
        </w:rPr>
        <w:t xml:space="preserve">на условиях единого контракта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рассчитывается в структурном подразделении, в котором работает научный работник, в соответствии с </w:t>
      </w:r>
      <w:r>
        <w:rPr>
          <w:rFonts w:ascii="Times New Roman" w:hAnsi="Times New Roman"/>
          <w:sz w:val="26"/>
          <w:szCs w:val="26"/>
        </w:rPr>
        <w:t xml:space="preserve">Порядком </w:t>
      </w:r>
      <w:r>
        <w:rPr>
          <w:rFonts w:ascii="Times New Roman" w:hAnsi="Times New Roman"/>
          <w:sz w:val="26"/>
          <w:szCs w:val="26"/>
        </w:rPr>
        <w:t xml:space="preserve">и подтверждается в соответствии с Регламентом</w:t>
      </w:r>
      <w:r>
        <w:rPr>
          <w:rFonts w:ascii="Times New Roman" w:hAnsi="Times New Roman"/>
          <w:sz w:val="26"/>
          <w:szCs w:val="26"/>
        </w:rPr>
        <w:t xml:space="preserve"> подтверждения выполнения </w:t>
      </w:r>
      <w:r>
        <w:rPr>
          <w:rFonts w:ascii="Times New Roman" w:hAnsi="Times New Roman"/>
          <w:sz w:val="26"/>
          <w:szCs w:val="26"/>
        </w:rPr>
        <w:t xml:space="preserve">учебной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научными работниками НИУ ВШЭ на 20</w:t>
      </w:r>
      <w:r>
        <w:rPr>
          <w:rFonts w:ascii="Times New Roman" w:hAnsi="Times New Roman"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/202</w:t>
      </w:r>
      <w:r>
        <w:rPr>
          <w:rFonts w:ascii="Times New Roman" w:hAnsi="Times New Roman"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 учебный год.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</w:t>
      </w:r>
      <w:r>
        <w:rPr>
          <w:rFonts w:ascii="Times New Roman" w:hAnsi="Times New Roman"/>
          <w:sz w:val="26"/>
          <w:szCs w:val="26"/>
        </w:rPr>
        <w:t xml:space="preserve">чебн</w:t>
      </w:r>
      <w:r>
        <w:rPr>
          <w:rFonts w:ascii="Times New Roman" w:hAnsi="Times New Roman"/>
          <w:sz w:val="26"/>
          <w:szCs w:val="26"/>
        </w:rPr>
        <w:t xml:space="preserve">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нагр</w:t>
      </w:r>
      <w:r>
        <w:rPr>
          <w:rFonts w:ascii="Times New Roman" w:hAnsi="Times New Roman"/>
          <w:sz w:val="26"/>
          <w:szCs w:val="26"/>
        </w:rPr>
        <w:t xml:space="preserve">узка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лиц, привлекаемы</w:t>
      </w:r>
      <w:r>
        <w:rPr>
          <w:rFonts w:ascii="Times New Roman" w:hAnsi="Times New Roman"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 xml:space="preserve">для оказания образовательных услуг на условиях почасовой оплаты по гражданско-правовому договору (далее соответственно – исполнитель по ГПД, ГПД), фиксируется в соответствующем ГПД, заключаемом в установленном в НИУ ВШЭ порядке.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и объемы иных видов работ </w:t>
      </w:r>
      <w:r>
        <w:rPr>
          <w:rFonts w:ascii="Times New Roman" w:hAnsi="Times New Roman"/>
          <w:sz w:val="26"/>
          <w:szCs w:val="26"/>
        </w:rPr>
        <w:t xml:space="preserve">научно-педагогических работников </w:t>
      </w:r>
      <w:r>
        <w:rPr>
          <w:rFonts w:ascii="Times New Roman" w:hAnsi="Times New Roman"/>
          <w:sz w:val="26"/>
          <w:szCs w:val="26"/>
        </w:rPr>
        <w:t xml:space="preserve">определяются руководителем Департамента в соответствии с локальными нормативными актами НИУ ВШЭ.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Ответственными за выполнение настоящих Правил при планировании и учете </w:t>
      </w:r>
      <w:r>
        <w:rPr>
          <w:rFonts w:ascii="Times New Roman" w:hAnsi="Times New Roman"/>
          <w:sz w:val="26"/>
          <w:szCs w:val="26"/>
        </w:rPr>
        <w:t xml:space="preserve">учебной нагрузки</w:t>
      </w:r>
      <w:r>
        <w:rPr>
          <w:rFonts w:ascii="Times New Roman" w:hAnsi="Times New Roman"/>
          <w:sz w:val="26"/>
          <w:szCs w:val="26"/>
        </w:rPr>
        <w:t xml:space="preserve"> (в том числе, фактически выполненной учебной нагрузки) являются руководители Департаментов.</w:t>
      </w:r>
      <w:r/>
    </w:p>
    <w:p>
      <w:pPr>
        <w:contextualSpacing w:val="true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0"/>
          <w:numId w:val="2"/>
        </w:numPr>
        <w:ind w:left="0" w:firstLine="0"/>
        <w:jc w:val="center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Основания п</w:t>
      </w:r>
      <w:r>
        <w:rPr>
          <w:rFonts w:ascii="Times New Roman" w:hAnsi="Times New Roman"/>
          <w:b/>
          <w:sz w:val="26"/>
          <w:szCs w:val="26"/>
        </w:rPr>
        <w:t xml:space="preserve">ланировани</w:t>
      </w:r>
      <w:r>
        <w:rPr>
          <w:rFonts w:ascii="Times New Roman" w:hAnsi="Times New Roman"/>
          <w:b/>
          <w:sz w:val="26"/>
          <w:szCs w:val="26"/>
        </w:rPr>
        <w:t xml:space="preserve">я</w:t>
      </w:r>
      <w:r>
        <w:rPr>
          <w:rFonts w:ascii="Times New Roman" w:hAnsi="Times New Roman"/>
          <w:b/>
          <w:sz w:val="26"/>
          <w:szCs w:val="26"/>
        </w:rPr>
        <w:t xml:space="preserve"> и учет</w:t>
      </w:r>
      <w:r>
        <w:rPr>
          <w:rFonts w:ascii="Times New Roman" w:hAnsi="Times New Roman"/>
          <w:b/>
          <w:sz w:val="26"/>
          <w:szCs w:val="26"/>
        </w:rPr>
        <w:t xml:space="preserve"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учебной нагрузки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 учебной </w:t>
      </w:r>
      <w:r>
        <w:rPr>
          <w:rFonts w:ascii="Times New Roman" w:hAnsi="Times New Roman"/>
          <w:sz w:val="26"/>
          <w:szCs w:val="26"/>
        </w:rPr>
        <w:t xml:space="preserve">нагрузки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работников ППС, исполнителей по ГПД, научных работников (далее совместно – преподаватели) осуществляется на основании утвержденных</w:t>
      </w:r>
      <w:r>
        <w:rPr>
          <w:rFonts w:ascii="Times New Roman" w:hAnsi="Times New Roman"/>
          <w:sz w:val="26"/>
          <w:szCs w:val="26"/>
        </w:rPr>
        <w:t xml:space="preserve"> в установленном в НИУ ВШЭ порядке:</w:t>
      </w:r>
      <w:r/>
    </w:p>
    <w:p>
      <w:pPr>
        <w:pStyle w:val="793"/>
        <w:numPr>
          <w:ilvl w:val="2"/>
          <w:numId w:val="2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учебных планов образовательных программ высшего образования, общеуниверситетского набора дисциплин (в том числе дисциплин </w:t>
      </w:r>
      <w:r>
        <w:rPr>
          <w:rFonts w:ascii="Times New Roman" w:hAnsi="Times New Roman"/>
          <w:sz w:val="26"/>
          <w:szCs w:val="26"/>
        </w:rPr>
        <w:t xml:space="preserve">МагоЛего</w:t>
      </w:r>
      <w:r>
        <w:rPr>
          <w:rFonts w:ascii="Times New Roman" w:hAnsi="Times New Roman"/>
          <w:sz w:val="26"/>
          <w:szCs w:val="26"/>
        </w:rPr>
        <w:t xml:space="preserve">, общеуниверситетских факультативов, </w:t>
      </w:r>
      <w:r>
        <w:rPr>
          <w:rFonts w:ascii="Times New Roman" w:hAnsi="Times New Roman"/>
          <w:sz w:val="26"/>
          <w:szCs w:val="26"/>
        </w:rPr>
        <w:t xml:space="preserve">майноров</w:t>
      </w:r>
      <w:r>
        <w:rPr>
          <w:rFonts w:ascii="Times New Roman" w:hAnsi="Times New Roman"/>
          <w:sz w:val="26"/>
          <w:szCs w:val="26"/>
        </w:rPr>
        <w:t xml:space="preserve">); </w:t>
      </w:r>
      <w:r/>
    </w:p>
    <w:p>
      <w:pPr>
        <w:pStyle w:val="793"/>
        <w:numPr>
          <w:ilvl w:val="2"/>
          <w:numId w:val="2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учебных планов факультетских дней для учащихся Лицея НИУ ВШЭ и распределенного лицея НИУ ВШЭ.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Учебные планы, указанные в пункте 2.1 настоящих Правил,</w:t>
      </w:r>
      <w:r>
        <w:rPr>
          <w:rFonts w:ascii="Times New Roman" w:hAnsi="Times New Roman"/>
          <w:sz w:val="26"/>
          <w:szCs w:val="26"/>
        </w:rPr>
        <w:t xml:space="preserve"> храня</w:t>
      </w:r>
      <w:r>
        <w:rPr>
          <w:rFonts w:ascii="Times New Roman" w:hAnsi="Times New Roman"/>
          <w:sz w:val="26"/>
          <w:szCs w:val="26"/>
        </w:rPr>
        <w:t xml:space="preserve">тся</w:t>
      </w:r>
      <w:r>
        <w:rPr>
          <w:rFonts w:ascii="Times New Roman" w:hAnsi="Times New Roman"/>
          <w:sz w:val="26"/>
          <w:szCs w:val="26"/>
        </w:rPr>
        <w:t xml:space="preserve"> в корпоративной информационной системе «Абитуриент. Студент. Аспирант. Выпускник» (далее – АСАВ</w:t>
      </w:r>
      <w:r>
        <w:rPr>
          <w:rFonts w:ascii="Times New Roman" w:hAnsi="Times New Roman"/>
          <w:sz w:val="26"/>
          <w:szCs w:val="26"/>
        </w:rPr>
        <w:t xml:space="preserve">). 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ри расчете объема планируемой учебной нагрузки используются данные о контингенте студентов, аспирантов, учащихся Лицея НИУ ВШЭ и распределенного лицея НИУ ВШЭ, численность учебных групп и количество лекционных потоков на курсе/в классе, указанные в утвержд</w:t>
      </w:r>
      <w:r>
        <w:rPr>
          <w:rFonts w:ascii="Times New Roman" w:hAnsi="Times New Roman"/>
          <w:sz w:val="26"/>
          <w:szCs w:val="26"/>
        </w:rPr>
        <w:t xml:space="preserve">енных в установленном порядке учебных планах образовательных программ высшего образования и в учебных планах факультетских дней для учащихся Лицея НИУ ВШЭ и распределенного лицея НИУ ВШЭ.</w:t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 учебной нагрузки преподавателей, связанной с реализацией общеуниверситетских факультативов и дисциплин по выбору, включенных в несколько учебных планов, допускается только в случае их выбора студентами НИУ</w:t>
      </w:r>
      <w:r>
        <w:rPr>
          <w:rFonts w:ascii="Times New Roman" w:hAnsi="Times New Roman"/>
          <w:sz w:val="26"/>
          <w:szCs w:val="26"/>
        </w:rPr>
        <w:t xml:space="preserve"> </w:t>
      </w:r>
      <w:r>
        <w:rPr>
          <w:rFonts w:ascii="Times New Roman" w:hAnsi="Times New Roman"/>
          <w:sz w:val="26"/>
          <w:szCs w:val="26"/>
        </w:rPr>
        <w:t xml:space="preserve">ВШЭ, числ</w:t>
      </w:r>
      <w:r>
        <w:rPr>
          <w:rFonts w:ascii="Times New Roman" w:hAnsi="Times New Roman"/>
          <w:sz w:val="26"/>
          <w:szCs w:val="26"/>
        </w:rPr>
        <w:t xml:space="preserve">енность</w:t>
      </w:r>
      <w:r>
        <w:rPr>
          <w:rFonts w:ascii="Times New Roman" w:hAnsi="Times New Roman"/>
          <w:sz w:val="26"/>
          <w:szCs w:val="26"/>
        </w:rPr>
        <w:t xml:space="preserve"> которых составляет не </w:t>
      </w:r>
      <w:r>
        <w:rPr>
          <w:rFonts w:ascii="Times New Roman" w:hAnsi="Times New Roman"/>
          <w:sz w:val="26"/>
          <w:szCs w:val="26"/>
        </w:rPr>
        <w:t xml:space="preserve">менее указанно</w:t>
      </w:r>
      <w:r>
        <w:rPr>
          <w:rFonts w:ascii="Times New Roman" w:hAnsi="Times New Roman"/>
          <w:sz w:val="26"/>
          <w:szCs w:val="26"/>
        </w:rPr>
        <w:t xml:space="preserve">й</w:t>
      </w:r>
      <w:r>
        <w:rPr>
          <w:rFonts w:ascii="Times New Roman" w:hAnsi="Times New Roman"/>
          <w:sz w:val="26"/>
          <w:szCs w:val="26"/>
        </w:rPr>
        <w:t xml:space="preserve"> в таблице 1:</w:t>
      </w:r>
      <w:r>
        <w:rPr>
          <w:rFonts w:ascii="Times New Roman" w:hAnsi="Times New Roman"/>
          <w:color w:val="auto"/>
          <w:sz w:val="24"/>
          <w:szCs w:val="24"/>
        </w:rPr>
      </w:r>
      <w:r/>
    </w:p>
    <w:p>
      <w:pPr>
        <w:pStyle w:val="794"/>
        <w:ind w:firstLine="0"/>
        <w:jc w:val="left"/>
        <w:keepNext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  <w:r/>
    </w:p>
    <w:p>
      <w:pPr>
        <w:spacing w:lineRule="auto" w:line="240"/>
      </w:pPr>
      <w:r/>
      <w:r/>
    </w:p>
    <w:p>
      <w:pPr>
        <w:pStyle w:val="794"/>
        <w:ind w:firstLine="709"/>
        <w:jc w:val="right"/>
        <w:keepNext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</w:rPr>
        <w:t xml:space="preserve">1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>
        <w:trPr/>
        <w:tc>
          <w:tcPr>
            <w:shd w:val="clear" w:color="auto" w:fill="auto"/>
            <w:tcW w:w="6204" w:type="dxa"/>
            <w:textDirection w:val="lrTb"/>
            <w:noWrap w:val="false"/>
          </w:tcPr>
          <w:p>
            <w:pPr>
              <w:pStyle w:val="794"/>
              <w:ind w:firstLine="709"/>
              <w:jc w:val="right"/>
              <w:keepNext/>
              <w:spacing w:lineRule="auto"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Вид дисциплины</w:t>
            </w:r>
            <w:r/>
          </w:p>
        </w:tc>
        <w:tc>
          <w:tcPr>
            <w:shd w:val="clear" w:color="auto" w:fill="auto"/>
            <w:tcW w:w="3367" w:type="dxa"/>
            <w:textDirection w:val="lrTb"/>
            <w:noWrap w:val="false"/>
          </w:tcPr>
          <w:p>
            <w:pPr>
              <w:pStyle w:val="794"/>
              <w:ind w:firstLine="709"/>
              <w:jc w:val="right"/>
              <w:keepNext/>
              <w:spacing w:lineRule="auto"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Минимальн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енность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студентов, выбравших дисциплину</w:t>
            </w:r>
            <w:r/>
          </w:p>
        </w:tc>
      </w:tr>
      <w:tr>
        <w:trPr/>
        <w:tc>
          <w:tcPr>
            <w:shd w:val="clear" w:color="auto" w:fill="auto"/>
            <w:tcW w:w="6204" w:type="dxa"/>
            <w:textDirection w:val="lrTb"/>
            <w:noWrap w:val="false"/>
          </w:tcPr>
          <w:p>
            <w:pPr>
              <w:contextualSpacing w:val="true"/>
              <w:jc w:val="both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по выбору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бакалавриате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специалитете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включенная в учебные планы нескольких образовательных программ</w:t>
            </w:r>
            <w:r/>
          </w:p>
        </w:tc>
        <w:tc>
          <w:tcPr>
            <w:shd w:val="clear" w:color="auto" w:fill="auto"/>
            <w:tcW w:w="3367" w:type="dxa"/>
            <w:textDirection w:val="lrTb"/>
            <w:noWrap w:val="false"/>
          </w:tcPr>
          <w:p>
            <w:pPr>
              <w:contextualSpacing w:val="true"/>
              <w:jc w:val="center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6204" w:type="dxa"/>
            <w:textDirection w:val="lrTb"/>
            <w:noWrap w:val="false"/>
          </w:tcPr>
          <w:p>
            <w:pPr>
              <w:contextualSpacing w:val="true"/>
              <w:jc w:val="both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по выбору в магистратуре, включенная в учебные планы нескольких образовательных программ</w:t>
            </w:r>
            <w:r/>
          </w:p>
        </w:tc>
        <w:tc>
          <w:tcPr>
            <w:shd w:val="clear" w:color="auto" w:fill="auto"/>
            <w:tcW w:w="3367" w:type="dxa"/>
            <w:textDirection w:val="lrTb"/>
            <w:noWrap w:val="false"/>
          </w:tcPr>
          <w:p>
            <w:pPr>
              <w:contextualSpacing w:val="true"/>
              <w:jc w:val="center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6204" w:type="dxa"/>
            <w:textDirection w:val="lrTb"/>
            <w:noWrap w:val="false"/>
          </w:tcPr>
          <w:p>
            <w:pPr>
              <w:contextualSpacing w:val="true"/>
              <w:jc w:val="both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Общеуниверситетский факультатив</w:t>
            </w:r>
            <w:r/>
          </w:p>
        </w:tc>
        <w:tc>
          <w:tcPr>
            <w:shd w:val="clear" w:color="auto" w:fill="auto"/>
            <w:tcW w:w="3367" w:type="dxa"/>
            <w:textDirection w:val="lrTb"/>
            <w:noWrap w:val="false"/>
          </w:tcPr>
          <w:p>
            <w:pPr>
              <w:contextualSpacing w:val="true"/>
              <w:jc w:val="center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6204" w:type="dxa"/>
            <w:textDirection w:val="lrTb"/>
            <w:noWrap w:val="false"/>
          </w:tcPr>
          <w:p>
            <w:pPr>
              <w:contextualSpacing w:val="true"/>
              <w:jc w:val="both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МагоЛего</w:t>
            </w:r>
            <w:r/>
          </w:p>
        </w:tc>
        <w:tc>
          <w:tcPr>
            <w:shd w:val="clear" w:color="auto" w:fill="auto"/>
            <w:tcW w:w="3367" w:type="dxa"/>
            <w:textDirection w:val="lrTb"/>
            <w:noWrap w:val="false"/>
          </w:tcPr>
          <w:p>
            <w:pPr>
              <w:contextualSpacing w:val="true"/>
              <w:jc w:val="center"/>
              <w:spacing w:after="0"/>
              <w:widowControl w:val="off"/>
              <w:tabs>
                <w:tab w:val="left" w:pos="113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</w:t>
            </w:r>
            <w:r/>
          </w:p>
        </w:tc>
      </w:tr>
    </w:tbl>
    <w:p>
      <w:pPr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1"/>
          <w:numId w:val="2"/>
        </w:numPr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</w:t>
      </w:r>
      <w:r>
        <w:rPr>
          <w:rFonts w:ascii="Times New Roman" w:hAnsi="Times New Roman"/>
          <w:sz w:val="26"/>
          <w:szCs w:val="26"/>
        </w:rPr>
        <w:t xml:space="preserve">казанное в учебном плане образовательной программы общее число часов на проведение текущего контроля и промежуточной аттестации (далее – Часы на контроль) по учебной дисциплине или иному элементу учебного плана (далее – Дисциплина) распределяется среди пре</w:t>
      </w: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одавателей Департамента в соответствии с правилами, принятыми в Департаменте. Департамент самостоятельно принимает решение о типах текущего контроля и формах промежуточной аттестации, количестве контрольных мероприятий, включенных в программу Дисциплины, к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торые должны быть учтены в индивидуальной нагрузке преподавателя как Часы на контроль, а также о нормативах учета Часов на контроль. Общее число Часов на контроль всех преподавателей, задействованных в проверке результатов или в проведении контрольных меро</w:t>
      </w:r>
      <w:r>
        <w:rPr>
          <w:rFonts w:ascii="Times New Roman" w:hAnsi="Times New Roman"/>
          <w:sz w:val="26"/>
          <w:szCs w:val="26"/>
        </w:rPr>
        <w:t xml:space="preserve">приятий по одной Дисциплине, не должно превышать общее число Часов на контроль, указанное в учебном плане по этой Дисциплине</w:t>
      </w:r>
      <w:r>
        <w:rPr>
          <w:rStyle w:val="780"/>
          <w:rFonts w:ascii="Times New Roman" w:hAnsi="Times New Roman"/>
          <w:sz w:val="26"/>
          <w:szCs w:val="26"/>
        </w:rPr>
        <w:footnoteReference w:id="4"/>
      </w:r>
      <w:r>
        <w:rPr>
          <w:rFonts w:ascii="Times New Roman" w:hAnsi="Times New Roman"/>
          <w:sz w:val="26"/>
          <w:szCs w:val="26"/>
        </w:rPr>
        <w:t xml:space="preserve">. Распределение Часов на контроль по преподавателям фиксируется Департаментом в АСАВ по каждой Дисциплине. Нормативы по текущему контролю и иным видам работ регулируются, распределяются и утверждаются протоколом заседания </w:t>
      </w: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епартамента. Индивидуальные планы и отчеты по иным видам работ ППС хранятся в порядке, установленном в Департаменте.</w:t>
      </w:r>
      <w:r/>
    </w:p>
    <w:p>
      <w:pPr>
        <w:pStyle w:val="793"/>
        <w:numPr>
          <w:ilvl w:val="1"/>
          <w:numId w:val="9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преподаватель, по согласованию с руководителем структурного подразделения, в котором он работает, планирует руководить проектами, практиками, курсовыми</w:t>
      </w:r>
      <w:r>
        <w:rPr>
          <w:rFonts w:ascii="Times New Roman" w:hAnsi="Times New Roman"/>
          <w:sz w:val="26"/>
          <w:szCs w:val="26"/>
        </w:rPr>
        <w:t xml:space="preserve"> работами</w:t>
      </w:r>
      <w:r>
        <w:rPr>
          <w:rFonts w:ascii="Times New Roman" w:hAnsi="Times New Roman"/>
          <w:sz w:val="26"/>
          <w:szCs w:val="26"/>
        </w:rPr>
        <w:t xml:space="preserve">, выпускными квалификационными работами (далее – ВКР) студентов или выполнять иные виды учебной работы, предусмотренные в Нормативах, то соответствующие часы включаются в учебную нагрузку этого преподавателя.</w:t>
      </w:r>
      <w:r/>
    </w:p>
    <w:p>
      <w:pPr>
        <w:pStyle w:val="793"/>
        <w:numPr>
          <w:ilvl w:val="1"/>
          <w:numId w:val="9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расчет учебной нагрузки, реализуемой в рамках трудового договора преподавателя с НИУ ВШЭ, не могут быть включены факультативы или иные элементы учебного плана, финансируемые за счет факультетов или образовательных программ. Учебная нагрузка по элементам у</w:t>
      </w:r>
      <w:r>
        <w:rPr>
          <w:rFonts w:ascii="Times New Roman" w:hAnsi="Times New Roman"/>
          <w:sz w:val="26"/>
          <w:szCs w:val="26"/>
        </w:rPr>
        <w:t xml:space="preserve">чебного плана полностью платных образовательных программ, а также по факультативам и иным элементам учебных планов образовательных программ, финансируемым за счет факультетов, </w:t>
      </w:r>
      <w:r>
        <w:rPr>
          <w:rFonts w:ascii="Times New Roman" w:hAnsi="Times New Roman"/>
          <w:sz w:val="26"/>
          <w:szCs w:val="26"/>
        </w:rPr>
        <w:t xml:space="preserve">образовательных программ или сторонних по отношению к НИУ ВШЭ организаций, должна быть зафиксирована в АСАВ с использованием инструмента формирования приложения к ГПД.</w:t>
      </w:r>
      <w:r/>
    </w:p>
    <w:p>
      <w:pPr>
        <w:pStyle w:val="793"/>
        <w:ind w:left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0"/>
          <w:numId w:val="9"/>
        </w:numPr>
        <w:ind w:left="0" w:firstLine="0"/>
        <w:jc w:val="center"/>
        <w:spacing w:after="0"/>
        <w:widowControl w:val="off"/>
        <w:tabs>
          <w:tab w:val="left" w:pos="993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Особенности планирования и учета </w:t>
      </w:r>
      <w:r>
        <w:rPr>
          <w:rFonts w:ascii="Times New Roman" w:hAnsi="Times New Roman"/>
          <w:b/>
          <w:sz w:val="26"/>
          <w:szCs w:val="26"/>
        </w:rPr>
        <w:t xml:space="preserve">учебной нагрузки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работников ППС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Документами, определяющими учебную нагрузку </w:t>
      </w:r>
      <w:r>
        <w:rPr>
          <w:rFonts w:ascii="Times New Roman" w:hAnsi="Times New Roman"/>
          <w:sz w:val="26"/>
          <w:szCs w:val="26"/>
        </w:rPr>
        <w:t xml:space="preserve">работника ППС </w:t>
      </w:r>
      <w:r>
        <w:rPr>
          <w:rFonts w:ascii="Times New Roman" w:hAnsi="Times New Roman"/>
          <w:sz w:val="26"/>
          <w:szCs w:val="26"/>
        </w:rPr>
        <w:t xml:space="preserve">Департамента</w:t>
      </w:r>
      <w:r>
        <w:rPr>
          <w:rFonts w:ascii="Times New Roman" w:hAnsi="Times New Roman"/>
          <w:sz w:val="26"/>
          <w:szCs w:val="26"/>
        </w:rPr>
        <w:t xml:space="preserve">, являются:</w:t>
      </w:r>
      <w:r/>
    </w:p>
    <w:p>
      <w:pPr>
        <w:pStyle w:val="793"/>
        <w:numPr>
          <w:ilvl w:val="2"/>
          <w:numId w:val="13"/>
        </w:numPr>
        <w:ind w:left="0" w:firstLine="709"/>
        <w:jc w:val="both"/>
        <w:spacing w:after="0"/>
      </w:pPr>
      <w:r>
        <w:rPr>
          <w:rFonts w:ascii="Times New Roman" w:hAnsi="Times New Roman"/>
          <w:sz w:val="26"/>
          <w:szCs w:val="26"/>
        </w:rPr>
        <w:t xml:space="preserve">расчет </w:t>
      </w:r>
      <w:r>
        <w:rPr>
          <w:rFonts w:ascii="Times New Roman" w:hAnsi="Times New Roman"/>
          <w:sz w:val="26"/>
          <w:szCs w:val="26"/>
        </w:rPr>
        <w:t xml:space="preserve">на будущий учебный год </w:t>
      </w:r>
      <w:r>
        <w:rPr>
          <w:rFonts w:ascii="Times New Roman" w:hAnsi="Times New Roman"/>
          <w:sz w:val="26"/>
          <w:szCs w:val="26"/>
        </w:rPr>
        <w:t xml:space="preserve">учебной нагрузки</w:t>
      </w:r>
      <w:r>
        <w:rPr>
          <w:rFonts w:ascii="Times New Roman" w:hAnsi="Times New Roman"/>
          <w:sz w:val="26"/>
          <w:szCs w:val="26"/>
        </w:rPr>
        <w:t xml:space="preserve"> работников ППС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Департамента</w:t>
      </w:r>
      <w:r>
        <w:rPr>
          <w:rFonts w:ascii="Times New Roman" w:hAnsi="Times New Roman"/>
          <w:sz w:val="26"/>
          <w:szCs w:val="26"/>
        </w:rPr>
        <w:t xml:space="preserve">, формируемый </w:t>
      </w:r>
      <w:r>
        <w:rPr>
          <w:rFonts w:ascii="Times New Roman" w:hAnsi="Times New Roman"/>
          <w:sz w:val="26"/>
          <w:szCs w:val="26"/>
        </w:rPr>
        <w:t xml:space="preserve">Департаментом</w:t>
      </w:r>
      <w:r>
        <w:rPr>
          <w:rFonts w:ascii="Times New Roman" w:hAnsi="Times New Roman"/>
          <w:sz w:val="26"/>
          <w:szCs w:val="26"/>
        </w:rPr>
        <w:t xml:space="preserve"> в АСАВ</w:t>
      </w:r>
      <w:r>
        <w:rPr>
          <w:rFonts w:ascii="Times New Roman" w:hAnsi="Times New Roman"/>
          <w:sz w:val="26"/>
          <w:szCs w:val="26"/>
        </w:rPr>
        <w:t xml:space="preserve">, в модуле «Планирование нагрузки». </w:t>
      </w:r>
      <w:r>
        <w:rPr>
          <w:rFonts w:ascii="Times New Roman" w:hAnsi="Times New Roman"/>
          <w:sz w:val="26"/>
          <w:szCs w:val="26"/>
        </w:rPr>
        <w:t xml:space="preserve">Указанный расчет через систему АСАВ согласуется с Управлением организации учебного процесса</w:t>
      </w:r>
      <w:r>
        <w:rPr>
          <w:rFonts w:ascii="Times New Roman" w:hAnsi="Times New Roman"/>
          <w:sz w:val="26"/>
          <w:szCs w:val="26"/>
        </w:rPr>
        <w:t xml:space="preserve"> Дирекции основных образовательных программ (далее </w:t>
      </w:r>
      <w:r>
        <w:rPr>
          <w:rFonts w:ascii="Times New Roman" w:hAnsi="Times New Roman"/>
          <w:sz w:val="26"/>
          <w:szCs w:val="26"/>
        </w:rPr>
        <w:t xml:space="preserve">–</w:t>
      </w:r>
      <w:r>
        <w:rPr>
          <w:rFonts w:ascii="Times New Roman" w:hAnsi="Times New Roman"/>
          <w:sz w:val="26"/>
          <w:szCs w:val="26"/>
        </w:rPr>
        <w:t xml:space="preserve"> УОУП)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93"/>
        <w:numPr>
          <w:ilvl w:val="2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индивидуальный план учебно</w:t>
      </w:r>
      <w:r>
        <w:rPr>
          <w:rFonts w:ascii="Times New Roman" w:hAnsi="Times New Roman"/>
          <w:sz w:val="26"/>
          <w:szCs w:val="26"/>
        </w:rPr>
        <w:t xml:space="preserve">й</w:t>
      </w:r>
      <w:r>
        <w:rPr>
          <w:rFonts w:ascii="Times New Roman" w:hAnsi="Times New Roman"/>
          <w:sz w:val="26"/>
          <w:szCs w:val="26"/>
        </w:rPr>
        <w:t xml:space="preserve"> работы </w:t>
      </w:r>
      <w:r>
        <w:rPr>
          <w:rFonts w:ascii="Times New Roman" w:hAnsi="Times New Roman"/>
          <w:sz w:val="26"/>
          <w:szCs w:val="26"/>
        </w:rPr>
        <w:t xml:space="preserve">(далее – индивидуальный план)</w:t>
      </w:r>
      <w:r>
        <w:rPr>
          <w:rFonts w:ascii="Times New Roman" w:hAnsi="Times New Roman"/>
          <w:sz w:val="26"/>
          <w:szCs w:val="26"/>
        </w:rPr>
        <w:t xml:space="preserve">, формируемый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Департаментом </w:t>
      </w:r>
      <w:r>
        <w:rPr>
          <w:rFonts w:ascii="Times New Roman" w:hAnsi="Times New Roman"/>
          <w:sz w:val="26"/>
          <w:szCs w:val="26"/>
        </w:rPr>
        <w:t xml:space="preserve">в АСАВ, в модуле «Планирование нагрузки». </w:t>
      </w:r>
      <w:r>
        <w:rPr>
          <w:rFonts w:ascii="Times New Roman" w:hAnsi="Times New Roman"/>
          <w:sz w:val="26"/>
          <w:szCs w:val="26"/>
        </w:rPr>
        <w:t xml:space="preserve">Указанный индивидуальный план согласовывается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УОУП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через систему АСАВ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Работник ППС </w:t>
      </w:r>
      <w:r>
        <w:rPr>
          <w:rFonts w:ascii="Times New Roman" w:hAnsi="Times New Roman"/>
          <w:sz w:val="26"/>
          <w:szCs w:val="26"/>
        </w:rPr>
        <w:t xml:space="preserve">имеет </w:t>
      </w:r>
      <w:r>
        <w:rPr>
          <w:rFonts w:ascii="Times New Roman" w:hAnsi="Times New Roman"/>
          <w:sz w:val="26"/>
          <w:szCs w:val="26"/>
        </w:rPr>
        <w:t xml:space="preserve">доступ к своему индивидуальному плану </w:t>
      </w:r>
      <w:r>
        <w:rPr>
          <w:rFonts w:ascii="Times New Roman" w:hAnsi="Times New Roman"/>
          <w:sz w:val="26"/>
          <w:szCs w:val="26"/>
        </w:rPr>
        <w:t xml:space="preserve">в специальном модуле в личном кабинете в </w:t>
      </w:r>
      <w:r>
        <w:rPr>
          <w:rFonts w:ascii="Times New Roman" w:hAnsi="Times New Roman"/>
          <w:sz w:val="26"/>
          <w:szCs w:val="26"/>
        </w:rPr>
        <w:t xml:space="preserve">электронной информационной образовательной </w:t>
      </w:r>
      <w:r>
        <w:rPr>
          <w:rFonts w:ascii="Times New Roman" w:hAnsi="Times New Roman"/>
          <w:sz w:val="26"/>
          <w:szCs w:val="26"/>
        </w:rPr>
        <w:t xml:space="preserve">системе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 xml:space="preserve">LMS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; </w:t>
      </w:r>
      <w:r/>
    </w:p>
    <w:p>
      <w:pPr>
        <w:pStyle w:val="793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т о выполнении учебной нагрузки </w:t>
      </w:r>
      <w:r>
        <w:rPr>
          <w:rFonts w:ascii="Times New Roman" w:hAnsi="Times New Roman"/>
          <w:sz w:val="26"/>
          <w:szCs w:val="26"/>
        </w:rPr>
        <w:t xml:space="preserve">Департамента</w:t>
      </w:r>
      <w:r>
        <w:rPr>
          <w:rFonts w:ascii="Times New Roman" w:hAnsi="Times New Roman"/>
          <w:sz w:val="26"/>
          <w:szCs w:val="26"/>
        </w:rPr>
        <w:t xml:space="preserve">, составляемый </w:t>
      </w:r>
      <w:r>
        <w:rPr>
          <w:rFonts w:ascii="Times New Roman" w:hAnsi="Times New Roman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а основании фактического выполнения </w:t>
      </w:r>
      <w:r>
        <w:rPr>
          <w:rFonts w:ascii="Times New Roman" w:hAnsi="Times New Roman"/>
          <w:sz w:val="26"/>
          <w:szCs w:val="26"/>
        </w:rPr>
        <w:t xml:space="preserve">работниками ППС </w:t>
      </w:r>
      <w:r>
        <w:rPr>
          <w:rFonts w:ascii="Times New Roman" w:hAnsi="Times New Roman"/>
          <w:sz w:val="26"/>
          <w:szCs w:val="26"/>
        </w:rPr>
        <w:t xml:space="preserve">индивидуальных планов, представленный </w:t>
      </w:r>
      <w:r>
        <w:rPr>
          <w:rFonts w:ascii="Times New Roman" w:hAnsi="Times New Roman"/>
          <w:sz w:val="26"/>
          <w:szCs w:val="26"/>
        </w:rPr>
        <w:t xml:space="preserve">Департаментом </w:t>
      </w:r>
      <w:r>
        <w:rPr>
          <w:rFonts w:ascii="Times New Roman" w:hAnsi="Times New Roman"/>
          <w:sz w:val="26"/>
          <w:szCs w:val="26"/>
        </w:rPr>
        <w:t xml:space="preserve">в электронном виде в АСАВ, согласовывается с </w:t>
      </w:r>
      <w:r>
        <w:rPr>
          <w:rFonts w:ascii="Times New Roman" w:hAnsi="Times New Roman"/>
          <w:sz w:val="26"/>
          <w:szCs w:val="26"/>
        </w:rPr>
        <w:t xml:space="preserve">УОУП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через систему АСАВ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93"/>
        <w:numPr>
          <w:ilvl w:val="2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случаях, </w:t>
      </w:r>
      <w:r>
        <w:rPr>
          <w:rFonts w:ascii="Times New Roman" w:hAnsi="Times New Roman"/>
          <w:sz w:val="26"/>
          <w:szCs w:val="26"/>
        </w:rPr>
        <w:t xml:space="preserve">когда требуется </w:t>
      </w:r>
      <w:r>
        <w:rPr>
          <w:rFonts w:ascii="Times New Roman" w:hAnsi="Times New Roman"/>
          <w:sz w:val="26"/>
          <w:szCs w:val="26"/>
        </w:rPr>
        <w:t xml:space="preserve">сформировать заверенный в официальном порядке комплект документов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индивидуальный</w:t>
      </w:r>
      <w:r>
        <w:rPr>
          <w:rFonts w:ascii="Times New Roman" w:hAnsi="Times New Roman"/>
          <w:sz w:val="26"/>
          <w:szCs w:val="26"/>
        </w:rPr>
        <w:t xml:space="preserve"> план, </w:t>
      </w:r>
      <w:r>
        <w:rPr>
          <w:rFonts w:ascii="Times New Roman" w:hAnsi="Times New Roman"/>
          <w:sz w:val="26"/>
          <w:szCs w:val="26"/>
        </w:rPr>
        <w:t xml:space="preserve">отчет о выполнении учебной нагрузки</w:t>
      </w:r>
      <w:r>
        <w:rPr>
          <w:rFonts w:ascii="Times New Roman" w:hAnsi="Times New Roman"/>
          <w:sz w:val="26"/>
          <w:szCs w:val="26"/>
        </w:rPr>
        <w:t xml:space="preserve">, другое</w:t>
      </w:r>
      <w:r>
        <w:rPr>
          <w:rFonts w:ascii="Times New Roman" w:hAnsi="Times New Roman"/>
          <w:sz w:val="26"/>
          <w:szCs w:val="26"/>
        </w:rPr>
        <w:t xml:space="preserve">) в</w:t>
      </w:r>
      <w:r>
        <w:rPr>
          <w:rFonts w:ascii="Times New Roman" w:hAnsi="Times New Roman"/>
          <w:sz w:val="26"/>
          <w:szCs w:val="26"/>
        </w:rPr>
        <w:t xml:space="preserve"> бумажном виде (в том числе для целей ответа на запросы внешних организаций)</w:t>
      </w:r>
      <w:r>
        <w:rPr>
          <w:rFonts w:ascii="Times New Roman" w:hAnsi="Times New Roman"/>
          <w:sz w:val="26"/>
          <w:szCs w:val="26"/>
        </w:rPr>
        <w:t xml:space="preserve">, необходимые документы распечатываются </w:t>
      </w:r>
      <w:r>
        <w:rPr>
          <w:rFonts w:ascii="Times New Roman" w:hAnsi="Times New Roman"/>
          <w:sz w:val="26"/>
          <w:szCs w:val="26"/>
        </w:rPr>
        <w:t xml:space="preserve">и заверяются </w:t>
      </w:r>
      <w:r>
        <w:rPr>
          <w:rFonts w:ascii="Times New Roman" w:hAnsi="Times New Roman"/>
          <w:sz w:val="26"/>
          <w:szCs w:val="26"/>
        </w:rPr>
        <w:t xml:space="preserve">одним из указанных </w:t>
      </w:r>
      <w:r>
        <w:rPr>
          <w:rFonts w:ascii="Times New Roman" w:hAnsi="Times New Roman"/>
          <w:sz w:val="26"/>
          <w:szCs w:val="26"/>
        </w:rPr>
        <w:t xml:space="preserve">лиц: </w:t>
      </w:r>
      <w:r>
        <w:rPr>
          <w:rFonts w:ascii="Times New Roman" w:hAnsi="Times New Roman"/>
          <w:sz w:val="26"/>
          <w:szCs w:val="26"/>
        </w:rPr>
        <w:t xml:space="preserve">проректором, </w:t>
      </w:r>
      <w:r>
        <w:rPr>
          <w:rFonts w:ascii="Times New Roman" w:hAnsi="Times New Roman"/>
          <w:sz w:val="26"/>
          <w:szCs w:val="26"/>
        </w:rPr>
        <w:t xml:space="preserve">осуществляющи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 руководство деятельностью НИУ ВШЭ по вопросу реализации основных образовательных программ высшего образования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  <w:t xml:space="preserve"> руководителем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структурного подразделения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соответствии с Порядком установления условий трудовых договоров, заключаемых с профессорско-преподавательским составом Национального исследовательского университета «Высшая школа экономики», в части объема учебной нагрузки, в зависимости от результативнос</w:t>
      </w:r>
      <w:r>
        <w:rPr>
          <w:rFonts w:ascii="Times New Roman" w:hAnsi="Times New Roman"/>
          <w:sz w:val="26"/>
          <w:szCs w:val="26"/>
        </w:rPr>
        <w:t xml:space="preserve">ти научной и исследовательской деятельности преподавателя, для каждой должности выделяется три категории объема учебной нагрузки: стандартная, повышенная и пониженная. </w:t>
      </w:r>
      <w:r/>
    </w:p>
    <w:p>
      <w:pPr>
        <w:contextualSpacing w:val="true"/>
        <w:ind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каждой из должностей работников ППС устанавливаются:</w:t>
      </w:r>
      <w:r/>
    </w:p>
    <w:p>
      <w:pPr>
        <w:pStyle w:val="793"/>
        <w:numPr>
          <w:ilvl w:val="0"/>
          <w:numId w:val="14"/>
        </w:numPr>
        <w:ind w:left="0" w:firstLine="709"/>
        <w:jc w:val="both"/>
        <w:spacing w:after="0"/>
        <w:widowControl w:val="off"/>
        <w:tabs>
          <w:tab w:val="left" w:pos="851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часов, необходимое для выполнения учебной работы по указанной должности на полную ставку (далее – средний объем);</w:t>
      </w:r>
      <w:r/>
    </w:p>
    <w:p>
      <w:pPr>
        <w:pStyle w:val="793"/>
        <w:numPr>
          <w:ilvl w:val="0"/>
          <w:numId w:val="14"/>
        </w:numPr>
        <w:ind w:left="0" w:firstLine="709"/>
        <w:jc w:val="both"/>
        <w:spacing w:after="0"/>
        <w:widowControl w:val="off"/>
        <w:tabs>
          <w:tab w:val="left" w:pos="851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верхний предел учебной нагрузки в часах согласно таблице 2:</w:t>
      </w:r>
      <w:r>
        <w:rPr>
          <w:rFonts w:ascii="Times New Roman" w:hAnsi="Times New Roman"/>
          <w:color w:val="auto"/>
          <w:sz w:val="24"/>
          <w:szCs w:val="24"/>
        </w:rPr>
      </w:r>
      <w:r/>
    </w:p>
    <w:p>
      <w:pPr>
        <w:ind w:left="709" w:firstLine="0"/>
        <w:jc w:val="both"/>
        <w:spacing w:lineRule="auto" w:line="240" w:after="0"/>
        <w:widowControl w:val="off"/>
        <w:tabs>
          <w:tab w:val="left" w:pos="851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jc w:val="right"/>
        <w:shd w:val="nil" w:color="auto" w:fill="FFFFF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  <w:r>
        <w:rPr>
          <w:rFonts w:ascii="Times New Roman" w:hAnsi="Times New Roman"/>
          <w:color w:val="auto"/>
          <w:sz w:val="24"/>
          <w:szCs w:val="24"/>
        </w:rPr>
        <w:t xml:space="preserve">Таблица 2</w:t>
      </w:r>
      <w:r>
        <w:rPr>
          <w:rFonts w:ascii="Times New Roman" w:hAnsi="Times New Roman"/>
          <w:color w:val="auto"/>
          <w:sz w:val="24"/>
          <w:szCs w:val="24"/>
        </w:rPr>
      </w:r>
      <w:r/>
    </w:p>
    <w:tbl>
      <w:tblPr>
        <w:tblW w:w="9564" w:type="dxa"/>
        <w:jc w:val="center"/>
        <w:tblLook w:val="00A0" w:firstRow="1" w:lastRow="0" w:firstColumn="1" w:lastColumn="0" w:noHBand="0" w:noVBand="0"/>
      </w:tblPr>
      <w:tblGrid>
        <w:gridCol w:w="2237"/>
        <w:gridCol w:w="1796"/>
        <w:gridCol w:w="1245"/>
        <w:gridCol w:w="1229"/>
        <w:gridCol w:w="1245"/>
        <w:gridCol w:w="1812"/>
      </w:tblGrid>
      <w:tr>
        <w:trPr>
          <w:jc w:val="center"/>
          <w:trHeight w:val="1212" w:hRule="exact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</w:tcBorders>
            <w:tcW w:w="2237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ППС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</w:tcBorders>
            <w:tcW w:w="1796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объема учебной нагрузки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2474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 департаменты кроме кафедры физвоспитания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3057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Кафедра физвоспитания</w:t>
            </w:r>
            <w:r/>
          </w:p>
        </w:tc>
      </w:tr>
      <w:tr>
        <w:trPr>
          <w:jc w:val="center"/>
          <w:trHeight w:val="550" w:hRule="exact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Средний объем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Верхний предел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Средний объем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Верхний предел</w:t>
            </w:r>
            <w:r/>
          </w:p>
        </w:tc>
      </w:tr>
      <w:tr>
        <w:trPr>
          <w:jc w:val="center"/>
          <w:trHeight w:val="278" w:hRule="exact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237" w:type="dxa"/>
            <w:vAlign w:val="center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Пониженная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  <w:trHeight w:val="255" w:hRule="exact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W w:w="2237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Стандартная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687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688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860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Пониженная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515</w:t>
            </w:r>
            <w:r/>
          </w:p>
        </w:tc>
      </w:tr>
      <w:tr>
        <w:trPr>
          <w:jc w:val="center"/>
          <w:trHeight w:val="285" w:hRule="exact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W w:w="2237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Стандартная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875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Пониженная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487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</w:t>
            </w:r>
            <w:r/>
          </w:p>
        </w:tc>
      </w:tr>
      <w:tr>
        <w:trPr>
          <w:jc w:val="center"/>
          <w:trHeight w:val="560" w:hRule="exact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W w:w="2237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Стандартная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875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875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Пониженная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657</w:t>
            </w:r>
            <w:r/>
          </w:p>
        </w:tc>
      </w:tr>
      <w:tr>
        <w:trPr>
          <w:jc w:val="center"/>
          <w:trHeight w:val="345" w:hRule="exact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W w:w="2237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Преподаватель, ассистент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  <w:p>
            <w:pPr>
              <w:contextualSpacing w:val="true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Стандартная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725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</w:t>
            </w:r>
            <w:r/>
          </w:p>
        </w:tc>
      </w:tr>
      <w:tr>
        <w:trPr>
          <w:jc w:val="center"/>
          <w:trHeight w:val="324" w:hRule="exact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37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96" w:type="dxa"/>
            <w:vAlign w:val="center"/>
            <w:textDirection w:val="lrTb"/>
            <w:noWrap w:val="false"/>
          </w:tcPr>
          <w:p>
            <w:pPr>
              <w:contextualSpacing w:val="true"/>
              <w:ind w:firstLine="28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Пониженная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45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543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12" w:type="dxa"/>
            <w:vAlign w:val="center"/>
            <w:textDirection w:val="lrTb"/>
            <w:noWrap w:val="false"/>
          </w:tcPr>
          <w:p>
            <w:pPr>
              <w:contextualSpacing w:val="true"/>
              <w:ind w:firstLine="70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679</w:t>
            </w:r>
            <w:r/>
          </w:p>
        </w:tc>
      </w:tr>
    </w:tbl>
    <w:p>
      <w:pPr>
        <w:ind w:left="709" w:firstLine="0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Преподавателям, принятым в НИУ ВШЭ по процедурам </w:t>
      </w:r>
      <w:r>
        <w:rPr>
          <w:rFonts w:ascii="Times New Roman" w:hAnsi="Times New Roman"/>
          <w:sz w:val="26"/>
          <w:szCs w:val="26"/>
        </w:rPr>
        <w:t xml:space="preserve">международного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рекрутинга</w:t>
      </w:r>
      <w:r>
        <w:rPr>
          <w:rFonts w:ascii="Times New Roman" w:hAnsi="Times New Roman"/>
          <w:sz w:val="26"/>
          <w:szCs w:val="26"/>
        </w:rPr>
        <w:t xml:space="preserve">, устанавливается минимальная нагрузка в размере 175 часов.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выполнения учебной нагрузки исполнителями по ГПД из числа работников НИУ ВШЭ, занимающих должность «</w:t>
      </w:r>
      <w:r>
        <w:rPr>
          <w:rFonts w:ascii="Times New Roman" w:hAnsi="Times New Roman"/>
          <w:sz w:val="26"/>
          <w:szCs w:val="26"/>
        </w:rPr>
        <w:t xml:space="preserve">Тьютор</w:t>
      </w:r>
      <w:r>
        <w:rPr>
          <w:rFonts w:ascii="Times New Roman" w:hAnsi="Times New Roman"/>
          <w:sz w:val="26"/>
          <w:szCs w:val="26"/>
        </w:rPr>
        <w:t xml:space="preserve">», объем их услуг определяется в соответствии с нормативами, соответствующими должности «Старший преподаватель» с категорией объема учебной нагрузки «Повышенная».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</w:t>
      </w:r>
      <w:r>
        <w:rPr>
          <w:rFonts w:ascii="Times New Roman" w:hAnsi="Times New Roman"/>
          <w:sz w:val="26"/>
          <w:szCs w:val="26"/>
        </w:rPr>
        <w:t xml:space="preserve">чебная нагрузка работников ППС, которым присвоен статус «профессор-исследователь», «доцент-исследователь», «заслуженный профессор ВШЭ», может включать преподавание факультативных учебных дисциплин (включая общеуниверситетские факультативы), руководство ВКР</w:t>
      </w:r>
      <w:r>
        <w:rPr>
          <w:rFonts w:ascii="Times New Roman" w:hAnsi="Times New Roman"/>
          <w:sz w:val="26"/>
          <w:szCs w:val="26"/>
        </w:rPr>
        <w:t xml:space="preserve">, участие в проведении государственной итоговой аттестации, научное руководство аспирантами. Осуществление иных видов учебной работы не предполагается, однако возможно при наличии соответствующего решения </w:t>
      </w:r>
      <w:r>
        <w:rPr>
          <w:rFonts w:ascii="Times New Roman" w:hAnsi="Times New Roman"/>
          <w:sz w:val="26"/>
          <w:szCs w:val="26"/>
        </w:rPr>
        <w:t xml:space="preserve">перв</w:t>
      </w:r>
      <w:r>
        <w:rPr>
          <w:rFonts w:ascii="Times New Roman" w:hAnsi="Times New Roman"/>
          <w:sz w:val="26"/>
          <w:szCs w:val="26"/>
        </w:rPr>
        <w:t xml:space="preserve">ого</w:t>
      </w:r>
      <w:r>
        <w:rPr>
          <w:rFonts w:ascii="Times New Roman" w:hAnsi="Times New Roman"/>
          <w:sz w:val="26"/>
          <w:szCs w:val="26"/>
        </w:rPr>
        <w:t xml:space="preserve"> проректор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, координирующ</w:t>
      </w:r>
      <w:r>
        <w:rPr>
          <w:rFonts w:ascii="Times New Roman" w:hAnsi="Times New Roman"/>
          <w:sz w:val="26"/>
          <w:szCs w:val="26"/>
        </w:rPr>
        <w:t xml:space="preserve">его</w:t>
      </w:r>
      <w:r>
        <w:rPr>
          <w:rFonts w:ascii="Times New Roman" w:hAnsi="Times New Roman"/>
          <w:sz w:val="26"/>
          <w:szCs w:val="26"/>
        </w:rPr>
        <w:t xml:space="preserve"> образовательную деятельность (далее – первый проректор)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принятого на основании ходатайства академического руководителя образовательной программы или руководителя Департамента. Общие нормативы учебной нагрузки на работников ППС, которым присвоен статус «профессор-исследователь», «доцент-исследователь», «заслуже</w:t>
      </w:r>
      <w:r>
        <w:rPr>
          <w:rFonts w:ascii="Times New Roman" w:hAnsi="Times New Roman"/>
          <w:sz w:val="26"/>
          <w:szCs w:val="26"/>
        </w:rPr>
        <w:t xml:space="preserve">нный профессор ВШЭ», не распространяются. 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У</w:t>
      </w:r>
      <w:r>
        <w:rPr>
          <w:rFonts w:ascii="Times New Roman" w:hAnsi="Times New Roman"/>
          <w:sz w:val="26"/>
          <w:szCs w:val="26"/>
        </w:rPr>
        <w:t xml:space="preserve">чебная нагрузка работников ППС, которым присвоен статус «профессор-консультант», «доцент-консультант», сокращается до половины и более, при этом работнику в установленном порядке устанавливается неполный рабочий день с оплатой труда пропорционально отработ</w:t>
      </w:r>
      <w:r>
        <w:rPr>
          <w:rFonts w:ascii="Times New Roman" w:hAnsi="Times New Roman"/>
          <w:sz w:val="26"/>
          <w:szCs w:val="26"/>
        </w:rPr>
        <w:t xml:space="preserve">анному времени.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Не допускается планирование проведения занятий лекционного типа работникам ППС, занимающим должности преподавателя или ассистента.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Для работника ППС, работающего по основному месту работы на полную ставку, нагрузка по проектной работе, руководству практиками, курсовыми работами и ВКР не может составлять всю учебную нагрузку по его должности.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ля работников ППС, работающих по основному месту работы и выполняющих организационную работу в Департаменте, с их согласия, а также согласия руководителя Департамента и положительного решения первого проректора объем планируемой учебной нагрузки может быть</w:t>
      </w:r>
      <w:r>
        <w:rPr>
          <w:rFonts w:ascii="Times New Roman" w:hAnsi="Times New Roman"/>
          <w:sz w:val="26"/>
          <w:szCs w:val="26"/>
        </w:rPr>
        <w:t xml:space="preserve"> сокращен в соответствии с таблицей</w:t>
      </w:r>
      <w:r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794"/>
        <w:ind w:firstLine="709"/>
        <w:jc w:val="right"/>
        <w:keepNext/>
        <w:spacing w:lineRule="auto" w:line="276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Таблица 3</w:t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107"/>
        <w:gridCol w:w="1764"/>
        <w:gridCol w:w="1631"/>
        <w:gridCol w:w="1692"/>
      </w:tblGrid>
      <w:tr>
        <w:trPr>
          <w:jc w:val="center"/>
          <w:trHeight w:val="353"/>
          <w:tblHeader/>
        </w:trPr>
        <w:tc>
          <w:tcPr>
            <w:tcW w:w="23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Категории</w:t>
            </w:r>
            <w:r/>
          </w:p>
        </w:tc>
        <w:tc>
          <w:tcPr>
            <w:gridSpan w:val="4"/>
            <w:tcW w:w="719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Сокращение объема планируемой учебной нагрузки, %</w:t>
            </w:r>
            <w:r/>
          </w:p>
        </w:tc>
      </w:tr>
      <w:tr>
        <w:trPr>
          <w:jc w:val="center"/>
          <w:trHeight w:val="136"/>
          <w:tblHeader/>
        </w:trPr>
        <w:tc>
          <w:tcPr>
            <w:tcW w:w="2380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50%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35%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20%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10%</w:t>
            </w:r>
            <w:r/>
          </w:p>
        </w:tc>
      </w:tr>
      <w:tr>
        <w:trPr>
          <w:jc w:val="center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Крупные факультеты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5"/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Деканы, заместители деканов по учебной и по научной работе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заместители деканов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Малые факультеты, институты, входящие в структуру крупных факультетов</w:t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Деканы, заместители деканов по учебной и научной работе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заместители деканов, руководители институтов, входящих в структуру крупных факультетов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  <w:trHeight w:val="1092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Департаменты, школы</w:t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департаментов, школ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Заместители руководителей департаментов, школ </w:t>
            </w:r>
            <w:r/>
          </w:p>
        </w:tc>
      </w:tr>
      <w:tr>
        <w:trPr>
          <w:jc w:val="center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Кафедры</w:t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</w:t>
            </w:r>
            <w:r/>
          </w:p>
        </w:tc>
      </w:tr>
      <w:tr>
        <w:trPr>
          <w:jc w:val="center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с численностью студентов более 200 человек </w:t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Преподаватели, являющиеся академическими руководителями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с численностью студентов не более 200 человек</w:t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Преподаватели, являющиеся академическими руководителями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W w:w="238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Аспирантские школы</w:t>
            </w:r>
            <w:r/>
          </w:p>
        </w:tc>
        <w:tc>
          <w:tcPr>
            <w:tcW w:w="210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Преподаватели, являющиеся академическими директорами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ind w:left="0" w:firstLine="0"/>
        <w:jc w:val="both"/>
        <w:spacing w:lineRule="auto" w:line="240"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Работникам ППС – членам группы высокого профессионального потенциала (кадрового резерва</w:t>
      </w:r>
      <w:r>
        <w:rPr>
          <w:rFonts w:ascii="Times New Roman" w:hAnsi="Times New Roman"/>
          <w:sz w:val="26"/>
          <w:szCs w:val="26"/>
        </w:rPr>
        <w:t xml:space="preserve"> научно-педагогических работников</w:t>
      </w:r>
      <w:r>
        <w:rPr>
          <w:rFonts w:ascii="Times New Roman" w:hAnsi="Times New Roman"/>
          <w:sz w:val="26"/>
          <w:szCs w:val="26"/>
        </w:rPr>
        <w:t xml:space="preserve">) с их согласия, а также согласия руководителя Департамента и положительного решения первого </w:t>
      </w:r>
      <w:r>
        <w:rPr>
          <w:rFonts w:ascii="Times New Roman" w:hAnsi="Times New Roman"/>
          <w:sz w:val="26"/>
          <w:szCs w:val="26"/>
        </w:rPr>
        <w:t xml:space="preserve">проректора планируемый объем учебной нагрузки может быть снижен в соответствии с Положением о группе высокого профессионального потенциала (кадровом резерве</w:t>
      </w:r>
      <w:r>
        <w:rPr>
          <w:rFonts w:ascii="Times New Roman" w:hAnsi="Times New Roman"/>
          <w:sz w:val="26"/>
          <w:szCs w:val="26"/>
        </w:rPr>
        <w:t xml:space="preserve"> научно-педагогических работников</w:t>
      </w:r>
      <w:r>
        <w:rPr>
          <w:rFonts w:ascii="Times New Roman" w:hAnsi="Times New Roman"/>
          <w:sz w:val="26"/>
          <w:szCs w:val="26"/>
        </w:rPr>
        <w:t xml:space="preserve">) в Национальном исследовательском университете «Высшая школа экономики».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Если пребывание преподавателя в кадровом резерве заканчивается до окончания учебного года, то при планировании учебной нагрузки снижение объема рассчитывается только на учебные модули, в течение которых преподаватель будет являться членом группы высокого п</w:t>
      </w:r>
      <w:r>
        <w:rPr>
          <w:rFonts w:ascii="Times New Roman" w:hAnsi="Times New Roman"/>
          <w:sz w:val="26"/>
          <w:szCs w:val="26"/>
        </w:rPr>
        <w:t xml:space="preserve">рофессионального потенциала (кадрового резерва).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Проценты сокращения объема учебной нагрузки для </w:t>
      </w:r>
      <w:r>
        <w:rPr>
          <w:rFonts w:ascii="Times New Roman" w:hAnsi="Times New Roman"/>
          <w:sz w:val="26"/>
          <w:szCs w:val="26"/>
        </w:rPr>
        <w:t xml:space="preserve">работников ППС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одновременно </w:t>
      </w:r>
      <w:r>
        <w:rPr>
          <w:rFonts w:ascii="Times New Roman" w:hAnsi="Times New Roman"/>
          <w:sz w:val="26"/>
          <w:szCs w:val="26"/>
        </w:rPr>
        <w:t xml:space="preserve">относящихся к категориям, указанным в пунктах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9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sz w:val="26"/>
          <w:szCs w:val="26"/>
        </w:rPr>
        <w:t xml:space="preserve"> настоящих Правил, не суммируются. </w:t>
      </w:r>
      <w:r>
        <w:rPr>
          <w:rFonts w:ascii="Times New Roman" w:hAnsi="Times New Roman"/>
          <w:sz w:val="26"/>
          <w:szCs w:val="26"/>
        </w:rPr>
        <w:t xml:space="preserve">Работник ППС</w:t>
      </w:r>
      <w:r>
        <w:rPr>
          <w:rFonts w:ascii="Times New Roman" w:hAnsi="Times New Roman"/>
          <w:sz w:val="26"/>
          <w:szCs w:val="26"/>
        </w:rPr>
        <w:t xml:space="preserve"> самостоятельно </w:t>
      </w:r>
      <w:r>
        <w:rPr>
          <w:rFonts w:ascii="Times New Roman" w:hAnsi="Times New Roman"/>
          <w:sz w:val="26"/>
          <w:szCs w:val="26"/>
        </w:rPr>
        <w:t xml:space="preserve">определяет </w:t>
      </w:r>
      <w:r>
        <w:rPr>
          <w:rFonts w:ascii="Times New Roman" w:hAnsi="Times New Roman"/>
          <w:sz w:val="26"/>
          <w:szCs w:val="26"/>
        </w:rPr>
        <w:t xml:space="preserve">основание снижения учебной нагрузки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направляет служебную записку на имя первого проректора</w:t>
      </w:r>
      <w:r>
        <w:rPr>
          <w:rFonts w:ascii="Times New Roman" w:hAnsi="Times New Roman"/>
          <w:sz w:val="26"/>
          <w:szCs w:val="26"/>
        </w:rPr>
        <w:t xml:space="preserve"> с указанием основания для снижения нагрузки</w:t>
      </w:r>
      <w:r>
        <w:rPr>
          <w:rFonts w:ascii="Times New Roman" w:hAnsi="Times New Roman"/>
          <w:sz w:val="26"/>
          <w:szCs w:val="26"/>
        </w:rPr>
        <w:t xml:space="preserve">. Служебная записка должна быть согласована руководителем Департамента. При положительном решении первого проректора менеджер Департамента фиксирует в АСАВ процент сокращения нагрузки и основание для снижения нагрузки.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преподавателей, относящихся к категориям, указанным в пунктах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настоящих Правил, согласившихся на сокращение объема планируемой учебной нагрузки, </w:t>
      </w:r>
      <w:r>
        <w:rPr>
          <w:rFonts w:ascii="Times New Roman" w:hAnsi="Times New Roman"/>
          <w:sz w:val="26"/>
          <w:szCs w:val="26"/>
        </w:rPr>
        <w:t xml:space="preserve">а также для преподавателей, относящихся к категории, указанной в пункте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.13 </w:t>
      </w:r>
      <w:r>
        <w:rPr>
          <w:rFonts w:ascii="Times New Roman" w:hAnsi="Times New Roman"/>
          <w:sz w:val="26"/>
          <w:szCs w:val="26"/>
        </w:rPr>
        <w:t xml:space="preserve">настоящих </w:t>
      </w:r>
      <w:r>
        <w:rPr>
          <w:rFonts w:ascii="Times New Roman" w:hAnsi="Times New Roman"/>
          <w:sz w:val="26"/>
          <w:szCs w:val="26"/>
        </w:rPr>
        <w:t xml:space="preserve">Правил, </w:t>
      </w:r>
      <w:r>
        <w:rPr>
          <w:rFonts w:ascii="Times New Roman" w:hAnsi="Times New Roman"/>
          <w:sz w:val="26"/>
          <w:szCs w:val="26"/>
        </w:rPr>
        <w:t xml:space="preserve">не изменяется верхний предел, установленный в пункте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.2</w:t>
      </w:r>
      <w:r>
        <w:rPr>
          <w:rFonts w:ascii="Times New Roman" w:hAnsi="Times New Roman"/>
          <w:sz w:val="26"/>
          <w:szCs w:val="26"/>
        </w:rPr>
        <w:t xml:space="preserve"> настоящих Правил.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</w:t>
      </w:r>
      <w:r>
        <w:rPr>
          <w:rFonts w:ascii="Times New Roman" w:hAnsi="Times New Roman"/>
          <w:sz w:val="26"/>
          <w:szCs w:val="26"/>
        </w:rPr>
        <w:t xml:space="preserve">научно-педагогический </w:t>
      </w:r>
      <w:r>
        <w:rPr>
          <w:rFonts w:ascii="Times New Roman" w:hAnsi="Times New Roman"/>
          <w:sz w:val="26"/>
          <w:szCs w:val="26"/>
        </w:rPr>
        <w:t xml:space="preserve">работник является автором-разработчиком массового открытого онлайн-курса (далее </w:t>
      </w:r>
      <w:r>
        <w:rPr>
          <w:rFonts w:ascii="Times New Roman" w:hAnsi="Times New Roman"/>
          <w:sz w:val="26"/>
          <w:szCs w:val="26"/>
        </w:rPr>
        <w:t xml:space="preserve">–</w:t>
      </w:r>
      <w:r>
        <w:rPr>
          <w:rFonts w:ascii="Times New Roman" w:hAnsi="Times New Roman"/>
          <w:sz w:val="26"/>
          <w:szCs w:val="26"/>
        </w:rPr>
        <w:t xml:space="preserve"> МОО</w:t>
      </w:r>
      <w:r>
        <w:rPr>
          <w:rFonts w:ascii="Times New Roman" w:hAnsi="Times New Roman"/>
          <w:sz w:val="26"/>
          <w:szCs w:val="26"/>
          <w:lang w:val="en-US"/>
        </w:rPr>
        <w:t xml:space="preserve">C</w:t>
      </w:r>
      <w:r>
        <w:rPr>
          <w:rFonts w:ascii="Times New Roman" w:hAnsi="Times New Roman"/>
          <w:sz w:val="26"/>
          <w:szCs w:val="26"/>
        </w:rPr>
        <w:t xml:space="preserve">), который полностью или частично замещает </w:t>
      </w:r>
      <w:r>
        <w:rPr>
          <w:rFonts w:ascii="Times New Roman" w:hAnsi="Times New Roman"/>
          <w:sz w:val="26"/>
          <w:szCs w:val="26"/>
        </w:rPr>
        <w:t xml:space="preserve">дисциплину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дисциплины)</w:t>
      </w:r>
      <w:r>
        <w:rPr>
          <w:rFonts w:ascii="Times New Roman" w:hAnsi="Times New Roman"/>
          <w:sz w:val="26"/>
          <w:szCs w:val="26"/>
        </w:rPr>
        <w:t xml:space="preserve">, включенн</w:t>
      </w:r>
      <w:r>
        <w:rPr>
          <w:rFonts w:ascii="Times New Roman" w:hAnsi="Times New Roman"/>
          <w:sz w:val="26"/>
          <w:szCs w:val="26"/>
        </w:rPr>
        <w:t xml:space="preserve">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(включенные)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учебную </w:t>
      </w:r>
      <w:r>
        <w:rPr>
          <w:rFonts w:ascii="Times New Roman" w:hAnsi="Times New Roman"/>
          <w:sz w:val="26"/>
          <w:szCs w:val="26"/>
        </w:rPr>
        <w:t xml:space="preserve">нагрузку автора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MOOC</w:t>
      </w:r>
      <w:r>
        <w:rPr>
          <w:rStyle w:val="780"/>
          <w:rFonts w:ascii="Times New Roman" w:hAnsi="Times New Roman"/>
          <w:sz w:val="26"/>
          <w:szCs w:val="26"/>
          <w:lang w:val="en-US"/>
        </w:rPr>
        <w:footnoteReference w:id="6"/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по решению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руководител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Департамента</w:t>
      </w:r>
      <w:r>
        <w:rPr>
          <w:rFonts w:ascii="Times New Roman" w:hAnsi="Times New Roman"/>
          <w:sz w:val="26"/>
          <w:szCs w:val="26"/>
        </w:rPr>
        <w:t xml:space="preserve">, принятому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учетом</w:t>
      </w:r>
      <w:r>
        <w:rPr>
          <w:rFonts w:ascii="Times New Roman" w:hAnsi="Times New Roman"/>
          <w:sz w:val="26"/>
          <w:szCs w:val="26"/>
        </w:rPr>
        <w:t xml:space="preserve"> локальных нормативных актов, регулирующих </w:t>
      </w:r>
      <w:r>
        <w:rPr>
          <w:rFonts w:ascii="Times New Roman" w:hAnsi="Times New Roman"/>
          <w:sz w:val="26"/>
          <w:szCs w:val="26"/>
        </w:rPr>
        <w:t xml:space="preserve">вопросы стимулирования создания</w:t>
      </w:r>
      <w:r>
        <w:rPr>
          <w:rFonts w:ascii="Times New Roman" w:hAnsi="Times New Roman"/>
          <w:sz w:val="26"/>
          <w:szCs w:val="26"/>
        </w:rPr>
        <w:t xml:space="preserve"> MOOC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НИУ ВШЭ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средний </w:t>
      </w:r>
      <w:r>
        <w:rPr>
          <w:rFonts w:ascii="Times New Roman" w:hAnsi="Times New Roman"/>
          <w:sz w:val="26"/>
          <w:szCs w:val="26"/>
        </w:rPr>
        <w:t xml:space="preserve">объем </w:t>
      </w:r>
      <w:r>
        <w:rPr>
          <w:rFonts w:ascii="Times New Roman" w:hAnsi="Times New Roman"/>
          <w:sz w:val="26"/>
          <w:szCs w:val="26"/>
        </w:rPr>
        <w:t xml:space="preserve">может быть </w:t>
      </w:r>
      <w:r>
        <w:rPr>
          <w:rFonts w:ascii="Times New Roman" w:hAnsi="Times New Roman"/>
          <w:sz w:val="26"/>
          <w:szCs w:val="26"/>
        </w:rPr>
        <w:t xml:space="preserve">сокращ</w:t>
      </w:r>
      <w:r>
        <w:rPr>
          <w:rFonts w:ascii="Times New Roman" w:hAnsi="Times New Roman"/>
          <w:sz w:val="26"/>
          <w:szCs w:val="26"/>
        </w:rPr>
        <w:t xml:space="preserve">ен</w:t>
      </w:r>
      <w:r>
        <w:rPr>
          <w:rStyle w:val="780"/>
          <w:rFonts w:ascii="Times New Roman" w:hAnsi="Times New Roman"/>
          <w:sz w:val="26"/>
          <w:szCs w:val="26"/>
        </w:rPr>
        <w:footnoteReference w:id="7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без изменения </w:t>
      </w:r>
      <w:r>
        <w:rPr>
          <w:rFonts w:ascii="Times New Roman" w:hAnsi="Times New Roman"/>
          <w:sz w:val="26"/>
          <w:szCs w:val="26"/>
        </w:rPr>
        <w:t xml:space="preserve">общего </w:t>
      </w:r>
      <w:r>
        <w:rPr>
          <w:rFonts w:ascii="Times New Roman" w:hAnsi="Times New Roman"/>
          <w:sz w:val="26"/>
          <w:szCs w:val="26"/>
        </w:rPr>
        <w:t xml:space="preserve">объема педагогической работы </w:t>
      </w:r>
      <w:r>
        <w:rPr>
          <w:rFonts w:ascii="Times New Roman" w:hAnsi="Times New Roman"/>
          <w:sz w:val="26"/>
          <w:szCs w:val="26"/>
        </w:rPr>
        <w:t xml:space="preserve">соответствующего работника </w:t>
      </w:r>
      <w:r>
        <w:rPr>
          <w:rFonts w:ascii="Times New Roman" w:hAnsi="Times New Roman"/>
          <w:sz w:val="26"/>
          <w:szCs w:val="26"/>
        </w:rPr>
        <w:t xml:space="preserve">в следующем порядке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793"/>
        <w:numPr>
          <w:ilvl w:val="2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замещаемая часть нагрузки рассчитывается</w:t>
      </w:r>
      <w:r>
        <w:rPr>
          <w:rStyle w:val="780"/>
          <w:rFonts w:ascii="Times New Roman" w:hAnsi="Times New Roman"/>
          <w:sz w:val="26"/>
          <w:szCs w:val="26"/>
        </w:rPr>
        <w:footnoteReference w:id="8"/>
      </w:r>
      <w:r>
        <w:rPr>
          <w:rFonts w:ascii="Times New Roman" w:hAnsi="Times New Roman"/>
          <w:sz w:val="26"/>
          <w:szCs w:val="26"/>
        </w:rPr>
        <w:t xml:space="preserve"> исходя из количества часов дисциплины (дисциплин) или части дисциплины (частей дисциплин), </w:t>
      </w:r>
      <w:r>
        <w:rPr>
          <w:rFonts w:ascii="Times New Roman" w:hAnsi="Times New Roman"/>
          <w:sz w:val="26"/>
          <w:szCs w:val="26"/>
        </w:rPr>
        <w:t xml:space="preserve">включенных в учебную нагрузку </w:t>
      </w:r>
      <w:r>
        <w:rPr>
          <w:rFonts w:ascii="Times New Roman" w:hAnsi="Times New Roman"/>
          <w:sz w:val="26"/>
          <w:szCs w:val="26"/>
        </w:rPr>
        <w:t xml:space="preserve">рабо</w:t>
      </w:r>
      <w:r>
        <w:rPr>
          <w:rFonts w:ascii="Times New Roman" w:hAnsi="Times New Roman"/>
          <w:sz w:val="26"/>
          <w:szCs w:val="26"/>
        </w:rPr>
        <w:t xml:space="preserve">тника в году, предшествующему первому году </w:t>
      </w:r>
      <w:r>
        <w:rPr>
          <w:rFonts w:ascii="Times New Roman" w:hAnsi="Times New Roman"/>
          <w:sz w:val="26"/>
          <w:szCs w:val="26"/>
        </w:rPr>
        <w:t xml:space="preserve">замещения </w:t>
      </w:r>
      <w:r>
        <w:rPr>
          <w:rFonts w:ascii="Times New Roman" w:hAnsi="Times New Roman"/>
          <w:sz w:val="26"/>
          <w:szCs w:val="26"/>
        </w:rPr>
        <w:t xml:space="preserve">их</w:t>
      </w:r>
      <w:r>
        <w:rPr>
          <w:rFonts w:ascii="Times New Roman" w:hAnsi="Times New Roman"/>
          <w:sz w:val="26"/>
          <w:szCs w:val="26"/>
        </w:rPr>
        <w:t xml:space="preserve"> МОО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далее – замещаемая часть)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793"/>
        <w:numPr>
          <w:ilvl w:val="2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средний объем снижается:</w:t>
      </w:r>
      <w:r/>
    </w:p>
    <w:p>
      <w:pPr>
        <w:pStyle w:val="793"/>
        <w:ind w:left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первый учебный год замещения – на 100% замещаемой части;</w:t>
      </w:r>
      <w:r/>
    </w:p>
    <w:p>
      <w:pPr>
        <w:pStyle w:val="793"/>
        <w:ind w:left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второй </w:t>
      </w:r>
      <w:r>
        <w:rPr>
          <w:rFonts w:ascii="Times New Roman" w:hAnsi="Times New Roman"/>
          <w:sz w:val="26"/>
          <w:szCs w:val="26"/>
        </w:rPr>
        <w:t xml:space="preserve">учебный </w:t>
      </w:r>
      <w:r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 xml:space="preserve">замещения 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50% замещаемой части;</w:t>
      </w:r>
      <w:r/>
    </w:p>
    <w:p>
      <w:pPr>
        <w:pStyle w:val="793"/>
        <w:ind w:left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третий учебный год замещения – на 25% замещаемой части;</w:t>
      </w:r>
      <w:r/>
    </w:p>
    <w:p>
      <w:pPr>
        <w:pStyle w:val="793"/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четвертый</w:t>
      </w:r>
      <w:r>
        <w:rPr>
          <w:rFonts w:ascii="Times New Roman" w:hAnsi="Times New Roman"/>
          <w:sz w:val="26"/>
          <w:szCs w:val="26"/>
        </w:rPr>
        <w:t xml:space="preserve"> и следующие учебные годы </w:t>
      </w:r>
      <w:r>
        <w:rPr>
          <w:rFonts w:ascii="Times New Roman" w:hAnsi="Times New Roman"/>
          <w:sz w:val="26"/>
          <w:szCs w:val="26"/>
        </w:rPr>
        <w:t xml:space="preserve">– снижение не производится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93"/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 расчета: </w:t>
      </w:r>
      <w:r>
        <w:rPr>
          <w:rFonts w:ascii="Times New Roman" w:hAnsi="Times New Roman"/>
          <w:sz w:val="26"/>
          <w:szCs w:val="26"/>
        </w:rPr>
        <w:t xml:space="preserve">преподаватель</w:t>
      </w:r>
      <w:r>
        <w:rPr>
          <w:rFonts w:ascii="Times New Roman" w:hAnsi="Times New Roman"/>
          <w:sz w:val="26"/>
          <w:szCs w:val="26"/>
        </w:rPr>
        <w:t xml:space="preserve"> читает лекции </w:t>
      </w:r>
      <w:r>
        <w:rPr>
          <w:rFonts w:ascii="Times New Roman" w:hAnsi="Times New Roman"/>
          <w:sz w:val="26"/>
          <w:szCs w:val="26"/>
        </w:rPr>
        <w:t xml:space="preserve">(далее – лекционная часть) </w:t>
      </w:r>
      <w:r>
        <w:rPr>
          <w:rFonts w:ascii="Times New Roman" w:hAnsi="Times New Roman"/>
          <w:sz w:val="26"/>
          <w:szCs w:val="26"/>
        </w:rPr>
        <w:t xml:space="preserve">и ведет семинары на двух образовательных программах</w:t>
      </w:r>
      <w:r>
        <w:rPr>
          <w:rFonts w:ascii="Times New Roman" w:hAnsi="Times New Roman"/>
          <w:sz w:val="26"/>
          <w:szCs w:val="26"/>
        </w:rPr>
        <w:t xml:space="preserve"> (Р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 и Р2)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Учебная нагрузка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лекционной части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Р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 и Р2 в совокупности </w:t>
      </w:r>
      <w:r>
        <w:rPr>
          <w:rFonts w:ascii="Times New Roman" w:hAnsi="Times New Roman"/>
          <w:sz w:val="26"/>
          <w:szCs w:val="26"/>
        </w:rPr>
        <w:t xml:space="preserve">составляет 100 часов.</w:t>
      </w:r>
      <w:r>
        <w:rPr>
          <w:rFonts w:ascii="Times New Roman" w:hAnsi="Times New Roman"/>
          <w:sz w:val="26"/>
          <w:szCs w:val="26"/>
        </w:rPr>
        <w:t xml:space="preserve"> Преподаватель стал автором МООС. Этот МООС стали использовать для лекционной части для студентов образовательных программ Р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, Р2</w:t>
      </w:r>
      <w:r>
        <w:rPr>
          <w:rFonts w:ascii="Times New Roman" w:hAnsi="Times New Roman"/>
          <w:sz w:val="26"/>
          <w:szCs w:val="26"/>
        </w:rPr>
        <w:t xml:space="preserve"> и иных образовательных программ (</w:t>
      </w:r>
      <w:r>
        <w:rPr>
          <w:rFonts w:ascii="Times New Roman" w:hAnsi="Times New Roman"/>
          <w:sz w:val="26"/>
          <w:szCs w:val="26"/>
        </w:rPr>
        <w:t xml:space="preserve">Р3-Р12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. В первый </w:t>
      </w:r>
      <w:r>
        <w:rPr>
          <w:rFonts w:ascii="Times New Roman" w:hAnsi="Times New Roman"/>
          <w:sz w:val="26"/>
          <w:szCs w:val="26"/>
        </w:rPr>
        <w:t xml:space="preserve">учебный </w:t>
      </w:r>
      <w:r>
        <w:rPr>
          <w:rFonts w:ascii="Times New Roman" w:hAnsi="Times New Roman"/>
          <w:sz w:val="26"/>
          <w:szCs w:val="26"/>
        </w:rPr>
        <w:t xml:space="preserve">год такого использования у автора МООС средний </w:t>
      </w:r>
      <w:r>
        <w:rPr>
          <w:rFonts w:ascii="Times New Roman" w:hAnsi="Times New Roman"/>
          <w:sz w:val="26"/>
          <w:szCs w:val="26"/>
        </w:rPr>
        <w:t xml:space="preserve">объем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учебной </w:t>
      </w:r>
      <w:r>
        <w:rPr>
          <w:rFonts w:ascii="Times New Roman" w:hAnsi="Times New Roman"/>
          <w:sz w:val="26"/>
          <w:szCs w:val="26"/>
        </w:rPr>
        <w:t xml:space="preserve">нагрузки снижается на 100 часов, во второй </w:t>
      </w:r>
      <w:r>
        <w:rPr>
          <w:rFonts w:ascii="Times New Roman" w:hAnsi="Times New Roman"/>
          <w:sz w:val="26"/>
          <w:szCs w:val="26"/>
        </w:rPr>
        <w:t xml:space="preserve">учебный </w:t>
      </w:r>
      <w:r>
        <w:rPr>
          <w:rFonts w:ascii="Times New Roman" w:hAnsi="Times New Roman"/>
          <w:sz w:val="26"/>
          <w:szCs w:val="26"/>
        </w:rPr>
        <w:t xml:space="preserve">год на 50 часов, в третий </w:t>
      </w:r>
      <w:r>
        <w:rPr>
          <w:rFonts w:ascii="Times New Roman" w:hAnsi="Times New Roman"/>
          <w:sz w:val="26"/>
          <w:szCs w:val="26"/>
        </w:rPr>
        <w:t xml:space="preserve">учебный </w:t>
      </w:r>
      <w:r>
        <w:rPr>
          <w:rFonts w:ascii="Times New Roman" w:hAnsi="Times New Roman"/>
          <w:sz w:val="26"/>
          <w:szCs w:val="26"/>
        </w:rPr>
        <w:t xml:space="preserve">года на 25 часов, с четвертого </w:t>
      </w:r>
      <w:r>
        <w:rPr>
          <w:rFonts w:ascii="Times New Roman" w:hAnsi="Times New Roman"/>
          <w:sz w:val="26"/>
          <w:szCs w:val="26"/>
        </w:rPr>
        <w:t xml:space="preserve">учебного </w:t>
      </w:r>
      <w:r>
        <w:rPr>
          <w:rFonts w:ascii="Times New Roman" w:hAnsi="Times New Roman"/>
          <w:sz w:val="26"/>
          <w:szCs w:val="26"/>
        </w:rPr>
        <w:t xml:space="preserve">года снижение </w:t>
      </w:r>
      <w:r>
        <w:rPr>
          <w:rFonts w:ascii="Times New Roman" w:hAnsi="Times New Roman"/>
          <w:sz w:val="26"/>
          <w:szCs w:val="26"/>
        </w:rPr>
        <w:t xml:space="preserve">среднего объема</w:t>
      </w:r>
      <w:r>
        <w:rPr>
          <w:rFonts w:ascii="Times New Roman" w:hAnsi="Times New Roman"/>
          <w:sz w:val="26"/>
          <w:szCs w:val="26"/>
        </w:rPr>
        <w:t xml:space="preserve"> учебной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нагрузки</w:t>
      </w:r>
      <w:r>
        <w:rPr>
          <w:rFonts w:ascii="Times New Roman" w:hAnsi="Times New Roman"/>
          <w:sz w:val="26"/>
          <w:szCs w:val="26"/>
        </w:rPr>
        <w:t xml:space="preserve">, связанного с использованием в НИУ ВШЭ этого МООС, прекращается.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</w:t>
      </w:r>
      <w:r>
        <w:rPr>
          <w:rFonts w:ascii="Times New Roman" w:hAnsi="Times New Roman"/>
          <w:sz w:val="26"/>
          <w:szCs w:val="26"/>
        </w:rPr>
        <w:t xml:space="preserve"> у работника ППС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учебная </w:t>
      </w:r>
      <w:r>
        <w:rPr>
          <w:rFonts w:ascii="Times New Roman" w:hAnsi="Times New Roman"/>
          <w:sz w:val="26"/>
          <w:szCs w:val="26"/>
        </w:rPr>
        <w:t xml:space="preserve">нагрузка </w:t>
      </w:r>
      <w:r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енее среднего объема, определенного в пункте 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.2 настоящих Правил, ему должен быть установлен режим неполного рабочего времени (в порядке, предусмотренном трудовым законодательством), соответствующий фактически выполняемой нагрузке. Данное правило не распр</w:t>
      </w:r>
      <w:r>
        <w:rPr>
          <w:rFonts w:ascii="Times New Roman" w:hAnsi="Times New Roman"/>
          <w:sz w:val="26"/>
          <w:szCs w:val="26"/>
        </w:rPr>
        <w:t xml:space="preserve">остраняется на преподавателей со статусом «профессор-исследователь», «доцент-исследователь», «ординарный профессор»,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заслуженный профессор ВШЭ», ППС, привлекаемых по процедурам международного </w:t>
      </w:r>
      <w:r>
        <w:rPr>
          <w:rFonts w:ascii="Times New Roman" w:hAnsi="Times New Roman"/>
          <w:sz w:val="26"/>
          <w:szCs w:val="26"/>
        </w:rPr>
        <w:t xml:space="preserve">рекрутинга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и иных работников, имеющих право </w:t>
      </w:r>
      <w:r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и локальными нормативными актами НИУ ВШЭ </w:t>
      </w:r>
      <w:r>
        <w:rPr>
          <w:rFonts w:ascii="Times New Roman" w:hAnsi="Times New Roman"/>
          <w:sz w:val="26"/>
          <w:szCs w:val="26"/>
        </w:rPr>
        <w:t xml:space="preserve">на сокращенную учебную нагрузку</w:t>
      </w:r>
      <w:r>
        <w:rPr>
          <w:rStyle w:val="780"/>
          <w:rFonts w:ascii="Times New Roman" w:hAnsi="Times New Roman"/>
          <w:sz w:val="26"/>
          <w:szCs w:val="26"/>
        </w:rPr>
        <w:footnoteReference w:id="9"/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793"/>
        <w:ind w:left="709"/>
        <w:jc w:val="both"/>
        <w:spacing w:after="0" w:before="240"/>
        <w:widowControl w:val="off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0"/>
          <w:numId w:val="8"/>
        </w:numPr>
        <w:ind w:left="0" w:firstLine="0"/>
        <w:jc w:val="center"/>
        <w:spacing w:after="0"/>
        <w:widowControl w:val="off"/>
        <w:tabs>
          <w:tab w:val="left" w:pos="1134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Особенности планирования и учета </w:t>
      </w:r>
      <w:r>
        <w:rPr>
          <w:rFonts w:ascii="Times New Roman" w:hAnsi="Times New Roman"/>
          <w:b/>
          <w:sz w:val="26"/>
          <w:szCs w:val="26"/>
        </w:rPr>
        <w:t xml:space="preserve">учебной нагрузки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преподавателей, ведущих Дисциплины из категории «Иностранный язык»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планировании </w:t>
      </w:r>
      <w:r>
        <w:rPr>
          <w:rFonts w:ascii="Times New Roman" w:hAnsi="Times New Roman"/>
          <w:sz w:val="26"/>
          <w:szCs w:val="26"/>
        </w:rPr>
        <w:t xml:space="preserve">учебной </w:t>
      </w:r>
      <w:r>
        <w:rPr>
          <w:rFonts w:ascii="Times New Roman" w:hAnsi="Times New Roman"/>
          <w:sz w:val="26"/>
          <w:szCs w:val="26"/>
        </w:rPr>
        <w:t xml:space="preserve">нагрузки преподавателей</w:t>
      </w:r>
      <w:r>
        <w:rPr>
          <w:rFonts w:ascii="Times New Roman" w:hAnsi="Times New Roman"/>
          <w:sz w:val="26"/>
          <w:szCs w:val="26"/>
        </w:rPr>
        <w:t xml:space="preserve">, ведущих </w:t>
      </w:r>
      <w:r>
        <w:rPr>
          <w:rFonts w:ascii="Times New Roman" w:hAnsi="Times New Roman"/>
          <w:sz w:val="26"/>
          <w:szCs w:val="26"/>
        </w:rPr>
        <w:t xml:space="preserve">Дисциплины </w:t>
      </w:r>
      <w:r>
        <w:rPr>
          <w:rFonts w:ascii="Times New Roman" w:hAnsi="Times New Roman"/>
          <w:sz w:val="26"/>
          <w:szCs w:val="26"/>
        </w:rPr>
        <w:t xml:space="preserve">из категории «Иностранный язык», на</w:t>
      </w:r>
      <w:r>
        <w:rPr>
          <w:rFonts w:ascii="Times New Roman" w:hAnsi="Times New Roman"/>
          <w:sz w:val="26"/>
          <w:szCs w:val="26"/>
        </w:rPr>
        <w:t xml:space="preserve">грузка</w:t>
      </w:r>
      <w:r>
        <w:rPr>
          <w:rFonts w:ascii="Times New Roman" w:hAnsi="Times New Roman"/>
          <w:sz w:val="26"/>
          <w:szCs w:val="26"/>
        </w:rPr>
        <w:t xml:space="preserve"> по этим дисциплинам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>
        <w:rPr>
          <w:rFonts w:ascii="Times New Roman" w:hAnsi="Times New Roman"/>
          <w:sz w:val="26"/>
          <w:szCs w:val="26"/>
        </w:rPr>
        <w:t xml:space="preserve">с повышающим </w:t>
      </w:r>
      <w:r>
        <w:rPr>
          <w:rFonts w:ascii="Times New Roman" w:hAnsi="Times New Roman"/>
          <w:sz w:val="26"/>
          <w:szCs w:val="26"/>
        </w:rPr>
        <w:t xml:space="preserve">коэффициентом </w:t>
      </w:r>
      <w:r>
        <w:rPr>
          <w:rFonts w:ascii="Times New Roman" w:hAnsi="Times New Roman"/>
          <w:sz w:val="26"/>
          <w:szCs w:val="26"/>
        </w:rPr>
        <w:t xml:space="preserve">1,</w:t>
      </w:r>
      <w:r>
        <w:rPr>
          <w:rFonts w:ascii="Times New Roman" w:hAnsi="Times New Roman"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 xml:space="preserve">Дисциплина может быть отнесена к категории «Иностранный язык», если </w:t>
      </w:r>
      <w:r>
        <w:rPr>
          <w:rFonts w:ascii="Times New Roman" w:hAnsi="Times New Roman"/>
          <w:sz w:val="26"/>
          <w:szCs w:val="26"/>
        </w:rPr>
        <w:t xml:space="preserve">она нацелена на освоение языка, не являющегося для большинства обучающихся родным, </w:t>
      </w:r>
      <w:r>
        <w:rPr>
          <w:rFonts w:ascii="Times New Roman" w:hAnsi="Times New Roman"/>
          <w:sz w:val="26"/>
          <w:szCs w:val="26"/>
        </w:rPr>
        <w:t xml:space="preserve">не имеет лекционной части, 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 xml:space="preserve">также</w:t>
      </w:r>
      <w:r>
        <w:rPr>
          <w:rFonts w:ascii="Times New Roman" w:hAnsi="Times New Roman"/>
          <w:sz w:val="26"/>
          <w:szCs w:val="26"/>
        </w:rPr>
        <w:t xml:space="preserve"> если методика обучения </w:t>
      </w:r>
      <w:r>
        <w:rPr>
          <w:rFonts w:ascii="Times New Roman" w:hAnsi="Times New Roman"/>
          <w:sz w:val="26"/>
          <w:szCs w:val="26"/>
        </w:rPr>
        <w:t xml:space="preserve">построена преимущественно на индивидуальной работе или работе студентов в малых группах и проверке большого количества письменных или аудио</w:t>
      </w:r>
      <w:r>
        <w:rPr>
          <w:rFonts w:ascii="Times New Roman" w:hAnsi="Times New Roman"/>
          <w:sz w:val="26"/>
          <w:szCs w:val="26"/>
        </w:rPr>
        <w:t xml:space="preserve">-работ студентов.</w:t>
      </w:r>
      <w:r>
        <w:rPr>
          <w:rFonts w:ascii="Times New Roman" w:hAnsi="Times New Roman"/>
          <w:sz w:val="26"/>
          <w:szCs w:val="26"/>
        </w:rPr>
        <w:t xml:space="preserve"> К дисциплинам, отнесенным к категории «Иностранный язык» относятся дисциплины предметной области «Русский как иностранный».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 об отнесении Дисциплины к категории «Иностранный язык» принимает комиссия по образовательным программам ученого совета НИУ ВШЭ</w:t>
      </w:r>
      <w:r>
        <w:rPr>
          <w:rFonts w:ascii="Times New Roman" w:hAnsi="Times New Roman"/>
          <w:sz w:val="26"/>
          <w:szCs w:val="26"/>
        </w:rPr>
        <w:t xml:space="preserve"> по представлению руководителя Департамента, реализующего Дисциплину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</w:t>
      </w:r>
      <w:r>
        <w:rPr>
          <w:rFonts w:ascii="Times New Roman" w:hAnsi="Times New Roman"/>
          <w:sz w:val="26"/>
          <w:szCs w:val="26"/>
        </w:rPr>
        <w:t xml:space="preserve">Дисциплин</w:t>
      </w:r>
      <w:r>
        <w:rPr>
          <w:rFonts w:ascii="Times New Roman" w:hAnsi="Times New Roman"/>
          <w:sz w:val="26"/>
          <w:szCs w:val="26"/>
        </w:rPr>
        <w:t xml:space="preserve">, относящихся к категории «Иностранный язык», </w:t>
      </w:r>
      <w:r>
        <w:rPr>
          <w:rFonts w:ascii="Times New Roman" w:hAnsi="Times New Roman"/>
          <w:sz w:val="26"/>
          <w:szCs w:val="26"/>
        </w:rPr>
        <w:t xml:space="preserve">отмечается Дирекцией основных образовательных программ в каталоге дисциплин в АСАВ специальным признаком.</w:t>
      </w:r>
      <w:r/>
    </w:p>
    <w:p>
      <w:pPr>
        <w:pStyle w:val="793"/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3"/>
        <w:numPr>
          <w:ilvl w:val="0"/>
          <w:numId w:val="8"/>
        </w:numPr>
        <w:ind w:left="0" w:firstLine="0"/>
        <w:jc w:val="center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Изменение запланированной учебной </w:t>
      </w:r>
      <w:r>
        <w:rPr>
          <w:rFonts w:ascii="Times New Roman" w:hAnsi="Times New Roman"/>
          <w:b/>
          <w:sz w:val="26"/>
          <w:szCs w:val="26"/>
        </w:rPr>
        <w:t xml:space="preserve">нагрузки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д</w:t>
      </w:r>
      <w:r>
        <w:rPr>
          <w:rFonts w:ascii="Times New Roman" w:hAnsi="Times New Roman"/>
          <w:sz w:val="26"/>
          <w:szCs w:val="26"/>
        </w:rPr>
        <w:t xml:space="preserve">опускается </w:t>
      </w:r>
      <w:r>
        <w:rPr>
          <w:rFonts w:ascii="Times New Roman" w:hAnsi="Times New Roman"/>
          <w:sz w:val="26"/>
          <w:szCs w:val="26"/>
        </w:rPr>
        <w:t xml:space="preserve">плани</w:t>
      </w:r>
      <w:r>
        <w:rPr>
          <w:rFonts w:ascii="Times New Roman" w:hAnsi="Times New Roman"/>
          <w:sz w:val="26"/>
          <w:szCs w:val="26"/>
        </w:rPr>
        <w:t xml:space="preserve">рование </w:t>
      </w:r>
      <w:r>
        <w:rPr>
          <w:rFonts w:ascii="Times New Roman" w:hAnsi="Times New Roman"/>
          <w:sz w:val="26"/>
          <w:szCs w:val="26"/>
        </w:rPr>
        <w:t xml:space="preserve">учебной нагрузки </w:t>
      </w:r>
      <w:r>
        <w:rPr>
          <w:rFonts w:ascii="Times New Roman" w:hAnsi="Times New Roman"/>
          <w:sz w:val="26"/>
          <w:szCs w:val="26"/>
        </w:rPr>
        <w:t xml:space="preserve">преподавател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объем</w:t>
      </w:r>
      <w:r>
        <w:rPr>
          <w:rFonts w:ascii="Times New Roman" w:hAnsi="Times New Roman"/>
          <w:sz w:val="26"/>
          <w:szCs w:val="26"/>
        </w:rPr>
        <w:t xml:space="preserve">ом</w:t>
      </w:r>
      <w:r>
        <w:rPr>
          <w:rFonts w:ascii="Times New Roman" w:hAnsi="Times New Roman"/>
          <w:sz w:val="26"/>
          <w:szCs w:val="26"/>
        </w:rPr>
        <w:t xml:space="preserve">, превышающ</w:t>
      </w:r>
      <w:r>
        <w:rPr>
          <w:rFonts w:ascii="Times New Roman" w:hAnsi="Times New Roman"/>
          <w:sz w:val="26"/>
          <w:szCs w:val="26"/>
        </w:rPr>
        <w:t xml:space="preserve">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ее </w:t>
      </w:r>
      <w:r>
        <w:rPr>
          <w:rFonts w:ascii="Times New Roman" w:hAnsi="Times New Roman"/>
          <w:sz w:val="26"/>
          <w:szCs w:val="26"/>
        </w:rPr>
        <w:t xml:space="preserve">верхний предел, установленный в п</w:t>
      </w:r>
      <w:r>
        <w:rPr>
          <w:rFonts w:ascii="Times New Roman" w:hAnsi="Times New Roman"/>
          <w:sz w:val="26"/>
          <w:szCs w:val="26"/>
        </w:rPr>
        <w:t xml:space="preserve">ункт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3.2 </w:t>
      </w:r>
      <w:r>
        <w:rPr>
          <w:rFonts w:ascii="Times New Roman" w:hAnsi="Times New Roman"/>
          <w:sz w:val="26"/>
          <w:szCs w:val="26"/>
        </w:rPr>
        <w:t xml:space="preserve">настоящих </w:t>
      </w:r>
      <w:r>
        <w:rPr>
          <w:rFonts w:ascii="Times New Roman" w:hAnsi="Times New Roman"/>
          <w:sz w:val="26"/>
          <w:szCs w:val="26"/>
        </w:rPr>
        <w:t xml:space="preserve">Правил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в течение учебного года возникает необходимость выполнения </w:t>
      </w:r>
      <w:r>
        <w:rPr>
          <w:rFonts w:ascii="Times New Roman" w:hAnsi="Times New Roman"/>
          <w:sz w:val="26"/>
          <w:szCs w:val="26"/>
        </w:rPr>
        <w:t xml:space="preserve">объем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учебной нагрузки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превыша</w:t>
      </w:r>
      <w:r>
        <w:rPr>
          <w:rFonts w:ascii="Times New Roman" w:hAnsi="Times New Roman"/>
          <w:sz w:val="26"/>
          <w:szCs w:val="26"/>
        </w:rPr>
        <w:t xml:space="preserve">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верхний предел, установленный</w:t>
      </w:r>
      <w:r>
        <w:rPr>
          <w:rFonts w:ascii="Times New Roman" w:hAnsi="Times New Roman"/>
          <w:sz w:val="26"/>
          <w:szCs w:val="26"/>
        </w:rPr>
        <w:t xml:space="preserve"> в п</w:t>
      </w:r>
      <w:r>
        <w:rPr>
          <w:rFonts w:ascii="Times New Roman" w:hAnsi="Times New Roman"/>
          <w:sz w:val="26"/>
          <w:szCs w:val="26"/>
        </w:rPr>
        <w:t xml:space="preserve">ункте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 xml:space="preserve">настоящ</w:t>
      </w:r>
      <w:r>
        <w:rPr>
          <w:rFonts w:ascii="Times New Roman" w:hAnsi="Times New Roman"/>
          <w:sz w:val="26"/>
          <w:szCs w:val="26"/>
        </w:rPr>
        <w:t xml:space="preserve">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Правил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но не превышающего 900 часов,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то</w:t>
      </w:r>
      <w:r>
        <w:rPr>
          <w:rFonts w:ascii="Times New Roman" w:hAnsi="Times New Roman"/>
          <w:sz w:val="26"/>
          <w:szCs w:val="26"/>
        </w:rPr>
        <w:t xml:space="preserve"> в рамках установленного фонда оплаты труда Департамента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наличии вакантных ставок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основании служебной записки руководителя </w:t>
      </w:r>
      <w:r>
        <w:rPr>
          <w:rFonts w:ascii="Times New Roman" w:hAnsi="Times New Roman"/>
          <w:sz w:val="26"/>
          <w:szCs w:val="26"/>
        </w:rPr>
        <w:t xml:space="preserve">Департамента</w:t>
      </w:r>
      <w:r>
        <w:rPr>
          <w:rFonts w:ascii="Times New Roman" w:hAnsi="Times New Roman"/>
          <w:sz w:val="26"/>
          <w:szCs w:val="26"/>
        </w:rPr>
        <w:t xml:space="preserve"> с положительной резолюцией первого проректора </w:t>
      </w:r>
      <w:r>
        <w:rPr>
          <w:rFonts w:ascii="Times New Roman" w:hAnsi="Times New Roman"/>
          <w:sz w:val="26"/>
          <w:szCs w:val="26"/>
        </w:rPr>
        <w:t xml:space="preserve">преподавателю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устан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вливается </w:t>
      </w:r>
      <w:r>
        <w:rPr>
          <w:rFonts w:ascii="Times New Roman" w:hAnsi="Times New Roman"/>
          <w:sz w:val="26"/>
          <w:szCs w:val="26"/>
        </w:rPr>
        <w:t xml:space="preserve">надбавка за повышенный объем работы </w:t>
      </w:r>
      <w:r>
        <w:rPr>
          <w:rFonts w:ascii="Times New Roman" w:hAnsi="Times New Roman"/>
          <w:sz w:val="26"/>
          <w:szCs w:val="26"/>
        </w:rPr>
        <w:t xml:space="preserve">пропорционально </w:t>
      </w:r>
      <w:r>
        <w:rPr>
          <w:rFonts w:ascii="Times New Roman" w:hAnsi="Times New Roman"/>
          <w:sz w:val="26"/>
          <w:szCs w:val="26"/>
        </w:rPr>
        <w:t xml:space="preserve">количеств</w:t>
      </w:r>
      <w:r>
        <w:rPr>
          <w:rFonts w:ascii="Times New Roman" w:hAnsi="Times New Roman"/>
          <w:sz w:val="26"/>
          <w:szCs w:val="26"/>
        </w:rPr>
        <w:t xml:space="preserve">у часов, выполняемому сверх</w:t>
      </w:r>
      <w:r>
        <w:rPr>
          <w:rFonts w:ascii="Times New Roman" w:hAnsi="Times New Roman"/>
          <w:sz w:val="26"/>
          <w:szCs w:val="26"/>
        </w:rPr>
        <w:t xml:space="preserve"> верхнего предела</w:t>
      </w:r>
      <w:r>
        <w:rPr>
          <w:rFonts w:ascii="Times New Roman" w:hAnsi="Times New Roman"/>
          <w:sz w:val="26"/>
          <w:szCs w:val="26"/>
        </w:rPr>
        <w:t xml:space="preserve"> учебной нагрузки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в порядке, установленном локальным нормативным актом НИУ</w:t>
      </w:r>
      <w:r>
        <w:rPr>
          <w:rFonts w:ascii="Times New Roman" w:hAnsi="Times New Roman"/>
          <w:sz w:val="26"/>
          <w:szCs w:val="26"/>
        </w:rPr>
        <w:t xml:space="preserve"> </w:t>
      </w:r>
      <w:r>
        <w:rPr>
          <w:rFonts w:ascii="Times New Roman" w:hAnsi="Times New Roman"/>
          <w:sz w:val="26"/>
          <w:szCs w:val="26"/>
        </w:rPr>
        <w:t xml:space="preserve">ВШЭ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ри наличии персонифицированного </w:t>
      </w:r>
      <w:r>
        <w:rPr>
          <w:rFonts w:ascii="Times New Roman" w:hAnsi="Times New Roman"/>
          <w:sz w:val="26"/>
          <w:szCs w:val="26"/>
        </w:rPr>
        <w:t xml:space="preserve">запроса </w:t>
      </w:r>
      <w:r>
        <w:rPr>
          <w:rFonts w:ascii="Times New Roman" w:hAnsi="Times New Roman"/>
          <w:sz w:val="26"/>
          <w:szCs w:val="26"/>
        </w:rPr>
        <w:t xml:space="preserve">Департамента </w:t>
      </w:r>
      <w:r>
        <w:rPr>
          <w:rFonts w:ascii="Times New Roman" w:hAnsi="Times New Roman"/>
          <w:sz w:val="26"/>
          <w:szCs w:val="26"/>
        </w:rPr>
        <w:t xml:space="preserve">на привлечение к </w:t>
      </w:r>
      <w:r>
        <w:rPr>
          <w:rFonts w:ascii="Times New Roman" w:hAnsi="Times New Roman"/>
          <w:sz w:val="26"/>
          <w:szCs w:val="26"/>
        </w:rPr>
        <w:t xml:space="preserve">реализации </w:t>
      </w:r>
      <w:r>
        <w:rPr>
          <w:rFonts w:ascii="Times New Roman" w:hAnsi="Times New Roman"/>
          <w:sz w:val="26"/>
          <w:szCs w:val="26"/>
        </w:rPr>
        <w:t xml:space="preserve">порученной учебной нагрузки преподавател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другого </w:t>
      </w:r>
      <w:r>
        <w:rPr>
          <w:rFonts w:ascii="Times New Roman" w:hAnsi="Times New Roman"/>
          <w:sz w:val="26"/>
          <w:szCs w:val="26"/>
        </w:rPr>
        <w:t xml:space="preserve">Департамента</w:t>
      </w:r>
      <w:r>
        <w:rPr>
          <w:rFonts w:ascii="Times New Roman" w:hAnsi="Times New Roman"/>
          <w:sz w:val="26"/>
          <w:szCs w:val="26"/>
        </w:rPr>
        <w:t xml:space="preserve">, индивидуальная учебная нагрузка которого не меньше среднего объема, определенного в пункте 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настоящих </w:t>
      </w:r>
      <w:r>
        <w:rPr>
          <w:rFonts w:ascii="Times New Roman" w:hAnsi="Times New Roman"/>
          <w:sz w:val="26"/>
          <w:szCs w:val="26"/>
        </w:rPr>
        <w:t xml:space="preserve">Правил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но не </w:t>
      </w:r>
      <w:r>
        <w:rPr>
          <w:rFonts w:ascii="Times New Roman" w:hAnsi="Times New Roman"/>
          <w:sz w:val="26"/>
          <w:szCs w:val="26"/>
        </w:rPr>
        <w:t xml:space="preserve">превышает </w:t>
      </w:r>
      <w:r>
        <w:rPr>
          <w:rFonts w:ascii="Times New Roman" w:hAnsi="Times New Roman"/>
          <w:sz w:val="26"/>
          <w:szCs w:val="26"/>
        </w:rPr>
        <w:t xml:space="preserve">900 часов, </w:t>
      </w:r>
      <w:r>
        <w:rPr>
          <w:rFonts w:ascii="Times New Roman" w:hAnsi="Times New Roman"/>
          <w:sz w:val="26"/>
          <w:szCs w:val="26"/>
        </w:rPr>
        <w:t xml:space="preserve">по решению первого проректора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указанным преподавателем</w:t>
      </w:r>
      <w:r>
        <w:rPr>
          <w:rFonts w:ascii="Times New Roman" w:hAnsi="Times New Roman"/>
          <w:sz w:val="26"/>
          <w:szCs w:val="26"/>
        </w:rPr>
        <w:t xml:space="preserve"> может быть заключен трудовой договор </w:t>
      </w:r>
      <w:r>
        <w:rPr>
          <w:rFonts w:ascii="Times New Roman" w:hAnsi="Times New Roman"/>
          <w:sz w:val="26"/>
          <w:szCs w:val="26"/>
        </w:rPr>
        <w:t xml:space="preserve">на условиях внутреннего </w:t>
      </w:r>
      <w:r>
        <w:rPr>
          <w:rFonts w:ascii="Times New Roman" w:hAnsi="Times New Roman"/>
          <w:sz w:val="26"/>
          <w:szCs w:val="26"/>
        </w:rPr>
        <w:t xml:space="preserve">совместительств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соответствующую долю ставки </w:t>
      </w:r>
      <w:r>
        <w:rPr>
          <w:rFonts w:ascii="Times New Roman" w:hAnsi="Times New Roman"/>
          <w:sz w:val="26"/>
          <w:szCs w:val="26"/>
        </w:rPr>
        <w:t xml:space="preserve">либо установлена надбавка за повышенный объем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пропорционально количеству часов, выполняемому сверх среднего объема учебной нагрузки, в порядке, установленном локальным нормативным актом НИУ ВШЭ, и в рамках установленного фонда оплаты труда Департамента, привлекающего преподавателя другого Депар</w:t>
      </w:r>
      <w:r>
        <w:rPr>
          <w:rFonts w:ascii="Times New Roman" w:hAnsi="Times New Roman"/>
          <w:sz w:val="26"/>
          <w:szCs w:val="26"/>
        </w:rPr>
        <w:t xml:space="preserve">тамента.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в течение учебного года </w:t>
      </w:r>
      <w:r>
        <w:rPr>
          <w:rFonts w:ascii="Times New Roman" w:hAnsi="Times New Roman"/>
          <w:sz w:val="26"/>
          <w:szCs w:val="26"/>
        </w:rPr>
        <w:t xml:space="preserve">возникает необходимость в выполнении преподавателем </w:t>
      </w:r>
      <w:r>
        <w:rPr>
          <w:rFonts w:ascii="Times New Roman" w:hAnsi="Times New Roman"/>
          <w:sz w:val="26"/>
          <w:szCs w:val="26"/>
        </w:rPr>
        <w:t xml:space="preserve">дополнительного </w:t>
      </w:r>
      <w:r>
        <w:rPr>
          <w:rFonts w:ascii="Times New Roman" w:hAnsi="Times New Roman"/>
          <w:sz w:val="26"/>
          <w:szCs w:val="26"/>
        </w:rPr>
        <w:t xml:space="preserve">объем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учебной нагрузки</w:t>
      </w:r>
      <w:r>
        <w:rPr>
          <w:rFonts w:ascii="Times New Roman" w:hAnsi="Times New Roman"/>
          <w:sz w:val="26"/>
          <w:szCs w:val="26"/>
        </w:rPr>
        <w:t xml:space="preserve">, превышающ</w:t>
      </w:r>
      <w:r>
        <w:rPr>
          <w:rFonts w:ascii="Times New Roman" w:hAnsi="Times New Roman"/>
          <w:sz w:val="26"/>
          <w:szCs w:val="26"/>
        </w:rPr>
        <w:t xml:space="preserve">его</w:t>
      </w:r>
      <w:r>
        <w:rPr>
          <w:rFonts w:ascii="Times New Roman" w:hAnsi="Times New Roman"/>
          <w:sz w:val="26"/>
          <w:szCs w:val="26"/>
        </w:rPr>
        <w:t xml:space="preserve"> 900 часов, то </w:t>
      </w:r>
      <w:r>
        <w:rPr>
          <w:rFonts w:ascii="Times New Roman" w:hAnsi="Times New Roman"/>
          <w:sz w:val="26"/>
          <w:szCs w:val="26"/>
        </w:rPr>
        <w:t xml:space="preserve">при наличии его согласия </w:t>
      </w:r>
      <w:r>
        <w:rPr>
          <w:rFonts w:ascii="Times New Roman" w:hAnsi="Times New Roman"/>
          <w:sz w:val="26"/>
          <w:szCs w:val="26"/>
        </w:rPr>
        <w:t xml:space="preserve">с ним </w:t>
      </w:r>
      <w:r>
        <w:rPr>
          <w:rFonts w:ascii="Times New Roman" w:hAnsi="Times New Roman"/>
          <w:sz w:val="26"/>
          <w:szCs w:val="26"/>
        </w:rPr>
        <w:t xml:space="preserve">заключается трудовой договор на условиях внутреннего совместительства на долю ставки, рассчитанную пропорционально количеству часов, превышающему верхний предел учебной нагрузки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либо</w:t>
      </w:r>
      <w:r>
        <w:rPr>
          <w:rFonts w:ascii="Times New Roman" w:hAnsi="Times New Roman"/>
          <w:sz w:val="26"/>
          <w:szCs w:val="26"/>
        </w:rPr>
        <w:t xml:space="preserve"> устанавливается надбавка </w:t>
      </w:r>
      <w:r>
        <w:rPr>
          <w:rFonts w:ascii="Times New Roman" w:hAnsi="Times New Roman"/>
          <w:sz w:val="26"/>
          <w:szCs w:val="26"/>
        </w:rPr>
        <w:t xml:space="preserve">на</w:t>
      </w:r>
      <w:r>
        <w:rPr>
          <w:rFonts w:ascii="Times New Roman" w:hAnsi="Times New Roman"/>
          <w:sz w:val="26"/>
          <w:szCs w:val="26"/>
        </w:rPr>
        <w:t xml:space="preserve"> количеств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 часов, превышающе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верхний предел учебной нагрузки.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сли в течение учебного года возникла необходимость откорректировать или перераспределить учебную нагрузку преподавателей (изменилась фактическая численность групп, потоков, состоялся выбор вариативных дисциплин студентами, определились руководители проектн</w:t>
      </w:r>
      <w:r>
        <w:rPr>
          <w:rFonts w:ascii="Times New Roman" w:hAnsi="Times New Roman"/>
          <w:sz w:val="26"/>
          <w:szCs w:val="26"/>
        </w:rPr>
        <w:t xml:space="preserve">ых, курсовых</w:t>
      </w:r>
      <w:r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ВКР</w:t>
      </w:r>
      <w:r>
        <w:rPr>
          <w:rFonts w:ascii="Times New Roman" w:hAnsi="Times New Roman"/>
          <w:sz w:val="26"/>
          <w:szCs w:val="26"/>
        </w:rPr>
        <w:t xml:space="preserve"> и пр.), то соответствующие изменения вносятся Департаментом в АСАВ в модуль «Планирование нагрузки». Согласование и подписание измененных индивидуальных планов преподавателей происходит в порядке, аналогичном первичному составлению плана. </w:t>
      </w:r>
      <w:r/>
    </w:p>
    <w:p>
      <w:pPr>
        <w:jc w:val="both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793"/>
        <w:numPr>
          <w:ilvl w:val="0"/>
          <w:numId w:val="8"/>
        </w:numPr>
        <w:ind w:left="0" w:firstLine="0"/>
        <w:jc w:val="center"/>
        <w:spacing w:after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Отчеты о выполнении учебной </w:t>
      </w:r>
      <w:r>
        <w:rPr>
          <w:rFonts w:ascii="Times New Roman" w:hAnsi="Times New Roman"/>
          <w:b/>
          <w:sz w:val="26"/>
          <w:szCs w:val="26"/>
        </w:rPr>
        <w:t xml:space="preserve">нагрузки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ты о выполнении преподавателями учебной нагрузки за прошедший учебный год создаются Департаментами в АСАВ с использованием специального инструмента определения фактической учебной нагрузки и согласовываются с УОУП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15</w:t>
      </w:r>
      <w:r>
        <w:rPr>
          <w:rFonts w:ascii="Times New Roman" w:hAnsi="Times New Roman"/>
          <w:sz w:val="26"/>
          <w:szCs w:val="26"/>
        </w:rPr>
        <w:t xml:space="preserve">.07.</w:t>
      </w:r>
      <w:r>
        <w:rPr>
          <w:rFonts w:ascii="Times New Roman" w:hAnsi="Times New Roman"/>
          <w:sz w:val="26"/>
          <w:szCs w:val="26"/>
        </w:rPr>
        <w:t xml:space="preserve">202</w:t>
      </w:r>
      <w:r>
        <w:rPr>
          <w:rFonts w:ascii="Times New Roman" w:hAnsi="Times New Roman"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 создании отчета о выполнении учебной нагрузки используются фактические данные из АСАВ о числе студентов, аспирантов или учащихся Лицея, изучавших дисциплины, сдававших государственные экзамены, выполнявших курсовые</w:t>
      </w:r>
      <w:r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ВКР</w:t>
      </w:r>
      <w:r>
        <w:rPr>
          <w:rFonts w:ascii="Times New Roman" w:hAnsi="Times New Roman"/>
          <w:sz w:val="26"/>
          <w:szCs w:val="26"/>
        </w:rPr>
        <w:t xml:space="preserve">, проекты и проходивших практику, а также данные из электронной системы расписания НИУ ВШЭ о фактически проведенных аудиторных занятиях в течение учебного года.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кты сдачи-приемки услуг по ГПД (далее – акты), свидетельствующие об оказании образовательных услуг по проведению аудиторных занятий в соответствии с ГПД, составляются с использованием специального инструмента в АСАВ в соответствии с данными о фактическом р</w:t>
      </w:r>
      <w:r>
        <w:rPr>
          <w:rFonts w:ascii="Times New Roman" w:hAnsi="Times New Roman"/>
          <w:sz w:val="26"/>
          <w:szCs w:val="26"/>
        </w:rPr>
        <w:t xml:space="preserve">асписании учебных занятий за отчетный период, указанный в акте, зафиксированными в электронной системе расписания НИУ ВШЭ. Данные о руководстве практиками, проектами, курсовыми</w:t>
      </w:r>
      <w:r>
        <w:rPr>
          <w:rFonts w:ascii="Times New Roman" w:hAnsi="Times New Roman"/>
          <w:sz w:val="26"/>
          <w:szCs w:val="26"/>
        </w:rPr>
        <w:t xml:space="preserve"> работами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 xml:space="preserve">ВКР</w:t>
      </w:r>
      <w:r>
        <w:rPr>
          <w:rFonts w:ascii="Times New Roman" w:hAnsi="Times New Roman"/>
          <w:sz w:val="26"/>
          <w:szCs w:val="26"/>
        </w:rPr>
        <w:t xml:space="preserve">, указанные в акте, должны соответствовать данным в АСАВ о закреплении руководства лицом, в отношении которого составляется акт, этими видами услуг определенных студентов.</w:t>
      </w:r>
      <w:r/>
    </w:p>
    <w:p>
      <w:pPr>
        <w:pStyle w:val="793"/>
        <w:numPr>
          <w:ilvl w:val="1"/>
          <w:numId w:val="8"/>
        </w:numPr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аучные работники, не являющиеся одновременно работниками ППС НИУ ВШЭ, могут выполнять и предъявлять к отчету дополнительные виды учебной работы в соответствии с Нормативами для расчета дополнительной образовательной работы, выполняемой научными работниками</w:t>
      </w:r>
      <w:r>
        <w:rPr>
          <w:rFonts w:ascii="Times New Roman" w:hAnsi="Times New Roman"/>
          <w:sz w:val="26"/>
          <w:szCs w:val="26"/>
        </w:rPr>
        <w:t xml:space="preserve">, не являющимися одновременно работниками профессорско-преподавательского состава Национального исследовательского университета «Высшая школа экономики» на 20</w:t>
      </w:r>
      <w:r>
        <w:rPr>
          <w:rFonts w:ascii="Times New Roman" w:hAnsi="Times New Roman"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-202</w:t>
      </w:r>
      <w:r>
        <w:rPr>
          <w:rFonts w:ascii="Times New Roman" w:hAnsi="Times New Roman"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 учебный год.</w:t>
      </w:r>
      <w:r/>
    </w:p>
    <w:p>
      <w:pPr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8"/>
      <w:footerReference w:type="default" r:id="rId9"/>
      <w:footerReference w:type="first" r:id="rId10"/>
      <w:footnotePr/>
      <w:type w:val="nextPage"/>
      <w:pgSz w:w="11906" w:h="16838" w:orient="portrait"/>
      <w:pgMar w:top="992" w:right="566" w:bottom="1134" w:left="1701" w:header="709" w:footer="708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8004500"/>
      <w:docPartObj>
        <w:docPartGallery w:val="Page Numbers (Bottom of Page)"/>
        <w:docPartUnique w:val="true"/>
      </w:docPartObj>
      <w:rPr/>
    </w:sdtPr>
    <w:sdtContent>
      <w:p>
        <w:pPr>
          <w:pStyle w:val="783"/>
          <w:jc w:val="right"/>
        </w:pPr>
        <w:r>
          <w:fldChar w:fldCharType="begin"/>
        </w:r>
        <w:r>
          <w:instrText xml:space="preserve">PAGE   \* MERGEFORMA</w:instrText>
        </w:r>
        <w:r/>
      </w:p>
    </w:sdtContent>
  </w:sdt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tabs>
        <w:tab w:val="clear" w:pos="4677" w:leader="none"/>
        <w:tab w:val="clear" w:pos="9355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r>
        <w:rPr>
          <w:lang w:val="ru-RU"/>
        </w:rPr>
        <w:t xml:space="preserve">П</w:t>
      </w:r>
      <w:r>
        <w:t xml:space="preserve">родолжительность</w:t>
      </w:r>
      <w:r>
        <w:t xml:space="preserve"> рабочего дня составляет 6 часов 12 минут с понедельника по пятницу и 5 часов в субботу</w:t>
      </w:r>
      <w:r>
        <w:rPr>
          <w:lang w:val="ru-RU"/>
        </w:rPr>
        <w:t xml:space="preserve">.</w:t>
      </w:r>
      <w:r/>
    </w:p>
  </w:footnote>
  <w:footnote w:id="2">
    <w:p>
      <w:pPr>
        <w:pStyle w:val="778"/>
        <w:ind w:firstLine="0"/>
      </w:pPr>
      <w:r>
        <w:rPr>
          <w:rStyle w:val="780"/>
        </w:rPr>
        <w:footnoteRef/>
      </w:r>
      <w:r>
        <w:rPr>
          <w:lang w:val="ru-RU"/>
        </w:rPr>
        <w:t xml:space="preserve"> Под структурным подразделением понимается факультет, департамент, кафедра, институт, школа, лаборатория и иные структурные подразделения.</w:t>
      </w:r>
      <w:r/>
    </w:p>
  </w:footnote>
  <w:footnote w:id="3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r>
        <w:rPr>
          <w:lang w:val="ru-RU"/>
        </w:rPr>
        <w:t xml:space="preserve">В частности, определяющими </w:t>
      </w:r>
      <w:r>
        <w:t xml:space="preserve">учебн</w:t>
      </w:r>
      <w:r>
        <w:rPr>
          <w:lang w:val="ru-RU"/>
        </w:rPr>
        <w:t xml:space="preserve">ую </w:t>
      </w:r>
      <w:r>
        <w:t xml:space="preserve">нагрузк</w:t>
      </w:r>
      <w:r>
        <w:rPr>
          <w:lang w:val="ru-RU"/>
        </w:rPr>
        <w:t xml:space="preserve">у </w:t>
      </w:r>
      <w:r>
        <w:t xml:space="preserve">и основания ее изменения, случаи установления верхнего предела учебной нагрузки</w:t>
      </w:r>
      <w:r>
        <w:rPr>
          <w:lang w:val="ru-RU"/>
        </w:rPr>
        <w:t xml:space="preserve">, установленные </w:t>
      </w: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lang w:val="ru-RU"/>
        </w:rPr>
        <w:t xml:space="preserve">.</w:t>
      </w:r>
      <w:r/>
    </w:p>
  </w:footnote>
  <w:footnote w:id="4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r>
        <w:rPr>
          <w:lang w:val="ru-RU"/>
        </w:rPr>
        <w:t xml:space="preserve">Число Часов на контроль в учебном плане может корректироваться при существенном (более 10%) изменении контингента студентов в течение учебного года.</w:t>
      </w:r>
      <w:r/>
    </w:p>
  </w:footnote>
  <w:footnote w:id="5">
    <w:p>
      <w:pPr>
        <w:pStyle w:val="778"/>
        <w:ind w:firstLine="0"/>
        <w:jc w:val="left"/>
      </w:pPr>
      <w:r>
        <w:rPr>
          <w:rStyle w:val="780"/>
          <w:szCs w:val="26"/>
        </w:rPr>
        <w:footnoteRef/>
      </w:r>
      <w:r>
        <w:rPr>
          <w:szCs w:val="26"/>
        </w:rPr>
        <w:t xml:space="preserve"> Крупные факультеты – более 80 </w:t>
      </w:r>
      <w:r>
        <w:rPr>
          <w:szCs w:val="26"/>
        </w:rPr>
        <w:t xml:space="preserve">полных </w:t>
      </w:r>
      <w:r>
        <w:rPr>
          <w:szCs w:val="26"/>
        </w:rPr>
        <w:t xml:space="preserve">заполненных ставок</w:t>
      </w:r>
      <w:r>
        <w:rPr>
          <w:szCs w:val="26"/>
        </w:rPr>
        <w:t xml:space="preserve"> </w:t>
      </w:r>
      <w:r>
        <w:rPr>
          <w:szCs w:val="26"/>
        </w:rPr>
        <w:t xml:space="preserve">работников </w:t>
      </w:r>
      <w:r>
        <w:rPr>
          <w:szCs w:val="26"/>
        </w:rPr>
        <w:t xml:space="preserve">ППС</w:t>
      </w:r>
      <w:r/>
    </w:p>
  </w:footnote>
  <w:footnote w:id="6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r>
        <w:rPr>
          <w:lang w:val="ru-RU"/>
        </w:rPr>
        <w:t xml:space="preserve">В порядке, установленном руководителем</w:t>
      </w:r>
      <w:r>
        <w:rPr>
          <w:lang w:val="ru-RU"/>
        </w:rPr>
        <w:t xml:space="preserve"> Департамента на основании локальных нормативных актов, регулирующих разработку </w:t>
      </w:r>
      <w:r>
        <w:rPr>
          <w:lang w:val="en-US"/>
        </w:rPr>
        <w:t xml:space="preserve">MOOC</w:t>
      </w:r>
      <w:r>
        <w:rPr>
          <w:lang w:val="ru-RU"/>
        </w:rPr>
        <w:t xml:space="preserve"> и их реализацию в учебном процессе НИУ ВШЭ. </w:t>
      </w:r>
      <w:r/>
    </w:p>
  </w:footnote>
  <w:footnote w:id="7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r>
        <w:rPr>
          <w:lang w:val="ru-RU"/>
        </w:rPr>
        <w:t xml:space="preserve">Сокращенная учебная нагрузка </w:t>
      </w:r>
      <w:r>
        <w:rPr>
          <w:lang w:val="ru-RU"/>
        </w:rPr>
        <w:t xml:space="preserve">авторов </w:t>
      </w:r>
      <w:r>
        <w:rPr>
          <w:lang w:val="en-US"/>
        </w:rPr>
        <w:t xml:space="preserve">MOOC</w:t>
      </w:r>
      <w:r>
        <w:rPr>
          <w:lang w:val="ru-RU"/>
        </w:rPr>
        <w:t xml:space="preserve"> компенсируется повышенной активностью в рамках иных видов работ, предусмотренных по трудовому договору с работником, по согласованию работника и руководителя Департамента.</w:t>
      </w:r>
      <w:r>
        <w:rPr>
          <w:lang w:val="ru-RU"/>
        </w:rPr>
        <w:t xml:space="preserve"> </w:t>
      </w:r>
      <w:r/>
    </w:p>
  </w:footnote>
  <w:footnote w:id="8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r>
        <w:rPr>
          <w:lang w:val="ru-RU"/>
        </w:rPr>
        <w:t xml:space="preserve">В расчет не входит нагрузка по дисциплинам </w:t>
      </w:r>
      <w:r>
        <w:rPr>
          <w:lang w:val="ru-RU"/>
        </w:rPr>
        <w:t xml:space="preserve">образовательных</w:t>
      </w:r>
      <w:r>
        <w:rPr>
          <w:lang w:val="ru-RU"/>
        </w:rPr>
        <w:t xml:space="preserve"> программ, при реализации которых начали использовать МООС, но на которых автор МООС ранее не преподавал.</w:t>
      </w:r>
      <w:r/>
    </w:p>
  </w:footnote>
  <w:footnote w:id="9">
    <w:p>
      <w:pPr>
        <w:pStyle w:val="778"/>
        <w:ind w:firstLine="0"/>
        <w:rPr>
          <w:lang w:val="ru-RU"/>
        </w:rPr>
      </w:pPr>
      <w:r>
        <w:rPr>
          <w:rStyle w:val="780"/>
        </w:rPr>
        <w:footnoteRef/>
      </w:r>
      <w:r>
        <w:t xml:space="preserve"> </w:t>
      </w:r>
      <w:bookmarkStart w:id="2" w:name="_Hlk24705348"/>
      <w:r/>
      <w:bookmarkStart w:id="3" w:name="_Hlk24705349"/>
      <w:r/>
      <w:bookmarkStart w:id="4" w:name="_Hlk24705350"/>
      <w:r/>
      <w:bookmarkStart w:id="5" w:name="_Hlk24705351"/>
      <w:r/>
      <w:bookmarkStart w:id="6" w:name="_Hlk24705352"/>
      <w:r/>
      <w:bookmarkStart w:id="7" w:name="_Hlk24705353"/>
      <w:r/>
      <w:bookmarkStart w:id="8" w:name="_Hlk24705354"/>
      <w:r/>
      <w:bookmarkStart w:id="9" w:name="_Hlk24705355"/>
      <w:r/>
      <w:bookmarkStart w:id="10" w:name="_Hlk24705356"/>
      <w:r/>
      <w:bookmarkStart w:id="11" w:name="_Hlk24705357"/>
      <w:r/>
      <w:bookmarkStart w:id="12" w:name="_Hlk24705358"/>
      <w:r/>
      <w:bookmarkStart w:id="13" w:name="_Hlk24705359"/>
      <w:r/>
      <w:bookmarkStart w:id="14" w:name="_Hlk24705360"/>
      <w:r/>
      <w:bookmarkStart w:id="15" w:name="_Hlk24705361"/>
      <w:r/>
      <w:bookmarkStart w:id="16" w:name="_Hlk24705362"/>
      <w:r/>
      <w:bookmarkStart w:id="17" w:name="_Hlk24705363"/>
      <w:r>
        <w:rPr>
          <w:lang w:val="ru-RU"/>
        </w:rPr>
        <w:t xml:space="preserve">Сокращенная учебная нагрузка перечисленных категорий работников ППС компенсируется повышенной активностью в рамках иных видов работ, предусмотренных по трудовому договору с работником, по согласованию работника и руководителя Департамента.</w:t>
      </w:r>
      <w:bookmarkEnd w:id="2"/>
      <w:r/>
      <w:bookmarkEnd w:id="3"/>
      <w:r/>
      <w:bookmarkEnd w:id="4"/>
      <w:r/>
      <w:bookmarkEnd w:id="5"/>
      <w:r/>
      <w:bookmarkEnd w:id="6"/>
      <w:r/>
      <w:bookmarkEnd w:id="7"/>
      <w:r/>
      <w:bookmarkEnd w:id="8"/>
      <w:r/>
      <w:bookmarkEnd w:id="9"/>
      <w:r/>
      <w:bookmarkEnd w:id="10"/>
      <w:r/>
      <w:bookmarkEnd w:id="11"/>
      <w:r/>
      <w:bookmarkEnd w:id="12"/>
      <w:r/>
      <w:bookmarkEnd w:id="13"/>
      <w:r/>
      <w:bookmarkEnd w:id="14"/>
      <w:r/>
      <w:bookmarkEnd w:id="15"/>
      <w:r/>
      <w:bookmarkEnd w:id="16"/>
      <w:r/>
      <w:bookmarkEnd w:id="17"/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  <w:tabs>
        <w:tab w:val="clear" w:pos="4677" w:leader="none"/>
        <w:tab w:val="clear" w:pos="9355" w:leader="none"/>
      </w:tabs>
    </w:pPr>
    <w:fldSimple w:instr="PAGE \* MERGEFORMAT">
      <w:r>
        <w:t xml:space="preserve">1</w:t>
      </w:r>
    </w:fldSimple>
    <w:r/>
    <w:r/>
  </w:p>
  <w:p>
    <w:pPr>
      <w:pStyle w:val="781"/>
      <w:tabs>
        <w:tab w:val="clear" w:pos="4677" w:leader="none"/>
        <w:tab w:val="clear" w:pos="9355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left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55"/>
        <w:tabs>
          <w:tab w:val="left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55"/>
        <w:tabs>
          <w:tab w:val="left" w:pos="1440" w:leader="none"/>
        </w:tabs>
      </w:pPr>
      <w:rPr>
        <w:rFonts w:ascii="Courier New" w:hAnsi="Courier New" w:cs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55"/>
        <w:tabs>
          <w:tab w:val="left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55"/>
        <w:tabs>
          <w:tab w:val="left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55"/>
        <w:tabs>
          <w:tab w:val="left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55"/>
        <w:tabs>
          <w:tab w:val="left" w:pos="4320" w:leader="none"/>
        </w:tabs>
      </w:pPr>
      <w:rPr>
        <w:rFonts w:ascii="Courier New" w:hAnsi="Courier New" w:cs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55"/>
        <w:tabs>
          <w:tab w:val="left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55"/>
        <w:tabs>
          <w:tab w:val="left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space"/>
      <w:lvlText w:val="%1."/>
      <w:lvlJc w:val="left"/>
      <w:pPr>
        <w:ind w:left="1913" w:hanging="49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 w:val="false"/>
      <w:suff w:val="space"/>
      <w:lvlText w:val="%1.%2."/>
      <w:lvlJc w:val="left"/>
      <w:pPr>
        <w:ind w:left="1346" w:hanging="49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720" w:hanging="715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15"/>
      </w:pPr>
      <w:rPr>
        <w:rFonts w:ascii="Calibri" w:hAnsi="Calibri" w:hint="default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75"/>
      </w:pPr>
      <w:rPr>
        <w:rFonts w:ascii="Calibri" w:hAnsi="Calibri" w:hint="default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75"/>
      </w:pPr>
      <w:rPr>
        <w:rFonts w:ascii="Calibri" w:hAnsi="Calibri" w:hint="default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35"/>
      </w:pPr>
      <w:rPr>
        <w:rFonts w:ascii="Calibri" w:hAnsi="Calibri" w:hint="default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35"/>
      </w:pPr>
      <w:rPr>
        <w:rFonts w:ascii="Calibri" w:hAnsi="Calibri" w:hint="default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795"/>
      </w:pPr>
      <w:rPr>
        <w:rFonts w:ascii="Calibri" w:hAnsi="Calibri" w:hint="default"/>
        <w:sz w:val="22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55"/>
      </w:pPr>
      <w:rPr>
        <w:rFonts w:hint="default"/>
      </w:rPr>
    </w:lvl>
    <w:lvl w:ilvl="1">
      <w:start w:val="6"/>
      <w:numFmt w:val="decimal"/>
      <w:isLgl w:val="false"/>
      <w:suff w:val="space"/>
      <w:lvlText w:val="%1.%2."/>
      <w:lvlJc w:val="left"/>
      <w:pPr>
        <w:ind w:left="360" w:hanging="3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1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1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75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35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35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79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5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27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499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3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87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1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75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1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3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5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5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5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5"/>
      </w:pPr>
    </w:lvl>
  </w:abstractNum>
  <w:abstractNum w:abstractNumId="6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ind w:left="360" w:hanging="355"/>
      </w:pPr>
      <w:rPr>
        <w:rFonts w:hint="default"/>
      </w:rPr>
    </w:lvl>
    <w:lvl w:ilvl="1">
      <w:start w:val="6"/>
      <w:numFmt w:val="decimal"/>
      <w:isLgl w:val="false"/>
      <w:suff w:val="space"/>
      <w:lvlText w:val="%1.%2."/>
      <w:lvlJc w:val="left"/>
      <w:pPr>
        <w:ind w:left="360" w:hanging="35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1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1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75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35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35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79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1429" w:hanging="355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5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5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5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5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5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5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5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5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11" w:hanging="355"/>
      </w:pPr>
      <w:rPr>
        <w:rFonts w:hint="default"/>
        <w:b/>
      </w:rPr>
    </w:lvl>
    <w:lvl w:ilvl="1">
      <w:start w:val="1"/>
      <w:numFmt w:val="decimal"/>
      <w:isLgl w:val="false"/>
      <w:suff w:val="space"/>
      <w:lvlText w:val="%1.%2."/>
      <w:lvlJc w:val="left"/>
      <w:pPr>
        <w:ind w:left="4685" w:hanging="427"/>
      </w:pPr>
      <w:rPr>
        <w:rFonts w:ascii="Times New Roman" w:hAnsi="Times New Roman" w:cs="Times New Roman" w:hint="default"/>
        <w:b w:val="false"/>
        <w:sz w:val="26"/>
        <w:szCs w:val="26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499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3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87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1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75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19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3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27"/>
      </w:pPr>
      <w:rPr>
        <w:rFonts w:cs="Times New Roman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499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3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87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1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75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19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35"/>
      </w:pPr>
      <w:rPr>
        <w:rFonts w:cs="Times New Roman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95" w:hanging="49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495" w:hanging="49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1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15"/>
      </w:pPr>
      <w:rPr>
        <w:rFonts w:ascii="Calibri" w:hAnsi="Calibri" w:hint="default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75"/>
      </w:pPr>
      <w:rPr>
        <w:rFonts w:ascii="Calibri" w:hAnsi="Calibri" w:hint="default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75"/>
      </w:pPr>
      <w:rPr>
        <w:rFonts w:ascii="Calibri" w:hAnsi="Calibri" w:hint="default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35"/>
      </w:pPr>
      <w:rPr>
        <w:rFonts w:ascii="Calibri" w:hAnsi="Calibri" w:hint="default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35"/>
      </w:pPr>
      <w:rPr>
        <w:rFonts w:ascii="Calibri" w:hAnsi="Calibri" w:hint="default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795"/>
      </w:pPr>
      <w:rPr>
        <w:rFonts w:ascii="Calibri" w:hAnsi="Calibri" w:hint="default"/>
        <w:sz w:val="22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3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1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1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75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35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35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795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8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1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15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35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35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795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795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211" w:hanging="355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55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55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55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55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55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55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55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55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05">
    <w:name w:val="Caption Char"/>
    <w:basedOn w:val="794"/>
    <w:link w:val="783"/>
    <w:uiPriority w:val="99"/>
  </w:style>
  <w:style w:type="table" w:styleId="606">
    <w:name w:val="Table Grid Light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7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8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9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10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12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Grid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Grid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Grid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Grid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Grid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Grid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2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Grid Table 2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Grid Table 2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Grid Table 2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Grid Table 2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5">
    <w:name w:val="Grid Table 2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6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7">
    <w:name w:val="Grid Table 3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8">
    <w:name w:val="Grid Table 3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9">
    <w:name w:val="Grid Table 3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0">
    <w:name w:val="Grid Table 3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1">
    <w:name w:val="Grid Table 3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2">
    <w:name w:val="Grid Table 3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3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34">
    <w:name w:val="Grid Table 4 - Accent 1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35">
    <w:name w:val="Grid Table 4 - Accent 2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36">
    <w:name w:val="Grid Table 4 - Accent 3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37">
    <w:name w:val="Grid Table 4 - Accent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38">
    <w:name w:val="Grid Table 4 - Accent 5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39">
    <w:name w:val="Grid Table 4 - Accent 6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40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641">
    <w:name w:val="Grid Table 5 Dark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642">
    <w:name w:val="Grid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643">
    <w:name w:val="Grid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644">
    <w:name w:val="Grid Table 5 Dark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645">
    <w:name w:val="Grid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646">
    <w:name w:val="Grid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647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8">
    <w:name w:val="Grid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49">
    <w:name w:val="Grid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50">
    <w:name w:val="Grid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51">
    <w:name w:val="Grid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52">
    <w:name w:val="Grid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53">
    <w:name w:val="Grid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54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List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List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List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List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List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9">
    <w:name w:val="List Table 2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70">
    <w:name w:val="List Table 2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71">
    <w:name w:val="List Table 2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72">
    <w:name w:val="List Table 2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73">
    <w:name w:val="List Table 2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74">
    <w:name w:val="List Table 2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75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3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List Table 3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3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3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3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3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List Table 4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List Table 4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List Table 4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4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5 Dark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3">
    <w:name w:val="List Table 5 Dark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5">
    <w:name w:val="List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98">
    <w:name w:val="List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List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00">
    <w:name w:val="List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List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02">
    <w:name w:val="List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03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04">
    <w:name w:val="List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05">
    <w:name w:val="List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06">
    <w:name w:val="List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07">
    <w:name w:val="List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08">
    <w:name w:val="List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09">
    <w:name w:val="List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10">
    <w:name w:val="Lined - Accent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11">
    <w:name w:val="Bordered &amp; Lined - Accent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712">
    <w:name w:val="Heading 1"/>
    <w:basedOn w:val="772"/>
    <w:next w:val="772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3">
    <w:name w:val="Heading 1 Char"/>
    <w:basedOn w:val="773"/>
    <w:link w:val="712"/>
    <w:uiPriority w:val="9"/>
    <w:rPr>
      <w:rFonts w:ascii="Arial" w:hAnsi="Arial" w:cs="Arial" w:eastAsia="Arial"/>
      <w:sz w:val="40"/>
      <w:szCs w:val="40"/>
    </w:rPr>
  </w:style>
  <w:style w:type="paragraph" w:styleId="714">
    <w:name w:val="Heading 2"/>
    <w:basedOn w:val="772"/>
    <w:next w:val="772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>
    <w:name w:val="Heading 2 Char"/>
    <w:basedOn w:val="773"/>
    <w:link w:val="714"/>
    <w:uiPriority w:val="9"/>
    <w:rPr>
      <w:rFonts w:ascii="Arial" w:hAnsi="Arial" w:cs="Arial" w:eastAsia="Arial"/>
      <w:sz w:val="34"/>
    </w:rPr>
  </w:style>
  <w:style w:type="paragraph" w:styleId="716">
    <w:name w:val="Heading 3"/>
    <w:basedOn w:val="772"/>
    <w:next w:val="772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>
    <w:name w:val="Heading 3 Char"/>
    <w:basedOn w:val="773"/>
    <w:link w:val="716"/>
    <w:uiPriority w:val="9"/>
    <w:rPr>
      <w:rFonts w:ascii="Arial" w:hAnsi="Arial" w:cs="Arial" w:eastAsia="Arial"/>
      <w:sz w:val="30"/>
      <w:szCs w:val="30"/>
    </w:rPr>
  </w:style>
  <w:style w:type="paragraph" w:styleId="718">
    <w:name w:val="Heading 4"/>
    <w:basedOn w:val="772"/>
    <w:next w:val="772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>
    <w:name w:val="Heading 4 Char"/>
    <w:basedOn w:val="773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>
    <w:name w:val="Heading 5"/>
    <w:basedOn w:val="772"/>
    <w:next w:val="772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>
    <w:name w:val="Heading 5 Char"/>
    <w:basedOn w:val="773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>
    <w:name w:val="Heading 6"/>
    <w:basedOn w:val="772"/>
    <w:next w:val="772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3">
    <w:name w:val="Heading 6 Char"/>
    <w:basedOn w:val="773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>
    <w:name w:val="Heading 7"/>
    <w:basedOn w:val="772"/>
    <w:next w:val="772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5">
    <w:name w:val="Heading 7 Char"/>
    <w:basedOn w:val="773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>
    <w:name w:val="Heading 8"/>
    <w:basedOn w:val="772"/>
    <w:next w:val="772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7">
    <w:name w:val="Heading 8 Char"/>
    <w:basedOn w:val="773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>
    <w:name w:val="Heading 9"/>
    <w:basedOn w:val="772"/>
    <w:next w:val="772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>
    <w:name w:val="Heading 9 Char"/>
    <w:basedOn w:val="773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Title"/>
    <w:basedOn w:val="772"/>
    <w:next w:val="772"/>
    <w:link w:val="7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1">
    <w:name w:val="Title Char"/>
    <w:basedOn w:val="773"/>
    <w:link w:val="730"/>
    <w:uiPriority w:val="10"/>
    <w:rPr>
      <w:sz w:val="48"/>
      <w:szCs w:val="48"/>
    </w:rPr>
  </w:style>
  <w:style w:type="paragraph" w:styleId="732">
    <w:name w:val="Subtitle"/>
    <w:basedOn w:val="772"/>
    <w:next w:val="772"/>
    <w:link w:val="733"/>
    <w:qFormat/>
    <w:uiPriority w:val="11"/>
    <w:rPr>
      <w:sz w:val="24"/>
      <w:szCs w:val="24"/>
    </w:rPr>
    <w:pPr>
      <w:spacing w:after="200" w:before="200"/>
    </w:pPr>
  </w:style>
  <w:style w:type="character" w:styleId="733">
    <w:name w:val="Subtitle Char"/>
    <w:basedOn w:val="773"/>
    <w:link w:val="732"/>
    <w:uiPriority w:val="11"/>
    <w:rPr>
      <w:sz w:val="24"/>
      <w:szCs w:val="24"/>
    </w:rPr>
  </w:style>
  <w:style w:type="paragraph" w:styleId="734">
    <w:name w:val="Quote"/>
    <w:basedOn w:val="772"/>
    <w:next w:val="772"/>
    <w:link w:val="735"/>
    <w:qFormat/>
    <w:uiPriority w:val="29"/>
    <w:rPr>
      <w:i/>
    </w:rPr>
    <w:pPr>
      <w:ind w:left="720" w:right="720"/>
    </w:p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772"/>
    <w:next w:val="772"/>
    <w:link w:val="7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basedOn w:val="773"/>
    <w:link w:val="781"/>
    <w:uiPriority w:val="99"/>
  </w:style>
  <w:style w:type="character" w:styleId="739">
    <w:name w:val="Footer Char"/>
    <w:basedOn w:val="773"/>
    <w:link w:val="783"/>
    <w:uiPriority w:val="99"/>
  </w:style>
  <w:style w:type="table" w:styleId="740">
    <w:name w:val="Lined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741">
    <w:name w:val="Lined - Accent 1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742">
    <w:name w:val="Lined - Accent 2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743">
    <w:name w:val="Lined - Accent 3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744">
    <w:name w:val="Lined - Accent 4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745">
    <w:name w:val="Lined - Accent 5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746">
    <w:name w:val="Lined - Accent 6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747">
    <w:name w:val="Bordered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48">
    <w:name w:val="Bordered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49">
    <w:name w:val="Bordered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50">
    <w:name w:val="Bordered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51">
    <w:name w:val="Bordered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52">
    <w:name w:val="Bordered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53">
    <w:name w:val="Bordered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54">
    <w:name w:val="Bordered &amp; Lined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755">
    <w:name w:val="Bordered &amp; Lined - Accent 1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756">
    <w:name w:val="Bordered &amp; Lined - Accent 2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757">
    <w:name w:val="Bordered &amp; Lined - Accent 3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758">
    <w:name w:val="Bordered &amp; Lined - Accent 4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759">
    <w:name w:val="Bordered &amp; Lined - Accent 5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760">
    <w:name w:val="Bordered &amp; Lined - Accent 6"/>
    <w:basedOn w:val="7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761">
    <w:name w:val="Footnote Text Char"/>
    <w:link w:val="778"/>
    <w:uiPriority w:val="99"/>
    <w:rPr>
      <w:sz w:val="18"/>
    </w:rPr>
  </w:style>
  <w:style w:type="paragraph" w:styleId="762">
    <w:name w:val="toc 1"/>
    <w:basedOn w:val="772"/>
    <w:next w:val="772"/>
    <w:uiPriority w:val="39"/>
    <w:unhideWhenUsed/>
    <w:pPr>
      <w:ind w:left="0" w:right="0" w:firstLine="0"/>
      <w:spacing w:after="57"/>
    </w:pPr>
  </w:style>
  <w:style w:type="paragraph" w:styleId="763">
    <w:name w:val="toc 2"/>
    <w:basedOn w:val="772"/>
    <w:next w:val="772"/>
    <w:uiPriority w:val="39"/>
    <w:unhideWhenUsed/>
    <w:pPr>
      <w:ind w:left="283" w:right="0" w:firstLine="0"/>
      <w:spacing w:after="57"/>
    </w:pPr>
  </w:style>
  <w:style w:type="paragraph" w:styleId="764">
    <w:name w:val="toc 3"/>
    <w:basedOn w:val="772"/>
    <w:next w:val="772"/>
    <w:uiPriority w:val="39"/>
    <w:unhideWhenUsed/>
    <w:pPr>
      <w:ind w:left="567" w:right="0" w:firstLine="0"/>
      <w:spacing w:after="57"/>
    </w:pPr>
  </w:style>
  <w:style w:type="paragraph" w:styleId="765">
    <w:name w:val="toc 4"/>
    <w:basedOn w:val="772"/>
    <w:next w:val="772"/>
    <w:uiPriority w:val="39"/>
    <w:unhideWhenUsed/>
    <w:pPr>
      <w:ind w:left="850" w:right="0" w:firstLine="0"/>
      <w:spacing w:after="57"/>
    </w:pPr>
  </w:style>
  <w:style w:type="paragraph" w:styleId="766">
    <w:name w:val="toc 5"/>
    <w:basedOn w:val="772"/>
    <w:next w:val="772"/>
    <w:uiPriority w:val="39"/>
    <w:unhideWhenUsed/>
    <w:pPr>
      <w:ind w:left="1134" w:right="0" w:firstLine="0"/>
      <w:spacing w:after="57"/>
    </w:pPr>
  </w:style>
  <w:style w:type="paragraph" w:styleId="767">
    <w:name w:val="toc 6"/>
    <w:basedOn w:val="772"/>
    <w:next w:val="772"/>
    <w:uiPriority w:val="39"/>
    <w:unhideWhenUsed/>
    <w:pPr>
      <w:ind w:left="1417" w:right="0" w:firstLine="0"/>
      <w:spacing w:after="57"/>
    </w:pPr>
  </w:style>
  <w:style w:type="paragraph" w:styleId="768">
    <w:name w:val="toc 7"/>
    <w:basedOn w:val="772"/>
    <w:next w:val="772"/>
    <w:uiPriority w:val="39"/>
    <w:unhideWhenUsed/>
    <w:pPr>
      <w:ind w:left="1701" w:right="0" w:firstLine="0"/>
      <w:spacing w:after="57"/>
    </w:pPr>
  </w:style>
  <w:style w:type="paragraph" w:styleId="769">
    <w:name w:val="toc 8"/>
    <w:basedOn w:val="772"/>
    <w:next w:val="772"/>
    <w:uiPriority w:val="39"/>
    <w:unhideWhenUsed/>
    <w:pPr>
      <w:ind w:left="1984" w:right="0" w:firstLine="0"/>
      <w:spacing w:after="57"/>
    </w:pPr>
  </w:style>
  <w:style w:type="paragraph" w:styleId="770">
    <w:name w:val="toc 9"/>
    <w:basedOn w:val="772"/>
    <w:next w:val="772"/>
    <w:uiPriority w:val="39"/>
    <w:unhideWhenUsed/>
    <w:pPr>
      <w:ind w:left="2268" w:right="0" w:firstLine="0"/>
      <w:spacing w:after="57"/>
    </w:pPr>
  </w:style>
  <w:style w:type="paragraph" w:styleId="771">
    <w:name w:val="TOC Heading"/>
    <w:uiPriority w:val="39"/>
    <w:unhideWhenUsed/>
  </w:style>
  <w:style w:type="paragraph" w:styleId="772" w:default="1">
    <w:name w:val="Normal"/>
    <w:qFormat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>
    <w:name w:val="Balloon Text"/>
    <w:basedOn w:val="772"/>
    <w:semiHidden/>
    <w:rPr>
      <w:rFonts w:ascii="Tahoma" w:hAnsi="Tahoma" w:cs="Tahoma"/>
      <w:sz w:val="16"/>
      <w:szCs w:val="16"/>
      <w:lang w:eastAsia="ru-RU"/>
    </w:rPr>
    <w:pPr>
      <w:spacing w:lineRule="auto" w:line="240" w:after="0"/>
    </w:pPr>
  </w:style>
  <w:style w:type="paragraph" w:styleId="777" w:customStyle="1">
    <w:name w:val="Абзац списка1"/>
    <w:basedOn w:val="772"/>
    <w:pPr>
      <w:contextualSpacing w:val="true"/>
      <w:ind w:left="720"/>
    </w:pPr>
  </w:style>
  <w:style w:type="paragraph" w:styleId="778">
    <w:name w:val="footnote text"/>
    <w:basedOn w:val="772"/>
    <w:link w:val="779"/>
    <w:rPr>
      <w:rFonts w:ascii="Times New Roman" w:hAnsi="Times New Roman" w:eastAsia="Calibri"/>
      <w:sz w:val="20"/>
      <w:szCs w:val="20"/>
    </w:rPr>
    <w:pPr>
      <w:ind w:firstLine="1120"/>
      <w:jc w:val="both"/>
      <w:spacing w:lineRule="auto" w:line="240" w:after="0"/>
      <w:widowControl w:val="off"/>
    </w:pPr>
  </w:style>
  <w:style w:type="character" w:styleId="779" w:customStyle="1">
    <w:name w:val="Текст сноски Знак"/>
    <w:link w:val="778"/>
    <w:rPr>
      <w:rFonts w:ascii="Times New Roman" w:hAnsi="Times New Roman" w:cs="Times New Roman"/>
      <w:sz w:val="20"/>
      <w:szCs w:val="20"/>
    </w:rPr>
  </w:style>
  <w:style w:type="character" w:styleId="780">
    <w:name w:val="footnote reference"/>
    <w:rPr>
      <w:vertAlign w:val="superscript"/>
    </w:rPr>
  </w:style>
  <w:style w:type="paragraph" w:styleId="781">
    <w:name w:val="Header"/>
    <w:basedOn w:val="772"/>
    <w:link w:val="782"/>
    <w:uiPriority w:val="99"/>
    <w:rPr>
      <w:rFonts w:eastAsia="Calibri"/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82" w:customStyle="1">
    <w:name w:val="Верхний колонтитул Знак"/>
    <w:link w:val="781"/>
    <w:uiPriority w:val="99"/>
    <w:rPr>
      <w:rFonts w:cs="Times New Roman"/>
    </w:rPr>
  </w:style>
  <w:style w:type="paragraph" w:styleId="783">
    <w:name w:val="Footer"/>
    <w:basedOn w:val="772"/>
    <w:link w:val="784"/>
    <w:uiPriority w:val="99"/>
    <w:rPr>
      <w:rFonts w:eastAsia="Calibri"/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84" w:customStyle="1">
    <w:name w:val="Нижний колонтитул Знак"/>
    <w:link w:val="783"/>
    <w:uiPriority w:val="99"/>
    <w:rPr>
      <w:rFonts w:cs="Times New Roman"/>
    </w:rPr>
  </w:style>
  <w:style w:type="character" w:styleId="785">
    <w:name w:val="annotation reference"/>
    <w:semiHidden/>
    <w:rPr>
      <w:sz w:val="16"/>
      <w:szCs w:val="16"/>
    </w:rPr>
  </w:style>
  <w:style w:type="paragraph" w:styleId="786">
    <w:name w:val="annotation text"/>
    <w:basedOn w:val="772"/>
    <w:link w:val="795"/>
    <w:semiHidden/>
    <w:rPr>
      <w:sz w:val="20"/>
      <w:szCs w:val="20"/>
    </w:rPr>
  </w:style>
  <w:style w:type="paragraph" w:styleId="787">
    <w:name w:val="annotation subject"/>
    <w:basedOn w:val="786"/>
    <w:next w:val="786"/>
    <w:semiHidden/>
    <w:rPr>
      <w:b/>
      <w:bCs/>
    </w:rPr>
  </w:style>
  <w:style w:type="paragraph" w:styleId="788" w:customStyle="1">
    <w:name w:val="Цветная заливка — акцент 11"/>
    <w:uiPriority w:val="99"/>
    <w:hidden/>
    <w:semiHidden/>
    <w:rPr>
      <w:rFonts w:eastAsia="Times New Roman"/>
      <w:sz w:val="22"/>
      <w:szCs w:val="22"/>
      <w:lang w:eastAsia="en-US"/>
    </w:rPr>
  </w:style>
  <w:style w:type="table" w:styleId="789">
    <w:name w:val="Table Grid"/>
    <w:basedOn w:val="774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90" w:customStyle="1">
    <w:name w:val="ConsPlusNormal"/>
    <w:rPr>
      <w:rFonts w:ascii="Arial" w:hAnsi="Arial" w:cs="Arial" w:eastAsia="Times New Roman"/>
    </w:rPr>
  </w:style>
  <w:style w:type="character" w:styleId="791">
    <w:name w:val="Hyperlink"/>
    <w:rPr>
      <w:color w:val="0000FF"/>
      <w:u w:val="single"/>
    </w:rPr>
  </w:style>
  <w:style w:type="paragraph" w:styleId="792">
    <w:name w:val="Revision"/>
    <w:uiPriority w:val="99"/>
    <w:hidden/>
    <w:semiHidden/>
    <w:rPr>
      <w:rFonts w:eastAsia="Times New Roman"/>
      <w:sz w:val="22"/>
      <w:szCs w:val="22"/>
      <w:lang w:eastAsia="en-US"/>
    </w:rPr>
  </w:style>
  <w:style w:type="paragraph" w:styleId="793">
    <w:name w:val="List Paragraph"/>
    <w:basedOn w:val="772"/>
    <w:qFormat/>
    <w:uiPriority w:val="34"/>
    <w:pPr>
      <w:contextualSpacing w:val="true"/>
      <w:ind w:left="720"/>
    </w:pPr>
  </w:style>
  <w:style w:type="paragraph" w:styleId="794">
    <w:name w:val="Caption"/>
    <w:basedOn w:val="772"/>
    <w:next w:val="772"/>
    <w:qFormat/>
    <w:unhideWhenUsed/>
    <w:rPr>
      <w:b/>
      <w:bCs/>
      <w:color w:val="4F81BD" w:themeColor="accent1"/>
      <w:sz w:val="18"/>
      <w:szCs w:val="18"/>
    </w:rPr>
    <w:pPr>
      <w:spacing w:lineRule="auto" w:line="240"/>
    </w:pPr>
  </w:style>
  <w:style w:type="character" w:styleId="795" w:customStyle="1">
    <w:name w:val="Текст примечания Знак"/>
    <w:link w:val="786"/>
    <w:semiHidden/>
    <w:rPr>
      <w:rFonts w:eastAsia="Times New Roman"/>
      <w:lang w:eastAsia="en-US"/>
    </w:rPr>
  </w:style>
  <w:style w:type="paragraph" w:styleId="796">
    <w:name w:val="endnote text"/>
    <w:basedOn w:val="772"/>
    <w:link w:val="797"/>
    <w:semiHidden/>
    <w:unhideWhenUsed/>
    <w:rPr>
      <w:sz w:val="20"/>
      <w:szCs w:val="20"/>
    </w:rPr>
    <w:pPr>
      <w:spacing w:lineRule="auto" w:line="240" w:after="0"/>
    </w:pPr>
  </w:style>
  <w:style w:type="character" w:styleId="797" w:customStyle="1">
    <w:name w:val="Текст концевой сноски Знак"/>
    <w:basedOn w:val="773"/>
    <w:link w:val="796"/>
    <w:semiHidden/>
    <w:rPr>
      <w:rFonts w:eastAsia="Times New Roman"/>
      <w:lang w:eastAsia="en-US"/>
    </w:rPr>
  </w:style>
  <w:style w:type="character" w:styleId="798">
    <w:name w:val="endnote reference"/>
    <w:basedOn w:val="773"/>
    <w:semiHidden/>
    <w:unhideWhenUsed/>
    <w:rPr>
      <w:vertAlign w:val="superscript"/>
    </w:rPr>
  </w:style>
  <w:style w:type="paragraph" w:styleId="799">
    <w:name w:val="No Spacing"/>
    <w:link w:val="800"/>
    <w:qFormat/>
    <w:uiPriority w:val="1"/>
    <w:rPr>
      <w:rFonts w:ascii="Calibri" w:hAnsi="Calibri" w:cs="Calibri" w:eastAsia="Calibri"/>
      <w:sz w:val="22"/>
      <w:szCs w:val="22"/>
    </w:rPr>
  </w:style>
  <w:style w:type="character" w:styleId="800" w:customStyle="1">
    <w:name w:val="Без интервала Знак"/>
    <w:basedOn w:val="773"/>
    <w:link w:val="799"/>
    <w:uiPriority w:val="1"/>
    <w:rPr>
      <w:rFonts w:ascii="Calibri" w:hAnsi="Calibri" w:cs="Calibri" w:eastAsia="Calibri"/>
      <w:sz w:val="22"/>
      <w:szCs w:val="22"/>
    </w:rPr>
  </w:style>
  <w:style w:type="character" w:styleId="801" w:customStyle="1">
    <w:name w:val="cavalue1"/>
    <w:basedOn w:val="77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2020-05-13T09:16:54Z</dcterms:modified>
</cp:coreProperties>
</file>