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7363" w14:textId="77777777" w:rsidR="009435C0" w:rsidRPr="009435C0" w:rsidRDefault="009435C0" w:rsidP="009435C0">
      <w:pPr>
        <w:spacing w:before="240" w:after="240" w:line="360" w:lineRule="auto"/>
        <w:ind w:left="-1133" w:firstLine="28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Старусева-Першеева </w:t>
      </w:r>
      <w:proofErr w:type="gramStart"/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>А.Д.</w:t>
      </w:r>
      <w:proofErr w:type="gramEnd"/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435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доцент</w:t>
      </w:r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>, Школа дизайна НИУ ВШЭ, apersheeva@hse.ru</w:t>
      </w:r>
    </w:p>
    <w:p w14:paraId="01E62D56" w14:textId="0DF9F0B3" w:rsidR="009435C0" w:rsidRPr="009435C0" w:rsidRDefault="009435C0" w:rsidP="009435C0">
      <w:pPr>
        <w:spacing w:before="240" w:after="240" w:line="360" w:lineRule="auto"/>
        <w:ind w:left="-1133" w:firstLine="28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 xml:space="preserve">Фадеева </w:t>
      </w:r>
      <w:proofErr w:type="gramStart"/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>Т.Е.</w:t>
      </w:r>
      <w:proofErr w:type="gramEnd"/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435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доцент</w:t>
      </w:r>
      <w:r w:rsidRPr="009435C0">
        <w:rPr>
          <w:rFonts w:ascii="Times New Roman" w:eastAsia="Times New Roman" w:hAnsi="Times New Roman" w:cs="Times New Roman"/>
          <w:i/>
          <w:sz w:val="24"/>
          <w:szCs w:val="24"/>
        </w:rPr>
        <w:t>, Школа дизайна НИУ ВШЭ, tfadeeva@hse.ru</w:t>
      </w:r>
    </w:p>
    <w:p w14:paraId="00000003" w14:textId="77777777" w:rsidR="00984D6F" w:rsidRPr="009435C0" w:rsidRDefault="009435C0">
      <w:pPr>
        <w:spacing w:line="360" w:lineRule="auto"/>
        <w:ind w:left="-280" w:hanging="145"/>
        <w:rPr>
          <w:rFonts w:ascii="Times New Roman" w:eastAsia="Literata" w:hAnsi="Times New Roman" w:cs="Times New Roman"/>
          <w:b/>
          <w:sz w:val="28"/>
          <w:szCs w:val="28"/>
        </w:rPr>
      </w:pP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</w:t>
      </w:r>
      <w:r w:rsidRPr="009435C0">
        <w:rPr>
          <w:rFonts w:ascii="Times New Roman" w:eastAsia="Literata" w:hAnsi="Times New Roman" w:cs="Times New Roman"/>
          <w:b/>
          <w:sz w:val="24"/>
          <w:szCs w:val="24"/>
        </w:rPr>
        <w:t xml:space="preserve"> </w:t>
      </w:r>
    </w:p>
    <w:p w14:paraId="5BDF8D92" w14:textId="77777777" w:rsidR="003B551A" w:rsidRDefault="009435C0">
      <w:pPr>
        <w:spacing w:line="360" w:lineRule="auto"/>
        <w:ind w:left="-280" w:hanging="145"/>
        <w:jc w:val="center"/>
        <w:rPr>
          <w:rFonts w:ascii="Times New Roman" w:eastAsia="Literata" w:hAnsi="Times New Roman" w:cs="Times New Roman"/>
          <w:b/>
          <w:sz w:val="28"/>
          <w:szCs w:val="28"/>
        </w:rPr>
      </w:pPr>
      <w:r w:rsidRPr="009435C0">
        <w:rPr>
          <w:rFonts w:ascii="Times New Roman" w:eastAsia="Literata" w:hAnsi="Times New Roman" w:cs="Times New Roman"/>
          <w:b/>
          <w:sz w:val="28"/>
          <w:szCs w:val="28"/>
        </w:rPr>
        <w:t>VR как новая мистерия: экранный образ в поле пересечения кино,</w:t>
      </w:r>
    </w:p>
    <w:p w14:paraId="00000004" w14:textId="6686C925" w:rsidR="00984D6F" w:rsidRPr="009435C0" w:rsidRDefault="009435C0">
      <w:pPr>
        <w:spacing w:line="360" w:lineRule="auto"/>
        <w:ind w:left="-280" w:hanging="145"/>
        <w:jc w:val="center"/>
        <w:rPr>
          <w:rFonts w:ascii="Times New Roman" w:eastAsia="Literata" w:hAnsi="Times New Roman" w:cs="Times New Roman"/>
          <w:b/>
          <w:sz w:val="28"/>
          <w:szCs w:val="28"/>
        </w:rPr>
      </w:pPr>
      <w:r w:rsidRPr="009435C0">
        <w:rPr>
          <w:rFonts w:ascii="Times New Roman" w:eastAsia="Literata" w:hAnsi="Times New Roman" w:cs="Times New Roman"/>
          <w:b/>
          <w:sz w:val="28"/>
          <w:szCs w:val="28"/>
        </w:rPr>
        <w:t>театра и гейм-дизайна</w:t>
      </w:r>
    </w:p>
    <w:p w14:paraId="00000005" w14:textId="77777777" w:rsidR="00984D6F" w:rsidRPr="009435C0" w:rsidRDefault="009435C0">
      <w:pPr>
        <w:spacing w:line="360" w:lineRule="auto"/>
        <w:ind w:left="-280"/>
        <w:jc w:val="center"/>
        <w:rPr>
          <w:rFonts w:ascii="Times New Roman" w:eastAsia="Literata" w:hAnsi="Times New Roman" w:cs="Times New Roman"/>
          <w:sz w:val="32"/>
          <w:szCs w:val="32"/>
        </w:rPr>
      </w:pPr>
      <w:r w:rsidRPr="009435C0">
        <w:rPr>
          <w:rFonts w:ascii="Times New Roman" w:eastAsia="Literata" w:hAnsi="Times New Roman" w:cs="Times New Roman"/>
          <w:sz w:val="28"/>
          <w:szCs w:val="28"/>
        </w:rPr>
        <w:t xml:space="preserve"> </w:t>
      </w:r>
      <w:r w:rsidRPr="009435C0">
        <w:rPr>
          <w:rFonts w:ascii="Times New Roman" w:eastAsia="Literata" w:hAnsi="Times New Roman" w:cs="Times New Roman"/>
          <w:sz w:val="32"/>
          <w:szCs w:val="32"/>
        </w:rPr>
        <w:t xml:space="preserve">  </w:t>
      </w:r>
    </w:p>
    <w:p w14:paraId="00000006" w14:textId="77777777" w:rsidR="00984D6F" w:rsidRPr="009435C0" w:rsidRDefault="009435C0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  <w:u w:val="single"/>
        </w:rPr>
      </w:pPr>
      <w:r w:rsidRPr="009435C0">
        <w:rPr>
          <w:rFonts w:ascii="Times New Roman" w:eastAsia="Literata" w:hAnsi="Times New Roman" w:cs="Times New Roman"/>
          <w:sz w:val="24"/>
          <w:szCs w:val="24"/>
          <w:u w:val="single"/>
        </w:rPr>
        <w:t>Аннотация:</w:t>
      </w:r>
    </w:p>
    <w:p w14:paraId="00000007" w14:textId="77777777" w:rsidR="00984D6F" w:rsidRPr="009435C0" w:rsidRDefault="009435C0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</w:t>
      </w:r>
    </w:p>
    <w:p w14:paraId="00000008" w14:textId="77777777" w:rsidR="00984D6F" w:rsidRPr="009435C0" w:rsidRDefault="009435C0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Прошедшее десятилетие было отмечено значительной интенсификацией разработок, связанных с виртуальной реальностью, используемой в образовательной, медицинской и военной отраслях, а также в массовой культуре (видеоигры) и современном искусстве – и внедрение этого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иммерсивного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медиума вызвало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парадигмальные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сдвиги в каждом из отмеченных направлений и смещение акцентов в системе «адресат-адресант».</w:t>
      </w:r>
    </w:p>
    <w:p w14:paraId="00000009" w14:textId="77777777" w:rsidR="00984D6F" w:rsidRPr="009435C0" w:rsidRDefault="009435C0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  <w:r w:rsidRPr="009435C0">
        <w:rPr>
          <w:rFonts w:ascii="Times New Roman" w:eastAsia="Literata" w:hAnsi="Times New Roman" w:cs="Times New Roman"/>
          <w:sz w:val="24"/>
          <w:szCs w:val="24"/>
        </w:rPr>
        <w:t>В фокусе настоящего исследования находятся фильмы, созданные для виртуальной реальности, и задача исследователей состоит в том, чтобы выявить и описать особые типы опыта, возможные в пространстве VR, и проследить «генеалогию» использованных в них приемов. Объектом исследования стали выпущенные в 2010-е годы произведения высокого художественного уровня, отмеченные в специальной программе Венецианского кинофестиваля и на других институциональных платформах, деятельность которых посвящена поискам новых форм языка экранных искусств.</w:t>
      </w:r>
    </w:p>
    <w:p w14:paraId="0000000A" w14:textId="2F8A379A" w:rsidR="00984D6F" w:rsidRDefault="009435C0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  <w:r w:rsidRPr="009435C0">
        <w:rPr>
          <w:rFonts w:ascii="Times New Roman" w:eastAsia="Literata" w:hAnsi="Times New Roman" w:cs="Times New Roman"/>
          <w:sz w:val="24"/>
          <w:szCs w:val="24"/>
        </w:rPr>
        <w:t>Ключевые тезисы авторов можно резюмировать следующим образом: развитие мультимедийных и междисциплинарных художественных практик, которым была отмечена вторая половина XX-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го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века, находит еще более яркое выражение сегодня, в частности, происходит сращивание экранных и перформативных форматов в современном искусстве. В XXI-м веке движущееся изображение становится привычным элементом театральной постановки, а интерактивный кинематограф возвращается к элементам театральной режиссуры и заимствует приемы из области гейм-дизайна. Виртуальная реальность становится зоной пересечения этих языков, поскольку реципиент оказывается одновременно зрителем и героем, активно взаимодействующим с интерактивной средой. Это требует перестройки коммуникативных стратегий: зритель-герой теперь является не тем, кто сугубо интеллектуально воспринимает рассказываемую </w:t>
      </w:r>
      <w:r w:rsidRPr="009435C0">
        <w:rPr>
          <w:rFonts w:ascii="Times New Roman" w:eastAsia="Literata" w:hAnsi="Times New Roman" w:cs="Times New Roman"/>
          <w:sz w:val="24"/>
          <w:szCs w:val="24"/>
        </w:rPr>
        <w:lastRenderedPageBreak/>
        <w:t xml:space="preserve">«историю», располагаясь в удобном кресле, а тем, кто аффективно включается в действие,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кинестетически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обнаруживая себя в системе возможностей и ограничений созданного художником VR-пространства. И перед автором стоит качественно новая задача: не просто прочертить линию нарратива, а выстроить произведение как поле, взаимодействуя с которым зритель сможет получить целостный опыт, обеспечить динамическое единство интеллекта и аффекта в восприятии того послания, которое несет в себе произведение.</w:t>
      </w:r>
    </w:p>
    <w:p w14:paraId="6483D214" w14:textId="77777777" w:rsidR="006C3396" w:rsidRPr="009435C0" w:rsidRDefault="006C3396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</w:p>
    <w:p w14:paraId="57A94E5C" w14:textId="0DB6834C" w:rsidR="006C3396" w:rsidRDefault="004B02FC" w:rsidP="006C3396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  <w:lang w:val="ru-RU"/>
        </w:rPr>
      </w:pPr>
      <w:r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В начале </w:t>
      </w:r>
      <w:r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исследования</w:t>
      </w:r>
      <w:r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мы опирались на гипотезу о том, что 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существует принципиальное различие между </w:t>
      </w:r>
      <w:r w:rsid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двумя типами </w:t>
      </w:r>
      <w:r w:rsidR="00882A23">
        <w:rPr>
          <w:rFonts w:ascii="Times New Roman" w:eastAsia="Literata" w:hAnsi="Times New Roman" w:cs="Times New Roman"/>
          <w:sz w:val="24"/>
          <w:szCs w:val="24"/>
          <w:lang w:val="en-US"/>
        </w:rPr>
        <w:t>VR</w:t>
      </w:r>
      <w:r w:rsidR="00882A23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-</w:t>
      </w:r>
      <w:r w:rsid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проектов: </w:t>
      </w:r>
      <w:r w:rsidR="00D72AB2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а) 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произведениями, наследующими классическому киноискусству, где акцент ставится на зрелищности, понимаемой в привычном смысле и </w:t>
      </w:r>
      <w:proofErr w:type="spellStart"/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задействующей</w:t>
      </w:r>
      <w:proofErr w:type="spellEnd"/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</w:t>
      </w:r>
      <w:r w:rsidR="00E44983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преимущественно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</w:t>
      </w:r>
      <w:r w:rsidR="00882A23">
        <w:rPr>
          <w:rFonts w:ascii="Times New Roman" w:eastAsia="Literata" w:hAnsi="Times New Roman" w:cs="Times New Roman"/>
          <w:sz w:val="24"/>
          <w:szCs w:val="24"/>
          <w:lang w:val="ru-RU"/>
        </w:rPr>
        <w:t>аудио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визуальный канал</w:t>
      </w:r>
      <w:r w:rsidR="00D72AB2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, и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</w:t>
      </w:r>
      <w:r w:rsidR="00D72AB2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б) 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произведениями, ориентированными на телесное вовлечение зрителя-игрока через движение и кинестетический канал восприятия, </w:t>
      </w:r>
      <w:r w:rsidR="00D72AB2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задействуя стратегии</w:t>
      </w:r>
      <w:r w:rsidR="0079582B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</w:t>
      </w:r>
      <w:r w:rsidR="0079582B">
        <w:rPr>
          <w:rFonts w:ascii="Times New Roman" w:eastAsia="Literata" w:hAnsi="Times New Roman" w:cs="Times New Roman"/>
          <w:sz w:val="24"/>
          <w:szCs w:val="24"/>
          <w:lang w:val="ru-RU"/>
        </w:rPr>
        <w:t>театральной мизансцены и</w:t>
      </w:r>
      <w:r w:rsidR="00D72AB2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гейм-дизайна</w:t>
      </w:r>
      <w:r w:rsidR="006C3396" w:rsidRPr="00882A23">
        <w:rPr>
          <w:rFonts w:ascii="Times New Roman" w:eastAsia="Literata" w:hAnsi="Times New Roman" w:cs="Times New Roman"/>
          <w:sz w:val="24"/>
          <w:szCs w:val="24"/>
          <w:lang w:val="ru-RU"/>
        </w:rPr>
        <w:t>.</w:t>
      </w:r>
    </w:p>
    <w:p w14:paraId="39E262D2" w14:textId="77777777" w:rsidR="006C3396" w:rsidRDefault="006C3396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  <w:lang w:val="ru-RU"/>
        </w:rPr>
      </w:pPr>
    </w:p>
    <w:p w14:paraId="37521E83" w14:textId="45E85069" w:rsidR="003B551A" w:rsidRDefault="009435C0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В </w:t>
      </w:r>
      <w:r w:rsidR="004B02FC">
        <w:rPr>
          <w:rFonts w:ascii="Times New Roman" w:eastAsia="Literata" w:hAnsi="Times New Roman" w:cs="Times New Roman"/>
          <w:sz w:val="24"/>
          <w:szCs w:val="24"/>
          <w:lang w:val="ru-RU"/>
        </w:rPr>
        <w:t>рамках исследовании</w:t>
      </w: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</w:t>
      </w:r>
      <w:r w:rsidR="004B02FC">
        <w:rPr>
          <w:rFonts w:ascii="Times New Roman" w:eastAsia="Literata" w:hAnsi="Times New Roman" w:cs="Times New Roman"/>
          <w:sz w:val="24"/>
          <w:szCs w:val="24"/>
          <w:lang w:val="ru-RU"/>
        </w:rPr>
        <w:t>были проанализированы</w:t>
      </w: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примеры</w:t>
      </w:r>
      <w:r w:rsidR="004B02FC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успешных мультимедийных проектов</w:t>
      </w:r>
      <w:r w:rsidRPr="009435C0">
        <w:rPr>
          <w:rFonts w:ascii="Times New Roman" w:eastAsia="Literata" w:hAnsi="Times New Roman" w:cs="Times New Roman"/>
          <w:sz w:val="24"/>
          <w:szCs w:val="24"/>
        </w:rPr>
        <w:t>, где</w:t>
      </w:r>
      <w:r w:rsidR="004B02FC">
        <w:rPr>
          <w:rFonts w:ascii="Times New Roman" w:eastAsia="Literata" w:hAnsi="Times New Roman" w:cs="Times New Roman"/>
          <w:sz w:val="24"/>
          <w:szCs w:val="24"/>
          <w:lang w:val="ru-RU"/>
        </w:rPr>
        <w:t>,</w:t>
      </w: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</w:t>
      </w:r>
      <w:r w:rsidR="004B02FC" w:rsidRPr="009435C0">
        <w:rPr>
          <w:rFonts w:ascii="Times New Roman" w:eastAsia="Literata" w:hAnsi="Times New Roman" w:cs="Times New Roman"/>
          <w:sz w:val="24"/>
          <w:szCs w:val="24"/>
        </w:rPr>
        <w:t xml:space="preserve">с одной стороны, </w:t>
      </w: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приемы традиционного театра и кино усилены за счет виртуальной реальности («Заброшенный»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Цая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Минляна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, «Контейнер»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Саймона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Вуда и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Мегны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Сингх), с другой стороны, </w:t>
      </w:r>
      <w:r w:rsidR="004B02FC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в поле внимания авторов попали проекты</w:t>
      </w:r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, построенные на приемах, принципиально недоступных прежним формам искусства («Палач идет домой» Мишель и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Ури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Кранотов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>, «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Самсара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>» Хуана Синь-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цзяня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 xml:space="preserve">, «Плоть и песок» Алехандро Гонсалеса </w:t>
      </w:r>
      <w:proofErr w:type="spellStart"/>
      <w:r w:rsidRPr="009435C0">
        <w:rPr>
          <w:rFonts w:ascii="Times New Roman" w:eastAsia="Literata" w:hAnsi="Times New Roman" w:cs="Times New Roman"/>
          <w:sz w:val="24"/>
          <w:szCs w:val="24"/>
        </w:rPr>
        <w:t>Иньярриту</w:t>
      </w:r>
      <w:proofErr w:type="spellEnd"/>
      <w:r w:rsidRPr="009435C0">
        <w:rPr>
          <w:rFonts w:ascii="Times New Roman" w:eastAsia="Literata" w:hAnsi="Times New Roman" w:cs="Times New Roman"/>
          <w:sz w:val="24"/>
          <w:szCs w:val="24"/>
        </w:rPr>
        <w:t>).</w:t>
      </w:r>
    </w:p>
    <w:p w14:paraId="7B92F90D" w14:textId="77777777" w:rsidR="00882A23" w:rsidRDefault="00882A23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</w:rPr>
      </w:pPr>
    </w:p>
    <w:p w14:paraId="0000000B" w14:textId="3BB76C83" w:rsidR="00984D6F" w:rsidRPr="0079582B" w:rsidRDefault="00D72AB2" w:rsidP="005834B7">
      <w:pPr>
        <w:spacing w:line="360" w:lineRule="auto"/>
        <w:ind w:left="-280"/>
        <w:rPr>
          <w:rFonts w:ascii="Times New Roman" w:eastAsia="Literata" w:hAnsi="Times New Roman" w:cs="Times New Roman"/>
          <w:sz w:val="24"/>
          <w:szCs w:val="24"/>
          <w:lang w:val="ru-RU"/>
        </w:rPr>
      </w:pPr>
      <w:r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Формальный 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и структурный анализ этих проектов дал нам возможность частично подтвердить и скорректировать исходную гипотезу: несмотря на то, что степень интерактивности в произведениях первого и второго типов заметно отличается, что позволяет указывать на значимое различие между ними, элементы киноязыка, театральной </w:t>
      </w:r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режиссуры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и гейм-дизайна всегда сосуществуют в пространстве виртуальной реальности. Более того, именно соединение элементов этих знаковых систем дает нам возможность анализировать 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en-US"/>
        </w:rPr>
        <w:t>VR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-проект как принципиально новый тип синтетического произведения и указать на его эстетические возможности. Главной из них становится возможность сочетания приемов </w:t>
      </w:r>
      <w:proofErr w:type="spellStart"/>
      <w:r w:rsidR="0079582B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мимесиса</w:t>
      </w:r>
      <w:proofErr w:type="spellEnd"/>
      <w:r w:rsidR="0079582B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, 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вовлечения и идентификации с героем (киноязык)</w:t>
      </w:r>
      <w:r w:rsidR="0079582B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,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включени</w:t>
      </w:r>
      <w:r w:rsidR="0079582B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я</w:t>
      </w:r>
      <w:r w:rsidR="005834B7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тела и пространственного решения (театр), а также </w:t>
      </w:r>
      <w:proofErr w:type="spellStart"/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проактивности</w:t>
      </w:r>
      <w:proofErr w:type="spellEnd"/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зрителя как действующего лица (игровая механика) – реципиент не просто </w:t>
      </w:r>
      <w:proofErr w:type="spellStart"/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эмпатически</w:t>
      </w:r>
      <w:proofErr w:type="spellEnd"/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</w:t>
      </w:r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lastRenderedPageBreak/>
        <w:t>включается в «</w:t>
      </w:r>
      <w:proofErr w:type="spellStart"/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сеттинг</w:t>
      </w:r>
      <w:proofErr w:type="spellEnd"/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»</w:t>
      </w:r>
      <w:r w:rsidR="0079582B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 мира, созданного художником</w:t>
      </w:r>
      <w:r w:rsidR="00882A23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 xml:space="preserve">, но и становится как бы одной из фигур знака, преображающейся вместе с произведением как целым. Таким образом, мы утверждаем, что </w:t>
      </w:r>
      <w:r w:rsidR="00E94648" w:rsidRPr="0079582B">
        <w:rPr>
          <w:rFonts w:ascii="Times New Roman" w:eastAsia="Literata" w:hAnsi="Times New Roman" w:cs="Times New Roman"/>
          <w:sz w:val="24"/>
          <w:szCs w:val="24"/>
          <w:lang w:val="ru-RU"/>
        </w:rPr>
        <w:t>подобные</w:t>
      </w:r>
      <w:r w:rsidR="009435C0" w:rsidRPr="0079582B">
        <w:rPr>
          <w:rFonts w:ascii="Times New Roman" w:eastAsia="Literata" w:hAnsi="Times New Roman" w:cs="Times New Roman"/>
          <w:sz w:val="24"/>
          <w:szCs w:val="24"/>
        </w:rPr>
        <w:t xml:space="preserve"> проекты для виртуальной реальности могут мыслиться как новый вид мистерии, пространство яркого трансформационного опыта.</w:t>
      </w:r>
    </w:p>
    <w:p w14:paraId="00000014" w14:textId="5C013EF7" w:rsidR="00984D6F" w:rsidRPr="003B551A" w:rsidRDefault="00984D6F">
      <w:pPr>
        <w:spacing w:line="360" w:lineRule="auto"/>
        <w:rPr>
          <w:rFonts w:ascii="Times New Roman" w:hAnsi="Times New Roman" w:cs="Times New Roman"/>
          <w:lang w:val="ru-RU"/>
        </w:rPr>
      </w:pPr>
    </w:p>
    <w:sectPr w:rsidR="00984D6F" w:rsidRPr="003B55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6F"/>
    <w:rsid w:val="003B551A"/>
    <w:rsid w:val="004B02FC"/>
    <w:rsid w:val="005834B7"/>
    <w:rsid w:val="006C3396"/>
    <w:rsid w:val="0079582B"/>
    <w:rsid w:val="00882A23"/>
    <w:rsid w:val="009435C0"/>
    <w:rsid w:val="00984D6F"/>
    <w:rsid w:val="00AE365D"/>
    <w:rsid w:val="00D72AB2"/>
    <w:rsid w:val="00E44983"/>
    <w:rsid w:val="00E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6F63A"/>
  <w15:docId w15:val="{3C8CD1F2-5F97-8B4E-A56B-B6638A02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Perche</cp:lastModifiedBy>
  <cp:revision>6</cp:revision>
  <dcterms:created xsi:type="dcterms:W3CDTF">2021-11-21T21:54:00Z</dcterms:created>
  <dcterms:modified xsi:type="dcterms:W3CDTF">2021-12-18T21:32:00Z</dcterms:modified>
</cp:coreProperties>
</file>