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86"/>
      </w:tblGrid>
      <w:tr w:rsidR="00012F29" w14:paraId="5FF4C492" w14:textId="77777777" w:rsidTr="00012F29">
        <w:tc>
          <w:tcPr>
            <w:tcW w:w="4928" w:type="dxa"/>
          </w:tcPr>
          <w:p w14:paraId="78A7C1EE" w14:textId="77777777"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14:paraId="56C7C6FD" w14:textId="77777777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УТВЕРЖДЕНО</w:t>
            </w:r>
          </w:p>
          <w:p w14:paraId="4929B7BE" w14:textId="77777777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ченым советом НИУ ВШЭ</w:t>
            </w:r>
          </w:p>
          <w:p w14:paraId="607ADA13" w14:textId="4B83AAC6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Протокол от </w:t>
            </w:r>
            <w:r w:rsidR="000E0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№ </w:t>
            </w:r>
            <w:r w:rsidR="000E0C5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40CF3E0" w14:textId="77777777"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C25F9F8" w14:textId="77777777" w:rsidR="00012F29" w:rsidRDefault="00012F29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7F36C45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8D705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D1C0C01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8055E00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0F410ED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7E3A0F4A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46976C2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CFDA11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91A5E3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39DB39C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Внутренний порядок перевода</w:t>
      </w:r>
    </w:p>
    <w:p w14:paraId="740027A8" w14:textId="012BB09E" w:rsidR="008B3A7A" w:rsidRPr="00E36F95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образовательную программу </w:t>
      </w:r>
      <w:r w:rsidR="00E36F9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магистратуры</w:t>
      </w:r>
    </w:p>
    <w:p w14:paraId="44FE5CE1" w14:textId="68A71CCD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E36F95" w:rsidRPr="00E36F9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Машинное обучение и высоконагруженные системы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» ФКН НИУ ВШЭ</w:t>
      </w:r>
    </w:p>
    <w:p w14:paraId="6D3DFF8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E80A512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849AB3C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D3AF4D7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9CF9FFD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D399C7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634DFEA" w14:textId="77777777" w:rsidR="008B3A7A" w:rsidRPr="00657AF3" w:rsidRDefault="008B3A7A" w:rsidP="008B3A7A">
      <w:pPr>
        <w:tabs>
          <w:tab w:val="left" w:pos="35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157F0DE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45B827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BB68A74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EA7FA0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32EDDCA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7FF5ED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AE6D48C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474C24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E4EA35E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9DE2B2E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B2B8258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F341C66" w14:textId="32EC6A73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Москва, 20</w:t>
      </w:r>
      <w:r w:rsidR="00314283">
        <w:rPr>
          <w:rFonts w:ascii="Times New Roman" w:eastAsia="Times New Roman" w:hAnsi="Times New Roman" w:cs="Times New Roman"/>
          <w:sz w:val="26"/>
          <w:szCs w:val="26"/>
          <w:lang w:val="ru-RU"/>
        </w:rPr>
        <w:t>21</w:t>
      </w:r>
    </w:p>
    <w:p w14:paraId="2D3231E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9B10AE9" w14:textId="77777777" w:rsidR="008B3A7A" w:rsidRPr="00657AF3" w:rsidRDefault="008B3A7A" w:rsidP="008B3A7A">
      <w:pPr>
        <w:spacing w:after="120" w:line="240" w:lineRule="auto"/>
        <w:ind w:left="1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bookmarkStart w:id="0" w:name="_y7onu7pkqc0e" w:colFirst="0" w:colLast="0" w:displacedByCustomXml="next"/>
    <w:bookmarkEnd w:id="0" w:displacedByCustomXml="next"/>
    <w:sdt>
      <w:sdtPr>
        <w:rPr>
          <w:rFonts w:ascii="Times New Roman" w:eastAsia="Arial" w:hAnsi="Times New Roman" w:cs="Times New Roman"/>
          <w:b w:val="0"/>
          <w:bCs w:val="0"/>
          <w:color w:val="000000"/>
          <w:sz w:val="26"/>
          <w:szCs w:val="26"/>
          <w:lang w:val="ru"/>
        </w:rPr>
        <w:id w:val="642772038"/>
        <w:docPartObj>
          <w:docPartGallery w:val="Table of Contents"/>
          <w:docPartUnique/>
        </w:docPartObj>
      </w:sdtPr>
      <w:sdtEndPr/>
      <w:sdtContent>
        <w:p w14:paraId="17FC7BFE" w14:textId="77777777" w:rsidR="008B3A7A" w:rsidRPr="00657AF3" w:rsidRDefault="008B3A7A" w:rsidP="008B3A7A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14:paraId="4C2D6FC0" w14:textId="77777777" w:rsidR="008B3A7A" w:rsidRPr="00657AF3" w:rsidRDefault="008B3A7A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99307427" w:history="1">
            <w:r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1. Общие положения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_Toc499307427 \h </w:instrTex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250699" w14:textId="77777777" w:rsidR="008B3A7A" w:rsidRPr="00657AF3" w:rsidRDefault="001243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28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2. Сроки перевода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14:paraId="557AD9FF" w14:textId="77777777" w:rsidR="008B3A7A" w:rsidRPr="00657AF3" w:rsidRDefault="00124354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iCs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3. Перевод</w:t>
            </w:r>
            <w:r w:rsidR="008B3A7A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других образовательных программ НИУ ВШЭ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14:paraId="6509F13D" w14:textId="77777777" w:rsidR="008B3A7A" w:rsidRPr="00657AF3" w:rsidRDefault="001243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4. Перевод из других образовательных организаций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14:paraId="497896B0" w14:textId="77777777" w:rsidR="008B3A7A" w:rsidRPr="008452AC" w:rsidRDefault="001243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  <w:lang w:val="en-US"/>
            </w:rPr>
          </w:pPr>
          <w:hyperlink w:anchor="_Toc499307431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5. Особенности проведения 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  <w:t>6</w:t>
            </w:r>
          </w:hyperlink>
        </w:p>
        <w:p w14:paraId="3239BC80" w14:textId="77777777" w:rsidR="008B3A7A" w:rsidRPr="00657AF3" w:rsidRDefault="001243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2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6. Перезачет дисциплин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_Toc499307432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0136D1" w14:textId="77777777" w:rsidR="008B3A7A" w:rsidRPr="00657AF3" w:rsidRDefault="00124354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7. Аттестационные испытания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_Toc499307433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A0D23C" w14:textId="77777777" w:rsidR="008B3A7A" w:rsidRPr="00657AF3" w:rsidRDefault="001243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8. Условия конкурсного отбора студентов при переводе на вакантные бюджетные месте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843A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</w:hyperlink>
        </w:p>
        <w:p w14:paraId="0059696A" w14:textId="113D8F7F" w:rsidR="008B3A7A" w:rsidRPr="00657AF3" w:rsidRDefault="008B3A7A" w:rsidP="008B3A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012DB358" w14:textId="77777777"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5145F469" w14:textId="77777777"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14:paraId="03BE4643" w14:textId="77777777" w:rsidR="008B3A7A" w:rsidRPr="006D01A2" w:rsidRDefault="008B3A7A" w:rsidP="00EA5566">
      <w:pPr>
        <w:pStyle w:val="a"/>
        <w:rPr>
          <w:rStyle w:val="aa"/>
          <w:i w:val="0"/>
          <w:iCs w:val="0"/>
          <w:color w:val="auto"/>
        </w:rPr>
      </w:pPr>
      <w:bookmarkStart w:id="1" w:name="_Toc499307427"/>
      <w:r w:rsidRPr="006D01A2">
        <w:rPr>
          <w:rStyle w:val="aa"/>
          <w:i w:val="0"/>
          <w:iCs w:val="0"/>
          <w:color w:val="auto"/>
        </w:rPr>
        <w:lastRenderedPageBreak/>
        <w:t>Общие положения</w:t>
      </w:r>
      <w:bookmarkEnd w:id="1"/>
    </w:p>
    <w:p w14:paraId="359A3688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782AD01A" w14:textId="272CFE9A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«</w:t>
      </w:r>
      <w:r w:rsidR="009167E4" w:rsidRPr="009167E4">
        <w:rPr>
          <w:rFonts w:ascii="Times New Roman" w:eastAsia="Times New Roman" w:hAnsi="Times New Roman" w:cs="Times New Roman"/>
          <w:sz w:val="26"/>
          <w:szCs w:val="26"/>
          <w:lang w:val="ru-RU"/>
        </w:rPr>
        <w:t>Машинное обучение и высоконагруженные системы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(далее – Программа)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факультета компьютерных наук НИУ ВШЭ.</w:t>
      </w:r>
    </w:p>
    <w:p w14:paraId="1D7E675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54F2BA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с:</w:t>
      </w:r>
    </w:p>
    <w:p w14:paraId="194B7919" w14:textId="7446E561"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Правилами перевода студентов бакалавриата, специалитета, магистратуры НИУ ВШЭ и студентов бакалавриата, специалитета, магистратуры других образовательных организаций в НИУ ВШЭ (утверждены ученым советом НИУ ВШЭ, протокол от 23.06.2017 №7 и введено в действие от 10.07.2017 № 6.18.1-01/1007-03)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далее - Правила перевода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71611C" w14:textId="77777777"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ВШЭ, протокол от 23.06.2017 №7 и введено в действие приказом от 10.07.2017 №6.18.1-01/1007-02).</w:t>
      </w:r>
    </w:p>
    <w:p w14:paraId="3BA775BE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5CDC8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1.3.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конкретизирует сроки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дополняет требования Правил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уточняет критерии конкурсного отбора, разработанные аттестационной комиссией (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далее -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АК)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8607F4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3EC09B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При переводе на программу студенты в обязательном порядке знакомятся с Правилами перевода и настоящим Порядком.</w:t>
      </w:r>
    </w:p>
    <w:p w14:paraId="013D5E71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A5CC7E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 Существуют отличия в процедуре перевода студентов НИУ ВШЭ и студентов других образовательных организаций на стадии подачи документов.</w:t>
      </w:r>
    </w:p>
    <w:p w14:paraId="446EB5C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63F663E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94258CD" w14:textId="77777777" w:rsidR="008B3A7A" w:rsidRDefault="008B3A7A" w:rsidP="00EA5566">
      <w:pPr>
        <w:pStyle w:val="a"/>
        <w:rPr>
          <w:rStyle w:val="aa"/>
          <w:i w:val="0"/>
          <w:color w:val="auto"/>
        </w:rPr>
      </w:pPr>
      <w:r w:rsidRPr="006D01A2">
        <w:rPr>
          <w:rStyle w:val="aa"/>
          <w:i w:val="0"/>
          <w:color w:val="auto"/>
        </w:rPr>
        <w:t>Сроки перевода</w:t>
      </w:r>
    </w:p>
    <w:p w14:paraId="7155891C" w14:textId="77777777" w:rsidR="006D01A2" w:rsidRPr="006D01A2" w:rsidRDefault="006D01A2" w:rsidP="00EA5566">
      <w:pPr>
        <w:pStyle w:val="a"/>
        <w:numPr>
          <w:ilvl w:val="0"/>
          <w:numId w:val="0"/>
        </w:numPr>
        <w:ind w:left="720"/>
        <w:rPr>
          <w:rStyle w:val="aa"/>
          <w:i w:val="0"/>
          <w:color w:val="auto"/>
        </w:rPr>
      </w:pPr>
    </w:p>
    <w:p w14:paraId="2264DB6A" w14:textId="28AA9C25" w:rsidR="000B41EE" w:rsidRPr="00CD4192" w:rsidRDefault="000B41EE" w:rsidP="000B41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 Перевод на начало 2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семестра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осеннего потока и 1 семестра весеннего потока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течение двух последних учебных недель декабря (2-го модуля). Подать заявление о переводе можно с 14 по 18 декабря.</w:t>
      </w:r>
    </w:p>
    <w:p w14:paraId="12423505" w14:textId="77777777" w:rsidR="000B41EE" w:rsidRPr="00CD4192" w:rsidRDefault="000B41EE" w:rsidP="000B41E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F8CD8C" w14:textId="368AC625" w:rsidR="000B41EE" w:rsidRPr="00CD4192" w:rsidRDefault="000B41EE" w:rsidP="000B41E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2.2. Перевод на начало 1 семестра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осеннего потока и 2 семестра осеннего потока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осуществляется в течение двух последних учебных недель июня (4-го модуля). Подать заявление о переводе можно с 12 по 14 июня*.</w:t>
      </w:r>
    </w:p>
    <w:p w14:paraId="7652A7C1" w14:textId="2AB4DC44" w:rsidR="008B3A7A" w:rsidRPr="00CD4192" w:rsidRDefault="008B3A7A" w:rsidP="000B41E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BFA9D02" w14:textId="17C77C8E" w:rsidR="008B3A7A" w:rsidRPr="0021323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2.3. Дополнительный период перевода проходит </w:t>
      </w:r>
      <w:r w:rsidR="000B41EE"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период с </w:t>
      </w:r>
      <w:r w:rsidR="0037675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25 января</w:t>
      </w:r>
      <w:r w:rsidR="000B41EE"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</w:t>
      </w:r>
      <w:r w:rsidR="0037675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802B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7 февраля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. Подать заявление о переводе можно с </w:t>
      </w:r>
      <w:r w:rsidR="00514AB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24 января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по </w:t>
      </w:r>
      <w:r w:rsidR="00514AB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 февраля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14:paraId="38664658" w14:textId="77777777" w:rsidR="006D01A2" w:rsidRPr="006D01A2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14:paraId="46A57808" w14:textId="77777777"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*Даты начала и окончания периода приема заявлений о переводе могут незначительно </w:t>
      </w:r>
      <w:r w:rsidR="006226B4"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из</w:t>
      </w: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меняться, но не более чем на 2 рабочих дня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  <w:lang w:val="ru-RU"/>
        </w:rPr>
        <w:t>.</w:t>
      </w:r>
    </w:p>
    <w:p w14:paraId="54FAB17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2" w:name="_GoBack"/>
      <w:bookmarkEnd w:id="2"/>
    </w:p>
    <w:p w14:paraId="3077AF13" w14:textId="77777777" w:rsidR="008B3A7A" w:rsidRDefault="008B3A7A" w:rsidP="008B3A7A">
      <w:pPr>
        <w:pStyle w:val="3"/>
        <w:spacing w:before="0" w:after="0" w:line="240" w:lineRule="auto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_lwizxt16s441" w:colFirst="0" w:colLast="0"/>
      <w:bookmarkStart w:id="4" w:name="_Toc499307428"/>
      <w:bookmarkEnd w:id="3"/>
    </w:p>
    <w:p w14:paraId="7A843B40" w14:textId="77777777" w:rsidR="008B3A7A" w:rsidRPr="006226B4" w:rsidRDefault="008B3A7A" w:rsidP="00EA5566">
      <w:pPr>
        <w:pStyle w:val="a"/>
        <w:rPr>
          <w:rStyle w:val="aa"/>
          <w:i w:val="0"/>
          <w:color w:val="auto"/>
        </w:rPr>
      </w:pPr>
      <w:r w:rsidRPr="006226B4">
        <w:rPr>
          <w:rStyle w:val="aa"/>
          <w:i w:val="0"/>
          <w:color w:val="auto"/>
        </w:rPr>
        <w:t xml:space="preserve"> </w:t>
      </w:r>
      <w:bookmarkEnd w:id="4"/>
      <w:r w:rsidRPr="006226B4">
        <w:rPr>
          <w:rStyle w:val="aa"/>
          <w:i w:val="0"/>
          <w:color w:val="auto"/>
        </w:rPr>
        <w:t>Перевод с других образовательных программ НИУ ВШЭ</w:t>
      </w:r>
    </w:p>
    <w:p w14:paraId="3DE1EDCD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16623F72" w14:textId="4E96B794" w:rsidR="008C7CCD" w:rsidRDefault="008B3A7A" w:rsidP="00D07849">
      <w:pPr>
        <w:spacing w:line="240" w:lineRule="auto"/>
        <w:ind w:firstLine="720"/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C7CCD" w:rsidRPr="008C7CCD"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  <w:t>Студент, претендующий на перевод (за исключением случаев перевода без отчисления с образовательной программы), заполняет электронную форму, получает сформированный информационной системой бланк заявления о переводе. Студент должен подписать полученный бланк личной подписью, завизировать его у академического руководителя образовательной программы, на которой обучается и направить копию менеджеру программы, на которую переводится, по электронной почте/лично предоставить оригинал заявления в учебный офис. День отправки/предоставления копии/оригинала заявления о переводе считается днем подачи заявления о переводе. Процедура перевода студента инициируется менеджером программы, для обучения по которой переводится студент, с момента подачи студентом заявления о переводе в учебный офис.</w:t>
      </w:r>
    </w:p>
    <w:p w14:paraId="070D88FA" w14:textId="77777777" w:rsidR="008C7CCD" w:rsidRPr="008C7CCD" w:rsidRDefault="008C7CCD" w:rsidP="00D078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86F95D" w14:textId="7967676B" w:rsidR="008B3A7A" w:rsidRDefault="008B3A7A" w:rsidP="008B3A7A">
      <w:pPr>
        <w:spacing w:line="240" w:lineRule="auto"/>
        <w:ind w:firstLine="720"/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bookmarkStart w:id="5" w:name="_gjujguhr4kpa" w:colFirst="0" w:colLast="0"/>
      <w:bookmarkEnd w:id="5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3.2. </w:t>
      </w:r>
      <w:r w:rsidR="008C7C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8C7CCD" w:rsidRPr="008C7CCD"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  <w:t>После получения от студента заявления о переводе (приложение 3) учебный офис программы, с которой переводится студент, передает учебному офису программы, на которую переводится студент, данные об учебном плане и имеющихся оценках студента, используя АСАВ.</w:t>
      </w:r>
    </w:p>
    <w:p w14:paraId="4FED1009" w14:textId="77777777" w:rsidR="008C7CCD" w:rsidRDefault="008C7CCD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6194A9D" w14:textId="581CA6CC" w:rsidR="008B3A7A" w:rsidRPr="008C7CCD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C7CC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C7CCD">
        <w:t xml:space="preserve"> 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Процедура проведения аттестации, конкурсного отбора (в случае необходимости), подготовки проекта ИУП и уведомления студента о готовности проекта ИУП и необходимости его согласования должна занимать не более 14 календарных дней с момента получения учебным офисом программы заявления о переводе. Менеджер программы несет ответственность за своевременное уведомление студента о готовности проекта ИУП и необходимости его </w:t>
      </w:r>
      <w:proofErr w:type="gramStart"/>
      <w:r w:rsidR="008C7CCD" w:rsidRPr="008C7CCD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согласования .</w:t>
      </w:r>
      <w:proofErr w:type="gramEnd"/>
    </w:p>
    <w:p w14:paraId="03503D1C" w14:textId="3AD1BA4A" w:rsidR="008B3A7A" w:rsidRDefault="008B3A7A" w:rsidP="005A412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7DA5B4BF" w14:textId="77777777" w:rsidR="008C7CCD" w:rsidRPr="008C7CCD" w:rsidRDefault="008B3A7A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  <w:bookmarkStart w:id="6" w:name="_Toc499307431"/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Менеджер программы, на которую переводится студент:</w:t>
      </w:r>
    </w:p>
    <w:p w14:paraId="5913F9FF" w14:textId="604D7084" w:rsidR="008C7CCD" w:rsidRPr="008C7CCD" w:rsidRDefault="008C7CCD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8C7CCD">
        <w:rPr>
          <w:rFonts w:ascii="Times New Roman" w:eastAsia="Times New Roman" w:hAnsi="Times New Roman" w:cs="Times New Roman"/>
          <w:sz w:val="26"/>
          <w:szCs w:val="26"/>
        </w:rPr>
        <w:t>.1.</w:t>
      </w:r>
      <w:r w:rsidRPr="008C7CCD">
        <w:rPr>
          <w:rFonts w:ascii="Times New Roman" w:eastAsia="Times New Roman" w:hAnsi="Times New Roman" w:cs="Times New Roman"/>
          <w:sz w:val="26"/>
          <w:szCs w:val="26"/>
        </w:rPr>
        <w:tab/>
        <w:t xml:space="preserve">рассматривает информацию об успеваемости студента, доступную в АСАВ. В случае соответствия имеющихся учебных результатов Критериям менеджер программы самостоятельно проводит аттестацию в виде </w:t>
      </w:r>
      <w:proofErr w:type="spellStart"/>
      <w:r w:rsidRPr="008C7CCD">
        <w:rPr>
          <w:rFonts w:ascii="Times New Roman" w:eastAsia="Times New Roman" w:hAnsi="Times New Roman" w:cs="Times New Roman"/>
          <w:sz w:val="26"/>
          <w:szCs w:val="26"/>
        </w:rPr>
        <w:t>перезачета</w:t>
      </w:r>
      <w:proofErr w:type="spellEnd"/>
      <w:r w:rsidRPr="008C7CCD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дисциплин, изученных студентом ранее. В иных случаях аттестацию проводит аттестационная комиссия, в том числе в случае перевода студента без отчисления с образовательной программы, студентом которой он является на момент перевода, не имеющего к моменту подачи заявления результатов промежуточной аттестации;</w:t>
      </w:r>
    </w:p>
    <w:p w14:paraId="6E6A9A27" w14:textId="4EE81847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.2.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в случаях если привлечение аттестационной комиссии не требуется, на основании результатов аттестации и выявленной академической разницы учебных дисциплин, которые предстоит из</w:t>
      </w:r>
      <w:r>
        <w:rPr>
          <w:rFonts w:ascii="Times New Roman" w:eastAsia="Times New Roman" w:hAnsi="Times New Roman" w:cs="Times New Roman"/>
          <w:sz w:val="26"/>
          <w:szCs w:val="26"/>
        </w:rPr>
        <w:t>учить студенту, определяет курс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, на который может быть переведен студент для начала обучения с первого (при рассмотрении заявления о переводе в июне) или второго полугодия (при рассмотрении заявления о переводе в декабре) учебного года; во всех иных случаях курс определяется аттестационной комиссией;</w:t>
      </w:r>
    </w:p>
    <w:p w14:paraId="0AA8C74D" w14:textId="222D9837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.3.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положительных результатов аттестации готовит проект ИУП студента на период </w:t>
      </w:r>
      <w:r>
        <w:rPr>
          <w:rFonts w:ascii="Times New Roman" w:eastAsia="Times New Roman" w:hAnsi="Times New Roman" w:cs="Times New Roman"/>
          <w:sz w:val="26"/>
          <w:szCs w:val="26"/>
        </w:rPr>
        <w:t>до конца текущего учебного года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 xml:space="preserve"> и согласовывает его с академическим руководителем образовательной программы;</w:t>
      </w:r>
    </w:p>
    <w:p w14:paraId="07F295A4" w14:textId="5F13F287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.4.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 xml:space="preserve">в случае планируемого перевода студента на платное место на основании проекта ИУП рассчитывает стоимость образовательных услуг и предварительно 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lastRenderedPageBreak/>
        <w:t>оформляет договор об оказании платных образовательных услуг в соответствии с Порядком расчета стоимости;</w:t>
      </w:r>
    </w:p>
    <w:p w14:paraId="00635EB1" w14:textId="34DBE94F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5.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осуществляет оповещение студента о результатах рассмотрения заявления о переводе, включая предлагаемые условия перевода (курс, бюджетное место или платное место, результаты аттестации, размер стоимости обучения). Студент на основании предложенных условий перевода принимает решение о продолжении процедуры перевода или об отзыве заявления;</w:t>
      </w:r>
    </w:p>
    <w:p w14:paraId="7F3462EC" w14:textId="2ABA5223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.6.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направляет студенту на согласование проект ИУП. Согласование проекта ИУП со студентом допускается с использованием различных каналов коммун</w:t>
      </w:r>
      <w:r>
        <w:rPr>
          <w:rFonts w:ascii="Times New Roman" w:eastAsia="Times New Roman" w:hAnsi="Times New Roman" w:cs="Times New Roman"/>
          <w:sz w:val="26"/>
          <w:szCs w:val="26"/>
        </w:rPr>
        <w:t>икации, в том числе электронных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 ИУП подписывается менеджером программы и студентом. Согласование проекта ИУП студентом не должно превышать 3 рабочих дней с даты получения уведомления. В случае несоблюдения указанного срока студентом его заявление о переводе считается отозванным;</w:t>
      </w:r>
    </w:p>
    <w:p w14:paraId="17C3E18A" w14:textId="228FFA26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.7.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создает в СДОУ проект приказа о переводе студен</w:t>
      </w:r>
      <w:r>
        <w:rPr>
          <w:rFonts w:ascii="Times New Roman" w:eastAsia="Times New Roman" w:hAnsi="Times New Roman" w:cs="Times New Roman"/>
          <w:sz w:val="26"/>
          <w:szCs w:val="26"/>
        </w:rPr>
        <w:t>та на образовательную программу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0B018EA" w14:textId="76586151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.7.1.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в случае перевода студента на бюджетное место – приказ издается не позднее 3 рабочих дней с момента получения учебным офисом программы подписанного со стороны студента ИУП;</w:t>
      </w:r>
    </w:p>
    <w:p w14:paraId="0EB8A22D" w14:textId="6C564C7F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.7.2.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в случае перевода студента на платное место – не позднее 3 рабочих дней после исполнения студентом денежных обязательств согласно заключенному договору об оказании платных образовательных услуг.</w:t>
      </w:r>
    </w:p>
    <w:p w14:paraId="5C3251AB" w14:textId="29D892C9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.8.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После подписания и регистрации приказа о переводе с одной образовательной программы на другую:</w:t>
      </w:r>
    </w:p>
    <w:p w14:paraId="1173E53D" w14:textId="11DD0480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.8.1.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учебный офис программы, с которой перевёлся студент, осуществляет в АСАВ действия по переводу студента на другую образовательную программу и передает личное дело студента по акту передачи (приложение 4) в учебный офис программы, на которую перевелся студент;</w:t>
      </w:r>
    </w:p>
    <w:p w14:paraId="262E2004" w14:textId="1E7B052C" w:rsidR="008C7CCD" w:rsidRPr="008C7CCD" w:rsidRDefault="005A4124" w:rsidP="008C7CC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.8.2.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учебный офис программы, на которую перевёлся студент, осуществляет в АСАВ действия по назначению студенту ИУП и вносит копию приказа о переводе (выписку из приказа) в личное дело студента.</w:t>
      </w:r>
    </w:p>
    <w:p w14:paraId="5D9B960D" w14:textId="528C1667" w:rsidR="008C7CCD" w:rsidRDefault="005A4124" w:rsidP="008C7CCD">
      <w:pPr>
        <w:spacing w:line="240" w:lineRule="auto"/>
        <w:ind w:firstLine="720"/>
        <w:jc w:val="both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.9.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ab/>
        <w:t>Студенту сохраняется его студенческий билет, в который вносятся соответствующие исправления, заверенные под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писью руководителя факультета, </w:t>
      </w:r>
      <w:r w:rsidR="008C7CCD" w:rsidRPr="008C7CCD">
        <w:rPr>
          <w:rFonts w:ascii="Times New Roman" w:eastAsia="Times New Roman" w:hAnsi="Times New Roman" w:cs="Times New Roman"/>
          <w:sz w:val="26"/>
          <w:szCs w:val="26"/>
        </w:rPr>
        <w:t>на образовательную программу которого перевёлся студент.</w:t>
      </w:r>
    </w:p>
    <w:p w14:paraId="7E7295DD" w14:textId="77777777" w:rsidR="008C7CCD" w:rsidRDefault="008C7CCD" w:rsidP="008C7CCD">
      <w:pPr>
        <w:pStyle w:val="a5"/>
        <w:spacing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</w:p>
    <w:p w14:paraId="7663F2A1" w14:textId="77777777" w:rsidR="008B3A7A" w:rsidRPr="00987599" w:rsidRDefault="008B3A7A" w:rsidP="008B3A7A">
      <w:pPr>
        <w:rPr>
          <w:lang w:val="ru-RU"/>
        </w:rPr>
      </w:pPr>
    </w:p>
    <w:p w14:paraId="735FFC3A" w14:textId="77777777" w:rsidR="008B3A7A" w:rsidRPr="00297101" w:rsidRDefault="008B3A7A" w:rsidP="00EA5566">
      <w:pPr>
        <w:pStyle w:val="a"/>
        <w:rPr>
          <w:i/>
          <w:lang w:val="ru"/>
        </w:rPr>
      </w:pPr>
      <w:r w:rsidRPr="00297101">
        <w:rPr>
          <w:rStyle w:val="aa"/>
          <w:i w:val="0"/>
          <w:color w:val="auto"/>
        </w:rPr>
        <w:t>Перевод из других образовательных организаций</w:t>
      </w:r>
      <w:bookmarkEnd w:id="6"/>
    </w:p>
    <w:p w14:paraId="445C3315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02089C4" w14:textId="6E60238C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Документы студентов других образовательных организаций, претендующих на перевод в НИУ ВШЭ, 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8" w:history="1">
        <w:r w:rsidRPr="00657AF3">
          <w:rPr>
            <w:rStyle w:val="a6"/>
            <w:rFonts w:ascii="Times New Roman" w:hAnsi="Times New Roman" w:cs="Times New Roman"/>
            <w:sz w:val="26"/>
            <w:szCs w:val="26"/>
          </w:rPr>
          <w:t>http://lms.hse.ru/yii_index.php?r=pt/request/index</w:t>
        </w:r>
      </w:hyperlink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].</w:t>
      </w:r>
    </w:p>
    <w:p w14:paraId="1B51F59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246EC48" w14:textId="77777777" w:rsidR="008B3A7A" w:rsidRPr="00CE4E5B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4.2. В течение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более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трех рабочих дней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подачи заявки через «Единое окно» документы проходят техническую проверку.</w:t>
      </w:r>
    </w:p>
    <w:p w14:paraId="65E364D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FA162E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4.3. В случае положительного результата технической экспертизы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студент </w:t>
      </w:r>
      <w:r w:rsidR="00C66428" w:rsidRP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получает по электронной почте бланк заявления.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этого с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>туденту необходимо: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D5C11FB" w14:textId="77777777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подать заявление о переводе в учебный офис Программы (допускается сканированная копия заявления на электронный адрес секретаря АК);</w:t>
      </w:r>
    </w:p>
    <w:p w14:paraId="60CBF5DD" w14:textId="52608CA0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прис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лать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в виде сканированных </w:t>
      </w:r>
      <w:r w:rsidR="0021323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документов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0BA41500" w14:textId="77777777" w:rsidR="008B3A7A" w:rsidRPr="00297101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10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документ об образовании</w:t>
      </w:r>
    </w:p>
    <w:p w14:paraId="30C66230" w14:textId="77777777" w:rsidR="008B3A7A" w:rsidRPr="007804B6" w:rsidRDefault="008B3A7A" w:rsidP="00D415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sz w:val="26"/>
          <w:szCs w:val="26"/>
        </w:rPr>
        <w:t xml:space="preserve">выписку из зачетной ведомости или справку об успеваемости, заверенную подписью должностного лица и печатью, с обязательным указанием изученных дисциплин; полученных оценок и форм промежуточного контроля (экзамен, зачет); </w:t>
      </w:r>
      <w:r w:rsidRPr="00780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также с </w:t>
      </w:r>
      <w:r w:rsidRPr="007804B6">
        <w:rPr>
          <w:rFonts w:ascii="Times New Roman" w:eastAsia="Times New Roman" w:hAnsi="Times New Roman" w:cs="Times New Roman"/>
          <w:sz w:val="26"/>
          <w:szCs w:val="26"/>
        </w:rPr>
        <w:t>указанием количества часов по дисциплинам (общих и аудиторных);</w:t>
      </w:r>
    </w:p>
    <w:p w14:paraId="45B1A653" w14:textId="77777777" w:rsidR="008B3A7A" w:rsidRPr="007804B6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справку об обучении</w:t>
      </w:r>
    </w:p>
    <w:p w14:paraId="4B46A4A7" w14:textId="14871ED2"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справку из вуза, где обучается студент, с обязательным указанием о том, что лицо, рассматриваемое к переводу, является действующим студентом на дату подачи документов; формы обучения (очная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заочная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); уровня подготовки (</w:t>
      </w:r>
      <w:r w:rsidR="00296F35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магистратура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); номера курса;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вида места (бюджетное, коммерческое)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подписью должностного лица и печатью;</w:t>
      </w:r>
    </w:p>
    <w:p w14:paraId="70278716" w14:textId="77777777" w:rsidR="008B3A7A" w:rsidRPr="005B4924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9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сведения о предшествующей подготовке;</w:t>
      </w:r>
    </w:p>
    <w:p w14:paraId="377650D4" w14:textId="77777777"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(факультета) и программами учебных дисциплин.</w:t>
      </w:r>
    </w:p>
    <w:p w14:paraId="510795FA" w14:textId="55EE7C9B"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Заявка считается принятой и подлежит рассмотрению при условии выполнения всех действий, </w:t>
      </w:r>
      <w:r w:rsidRPr="006516F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указанных в</w:t>
      </w:r>
      <w:r w:rsidR="006516F9" w:rsidRPr="006516F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п. 4.1 и 4</w:t>
      </w:r>
      <w:r w:rsidRPr="006516F9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.3.</w:t>
      </w:r>
    </w:p>
    <w:p w14:paraId="2B11842B" w14:textId="77777777"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A08321F" w14:textId="784E78BC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поданные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и доводится до сведения студента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777BA90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73CDDFD" w14:textId="127F48D8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Программы </w:t>
      </w:r>
      <w:r w:rsidR="008127ED">
        <w:rPr>
          <w:rFonts w:ascii="Times New Roman" w:eastAsia="Times New Roman" w:hAnsi="Times New Roman" w:cs="Times New Roman"/>
          <w:sz w:val="26"/>
          <w:szCs w:val="26"/>
          <w:lang w:val="ru-RU"/>
        </w:rPr>
        <w:t>и/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51CE4D1" w14:textId="77777777" w:rsidR="008B3A7A" w:rsidRPr="004145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14:paraId="1082D85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После прохождения аттестационных испытаний 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ознакомления с протоколом АК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студент принимает 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6B2D7E7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6117F4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14:paraId="384C8FC6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получить </w:t>
      </w:r>
      <w:r w:rsidR="00E569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справку о переводе для предоставления в свой вуз; </w:t>
      </w:r>
    </w:p>
    <w:p w14:paraId="6C34759F" w14:textId="757ACDDD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учебный офис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заверенную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D4153E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вуз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выписку из приказа об отчислении, оригинал документа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339134AC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подписать в учебном офисе согласие на обработку персональных данных и лист ознакомления с регламентами НИУ ВШЭ;</w:t>
      </w:r>
    </w:p>
    <w:p w14:paraId="649E7124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14:paraId="2D6756EF" w14:textId="2A2D09C9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>подписать в учебном офисе индивидуальный учебный план, договор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07ED508" w14:textId="1CDD1B52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4CBF7550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принести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3 фотографии 3*4;</w:t>
      </w:r>
    </w:p>
    <w:p w14:paraId="6A99B8E6" w14:textId="65154DB7" w:rsidR="008B3A7A" w:rsidRPr="008F2209" w:rsidRDefault="00D4153E" w:rsidP="008F2209">
      <w:pPr>
        <w:pStyle w:val="a5"/>
        <w:numPr>
          <w:ilvl w:val="0"/>
          <w:numId w:val="9"/>
        </w:numPr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i/>
          <w:iCs/>
          <w:color w:val="808080" w:themeColor="text1" w:themeTint="7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регистрации приказа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билет в 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учебном офисе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оформить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электронный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пропуск в здания НИУ ВШЭ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26573862" w14:textId="77777777" w:rsidR="008B3A7A" w:rsidRPr="00657AF3" w:rsidRDefault="008B3A7A" w:rsidP="008B3A7A">
      <w:pPr>
        <w:spacing w:line="240" w:lineRule="auto"/>
        <w:ind w:firstLine="720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14:paraId="7B1ABF7F" w14:textId="77777777" w:rsidR="008B3A7A" w:rsidRPr="005B5889" w:rsidRDefault="008B3A7A" w:rsidP="00EA5566">
      <w:pPr>
        <w:pStyle w:val="a"/>
        <w:rPr>
          <w:rStyle w:val="aa"/>
          <w:b w:val="0"/>
          <w:i w:val="0"/>
          <w:iCs w:val="0"/>
          <w:color w:val="auto"/>
        </w:rPr>
      </w:pPr>
      <w:r w:rsidRPr="005B5889">
        <w:rPr>
          <w:rStyle w:val="aa"/>
          <w:i w:val="0"/>
          <w:color w:val="auto"/>
        </w:rPr>
        <w:t xml:space="preserve"> Особенности проведения аттестации</w:t>
      </w:r>
    </w:p>
    <w:p w14:paraId="4C31584F" w14:textId="77777777" w:rsidR="008B3A7A" w:rsidRPr="00987599" w:rsidRDefault="008B3A7A" w:rsidP="00EA5566">
      <w:pPr>
        <w:pStyle w:val="a"/>
        <w:numPr>
          <w:ilvl w:val="0"/>
          <w:numId w:val="0"/>
        </w:numPr>
        <w:ind w:left="720"/>
      </w:pPr>
    </w:p>
    <w:p w14:paraId="1C159B3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5.1. Аттестация представляет собой анализ документов об образовании и/или проведение аттестационных испытаний.</w:t>
      </w:r>
    </w:p>
    <w:p w14:paraId="03EFDED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4422B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рассмотрения и анализа документов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решение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4F39233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целесообразности запуска процедуры перевода;</w:t>
      </w:r>
    </w:p>
    <w:p w14:paraId="05DFCF6B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списке дисциплин, которые могут быть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перезачтены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назначены к изучению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к основной программе (будут назначены 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план студента при положи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тельном решении о его переводе)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625023A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 прохо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ждения аттестационных испытаний;</w:t>
      </w:r>
    </w:p>
    <w:p w14:paraId="04D35A6B" w14:textId="77777777" w:rsidR="00EA5B41" w:rsidRPr="00657AF3" w:rsidRDefault="00EA5B41" w:rsidP="00EA5B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номере курса и модуле, на которые целесообразен перевод (при условии успешного прохождения аттестационных испытаний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3B406B5A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163232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целесообразности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 принимается на основе следующих критериев:</w:t>
      </w:r>
    </w:p>
    <w:p w14:paraId="43495A20" w14:textId="77777777" w:rsidR="008B3A7A" w:rsidRPr="00657AF3" w:rsidRDefault="005B07B5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степень несоответствия учебных планов Программы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6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с кото</w:t>
      </w:r>
      <w:r w:rsidR="00BF2653">
        <w:rPr>
          <w:rFonts w:ascii="Times New Roman" w:eastAsia="Times New Roman" w:hAnsi="Times New Roman" w:cs="Times New Roman"/>
          <w:sz w:val="26"/>
          <w:szCs w:val="26"/>
        </w:rPr>
        <w:t>рой намерен перевестись студент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13633A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успеваемость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14:paraId="32D28D99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мотивация на перевод (указывается в онлайн форме запроса о переводе);</w:t>
      </w:r>
    </w:p>
    <w:p w14:paraId="53C7F8A1" w14:textId="6E3334BD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99A16A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Основными причинами заключения о нецелесообразности перевода является:</w:t>
      </w:r>
    </w:p>
    <w:p w14:paraId="6764AAAF" w14:textId="4AE05D7C" w:rsidR="008B3A7A" w:rsidRPr="005A4124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при распределении ее по предстоящим годам обучения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превышает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установленный образовательным стандартом норматив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трудоемкости, обучающегося по очной форме, в количестве </w:t>
      </w:r>
      <w:r w:rsidRPr="005A4124">
        <w:rPr>
          <w:rFonts w:ascii="Times New Roman" w:eastAsia="Times New Roman" w:hAnsi="Times New Roman" w:cs="Times New Roman"/>
          <w:color w:val="auto"/>
          <w:sz w:val="26"/>
          <w:szCs w:val="26"/>
        </w:rPr>
        <w:t>75 зачетных единиц</w:t>
      </w:r>
      <w:r w:rsidRPr="005A412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за один учебный год;</w:t>
      </w:r>
    </w:p>
    <w:p w14:paraId="1BF4F27D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академическая разница между учебными планами, которая затрудняет прохождение некоторых элементов рабочего учебного плана курса, на который студент переводится, ввиду отсутствия базовых знаний, умений и навыков по элементам рабочего учебного плана предыдущего года обучения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96DDCAD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и характер дисциплинарных взысканий, полученных студенто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 образовательной организации.</w:t>
      </w:r>
    </w:p>
    <w:p w14:paraId="06B7C559" w14:textId="2EA48718" w:rsidR="009167E4" w:rsidRDefault="009167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8DF795C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1A9B68" w14:textId="77777777" w:rsidR="008B3A7A" w:rsidRPr="00297101" w:rsidRDefault="008B3A7A" w:rsidP="00EA5566">
      <w:pPr>
        <w:pStyle w:val="a"/>
        <w:rPr>
          <w:rStyle w:val="aa"/>
          <w:i w:val="0"/>
          <w:color w:val="auto"/>
        </w:rPr>
      </w:pPr>
      <w:bookmarkStart w:id="7" w:name="_Toc499307432"/>
      <w:r w:rsidRPr="00297101">
        <w:rPr>
          <w:rStyle w:val="aa"/>
          <w:i w:val="0"/>
          <w:color w:val="auto"/>
        </w:rPr>
        <w:t xml:space="preserve"> </w:t>
      </w:r>
      <w:proofErr w:type="spellStart"/>
      <w:r w:rsidRPr="00297101">
        <w:rPr>
          <w:rStyle w:val="aa"/>
          <w:i w:val="0"/>
          <w:color w:val="auto"/>
        </w:rPr>
        <w:t>Перезачет</w:t>
      </w:r>
      <w:proofErr w:type="spellEnd"/>
      <w:r w:rsidRPr="00297101">
        <w:rPr>
          <w:rStyle w:val="aa"/>
          <w:i w:val="0"/>
          <w:color w:val="auto"/>
        </w:rPr>
        <w:t xml:space="preserve"> дисциплин</w:t>
      </w:r>
      <w:bookmarkEnd w:id="7"/>
    </w:p>
    <w:p w14:paraId="3EC8C7D6" w14:textId="77777777" w:rsidR="008B3A7A" w:rsidRPr="00987599" w:rsidRDefault="008B3A7A" w:rsidP="00EA5566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14:paraId="37A73B87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.1.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Под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перезачётом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т.п.), ос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военных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в исходной образовательной организации или на исходной образовательной программе НИУ ВШЭ.</w:t>
      </w:r>
    </w:p>
    <w:p w14:paraId="25A37B4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0BBCB5A6" w14:textId="050310B9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6.2.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Перезачёт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возможен при соответствии содержания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содержанию дисциплины учебного плана </w:t>
      </w:r>
      <w:r w:rsidR="009167E4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и выполнении следующих условий:</w:t>
      </w:r>
    </w:p>
    <w:p w14:paraId="619161E4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полная или частичная идентичность наименований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и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216557B3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соответствие (или отклонение не более 20%) общего объема часов/количества зачетных единиц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общему объему часов/количеству зачетных единиц данной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47E228C5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совпадение формы промежуточной аттестации по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дисциплине и формы промежуточной аттестации по дисциплине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Программы.</w:t>
      </w:r>
    </w:p>
    <w:p w14:paraId="4A42F6FD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51020ECA" w14:textId="399A9882" w:rsidR="008B3A7A" w:rsidRPr="00967033" w:rsidRDefault="008B3A7A" w:rsidP="00EB77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Оценки за ранее изученные дисциплины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перезачитываются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 десятибалльной шкале. </w:t>
      </w:r>
    </w:p>
    <w:p w14:paraId="693414CF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0E0F2CA2" w14:textId="63D4C64A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6.4. При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перезачёте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дисциплин и оценок по ним учитываются особенности балльной шкалы в исходной образовательной организации.</w:t>
      </w:r>
    </w:p>
    <w:p w14:paraId="74C7E58A" w14:textId="77777777" w:rsidR="0075514B" w:rsidRPr="00657AF3" w:rsidRDefault="0075514B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772FF7BF" w14:textId="77777777" w:rsidR="008B3A7A" w:rsidRPr="00297101" w:rsidRDefault="008B3A7A" w:rsidP="00EA5566">
      <w:pPr>
        <w:pStyle w:val="a"/>
        <w:rPr>
          <w:rStyle w:val="aa"/>
          <w:i w:val="0"/>
          <w:color w:val="auto"/>
        </w:rPr>
      </w:pPr>
      <w:bookmarkStart w:id="8" w:name="_Toc499307433"/>
      <w:r w:rsidRPr="00297101">
        <w:rPr>
          <w:rStyle w:val="aa"/>
          <w:i w:val="0"/>
          <w:color w:val="auto"/>
        </w:rPr>
        <w:t xml:space="preserve"> Аттестационные испытания</w:t>
      </w:r>
      <w:bookmarkEnd w:id="8"/>
    </w:p>
    <w:p w14:paraId="064063BC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BA91291" w14:textId="77777777" w:rsidR="003E0B70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ттестационная комиссия может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назначить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аттестационные испытания по </w:t>
      </w:r>
      <w:r w:rsidR="009167E4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дисциплинам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, уже освоенным студентами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Программы, обучающимися в группе, в которую предполагается перевод.</w:t>
      </w:r>
      <w:r w:rsidR="009B456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Это могут быть все или некоторые дисциплины из списка, в зависимости от решения аттестационной комиссии относительно уровня подготовки переводящегося студента.</w:t>
      </w:r>
    </w:p>
    <w:p w14:paraId="6F3ED4D2" w14:textId="0E677A43" w:rsidR="008B3A7A" w:rsidRPr="00CD4192" w:rsidRDefault="003E0B70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Аттестационное испытание проводится с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целью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проверки остаточных знаний и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соответствия уровня знаний студента требованиям, предъявляемым к обучающимся на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58777EF6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B4E9B2D" w14:textId="061021ED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Аттестационное испытания может проводиться в форме письменного или устного экзамена, или </w:t>
      </w:r>
      <w:r w:rsidR="00D65E51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в форме решения задач на компьютере с автоматической проверкой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Также аттестационное испытание может проводиться в виде собеседования. </w:t>
      </w:r>
    </w:p>
    <w:p w14:paraId="11A3F833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679267B" w14:textId="5E29B70B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. Примеры </w:t>
      </w:r>
      <w:r w:rsidR="00BF2653" w:rsidRPr="00CD4192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для аттестационных испытаний, список пройденных тем, экзаменационных вопросов, оценочные средства и критерии оценки 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</w:rPr>
        <w:t>довод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proofErr w:type="spellStart"/>
      <w:r w:rsidR="003E0B70" w:rsidRPr="00CD4192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="003E0B70" w:rsidRPr="00CD4192">
        <w:rPr>
          <w:rFonts w:ascii="Times New Roman" w:eastAsia="Times New Roman" w:hAnsi="Times New Roman" w:cs="Times New Roman"/>
          <w:sz w:val="26"/>
          <w:szCs w:val="26"/>
        </w:rPr>
        <w:t xml:space="preserve"> до сведения студентов, участвующих в аттестационных испытаниях, в соответствии с 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контактной информацией, указанной в заявлении о переводе не позднее, чем за 5 дней до 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даты проведения 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</w:rPr>
        <w:t>аттестационных испытаний</w:t>
      </w:r>
      <w:r w:rsidR="003E0B70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0C63159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. Расписание проведения аттестационных испытаний с указанием даты, времени, места проведения и формы публику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CD4192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сайте Программы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меню «Студентам»,</w:t>
      </w:r>
      <w:r w:rsidR="005B07B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«Перевод и восстановление на образовательную программу»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не менее чем за три календарных дня до начала аттестации и довод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CD4192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до сведения студентов, участвующих в аттестационных испытаниях, в соответствии с контактной информацией, указанной в заявлении о переводе.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Повторно одно и то же аттестационное испытание не проводится.</w:t>
      </w:r>
    </w:p>
    <w:p w14:paraId="5E5FF60D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26F3EF2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7.5. Если во время выполнения задания по аттестационному испытанию студент нарушает академические нормы НИУ ВШЭ, </w:t>
      </w:r>
      <w:r w:rsidR="00C55A4F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преподаватель выставляет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оценку «неудовлетворительно» («</w:t>
      </w:r>
      <w:r w:rsidR="00C55A4F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0» баллов по 10-балльной шкале) и составляет </w:t>
      </w:r>
      <w:r w:rsidR="005B5889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 о </w:t>
      </w:r>
      <w:r w:rsidR="005B07B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нарушении</w:t>
      </w:r>
      <w:r w:rsidR="005B5889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20CE84CF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DC9CA33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7.6. Студент, нарушивший академический нормы НИУ ВШЭ во время выполнения задания по аттестационному испытанию, далее в процедуре </w:t>
      </w:r>
      <w:r w:rsidR="005B07B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</w:t>
      </w:r>
      <w:r w:rsidR="00297101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97101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15EC791" w14:textId="77777777" w:rsidR="00602BC9" w:rsidRPr="00CD4192" w:rsidRDefault="00602BC9" w:rsidP="008D10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C1AD2A1" w14:textId="754CFE1C" w:rsidR="00012F29" w:rsidRPr="00CD4192" w:rsidRDefault="008B3A7A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="008D10AA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602BC9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При обнаружении факта нарушения академических норм заявление на перевод от</w:t>
      </w:r>
      <w:r w:rsidR="00C53751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02BC9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кандидата не принимается в течение последующего календарного года со дня обнаружения факта нарушения академических норм.</w:t>
      </w:r>
    </w:p>
    <w:p w14:paraId="4C0F32DE" w14:textId="77777777" w:rsidR="00012F29" w:rsidRPr="00CD4192" w:rsidRDefault="00012F29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E1F5A51" w14:textId="77777777" w:rsidR="00012F29" w:rsidRPr="00CD4192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7.8</w:t>
      </w:r>
      <w:r w:rsidR="00012F29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012F29" w:rsidRPr="00CD4192">
        <w:rPr>
          <w:rFonts w:ascii="Times New Roman" w:hAnsi="Times New Roman" w:cs="Times New Roman"/>
          <w:sz w:val="26"/>
          <w:szCs w:val="26"/>
        </w:rPr>
        <w:t xml:space="preserve">Если студент отказался от продолжения участия в </w:t>
      </w:r>
      <w:r w:rsidR="00012F29" w:rsidRPr="00CD4192">
        <w:rPr>
          <w:rFonts w:ascii="Times New Roman" w:hAnsi="Times New Roman" w:cs="Times New Roman"/>
          <w:sz w:val="26"/>
          <w:szCs w:val="26"/>
          <w:lang w:val="ru-RU"/>
        </w:rPr>
        <w:t>аттестационном испытании</w:t>
      </w:r>
      <w:r w:rsidR="00012F29" w:rsidRPr="00CD4192">
        <w:rPr>
          <w:rFonts w:ascii="Times New Roman" w:hAnsi="Times New Roman" w:cs="Times New Roman"/>
          <w:sz w:val="26"/>
          <w:szCs w:val="26"/>
        </w:rPr>
        <w:t xml:space="preserve"> и не выполнил никакую часть работы, это фиксируется оценкой «0» в </w:t>
      </w:r>
      <w:r w:rsidR="00012F29" w:rsidRPr="00CD4192">
        <w:rPr>
          <w:rFonts w:ascii="Times New Roman" w:hAnsi="Times New Roman" w:cs="Times New Roman"/>
          <w:sz w:val="26"/>
          <w:szCs w:val="26"/>
          <w:lang w:val="ru-RU"/>
        </w:rPr>
        <w:t>листе аттестационного испытания</w:t>
      </w:r>
      <w:r w:rsidR="00012F29" w:rsidRPr="00CD4192">
        <w:rPr>
          <w:rFonts w:ascii="Times New Roman" w:hAnsi="Times New Roman" w:cs="Times New Roman"/>
          <w:sz w:val="26"/>
          <w:szCs w:val="26"/>
        </w:rPr>
        <w:t>.</w:t>
      </w:r>
    </w:p>
    <w:p w14:paraId="13D8D64E" w14:textId="77777777" w:rsidR="00602BC9" w:rsidRPr="00CD4192" w:rsidRDefault="00602BC9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A23200" w14:textId="77777777" w:rsidR="00602BC9" w:rsidRPr="00CD4192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hAnsi="Times New Roman" w:cs="Times New Roman"/>
          <w:sz w:val="26"/>
          <w:szCs w:val="26"/>
          <w:lang w:val="ru-RU"/>
        </w:rPr>
        <w:t>7.9</w:t>
      </w:r>
      <w:r w:rsidR="00602BC9" w:rsidRPr="00CD419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843A7" w:rsidRPr="00CD4192">
        <w:rPr>
          <w:rFonts w:ascii="Times New Roman" w:eastAsia="Times New Roman" w:hAnsi="Times New Roman" w:cs="Times New Roman"/>
          <w:sz w:val="26"/>
          <w:szCs w:val="26"/>
        </w:rPr>
        <w:t>Студент, не явившийся на аттестационное испытание, далее в процедуре перевода не участвует.</w:t>
      </w:r>
    </w:p>
    <w:p w14:paraId="6964DE4C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DB10192" w14:textId="5AC011B3" w:rsidR="008D10AA" w:rsidRPr="00CD4192" w:rsidRDefault="008D10AA" w:rsidP="008B3A7A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7.10</w:t>
      </w:r>
      <w:r w:rsidR="00C55A4F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B3A7A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843A7" w:rsidRPr="00CD4192">
        <w:rPr>
          <w:rFonts w:ascii="Times New Roman" w:hAnsi="Times New Roman" w:cs="Times New Roman"/>
          <w:sz w:val="26"/>
          <w:szCs w:val="26"/>
          <w:lang w:val="ru-RU"/>
        </w:rPr>
        <w:t>В случае повторной пода</w:t>
      </w:r>
      <w:r w:rsidR="002812E1" w:rsidRPr="00CD4192">
        <w:rPr>
          <w:rFonts w:ascii="Times New Roman" w:hAnsi="Times New Roman" w:cs="Times New Roman"/>
          <w:sz w:val="26"/>
          <w:szCs w:val="26"/>
          <w:lang w:val="ru-RU"/>
        </w:rPr>
        <w:t>чи заявления на перевод в дополнительный период перевода</w:t>
      </w:r>
      <w:r w:rsidR="00A843A7" w:rsidRPr="00CD4192">
        <w:rPr>
          <w:rFonts w:ascii="Times New Roman" w:hAnsi="Times New Roman" w:cs="Times New Roman"/>
          <w:sz w:val="26"/>
          <w:szCs w:val="26"/>
          <w:lang w:val="ru-RU"/>
        </w:rPr>
        <w:t xml:space="preserve"> студенты повторно проходят назначенные им аттестационные испытания. Допускается </w:t>
      </w:r>
      <w:proofErr w:type="spellStart"/>
      <w:r w:rsidR="00A843A7" w:rsidRPr="00CD4192">
        <w:rPr>
          <w:rFonts w:ascii="Times New Roman" w:hAnsi="Times New Roman" w:cs="Times New Roman"/>
          <w:sz w:val="26"/>
          <w:szCs w:val="26"/>
          <w:lang w:val="ru-RU"/>
        </w:rPr>
        <w:t>перезачет</w:t>
      </w:r>
      <w:proofErr w:type="spellEnd"/>
      <w:r w:rsidR="00A843A7" w:rsidRPr="00CD4192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результатов по пройденным </w:t>
      </w:r>
      <w:r w:rsidR="002812E1" w:rsidRPr="00CD4192">
        <w:rPr>
          <w:rFonts w:ascii="Times New Roman" w:hAnsi="Times New Roman" w:cs="Times New Roman"/>
          <w:sz w:val="26"/>
          <w:szCs w:val="26"/>
          <w:lang w:val="ru-RU"/>
        </w:rPr>
        <w:t xml:space="preserve">ранее (в прошлый период перевода) </w:t>
      </w:r>
      <w:r w:rsidR="00A843A7" w:rsidRPr="00CD4192">
        <w:rPr>
          <w:rFonts w:ascii="Times New Roman" w:hAnsi="Times New Roman" w:cs="Times New Roman"/>
          <w:sz w:val="26"/>
          <w:szCs w:val="26"/>
          <w:lang w:val="ru-RU"/>
        </w:rPr>
        <w:t>аттестационным испытаниям, если полученная по ним оценка не ниже «6» баллов.</w:t>
      </w:r>
    </w:p>
    <w:p w14:paraId="6C10070A" w14:textId="77777777" w:rsidR="00E649E1" w:rsidRPr="00CD4192" w:rsidRDefault="00E649E1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A961BEC" w14:textId="77777777" w:rsidR="008B3A7A" w:rsidRPr="00CD4192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7.11. </w:t>
      </w:r>
      <w:r w:rsidR="008B3A7A" w:rsidRPr="00CD4192">
        <w:rPr>
          <w:rFonts w:ascii="Times New Roman" w:eastAsia="Times New Roman" w:hAnsi="Times New Roman" w:cs="Times New Roman"/>
          <w:sz w:val="26"/>
          <w:szCs w:val="26"/>
        </w:rPr>
        <w:t xml:space="preserve">Апелляция </w:t>
      </w:r>
      <w:r w:rsidR="007D40F4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по результатам</w:t>
      </w:r>
      <w:r w:rsidR="008B3A7A" w:rsidRPr="00CD4192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 не принимается</w:t>
      </w:r>
      <w:r w:rsidR="00C55A4F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BBA1D6E" w14:textId="77777777" w:rsidR="008D10AA" w:rsidRPr="00CD4192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E07BFA1" w14:textId="2E10B3CD" w:rsidR="008B3A7A" w:rsidRPr="00CD4192" w:rsidRDefault="008B3A7A" w:rsidP="00EA5566">
      <w:pPr>
        <w:pStyle w:val="a"/>
        <w:rPr>
          <w:rStyle w:val="aa"/>
          <w:i w:val="0"/>
          <w:color w:val="FF0000"/>
        </w:rPr>
      </w:pPr>
      <w:bookmarkStart w:id="9" w:name="_br415jhj2gru" w:colFirst="0" w:colLast="0"/>
      <w:bookmarkEnd w:id="9"/>
      <w:r w:rsidRPr="00CD4192">
        <w:rPr>
          <w:rStyle w:val="aa"/>
          <w:i w:val="0"/>
          <w:color w:val="auto"/>
        </w:rPr>
        <w:t>Условия конкурсного отбора студентов при переводе на вакантные места</w:t>
      </w:r>
    </w:p>
    <w:p w14:paraId="1A4F65F2" w14:textId="77777777" w:rsidR="008B3A7A" w:rsidRPr="00CD4192" w:rsidRDefault="008B3A7A" w:rsidP="00EA5566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14:paraId="7306C250" w14:textId="275263D8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8.1.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вакантное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перевода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могут претендовать студенты, прошедшие аттестационные испытания на оценку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ниже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«удовлетворительно» («4» и </w:t>
      </w:r>
      <w:r w:rsidR="004E4BA9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выше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5596940" w14:textId="77777777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227B58F" w14:textId="25633CC9" w:rsidR="008B3A7A" w:rsidRPr="00CD419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8.2.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Конкурсный отбор лиц при переводе на вакантные </w:t>
      </w:r>
      <w:r w:rsidR="00B01B9A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A4F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условии соблюдения п. 8.1.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</w:t>
      </w:r>
      <w:r w:rsidR="007D40F4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порядка</w:t>
      </w:r>
      <w:r w:rsidR="007D40F4" w:rsidRPr="00CD4192">
        <w:rPr>
          <w:rFonts w:ascii="Times New Roman" w:eastAsia="Times New Roman" w:hAnsi="Times New Roman" w:cs="Times New Roman"/>
          <w:sz w:val="26"/>
          <w:szCs w:val="26"/>
        </w:rPr>
        <w:t xml:space="preserve"> приоритет</w:t>
      </w:r>
      <w:r w:rsidR="007D40F4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281C99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386D0BB6" w14:textId="3A26FC6D" w:rsidR="008B3A7A" w:rsidRPr="00CD4192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19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Студенты, обучающиеся </w:t>
      </w:r>
      <w:r w:rsidR="00296F3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других </w:t>
      </w:r>
      <w:r w:rsidR="00296F3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ОП</w:t>
      </w:r>
      <w:r w:rsidR="008452AC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магистратуры</w:t>
      </w:r>
      <w:r w:rsidR="00296F3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, по направлению подготовки «Прикладная математика и информатика» и близким к нему</w:t>
      </w:r>
      <w:r w:rsidR="00296F35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A671A03" w14:textId="0F64CA19" w:rsidR="008B3A7A" w:rsidRPr="00CD4192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Студенты, обучающиеся 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8452AC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других ОП магистратуры на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факультете компьютерных наук, факультете математики, в МИЭМ НИУ ВШЭ.</w:t>
      </w:r>
    </w:p>
    <w:p w14:paraId="705DB735" w14:textId="47437D6C" w:rsidR="00BC79FC" w:rsidRPr="00CD4192" w:rsidRDefault="00BC79FC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Студенты, обучающиеся </w:t>
      </w:r>
      <w:r w:rsidR="008452AC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ОП магистратуры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в других образовательных организациях, по направлению подготовки «Прикладная математика и информатика» и близким к нему</w:t>
      </w:r>
      <w:r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4A6F74" w14:textId="446F1C65" w:rsidR="008B3A7A" w:rsidRPr="00CD4192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192">
        <w:rPr>
          <w:rFonts w:ascii="Times New Roman" w:eastAsia="Times New Roman" w:hAnsi="Times New Roman" w:cs="Times New Roman"/>
          <w:sz w:val="26"/>
          <w:szCs w:val="26"/>
        </w:rPr>
        <w:t xml:space="preserve">Лица, ранее обучавшиеся на других образовательных программах </w:t>
      </w:r>
      <w:r w:rsidR="008452AC" w:rsidRPr="00CD419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магистратуры </w:t>
      </w:r>
      <w:r w:rsidRPr="00CD4192">
        <w:rPr>
          <w:rFonts w:ascii="Times New Roman" w:eastAsia="Times New Roman" w:hAnsi="Times New Roman" w:cs="Times New Roman"/>
          <w:sz w:val="26"/>
          <w:szCs w:val="26"/>
        </w:rPr>
        <w:t>НИУ ВШЭ и в других образовательных учреждениях по направлениям подготовки, отличных от «Прикладная математика и информатика».</w:t>
      </w:r>
    </w:p>
    <w:p w14:paraId="00A29115" w14:textId="77777777" w:rsidR="008B3A7A" w:rsidRPr="00235365" w:rsidRDefault="008B3A7A" w:rsidP="008B3A7A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8.3. 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количество мест на конкретном курсе 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Программы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меньше количества 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заявок</w:t>
      </w:r>
      <w:r w:rsidR="00D170D8"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аттестационная комиссия на основе результатов аттестации студентов проводит конкурсный отбор лиц, наиболее подготовленных для продолжения обучения, формирует </w:t>
      </w:r>
      <w:r w:rsidRPr="00CD4192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таблицу результатов аттестации и передает ее секретарю аттестационной комиссии.</w:t>
      </w:r>
    </w:p>
    <w:p w14:paraId="77A4813B" w14:textId="77777777" w:rsidR="008B3A7A" w:rsidRPr="00235365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CFEB3E2" w14:textId="77777777" w:rsidR="008B3A7A" w:rsidRPr="00235365" w:rsidRDefault="008B3A7A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bookmarkStart w:id="10" w:name="_xk685v85anik" w:colFirst="0" w:colLast="0"/>
      <w:bookmarkStart w:id="11" w:name="_h90ntj7cyn28" w:colFirst="0" w:colLast="0"/>
      <w:bookmarkStart w:id="12" w:name="_1bj3npovkzsn" w:colFirst="0" w:colLast="0"/>
      <w:bookmarkStart w:id="13" w:name="_tbw9j2ih5y1d" w:colFirst="0" w:colLast="0"/>
      <w:bookmarkStart w:id="14" w:name="_obkuknnwxv05" w:colFirst="0" w:colLast="0"/>
      <w:bookmarkStart w:id="15" w:name="_ikbwt8pvli4z" w:colFirst="0" w:colLast="0"/>
      <w:bookmarkStart w:id="16" w:name="_bi9t2pp9l0hj" w:colFirst="0" w:colLast="0"/>
      <w:bookmarkStart w:id="17" w:name="_99ssaq2og2k2" w:colFirst="0" w:colLast="0"/>
      <w:bookmarkStart w:id="18" w:name="_knqmmemwbtqp" w:colFirst="0" w:colLast="0"/>
      <w:bookmarkStart w:id="19" w:name="_c5aooyji4vm" w:colFirst="0" w:colLast="0"/>
      <w:bookmarkStart w:id="20" w:name="_k1g9l0tlwcpv" w:colFirst="0" w:colLast="0"/>
      <w:bookmarkStart w:id="21" w:name="_c198gpttdtpf" w:colFirst="0" w:colLast="0"/>
      <w:bookmarkStart w:id="22" w:name="_Toc49930743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bookmarkEnd w:id="22"/>
    <w:p w14:paraId="595DD37F" w14:textId="796759A3" w:rsidR="00630DE4" w:rsidRPr="00CD4192" w:rsidRDefault="00630DE4" w:rsidP="00CD4192">
      <w:pPr>
        <w:pStyle w:val="3"/>
        <w:spacing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6"/>
          <w:szCs w:val="26"/>
        </w:rPr>
      </w:pPr>
    </w:p>
    <w:sectPr w:rsidR="00630DE4" w:rsidRPr="00CD4192" w:rsidSect="00FA7A33">
      <w:footerReference w:type="default" r:id="rId9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15C5" w14:textId="77777777" w:rsidR="00124354" w:rsidRDefault="00124354">
      <w:pPr>
        <w:spacing w:line="240" w:lineRule="auto"/>
      </w:pPr>
      <w:r>
        <w:separator/>
      </w:r>
    </w:p>
  </w:endnote>
  <w:endnote w:type="continuationSeparator" w:id="0">
    <w:p w14:paraId="62D8FFA7" w14:textId="77777777" w:rsidR="00124354" w:rsidRDefault="0012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537427"/>
      <w:docPartObj>
        <w:docPartGallery w:val="Page Numbers (Bottom of Page)"/>
        <w:docPartUnique/>
      </w:docPartObj>
    </w:sdtPr>
    <w:sdtEndPr/>
    <w:sdtContent>
      <w:p w14:paraId="3D271BF4" w14:textId="3BC7BBD6"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67" w:rsidRPr="00AD0967">
          <w:rPr>
            <w:noProof/>
            <w:lang w:val="ru-RU"/>
          </w:rPr>
          <w:t>8</w:t>
        </w:r>
        <w:r>
          <w:fldChar w:fldCharType="end"/>
        </w:r>
      </w:p>
    </w:sdtContent>
  </w:sdt>
  <w:p w14:paraId="206829F9" w14:textId="77777777" w:rsidR="00C61952" w:rsidRDefault="00124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1422" w14:textId="77777777" w:rsidR="00124354" w:rsidRDefault="00124354">
      <w:pPr>
        <w:spacing w:line="240" w:lineRule="auto"/>
      </w:pPr>
      <w:r>
        <w:separator/>
      </w:r>
    </w:p>
  </w:footnote>
  <w:footnote w:type="continuationSeparator" w:id="0">
    <w:p w14:paraId="675D99D6" w14:textId="77777777" w:rsidR="00124354" w:rsidRDefault="001243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77246"/>
    <w:multiLevelType w:val="multilevel"/>
    <w:tmpl w:val="CAC2F666"/>
    <w:lvl w:ilvl="0">
      <w:start w:val="1"/>
      <w:numFmt w:val="decimal"/>
      <w:pStyle w:val="a"/>
      <w:lvlText w:val="%1."/>
      <w:lvlJc w:val="left"/>
      <w:pPr>
        <w:ind w:left="2203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8" w15:restartNumberingAfterBreak="0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A"/>
    <w:rsid w:val="00000619"/>
    <w:rsid w:val="00012F29"/>
    <w:rsid w:val="000B41EE"/>
    <w:rsid w:val="000E0C5B"/>
    <w:rsid w:val="000F0F66"/>
    <w:rsid w:val="00107DF6"/>
    <w:rsid w:val="00124354"/>
    <w:rsid w:val="00180BD4"/>
    <w:rsid w:val="001A1FEE"/>
    <w:rsid w:val="001F04F7"/>
    <w:rsid w:val="00213232"/>
    <w:rsid w:val="002718F5"/>
    <w:rsid w:val="002802B1"/>
    <w:rsid w:val="002812E1"/>
    <w:rsid w:val="00281C99"/>
    <w:rsid w:val="00291DCD"/>
    <w:rsid w:val="00296F35"/>
    <w:rsid w:val="00297101"/>
    <w:rsid w:val="002C3D8C"/>
    <w:rsid w:val="00314283"/>
    <w:rsid w:val="00373C5C"/>
    <w:rsid w:val="00376758"/>
    <w:rsid w:val="003A7054"/>
    <w:rsid w:val="003E0B70"/>
    <w:rsid w:val="004C3DA7"/>
    <w:rsid w:val="004E4BA9"/>
    <w:rsid w:val="005013CF"/>
    <w:rsid w:val="00514AB8"/>
    <w:rsid w:val="0054036E"/>
    <w:rsid w:val="005469E8"/>
    <w:rsid w:val="005A4124"/>
    <w:rsid w:val="005B07B5"/>
    <w:rsid w:val="005B4924"/>
    <w:rsid w:val="005B5889"/>
    <w:rsid w:val="0060254B"/>
    <w:rsid w:val="00602BC9"/>
    <w:rsid w:val="006226B4"/>
    <w:rsid w:val="00630DE4"/>
    <w:rsid w:val="0064068D"/>
    <w:rsid w:val="006516F9"/>
    <w:rsid w:val="006C145A"/>
    <w:rsid w:val="006D01A2"/>
    <w:rsid w:val="00737E32"/>
    <w:rsid w:val="0075514B"/>
    <w:rsid w:val="00776C23"/>
    <w:rsid w:val="007A0E22"/>
    <w:rsid w:val="007D40F4"/>
    <w:rsid w:val="007D500C"/>
    <w:rsid w:val="008127ED"/>
    <w:rsid w:val="00815958"/>
    <w:rsid w:val="00816B65"/>
    <w:rsid w:val="008260CF"/>
    <w:rsid w:val="00830D79"/>
    <w:rsid w:val="008452AC"/>
    <w:rsid w:val="008B3A7A"/>
    <w:rsid w:val="008C7CCD"/>
    <w:rsid w:val="008D10AA"/>
    <w:rsid w:val="008E21A1"/>
    <w:rsid w:val="008F2209"/>
    <w:rsid w:val="00902CF0"/>
    <w:rsid w:val="009167E4"/>
    <w:rsid w:val="00951D6C"/>
    <w:rsid w:val="009741EC"/>
    <w:rsid w:val="009B4565"/>
    <w:rsid w:val="00A843A7"/>
    <w:rsid w:val="00A87DAC"/>
    <w:rsid w:val="00AC1322"/>
    <w:rsid w:val="00AD0967"/>
    <w:rsid w:val="00AF0F3E"/>
    <w:rsid w:val="00B01B9A"/>
    <w:rsid w:val="00B243BA"/>
    <w:rsid w:val="00BC79FC"/>
    <w:rsid w:val="00BF2653"/>
    <w:rsid w:val="00C356C4"/>
    <w:rsid w:val="00C53751"/>
    <w:rsid w:val="00C55A4F"/>
    <w:rsid w:val="00C66428"/>
    <w:rsid w:val="00CD4192"/>
    <w:rsid w:val="00CD6C59"/>
    <w:rsid w:val="00CE4E5B"/>
    <w:rsid w:val="00D07849"/>
    <w:rsid w:val="00D170D8"/>
    <w:rsid w:val="00D4153E"/>
    <w:rsid w:val="00D442C7"/>
    <w:rsid w:val="00D65E51"/>
    <w:rsid w:val="00DA7FC1"/>
    <w:rsid w:val="00E36F95"/>
    <w:rsid w:val="00E40A20"/>
    <w:rsid w:val="00E5691B"/>
    <w:rsid w:val="00E627E9"/>
    <w:rsid w:val="00E649E1"/>
    <w:rsid w:val="00EA5566"/>
    <w:rsid w:val="00EA5B41"/>
    <w:rsid w:val="00EB77F6"/>
    <w:rsid w:val="00EE6B79"/>
    <w:rsid w:val="00F3667F"/>
    <w:rsid w:val="00FB436D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93BC"/>
  <w15:docId w15:val="{486D1271-2881-485C-825A-32D05E6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EA5566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ind w:left="720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semiHidden/>
    <w:unhideWhenUsed/>
    <w:rsid w:val="00AF0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yii_index.php?r=pt/request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B5F2-CA22-47D6-90D4-BF8756CE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2818</Words>
  <Characters>16066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Дарья Данилюк</cp:lastModifiedBy>
  <cp:revision>5</cp:revision>
  <dcterms:created xsi:type="dcterms:W3CDTF">2021-08-11T13:44:00Z</dcterms:created>
  <dcterms:modified xsi:type="dcterms:W3CDTF">2022-01-26T16:59:00Z</dcterms:modified>
</cp:coreProperties>
</file>