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Граничащие условия и финансовая модель</w:t>
      </w:r>
    </w:p>
    <w:p>
      <w:pPr>
        <w:pStyle w:val="Normal.0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реализации проекта по созданию и выводу на рынок нового образовательного продукт</w:t>
      </w:r>
      <w:r>
        <w:rPr>
          <w:b w:val="1"/>
          <w:bCs w:val="1"/>
          <w:sz w:val="28"/>
          <w:szCs w:val="28"/>
          <w:rtl w:val="0"/>
          <w:lang w:val="ru-RU"/>
        </w:rPr>
        <w:t>а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разработанн</w:t>
      </w:r>
      <w:r>
        <w:rPr>
          <w:b w:val="1"/>
          <w:bCs w:val="1"/>
          <w:sz w:val="28"/>
          <w:szCs w:val="28"/>
          <w:rtl w:val="0"/>
          <w:lang w:val="ru-RU"/>
        </w:rPr>
        <w:t>ого</w:t>
      </w:r>
      <w:r>
        <w:rPr>
          <w:b w:val="1"/>
          <w:bCs w:val="1"/>
          <w:sz w:val="28"/>
          <w:szCs w:val="28"/>
          <w:rtl w:val="0"/>
          <w:lang w:val="ru-RU"/>
        </w:rPr>
        <w:t xml:space="preserve"> Лабораторией</w:t>
      </w:r>
    </w:p>
    <w:p>
      <w:pPr>
        <w:pStyle w:val="Normal (Web)"/>
        <w:spacing w:before="0" w:after="0"/>
        <w:jc w:val="both"/>
        <w:rPr>
          <w:outline w:val="0"/>
          <w:color w:val="000000"/>
          <w:kern w:val="24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numPr>
          <w:ilvl w:val="0"/>
          <w:numId w:val="2"/>
        </w:numPr>
        <w:bidi w:val="0"/>
        <w:spacing w:before="0" w:after="0"/>
        <w:ind w:right="0"/>
        <w:jc w:val="both"/>
        <w:rPr>
          <w:sz w:val="28"/>
          <w:szCs w:val="28"/>
          <w:rtl w:val="0"/>
          <w:lang w:val="ru-RU"/>
        </w:rPr>
      </w:pP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Доход от реализации программ ДПО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разработанных Лабораторией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 (Web)"/>
        <w:spacing w:before="0" w:after="0"/>
        <w:jc w:val="both"/>
        <w:rPr>
          <w:outline w:val="0"/>
          <w:color w:val="000000"/>
          <w:kern w:val="24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будут получать подразделения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заказчики НИУ ВШЭ и отчислять в ЦБ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35%. 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Увеличенный размер отчисления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(+5%)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позволит компенсировать инвестиции ФР ДПО на финансирование Лаборатории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spacing w:before="0" w:after="0"/>
        <w:jc w:val="both"/>
        <w:rPr>
          <w:outline w:val="0"/>
          <w:color w:val="000000"/>
          <w:kern w:val="24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Устанавливаются плановые показатели первого набора слушателей по программе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 (Web)"/>
        <w:spacing w:before="0" w:after="0"/>
        <w:ind w:firstLine="706"/>
        <w:jc w:val="both"/>
        <w:rPr>
          <w:outline w:val="0"/>
          <w:color w:val="000000"/>
          <w:kern w:val="24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профессиональной переподготовки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 25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человек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не ниже точки безубыточности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 (Web)"/>
        <w:spacing w:before="0" w:after="0"/>
        <w:ind w:firstLine="706"/>
        <w:jc w:val="both"/>
        <w:rPr>
          <w:outline w:val="0"/>
          <w:color w:val="000000"/>
          <w:kern w:val="24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повышения квалификации –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35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человек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не ниже точки безубыточности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spacing w:before="0" w:after="0"/>
        <w:jc w:val="both"/>
        <w:rPr>
          <w:outline w:val="0"/>
          <w:color w:val="000000"/>
          <w:kern w:val="24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Сумма расходов на маркетинг и продвижение первого набора программы закладывается в ФЭО на этапе утверждения стоимости программы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Источником финансирования бюджета на продвижения первого набора является ФР ДПО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Возврат инвестиций на маркетинг и продвижение со стороны подразделения осуществляется по результатам набора на программу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Основанием является Приказ о зачислении слушателей и служебная записка на компенсацию издержек ФР ДПО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spacing w:before="0" w:after="0"/>
        <w:ind w:firstLine="708"/>
        <w:jc w:val="both"/>
        <w:rPr>
          <w:outline w:val="0"/>
          <w:color w:val="000000"/>
          <w:kern w:val="24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запуск программы перенесен на более поздний срок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стороны обсуждают целесообразность увеличения расходов на маркетинг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 (Web)"/>
        <w:spacing w:before="0" w:after="0"/>
        <w:ind w:firstLine="708"/>
        <w:jc w:val="both"/>
        <w:rPr>
          <w:outline w:val="0"/>
          <w:color w:val="000000"/>
          <w:kern w:val="24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программа не запущена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расходы на маркетинг несет ФР ДПО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spacing w:before="0" w:after="0"/>
        <w:ind w:firstLine="708"/>
        <w:jc w:val="both"/>
        <w:rPr>
          <w:outline w:val="0"/>
          <w:color w:val="000000"/>
          <w:kern w:val="24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Расходы на вывод новой программы на рынок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маркетинг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составляет в первый набор не менее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10-15%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 планового дохода программы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но   не ниже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700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тыс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руб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 (Web)"/>
        <w:spacing w:before="0" w:after="0"/>
        <w:jc w:val="both"/>
        <w:rPr>
          <w:outline w:val="0"/>
          <w:color w:val="000000"/>
          <w:kern w:val="24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Новые образовательные продукты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разработанные Лабораторией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имеют следующие граничащие условия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 (Web)"/>
        <w:spacing w:before="0" w:after="0"/>
        <w:jc w:val="both"/>
        <w:rPr>
          <w:outline w:val="0"/>
          <w:color w:val="000000"/>
          <w:kern w:val="24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24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-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стоимость академического чел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час не ниже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800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руб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spacing w:before="0" w:after="0"/>
        <w:jc w:val="both"/>
      </w:pPr>
      <w:r>
        <w:rPr>
          <w:outline w:val="0"/>
          <w:color w:val="000000"/>
          <w:kern w:val="24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-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решение о разработке программы принимается на основании анализа ценовых сегментов рынка и при условии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программа будет относиться к средне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среднему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 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средне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верхнему  и верхнему ценовым сегментам</w:t>
      </w:r>
      <w:r>
        <w:rPr>
          <w:outline w:val="0"/>
          <w:color w:val="000000"/>
          <w:kern w:val="2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