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академическим советом ОП 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«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Компьютерная лингвистика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», 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протокол №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2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 от 2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0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.0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6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.2025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i/>
          <w:i/>
          <w:sz w:val="24"/>
          <w:szCs w:val="26"/>
        </w:rPr>
      </w:pPr>
      <w:r>
        <w:rPr>
          <w:rFonts w:cs="Times New Roman" w:ascii="Times New Roman" w:hAnsi="Times New Roman"/>
          <w:i/>
          <w:sz w:val="24"/>
          <w:szCs w:val="26"/>
        </w:rPr>
        <w:t xml:space="preserve">Разработчик: </w:t>
      </w:r>
      <w:r>
        <w:rPr>
          <w:rFonts w:cs="Times New Roman" w:ascii="Times New Roman" w:hAnsi="Times New Roman"/>
          <w:i/>
          <w:sz w:val="24"/>
          <w:szCs w:val="26"/>
        </w:rPr>
        <w:t>Э.С. Клышинский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Программа практики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  <w:t xml:space="preserve">оСНОВНАЯ Образовательная программа ВЫСШЕГО ОБРАЗОВАНИЯ – ПРОГРАММА МАГИСТРАТУРЫ </w:t>
      </w:r>
      <w:r>
        <w:rPr>
          <w:rFonts w:cs="Times New Roman" w:ascii="Times New Roman" w:hAnsi="Times New Roman"/>
          <w:sz w:val="26"/>
          <w:szCs w:val="26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</w:t>
      </w:r>
      <w:r>
        <w:rPr>
          <w:rFonts w:cs="Times New Roman" w:ascii="Times New Roman" w:hAnsi="Times New Roman"/>
          <w:b/>
          <w:sz w:val="26"/>
          <w:szCs w:val="26"/>
        </w:rPr>
        <w:t>Компьютерная лингвистика</w:t>
      </w:r>
      <w:r>
        <w:rPr>
          <w:rFonts w:cs="Times New Roman" w:ascii="Times New Roman" w:hAnsi="Times New Roman"/>
          <w:b/>
          <w:sz w:val="26"/>
          <w:szCs w:val="26"/>
        </w:rPr>
        <w:t>»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Аннотация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Практическая подготовка на образовательной программе «Компьютерная лингвистика» реализуется в форме </w:t>
      </w:r>
      <w:r>
        <w:rPr>
          <w:rFonts w:cs="Times New Roman" w:ascii="Times New Roman" w:hAnsi="Times New Roman"/>
          <w:sz w:val="26"/>
          <w:szCs w:val="26"/>
        </w:rPr>
        <w:t xml:space="preserve">проектного исследовательского семинара, </w:t>
      </w:r>
      <w:r>
        <w:rPr>
          <w:rFonts w:cs="Times New Roman" w:ascii="Times New Roman" w:hAnsi="Times New Roman"/>
          <w:sz w:val="26"/>
          <w:szCs w:val="26"/>
        </w:rPr>
        <w:t xml:space="preserve">подготовки курсовой работы, </w:t>
      </w:r>
      <w:r>
        <w:rPr>
          <w:rFonts w:cs="Times New Roman" w:ascii="Times New Roman" w:hAnsi="Times New Roman"/>
          <w:sz w:val="26"/>
          <w:szCs w:val="26"/>
        </w:rPr>
        <w:t xml:space="preserve">преддипломной </w:t>
      </w:r>
      <w:r>
        <w:rPr>
          <w:rFonts w:cs="Times New Roman" w:ascii="Times New Roman" w:hAnsi="Times New Roman"/>
          <w:sz w:val="26"/>
          <w:szCs w:val="26"/>
        </w:rPr>
        <w:t>практики и выпускной квалификационной работы. Практическая подготовка ставит главной целью формирование основных навыков программирования и работы с большими текстовыми данными, а также инструментами визуализации. Участие в этих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числе понимание современных стандартов и практик работы со сложно организованными объектами гуманитарного знания и умение реализовать эти знания в проектной работе.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1. Общие сведения:</w:t>
      </w:r>
    </w:p>
    <w:p>
      <w:pPr>
        <w:pStyle w:val="Normal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tbl>
      <w:tblPr>
        <w:tblStyle w:val="af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0"/>
        <w:gridCol w:w="1653"/>
        <w:gridCol w:w="1393"/>
        <w:gridCol w:w="1421"/>
        <w:gridCol w:w="1140"/>
        <w:gridCol w:w="784"/>
        <w:gridCol w:w="949"/>
        <w:gridCol w:w="1234"/>
      </w:tblGrid>
      <w:tr>
        <w:trPr/>
        <w:tc>
          <w:tcPr>
            <w:tcW w:w="7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Курс</w:t>
            </w:r>
          </w:p>
        </w:tc>
        <w:tc>
          <w:tcPr>
            <w:tcW w:w="16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Вид практики</w:t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Тип практики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(ЭПП)</w:t>
            </w:r>
          </w:p>
        </w:tc>
        <w:tc>
          <w:tcPr>
            <w:tcW w:w="142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Признак 1</w:t>
            </w:r>
          </w:p>
        </w:tc>
        <w:tc>
          <w:tcPr>
            <w:tcW w:w="11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Признак 2</w:t>
            </w:r>
          </w:p>
        </w:tc>
        <w:tc>
          <w:tcPr>
            <w:tcW w:w="7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Объем в з.е. на 1 студ.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Объем в ак.часах на 1 студ.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Период реализации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653" w:type="dxa"/>
            <w:tcBorders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Курсовой проект</w:t>
            </w:r>
          </w:p>
        </w:tc>
        <w:tc>
          <w:tcPr>
            <w:tcW w:w="1393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Курсовой проект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Обязательная</w:t>
            </w:r>
          </w:p>
        </w:tc>
        <w:tc>
          <w:tcPr>
            <w:tcW w:w="114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3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 xml:space="preserve">114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ак.ч.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первый год обучения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53" w:type="dxa"/>
            <w:tcBorders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Проектно-исследовательский семинар</w:t>
            </w:r>
          </w:p>
        </w:tc>
        <w:tc>
          <w:tcPr>
            <w:tcW w:w="1393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Проект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Обязательная</w:t>
            </w:r>
          </w:p>
        </w:tc>
        <w:tc>
          <w:tcPr>
            <w:tcW w:w="114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3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 xml:space="preserve">114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ак.ч.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первый год обучения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53" w:type="dxa"/>
            <w:tcBorders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Проектно-исследовательский семинар</w:t>
            </w:r>
          </w:p>
        </w:tc>
        <w:tc>
          <w:tcPr>
            <w:tcW w:w="1393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Проект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Обязательная</w:t>
            </w:r>
          </w:p>
        </w:tc>
        <w:tc>
          <w:tcPr>
            <w:tcW w:w="1140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3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 xml:space="preserve">114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ак.ч.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второй год обучения</w:t>
            </w:r>
          </w:p>
        </w:tc>
      </w:tr>
      <w:tr>
        <w:trPr/>
        <w:tc>
          <w:tcPr>
            <w:tcW w:w="780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Производственная (преддипломная) практика)</w:t>
            </w:r>
          </w:p>
        </w:tc>
        <w:tc>
          <w:tcPr>
            <w:tcW w:w="1393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Производственная практика</w:t>
            </w:r>
          </w:p>
        </w:tc>
        <w:tc>
          <w:tcPr>
            <w:tcW w:w="1421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Обязательная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Фиксированный</w:t>
            </w:r>
          </w:p>
        </w:tc>
        <w:tc>
          <w:tcPr>
            <w:tcW w:w="784" w:type="dxa"/>
            <w:tcBorders>
              <w:top w:val="nil"/>
            </w:tcBorders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12</w:t>
            </w:r>
          </w:p>
        </w:tc>
        <w:tc>
          <w:tcPr>
            <w:tcW w:w="949" w:type="dxa"/>
            <w:tcBorders>
              <w:top w:val="nil"/>
            </w:tcBorders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 xml:space="preserve">456 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ак.ч.</w:t>
            </w:r>
          </w:p>
        </w:tc>
        <w:tc>
          <w:tcPr>
            <w:tcW w:w="1234" w:type="dxa"/>
            <w:tcBorders>
              <w:top w:val="nil"/>
            </w:tcBorders>
            <w:vAlign w:val="cente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2, 3 модуль второго года обучения</w:t>
            </w:r>
          </w:p>
        </w:tc>
      </w:tr>
      <w:tr>
        <w:trPr/>
        <w:tc>
          <w:tcPr>
            <w:tcW w:w="780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Style17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Подготовка ВКР</w:t>
            </w:r>
          </w:p>
        </w:tc>
        <w:tc>
          <w:tcPr>
            <w:tcW w:w="1393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Подготовка ВКР*</w:t>
            </w:r>
          </w:p>
        </w:tc>
        <w:tc>
          <w:tcPr>
            <w:tcW w:w="1421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Обязательная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Фиксированный</w:t>
            </w:r>
          </w:p>
        </w:tc>
        <w:tc>
          <w:tcPr>
            <w:tcW w:w="784" w:type="dxa"/>
            <w:tcBorders>
              <w:top w:val="nil"/>
            </w:tcBorders>
            <w:shd w:color="auto" w:fill="auto" w:val="clear"/>
          </w:tcPr>
          <w:p>
            <w:pPr>
              <w:pStyle w:val="Style17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12</w:t>
            </w:r>
          </w:p>
        </w:tc>
        <w:tc>
          <w:tcPr>
            <w:tcW w:w="949" w:type="dxa"/>
            <w:tcBorders>
              <w:top w:val="nil"/>
            </w:tcBorders>
            <w:shd w:color="auto" w:fill="auto" w:val="clear"/>
          </w:tcPr>
          <w:p>
            <w:pPr>
              <w:pStyle w:val="Style17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 xml:space="preserve">456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ак.ч.</w:t>
            </w:r>
          </w:p>
        </w:tc>
        <w:tc>
          <w:tcPr>
            <w:tcW w:w="1234" w:type="dxa"/>
            <w:tcBorders>
              <w:top w:val="nil"/>
            </w:tcBorders>
            <w:vAlign w:val="center"/>
          </w:tcPr>
          <w:p>
            <w:pPr>
              <w:pStyle w:val="Style17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</w:rPr>
              <w:t>второй год обучения</w:t>
            </w:r>
          </w:p>
        </w:tc>
      </w:tr>
    </w:tbl>
    <w:p>
      <w:pPr>
        <w:pStyle w:val="Normal"/>
        <w:spacing w:lineRule="auto" w:line="240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2. Описание содержания практики</w:t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10094" w:type="dxa"/>
        <w:jc w:val="left"/>
        <w:tblInd w:w="-4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64"/>
        <w:gridCol w:w="2556"/>
        <w:gridCol w:w="3510"/>
        <w:gridCol w:w="2863"/>
      </w:tblGrid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</w:rPr>
            </w:pPr>
            <w:r>
              <w:rPr>
                <w:rFonts w:cs="Times New Roman" w:ascii="Times New Roman" w:hAnsi="Times New Roman"/>
              </w:rPr>
              <w:t>Курсовой проект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курсового проекта студентами до </w:t>
            </w:r>
            <w:r>
              <w:rPr>
                <w:rFonts w:cs="Times New Roman" w:ascii="Times New Roman" w:hAnsi="Times New Roman"/>
                <w:b/>
                <w:bCs/>
              </w:rPr>
              <w:t>31</w:t>
            </w:r>
            <w:r>
              <w:rPr>
                <w:rFonts w:cs="Times New Roman" w:ascii="Times New Roman" w:hAnsi="Times New Roman"/>
                <w:b/>
              </w:rPr>
              <w:t xml:space="preserve"> октября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5 рабочих дней до начала сессионной недели.</w:t>
            </w:r>
          </w:p>
        </w:tc>
      </w:tr>
      <w:tr>
        <w:trPr/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Проектно-исследовательский семинар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курсового проекта студентами до 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  <w:b/>
                <w:bCs/>
              </w:rPr>
              <w:t>0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en-US"/>
              </w:rPr>
              <w:t>c</w:t>
            </w:r>
            <w:r>
              <w:rPr>
                <w:rFonts w:cs="Times New Roman" w:ascii="Times New Roman" w:hAnsi="Times New Roman"/>
                <w:b/>
              </w:rPr>
              <w:t>ентября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Определяется индивидуально руководителем </w:t>
            </w:r>
            <w:r>
              <w:rPr>
                <w:rFonts w:ascii="Times New Roman" w:hAnsi="Times New Roman"/>
              </w:rPr>
              <w:t>семинара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Определяется руководителем </w:t>
            </w:r>
            <w:r>
              <w:rPr>
                <w:rFonts w:ascii="Times New Roman" w:hAnsi="Times New Roman"/>
              </w:rPr>
              <w:t>семинара</w:t>
            </w:r>
            <w:r>
              <w:rPr>
                <w:rFonts w:ascii="Times New Roman" w:hAnsi="Times New Roman"/>
              </w:rPr>
              <w:t xml:space="preserve">, но </w:t>
            </w:r>
            <w:r>
              <w:rPr>
                <w:rFonts w:ascii="Times New Roman" w:hAnsi="Times New Roman"/>
                <w:b/>
                <w:bCs/>
              </w:rPr>
              <w:t>не позднее 5 рабочих дней до начала сессионной недели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Calibri" w:hAnsi="Calibri" w:cs="Calibri"/>
              </w:rPr>
            </w:pPr>
            <w:r>
              <w:rPr>
                <w:rFonts w:cs="Times New Roman" w:ascii="Times New Roman" w:hAnsi="Times New Roman"/>
              </w:rPr>
              <w:t>Производственная практика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7 дней до дня начала практики.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5 рабочих дней до начала сессионной недели.</w:t>
            </w:r>
          </w:p>
        </w:tc>
      </w:tr>
      <w:tr>
        <w:trPr/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ВКР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темы ВКР студентами/ инициативное предложение тем 2 курса осуществляется </w:t>
            </w:r>
            <w:r>
              <w:rPr>
                <w:rFonts w:cs="Times New Roman" w:ascii="Times New Roman" w:hAnsi="Times New Roman"/>
                <w:b/>
              </w:rPr>
              <w:t>до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02 декабря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</w:rPr>
              <w:t>Утверждение тем ВКР в ИУПах студентов,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закрепление тем и руководителей ВКР за студентами приказом </w:t>
            </w:r>
            <w:r>
              <w:rPr>
                <w:rFonts w:cs="Times New Roman" w:ascii="Times New Roman" w:hAnsi="Times New Roman"/>
                <w:b/>
              </w:rPr>
              <w:t>не позднее 15 декабря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 </w:t>
            </w:r>
            <w:r>
              <w:rPr>
                <w:rFonts w:cs="Times New Roman" w:ascii="Times New Roman" w:hAnsi="Times New Roman"/>
                <w:b/>
                <w:bCs/>
              </w:rPr>
              <w:t>2</w:t>
            </w:r>
            <w:r>
              <w:rPr>
                <w:rFonts w:cs="Times New Roman" w:ascii="Times New Roman" w:hAnsi="Times New Roman"/>
                <w:b/>
              </w:rPr>
              <w:t xml:space="preserve">5 декабря текущего учебного года </w:t>
            </w:r>
            <w:r>
              <w:rPr>
                <w:rFonts w:cs="Times New Roman" w:ascii="Times New Roman" w:hAnsi="Times New Roman"/>
              </w:rPr>
              <w:t>– предоставление проекта ВКР руководителю и его оценивание «утвержден»/ «не утвержден»;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позднее, </w:t>
            </w:r>
            <w:r>
              <w:rPr>
                <w:rFonts w:cs="Times New Roman" w:ascii="Times New Roman" w:hAnsi="Times New Roman"/>
                <w:b/>
              </w:rPr>
              <w:t xml:space="preserve">чем за месяц до предполагаемой защиты </w:t>
            </w:r>
            <w:r>
              <w:rPr>
                <w:rFonts w:cs="Times New Roman" w:ascii="Times New Roman" w:hAnsi="Times New Roman"/>
              </w:rPr>
              <w:t>предоставление чернового варианта текста ВКР руководителю;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Не позднее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чем за пятнадцать дней до загрузки итогового варианта в LMS </w:t>
            </w:r>
            <w:r>
              <w:rPr>
                <w:rFonts w:cs="Times New Roman" w:ascii="Times New Roman" w:hAnsi="Times New Roman"/>
              </w:rPr>
              <w:t>предоставление окончательного варианта ВКР руководителю.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</w:rPr>
              <w:t>Загрузка ВКР в систему «Антиплагиат»:</w:t>
            </w:r>
          </w:p>
          <w:p>
            <w:pPr>
              <w:pStyle w:val="Normal"/>
              <w:spacing w:lineRule="auto" w:line="240"/>
              <w:rPr>
                <w:b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b/>
              </w:rPr>
              <w:t xml:space="preserve">5 мая текущего учебного года. </w:t>
            </w:r>
            <w:r>
              <w:rPr>
                <w:rFonts w:cs="Times New Roman" w:ascii="Times New Roman" w:hAnsi="Times New Roman"/>
              </w:rPr>
              <w:t xml:space="preserve">Защита ВКР </w:t>
            </w:r>
            <w:r>
              <w:rPr>
                <w:rFonts w:cs="Times New Roman" w:ascii="Times New Roman" w:hAnsi="Times New Roman"/>
                <w:b/>
              </w:rPr>
              <w:t xml:space="preserve">не позднее </w:t>
            </w:r>
            <w:r>
              <w:rPr>
                <w:rFonts w:cs="Times New Roman" w:ascii="Times New Roman" w:hAnsi="Times New Roman"/>
                <w:b/>
              </w:rPr>
              <w:t>25</w:t>
            </w:r>
            <w:r>
              <w:rPr>
                <w:rFonts w:cs="Times New Roman" w:ascii="Times New Roman" w:hAnsi="Times New Roman"/>
                <w:b/>
              </w:rPr>
              <w:t xml:space="preserve"> июня текущего учебного года.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Проектно-исследовательский семинар</w:t>
      </w:r>
      <w:r>
        <w:rPr>
          <w:rFonts w:cs="Times New Roman" w:ascii="Times New Roman" w:hAnsi="Times New Roman"/>
          <w:i/>
          <w:sz w:val="26"/>
          <w:szCs w:val="26"/>
        </w:rPr>
        <w:t>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Работа в проектно-исследовательском семинаре – ключевой компонент магистерской </w:t>
      </w:r>
      <w:r>
        <w:rPr>
          <w:sz w:val="26"/>
          <w:szCs w:val="26"/>
        </w:rPr>
        <w:t xml:space="preserve">программы. Целью семинара является подготовка магистров к </w:t>
      </w:r>
      <w:r>
        <w:rPr>
          <w:sz w:val="26"/>
          <w:szCs w:val="26"/>
          <w:shd w:fill="FFFFFF" w:val="clear"/>
        </w:rPr>
        <w:t>самостоятельной научно-исследовательской, научно-педагогической и проектно-организационной работе. В рамках проектно-исследовательского семинара студенты выполняют два вида работ: групповую проектную работу (в группах по 3-4 человека) и индивидуальную исследовательскую работу.</w:t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Задание проектным группам выдается в </w:t>
      </w:r>
      <w:r>
        <w:rPr>
          <w:rFonts w:cs="Times New Roman" w:ascii="Times New Roman" w:hAnsi="Times New Roman"/>
          <w:sz w:val="26"/>
          <w:szCs w:val="26"/>
        </w:rPr>
        <w:t>окт</w:t>
      </w:r>
      <w:r>
        <w:rPr>
          <w:rFonts w:cs="Times New Roman" w:ascii="Times New Roman" w:hAnsi="Times New Roman"/>
          <w:sz w:val="26"/>
          <w:szCs w:val="26"/>
        </w:rPr>
        <w:t xml:space="preserve">ябре 2025 года, оценка за проектную деятельность выставляется дважды – в четвертом модуле первого курса (промежуточные результаты) и в </w:t>
      </w:r>
      <w:r>
        <w:rPr>
          <w:rFonts w:cs="Times New Roman" w:ascii="Times New Roman" w:hAnsi="Times New Roman"/>
          <w:sz w:val="26"/>
          <w:szCs w:val="26"/>
        </w:rPr>
        <w:t>третьем</w:t>
      </w:r>
      <w:r>
        <w:rPr>
          <w:rFonts w:cs="Times New Roman" w:ascii="Times New Roman" w:hAnsi="Times New Roman"/>
          <w:sz w:val="26"/>
          <w:szCs w:val="26"/>
        </w:rPr>
        <w:t xml:space="preserve"> модуле </w:t>
      </w:r>
      <w:r>
        <w:rPr>
          <w:rFonts w:cs="Times New Roman" w:ascii="Times New Roman" w:hAnsi="Times New Roman"/>
          <w:sz w:val="26"/>
          <w:szCs w:val="26"/>
        </w:rPr>
        <w:t>втор</w:t>
      </w:r>
      <w:r>
        <w:rPr>
          <w:rFonts w:cs="Times New Roman" w:ascii="Times New Roman" w:hAnsi="Times New Roman"/>
          <w:sz w:val="26"/>
          <w:szCs w:val="26"/>
        </w:rPr>
        <w:t>ого курса (итоговые результаты). Таким образом, промежуточный контроль также проводится дважды.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Семинар</w:t>
      </w:r>
      <w:r>
        <w:rPr>
          <w:rFonts w:cs="Times New Roman" w:ascii="Times New Roman" w:hAnsi="Times New Roman"/>
          <w:sz w:val="26"/>
          <w:szCs w:val="26"/>
        </w:rPr>
        <w:t xml:space="preserve"> проводится в НИУ ВШЭ (в случае взаимодействия с партнерскими организациями, это взаимодействие осуществляется онлайн, контроль и оценивание обеспечивается преподавателями НИУ ВШЭ в виде постерной защиты результатов работы.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Примерами возможных проектов являются такие виды разработок как: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Создание виртуального модуля для изучения языка (например, модули «Магазин», «У врача», «Знакомство», «Вечеринка»,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вступать в коммуникацию с носителем русского языка.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Разработки, решающие различные задачи анализа корпуса учебных текстов (автоматическая разметка, средства поиска и пр.).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Создание лингвистических корпусов;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Обучение нейронных сетей;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Прочие проекты по согласованию с руководителем семинара</w:t>
      </w:r>
      <w:r>
        <w:rPr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/>
        <w:ind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Проектная деятельность оценивается дважды (в четвертом модулях первого курса </w:t>
      </w:r>
      <w:r>
        <w:rPr>
          <w:rFonts w:cs="Times New Roman" w:ascii="Times New Roman" w:hAnsi="Times New Roman"/>
          <w:sz w:val="26"/>
          <w:szCs w:val="26"/>
        </w:rPr>
        <w:t>и третьем модуле второго курса</w:t>
      </w:r>
      <w:r>
        <w:rPr>
          <w:rFonts w:cs="Times New Roman" w:ascii="Times New Roman" w:hAnsi="Times New Roman"/>
          <w:sz w:val="26"/>
          <w:szCs w:val="26"/>
        </w:rPr>
        <w:t>). Каждая оценка состоит из двух компонентов: (1) работа над проектом в течение года: качество подготовленных материалов оценивается курирующим преподавателем  в рамках промежуточного оценивания (март 2026 года), промежуточная оценка составляет 0,5 от итоговой; (2) качество финальной презентации с отчетом о проекте и сам готовый продукт оценивается комиссией на защите проекта (сессия третьего модуля 2025-2026 уч. года), оценка за защиту проекта составляет 0,5 от финальной оценки.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Практика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ЦМГН, необходимы компьютерные классы (или компьютеры с возможностью коллективной работы) и доступ в интернет.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условиях ограничительных мер работа над проектами и их защиты переводятся в онлайн формат.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Курсовой п</w:t>
      </w:r>
      <w:r>
        <w:rPr>
          <w:rFonts w:cs="Times New Roman" w:ascii="Times New Roman" w:hAnsi="Times New Roman"/>
          <w:i/>
          <w:sz w:val="26"/>
          <w:szCs w:val="26"/>
        </w:rPr>
        <w:t>роект: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 </w:t>
      </w:r>
      <w:r>
        <w:rPr>
          <w:rFonts w:cs="Times New Roman" w:ascii="Times New Roman" w:hAnsi="Times New Roman"/>
          <w:sz w:val="26"/>
          <w:szCs w:val="26"/>
        </w:rPr>
        <w:t>первого</w:t>
      </w:r>
      <w:r>
        <w:rPr>
          <w:rFonts w:cs="Times New Roman" w:ascii="Times New Roman" w:hAnsi="Times New Roman"/>
          <w:sz w:val="26"/>
          <w:szCs w:val="26"/>
        </w:rPr>
        <w:t xml:space="preserve"> курса позволяет магистрантам приложить полученные на занятиях знания к решению исследовательских задач в профессиональной области и реализовать свои собственные научные и практические интересы. Задачей этого проекта является продолжение и развитие идей первого проекта, дополнение его исследовательскими задачами на основании изученного на программе материала. Цель курсовой работы – научить магистрантов исследовательской деятельности в своей профессиональной области.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Темы проектов должны быть выбраны до </w:t>
      </w:r>
      <w:r>
        <w:rPr>
          <w:rFonts w:cs="Times New Roman" w:ascii="Times New Roman" w:hAnsi="Times New Roman"/>
          <w:sz w:val="26"/>
          <w:szCs w:val="26"/>
        </w:rPr>
        <w:t>30</w:t>
      </w:r>
      <w:r>
        <w:rPr>
          <w:rFonts w:cs="Times New Roman" w:ascii="Times New Roman" w:hAnsi="Times New Roman"/>
          <w:sz w:val="26"/>
          <w:szCs w:val="26"/>
        </w:rPr>
        <w:t xml:space="preserve"> сентября 2025 года, промежуточный контроль осуществляется курирующим преподавателем в течение всего учебного года (с фиксацией промежуточного результата в декабре 2025 года), с точкой контроля (решением о возможности или невозможности защищать проект) за месяц до даты защиты. Защита курсовых работ проводиться в марте 2026 года.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Проекты выполняются в группах 3-4 человека. Защита проектов проводится в формате </w:t>
      </w:r>
      <w:r>
        <w:rPr>
          <w:rFonts w:cs="Times New Roman" w:ascii="Times New Roman" w:hAnsi="Times New Roman"/>
          <w:sz w:val="26"/>
          <w:szCs w:val="26"/>
        </w:rPr>
        <w:t>доклада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за проект выставляется по итогам защиты членами государственной аттестационной комиссии. Оценка определяется путем голосования простым большинством голосов.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Работа над проектом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ЦМГН, доступ к профессиональным корпусам и базам данных.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условиях ограничительных мер защиты курсовых работ проводятся в онлайн формате.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>Производственная практика: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Производственная практика позволяет магистрантам применить полученные практические и теоретические знания в  профессиональных условиях и приобрести практический опыт работы в сфере ЦМГН. Задачей практики является освоение ключевых аспектов производственной деятельности, развитие профессиональных навыков и адаптация к требованиям современного рабочего процесса.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Задание должно быть подписано не позднее 7 дней до начала практики, по итогам выполнения должен быть предоставлен отчет по выполнению (не позднее 7 дней по окончании практики), третьим элементом контроля является выступление на отчетной конференции (не позднее сессии 3 модуля, март 2026 года).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Производственная практика производится как на базе ВШЭ, так и на площадках, предоставляемых партнерами программы. В рамках производственной практики магистрант должен показать владение всей методологии исследования и разработки цифрового проекта, выполнив задание от партнерской организации или внутренних подразделений НИУ ВШЭ за указанное время. Студент также должен оформить отчет по практике и выступить на организуемой на уровне программы отчетной конференции. Примерами проектов могут быть разработка банка промптов для музейных описаний, описание цифрового архива и создание архитектуры хранения для него, разработка сайта (лэндинга) для цифрового продукта и др.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Оценка за производственную практику выставляется по трем контрольным точкам: оценка результата куратором практики (0.5 от всей оценки), качество оформления отчета по практике (0.1 от всей оценки) и оценки за выступление на отчетной конференции по практике, организуемой на уровне программы, выставляемой комиссией из преподавателей НИУ ВШЭ и внешнего эксперта из области </w:t>
      </w:r>
      <w:r>
        <w:rPr>
          <w:rFonts w:cs="Times New Roman" w:ascii="Times New Roman" w:hAnsi="Times New Roman"/>
          <w:sz w:val="26"/>
          <w:szCs w:val="26"/>
        </w:rPr>
        <w:t>КЛ</w:t>
      </w:r>
      <w:r>
        <w:rPr>
          <w:rFonts w:cs="Times New Roman" w:ascii="Times New Roman" w:hAnsi="Times New Roman"/>
          <w:sz w:val="26"/>
          <w:szCs w:val="26"/>
        </w:rPr>
        <w:t xml:space="preserve"> (0.4 от всей оценки).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Работа на практике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ЦМГН, доступ к профессиональным корпусам и базам данных.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условиях ограничительных мер работа государственной аттестационной комиссии проводится в онлайн формате.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Выпускная квалификационная работа: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</w:t>
      </w:r>
      <w:r>
        <w:rPr>
          <w:rFonts w:cs="Times New Roman" w:ascii="Times New Roman" w:hAnsi="Times New Roman"/>
          <w:sz w:val="26"/>
          <w:szCs w:val="26"/>
        </w:rPr>
        <w:t>исследователя в области компьютерной лингвистики</w:t>
      </w:r>
      <w:r>
        <w:rPr>
          <w:rFonts w:cs="Times New Roman" w:ascii="Times New Roman" w:hAnsi="Times New Roman"/>
          <w:sz w:val="26"/>
          <w:szCs w:val="26"/>
        </w:rPr>
        <w:t>, определяются его научные, исследовательские, практические интересы. Тематика ВКР может быть связана как с исследованиями, ведущимися в Школе лингвистики НИУ ВШЭ, так и с научно-исследовательскими проектами партнер</w:t>
      </w:r>
      <w:r>
        <w:rPr>
          <w:rFonts w:cs="Times New Roman" w:ascii="Times New Roman" w:hAnsi="Times New Roman"/>
          <w:sz w:val="26"/>
          <w:szCs w:val="26"/>
        </w:rPr>
        <w:t>ских</w:t>
      </w:r>
      <w:r>
        <w:rPr>
          <w:rFonts w:cs="Times New Roman" w:ascii="Times New Roman" w:hAnsi="Times New Roman"/>
          <w:sz w:val="26"/>
          <w:szCs w:val="26"/>
        </w:rPr>
        <w:t xml:space="preserve"> вузов </w:t>
      </w:r>
      <w:r>
        <w:rPr>
          <w:rFonts w:cs="Times New Roman" w:ascii="Times New Roman" w:hAnsi="Times New Roman"/>
          <w:sz w:val="26"/>
          <w:szCs w:val="26"/>
        </w:rPr>
        <w:t>или организаций</w:t>
      </w:r>
      <w:r>
        <w:rPr>
          <w:rFonts w:cs="Times New Roman" w:ascii="Times New Roman" w:hAnsi="Times New Roman"/>
          <w:sz w:val="26"/>
          <w:szCs w:val="26"/>
        </w:rPr>
        <w:t xml:space="preserve">, с том числе и зарубежных. Цель выпускной квалификационной работы – интеграция магистранта в научное сообщество в области своей профессиональной деятельности. 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Темы ВКР должны быть выбраны до 2 декабря 2025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выпускных квалификационных работ проводиться в июне 2026 года (в рамках государственной аттестации).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Итоговая государственная аттестация проходит в формате защиты магистерской диссертации с привлечением внешних оппонентов. Оценка работ дается в рецензиях внешних экспертов.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Работа над ВКР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</w:t>
      </w:r>
      <w:r>
        <w:rPr>
          <w:rFonts w:cs="Times New Roman" w:ascii="Times New Roman" w:hAnsi="Times New Roman"/>
          <w:sz w:val="26"/>
          <w:szCs w:val="26"/>
        </w:rPr>
        <w:t>КЛ</w:t>
      </w:r>
      <w:r>
        <w:rPr>
          <w:rFonts w:cs="Times New Roman" w:ascii="Times New Roman" w:hAnsi="Times New Roman"/>
          <w:sz w:val="26"/>
          <w:szCs w:val="26"/>
        </w:rPr>
        <w:t>, доступ к профессиональным корпусам и базам данных.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условиях ограничительных мер работа государственной аттестационной комиссии проводится в онлайн формате.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3.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99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5522d9"/>
    <w:pPr>
      <w:keepNext w:val="true"/>
      <w:keepLines/>
      <w:spacing w:lineRule="auto" w:line="240" w:before="240" w:after="120"/>
      <w:ind w:hanging="491" w:left="851"/>
      <w:jc w:val="both"/>
      <w:outlineLvl w:val="0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b7999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fb7999"/>
    <w:rPr>
      <w:rFonts w:ascii="Arial" w:hAnsi="Arial" w:eastAsia="Arial" w:cs="Arial"/>
      <w:sz w:val="20"/>
      <w:szCs w:val="20"/>
      <w:lang w:val="ru-RU"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7999"/>
    <w:rPr>
      <w:rFonts w:ascii="Segoe UI" w:hAnsi="Segoe UI" w:eastAsia="Arial" w:cs="Segoe UI"/>
      <w:sz w:val="18"/>
      <w:szCs w:val="18"/>
      <w:lang w:val="ru-RU" w:eastAsia="ru-RU"/>
    </w:rPr>
  </w:style>
  <w:style w:type="character" w:styleId="1" w:customStyle="1">
    <w:name w:val="Заголовок 1 Знак"/>
    <w:basedOn w:val="DefaultParagraphFont"/>
    <w:qFormat/>
    <w:rsid w:val="005522d9"/>
    <w:rPr>
      <w:rFonts w:ascii="Times New Roman" w:hAnsi="Times New Roman" w:eastAsia="Times New Roman" w:cs="Times New Roman"/>
      <w:b/>
      <w:color w:val="000000"/>
      <w:sz w:val="28"/>
      <w:szCs w:val="28"/>
      <w:lang w:eastAsia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mmentText">
    <w:name w:val="annotation text"/>
    <w:basedOn w:val="Normal"/>
    <w:link w:val="Style13"/>
    <w:uiPriority w:val="99"/>
    <w:semiHidden/>
    <w:unhideWhenUsed/>
    <w:rsid w:val="00fb7999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799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fb7999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799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11" w:customStyle="1">
    <w:name w:val="Обычный (веб)1"/>
    <w:basedOn w:val="Normal"/>
    <w:qFormat/>
    <w:rsid w:val="005c1784"/>
    <w:pPr>
      <w:spacing w:lineRule="auto" w:line="240" w:before="280" w:after="280"/>
    </w:pPr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b79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LibreOffice/25.2.5.2$Linux_X86_64 LibreOffice_project/520$Build-2</Application>
  <AppVersion>15.0000</AppVersion>
  <Pages>8</Pages>
  <Words>1924</Words>
  <Characters>14014</Characters>
  <CharactersWithSpaces>15810</CharactersWithSpaces>
  <Paragraphs>149</Paragraphs>
  <Company>НИУ ВШЭ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2024-11-28T07:58:00Z</dcterms:created>
  <dc:creator>Администратор</dc:creator>
  <dc:description/>
  <dc:language>ru-RU</dc:language>
  <cp:lastModifiedBy/>
  <dcterms:modified xsi:type="dcterms:W3CDTF">2025-08-08T17:30:32Z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