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5"/>
        <w:gridCol w:w="2961"/>
      </w:tblGrid>
      <w:tr>
        <w:tc>
          <w:tcPr>
            <w:tcW w:w="4785" w:type="dxa"/>
          </w:tcPr>
          <w:p>
            <w:pPr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  <w:lang w:val="en-US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  <w:lang w:val="en-US"/>
              </w:rPr>
              <w:t>Ilya</w:t>
            </w:r>
            <w:proofErr w:type="spellEnd"/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  <w:lang w:val="en-US"/>
              </w:rPr>
              <w:t xml:space="preserve"> Kuzminov</w:t>
            </w:r>
          </w:p>
        </w:tc>
        <w:tc>
          <w:tcPr>
            <w:tcW w:w="4786" w:type="dxa"/>
          </w:tcPr>
          <w:p>
            <w:pPr>
              <w:jc w:val="both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</w:p>
        </w:tc>
      </w:tr>
    </w:tbl>
    <w:p>
      <w:pPr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</w:p>
    <w:p>
      <w:pPr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Cs/>
          <w:noProof/>
          <w:color w:val="0D0D0D" w:themeColor="text1" w:themeTint="F2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97352" y="1130060"/>
            <wp:positionH relativeFrom="margin">
              <wp:align>right</wp:align>
            </wp:positionH>
            <wp:positionV relativeFrom="margin">
              <wp:align>top</wp:align>
            </wp:positionV>
            <wp:extent cx="1870135" cy="1863306"/>
            <wp:effectExtent l="19050" t="0" r="0" b="0"/>
            <wp:wrapSquare wrapText="bothSides"/>
            <wp:docPr id="2" name="Рисунок 1" descr="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0135" cy="18633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</w:p>
    <w:p>
      <w:pPr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</w:p>
    <w:p>
      <w:pPr>
        <w:ind w:firstLine="708"/>
        <w:jc w:val="both"/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en-US"/>
        </w:rPr>
      </w:pPr>
    </w:p>
    <w:p>
      <w:pPr>
        <w:ind w:firstLine="708"/>
        <w:jc w:val="both"/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en-US"/>
        </w:rPr>
      </w:pPr>
    </w:p>
    <w:p>
      <w:pPr>
        <w:ind w:firstLine="708"/>
        <w:jc w:val="both"/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en-US"/>
        </w:rPr>
      </w:pPr>
    </w:p>
    <w:p>
      <w:pPr>
        <w:ind w:firstLine="708"/>
        <w:jc w:val="both"/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en-US"/>
        </w:rPr>
      </w:pPr>
    </w:p>
    <w:p>
      <w:pPr>
        <w:ind w:firstLine="708"/>
        <w:jc w:val="both"/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en-US"/>
        </w:rPr>
      </w:pPr>
    </w:p>
    <w:p>
      <w:pPr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en-US"/>
        </w:rPr>
        <w:t xml:space="preserve">Dr. </w:t>
      </w:r>
      <w:proofErr w:type="spellStart"/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en-US"/>
        </w:rPr>
        <w:t>Ilya</w:t>
      </w:r>
      <w:proofErr w:type="spellEnd"/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en-US"/>
        </w:rPr>
        <w:t xml:space="preserve"> Kuzminov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D0D0D" w:themeColor="text1" w:themeTint="F2"/>
          <w:sz w:val="28"/>
          <w:szCs w:val="28"/>
          <w:lang w:val="en-US"/>
        </w:rPr>
        <w:t xml:space="preserve">graduated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  <w:lang w:val="en-US"/>
        </w:rPr>
        <w:t>Lomonosov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  <w:lang w:val="en-US"/>
        </w:rPr>
        <w:t xml:space="preserve"> Moscow State University</w:t>
      </w:r>
      <w:r>
        <w:rPr>
          <w:rFonts w:ascii="Times New Roman" w:hAnsi="Times New Roman"/>
          <w:color w:val="0D0D0D" w:themeColor="text1" w:themeTint="F2"/>
          <w:sz w:val="28"/>
          <w:szCs w:val="28"/>
          <w:lang w:val="en-US"/>
        </w:rPr>
        <w:t>. PhD in</w:t>
      </w:r>
      <w:r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  <w:lang w:val="en-US"/>
        </w:rPr>
        <w:t xml:space="preserve"> Economic, Social, Political and Recreational Geography</w:t>
      </w:r>
      <w:r>
        <w:rPr>
          <w:rFonts w:ascii="Times New Roman" w:hAnsi="Times New Roman"/>
          <w:color w:val="0D0D0D" w:themeColor="text1" w:themeTint="F2"/>
          <w:sz w:val="28"/>
          <w:szCs w:val="28"/>
          <w:lang w:val="en-US"/>
        </w:rPr>
        <w:t xml:space="preserve"> in the </w:t>
      </w:r>
      <w:r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  <w:lang w:val="en-US"/>
        </w:rPr>
        <w:t>Institute of Geography of the Russian Academy of Sciences</w:t>
      </w:r>
      <w:r>
        <w:rPr>
          <w:rFonts w:ascii="Times New Roman" w:hAnsi="Times New Roman"/>
          <w:color w:val="0D0D0D" w:themeColor="text1" w:themeTint="F2"/>
          <w:sz w:val="28"/>
          <w:szCs w:val="28"/>
          <w:lang w:val="en-US"/>
        </w:rPr>
        <w:t xml:space="preserve">. </w:t>
      </w:r>
    </w:p>
    <w:p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en-US" w:eastAsia="ru-RU"/>
        </w:rPr>
      </w:pP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  <w:lang w:val="en-US"/>
        </w:rPr>
        <w:t>Ilya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  <w:lang w:val="en-US"/>
        </w:rPr>
        <w:t xml:space="preserve"> Kuzminov</w:t>
      </w:r>
      <w:r>
        <w:rPr>
          <w:rFonts w:ascii="Times New Roman" w:hAnsi="Times New Roman"/>
          <w:color w:val="0D0D0D" w:themeColor="text1" w:themeTint="F2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D0D0D" w:themeColor="text1" w:themeTint="F2"/>
          <w:sz w:val="28"/>
          <w:szCs w:val="28"/>
          <w:lang w:val="en-US"/>
        </w:rPr>
        <w:t xml:space="preserve">is </w:t>
      </w:r>
      <w:r>
        <w:rPr>
          <w:rFonts w:ascii="Times New Roman" w:hAnsi="Times New Roman"/>
          <w:color w:val="0D0D0D" w:themeColor="text1" w:themeTint="F2"/>
          <w:sz w:val="28"/>
          <w:szCs w:val="28"/>
          <w:lang w:val="en-US"/>
        </w:rPr>
        <w:t>l</w:t>
      </w:r>
      <w:r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val="en-US" w:eastAsia="ru-RU"/>
        </w:rPr>
        <w:t>ead e</w:t>
      </w:r>
      <w:r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val="en-US" w:eastAsia="ru-RU"/>
        </w:rPr>
        <w:t>xpert</w:t>
      </w:r>
      <w:r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color w:val="0D0D0D" w:themeColor="text1" w:themeTint="F2"/>
          <w:sz w:val="28"/>
          <w:szCs w:val="28"/>
          <w:lang w:val="en-US"/>
        </w:rPr>
        <w:t>of International Research and Educational Foresight Centre NRU HSE (</w:t>
      </w:r>
      <w:r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en-US" w:eastAsia="ru-RU"/>
        </w:rPr>
        <w:t xml:space="preserve">Department of Science and Technology Foresight in </w:t>
      </w:r>
      <w:hyperlink r:id="rId6" w:history="1">
        <w:r>
          <w:rPr>
            <w:rFonts w:ascii="Times New Roman" w:eastAsia="Times New Roman" w:hAnsi="Times New Roman"/>
            <w:color w:val="0D0D0D" w:themeColor="text1" w:themeTint="F2"/>
            <w:sz w:val="28"/>
            <w:szCs w:val="28"/>
            <w:lang w:val="en-US" w:eastAsia="ru-RU"/>
          </w:rPr>
          <w:t>Institute for Statistical Studies and Economics of Knowledge</w:t>
        </w:r>
      </w:hyperlink>
      <w:r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en-US" w:eastAsia="ru-RU"/>
        </w:rPr>
        <w:t>).</w:t>
      </w:r>
    </w:p>
    <w:p>
      <w:pPr>
        <w:ind w:firstLine="708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en-US" w:eastAsia="ru-RU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lang w:val="en-US"/>
        </w:rPr>
        <w:t xml:space="preserve">He is responsible for coordination of research activities </w:t>
      </w:r>
      <w:r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en-US" w:eastAsia="ru-RU"/>
        </w:rPr>
        <w:t>in the priority area “Environmental Management” of the Russian Federation Long-Term Technology Foresight development and monitoring. He participates in the new wave of science and technology foresight activities in the Russian Federation (Technology Foresight until 2</w:t>
      </w:r>
      <w:r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en-US" w:eastAsia="ru-RU"/>
        </w:rPr>
        <w:t>040, Critical Technologies 2014-2016</w:t>
      </w:r>
      <w:r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en-US" w:eastAsia="ru-RU"/>
        </w:rPr>
        <w:t>, Sectoral Technology Foresights in energy sector and in agriculture)</w:t>
      </w:r>
      <w:r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en-US" w:eastAsia="ru-RU"/>
        </w:rPr>
        <w:t>.</w:t>
      </w:r>
    </w:p>
    <w:p>
      <w:pPr>
        <w:shd w:val="clear" w:color="auto" w:fill="FFFFFF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en-US"/>
        </w:rPr>
      </w:pPr>
      <w:r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en-US" w:eastAsia="ru-RU"/>
        </w:rPr>
        <w:tab/>
      </w:r>
      <w:r>
        <w:rPr>
          <w:rFonts w:ascii="Times New Roman" w:hAnsi="Times New Roman"/>
          <w:color w:val="0D0D0D" w:themeColor="text1" w:themeTint="F2"/>
          <w:sz w:val="28"/>
          <w:szCs w:val="28"/>
          <w:lang w:val="en-US"/>
        </w:rPr>
        <w:t>His scientific interests include environmental management, sustainable forest management, timber industry complex, Russian agriculture, forestry and agroforestry, socio-economic geography, sustainable development, future-oriented technology analysis (FTA), technology foresight, critical technologies, technology readiness level, full text data extraction, text mining.</w:t>
      </w:r>
    </w:p>
    <w:p>
      <w:pPr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  <w:lang w:val="en-US"/>
        </w:rPr>
        <w:t>Dr.Kuzminov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  <w:lang w:val="en-US"/>
        </w:rPr>
        <w:t xml:space="preserve"> has 28 published scientific articles, participation in 12 conferences and </w:t>
      </w:r>
      <w:r>
        <w:rPr>
          <w:rFonts w:ascii="Times New Roman" w:hAnsi="Times New Roman"/>
          <w:color w:val="0D0D0D" w:themeColor="text1" w:themeTint="F2"/>
          <w:sz w:val="28"/>
          <w:szCs w:val="28"/>
          <w:lang w:val="en-US"/>
        </w:rPr>
        <w:t xml:space="preserve">in </w:t>
      </w:r>
      <w:r>
        <w:rPr>
          <w:rFonts w:ascii="Times New Roman" w:hAnsi="Times New Roman"/>
          <w:color w:val="0D0D0D" w:themeColor="text1" w:themeTint="F2"/>
          <w:sz w:val="28"/>
          <w:szCs w:val="28"/>
          <w:lang w:val="en-US"/>
        </w:rPr>
        <w:t xml:space="preserve">24 scientific research projects on the agriculture and environment management issues. 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C12F5A"/>
    <w:multiLevelType w:val="multilevel"/>
    <w:tmpl w:val="456A7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5DDD4F-2A3B-487E-BDC7-F3627841A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person-appointment-title">
    <w:name w:val="person-appointment-title"/>
    <w:basedOn w:val="a0"/>
  </w:style>
  <w:style w:type="character" w:styleId="a6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sek.hse.ru/en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Чулок Александр Александрович</dc:creator>
  <cp:lastModifiedBy>Irina Loginova</cp:lastModifiedBy>
  <cp:revision>4</cp:revision>
  <dcterms:created xsi:type="dcterms:W3CDTF">2015-06-10T15:48:00Z</dcterms:created>
  <dcterms:modified xsi:type="dcterms:W3CDTF">2016-05-24T18:08:00Z</dcterms:modified>
</cp:coreProperties>
</file>