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0F" w:rsidRDefault="00CC450F">
      <w:pPr>
        <w:rPr>
          <w:b/>
          <w:lang w:val="ru-RU"/>
        </w:rPr>
      </w:pPr>
      <w:r w:rsidRPr="00CC450F">
        <w:rPr>
          <w:rFonts w:ascii="Arial" w:hAnsi="Arial" w:cs="Arial"/>
          <w:b/>
          <w:bCs/>
          <w:color w:val="000000"/>
          <w:shd w:val="clear" w:color="auto" w:fill="FFFFFF"/>
          <w:lang w:val="ru-RU"/>
        </w:rPr>
        <w:t>Проектный семинар</w:t>
      </w:r>
      <w:r w:rsidRPr="00CC450F"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 w:rsidRPr="00CC450F">
        <w:rPr>
          <w:rFonts w:ascii="Arial" w:hAnsi="Arial" w:cs="Arial"/>
          <w:b/>
          <w:bCs/>
          <w:color w:val="000000"/>
          <w:shd w:val="clear" w:color="auto" w:fill="FFFFFF"/>
          <w:lang w:val="ru-RU"/>
        </w:rPr>
        <w:t xml:space="preserve">"Мастерская </w:t>
      </w:r>
      <w:proofErr w:type="gramStart"/>
      <w:r w:rsidRPr="00CC450F">
        <w:rPr>
          <w:rFonts w:ascii="Arial" w:hAnsi="Arial" w:cs="Arial"/>
          <w:b/>
          <w:bCs/>
          <w:color w:val="000000"/>
          <w:shd w:val="clear" w:color="auto" w:fill="FFFFFF"/>
          <w:lang w:val="ru-RU"/>
        </w:rPr>
        <w:t>риск-ориентированного</w:t>
      </w:r>
      <w:proofErr w:type="gramEnd"/>
      <w:r w:rsidRPr="00CC450F">
        <w:rPr>
          <w:rFonts w:ascii="Arial" w:hAnsi="Arial" w:cs="Arial"/>
          <w:b/>
          <w:bCs/>
          <w:color w:val="000000"/>
          <w:shd w:val="clear" w:color="auto" w:fill="FFFFFF"/>
          <w:lang w:val="ru-RU"/>
        </w:rPr>
        <w:t xml:space="preserve"> планирования"</w:t>
      </w:r>
      <w:r w:rsidRPr="00CC450F"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bookmarkStart w:id="0" w:name="_GoBack"/>
      <w:bookmarkEnd w:id="0"/>
    </w:p>
    <w:p w:rsidR="00A67C51" w:rsidRPr="00F60CA5" w:rsidRDefault="00F60CA5">
      <w:pPr>
        <w:rPr>
          <w:b/>
          <w:lang w:val="ru-RU"/>
        </w:rPr>
      </w:pPr>
      <w:r w:rsidRPr="00F60CA5">
        <w:rPr>
          <w:b/>
          <w:lang w:val="ru-RU"/>
        </w:rPr>
        <w:t>Ведущие: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916"/>
        <w:gridCol w:w="6989"/>
      </w:tblGrid>
      <w:tr w:rsidR="00F60CA5" w:rsidRPr="00CC450F" w:rsidTr="00F60CA5">
        <w:tc>
          <w:tcPr>
            <w:tcW w:w="2547" w:type="dxa"/>
          </w:tcPr>
          <w:p w:rsidR="00F60CA5" w:rsidRDefault="00F60CA5">
            <w:pPr>
              <w:rPr>
                <w:lang w:val="ru-RU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ru-RU" w:eastAsia="ru-RU"/>
              </w:rPr>
              <w:drawing>
                <wp:inline distT="0" distB="0" distL="0" distR="0" wp14:anchorId="735E4ADA" wp14:editId="00E75D3D">
                  <wp:extent cx="1714500" cy="1714500"/>
                  <wp:effectExtent l="0" t="0" r="0" b="0"/>
                  <wp:docPr id="2" name="imgPhoto" descr="http://peopledirectory/pd/image.aspx?PersonId=1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hoto" descr="http://peopledirectory/pd/image.aspx?PersonId=1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2" w:type="dxa"/>
          </w:tcPr>
          <w:p w:rsidR="00F60CA5" w:rsidRPr="00860952" w:rsidRDefault="00F60CA5">
            <w:pPr>
              <w:rPr>
                <w:b/>
                <w:sz w:val="20"/>
                <w:szCs w:val="20"/>
                <w:lang w:val="ru-RU"/>
              </w:rPr>
            </w:pPr>
            <w:r w:rsidRPr="00F60CA5">
              <w:rPr>
                <w:b/>
                <w:sz w:val="20"/>
                <w:szCs w:val="20"/>
                <w:lang w:val="ru-RU"/>
              </w:rPr>
              <w:t xml:space="preserve">Гришунин Сергей Вадимович, кандидат экономических наук, </w:t>
            </w:r>
            <w:r w:rsidRPr="00F60CA5">
              <w:rPr>
                <w:b/>
                <w:sz w:val="20"/>
                <w:szCs w:val="20"/>
              </w:rPr>
              <w:t>CFA</w:t>
            </w:r>
          </w:p>
          <w:p w:rsidR="00F60CA5" w:rsidRPr="00F60CA5" w:rsidRDefault="00F60CA5">
            <w:pPr>
              <w:rPr>
                <w:b/>
                <w:sz w:val="20"/>
                <w:szCs w:val="20"/>
                <w:lang w:val="ru-RU"/>
              </w:rPr>
            </w:pPr>
            <w:r w:rsidRPr="00F60CA5">
              <w:rPr>
                <w:b/>
                <w:sz w:val="20"/>
                <w:szCs w:val="20"/>
                <w:lang w:val="ru-RU"/>
              </w:rPr>
              <w:t>Старший менеджер департамента управления рисками компании «</w:t>
            </w:r>
            <w:proofErr w:type="spellStart"/>
            <w:r w:rsidRPr="00F60CA5">
              <w:rPr>
                <w:b/>
                <w:sz w:val="20"/>
                <w:szCs w:val="20"/>
                <w:lang w:val="ru-RU"/>
              </w:rPr>
              <w:t>Делойт</w:t>
            </w:r>
            <w:proofErr w:type="spellEnd"/>
            <w:r w:rsidRPr="00F60CA5">
              <w:rPr>
                <w:b/>
                <w:sz w:val="20"/>
                <w:szCs w:val="20"/>
                <w:lang w:val="ru-RU"/>
              </w:rPr>
              <w:t>» в СНГ</w:t>
            </w:r>
          </w:p>
          <w:p w:rsidR="00F60CA5" w:rsidRPr="00F60CA5" w:rsidRDefault="00F60CA5">
            <w:pPr>
              <w:rPr>
                <w:sz w:val="20"/>
                <w:szCs w:val="20"/>
                <w:lang w:val="ru-RU"/>
              </w:rPr>
            </w:pPr>
            <w:r w:rsidRPr="00F60CA5">
              <w:rPr>
                <w:sz w:val="20"/>
                <w:szCs w:val="20"/>
                <w:lang w:val="ru-RU"/>
              </w:rPr>
              <w:t>Сергей имеет более чем 10 летний опыт работы в сфере управления рисками. До «</w:t>
            </w:r>
            <w:proofErr w:type="spellStart"/>
            <w:r w:rsidRPr="00F60CA5">
              <w:rPr>
                <w:sz w:val="20"/>
                <w:szCs w:val="20"/>
                <w:lang w:val="ru-RU"/>
              </w:rPr>
              <w:t>Делойт</w:t>
            </w:r>
            <w:proofErr w:type="spellEnd"/>
            <w:r w:rsidRPr="00F60CA5">
              <w:rPr>
                <w:sz w:val="20"/>
                <w:szCs w:val="20"/>
                <w:lang w:val="ru-RU"/>
              </w:rPr>
              <w:t>» Сергей работал в международных рейтинговых агентствах (</w:t>
            </w:r>
            <w:r w:rsidRPr="00F60CA5">
              <w:rPr>
                <w:sz w:val="20"/>
                <w:szCs w:val="20"/>
              </w:rPr>
              <w:t>Fitch</w:t>
            </w:r>
            <w:r w:rsidRPr="00F60CA5">
              <w:rPr>
                <w:sz w:val="20"/>
                <w:szCs w:val="20"/>
                <w:lang w:val="ru-RU"/>
              </w:rPr>
              <w:t xml:space="preserve"> </w:t>
            </w:r>
            <w:r w:rsidRPr="00F60CA5">
              <w:rPr>
                <w:sz w:val="20"/>
                <w:szCs w:val="20"/>
              </w:rPr>
              <w:t>Ratings</w:t>
            </w:r>
            <w:r w:rsidRPr="00F60CA5">
              <w:rPr>
                <w:sz w:val="20"/>
                <w:szCs w:val="20"/>
                <w:lang w:val="ru-RU"/>
              </w:rPr>
              <w:t xml:space="preserve">, </w:t>
            </w:r>
            <w:r w:rsidRPr="00F60CA5">
              <w:rPr>
                <w:sz w:val="20"/>
                <w:szCs w:val="20"/>
              </w:rPr>
              <w:t>Moody</w:t>
            </w:r>
            <w:r w:rsidRPr="00F60CA5">
              <w:rPr>
                <w:sz w:val="20"/>
                <w:szCs w:val="20"/>
                <w:lang w:val="ru-RU"/>
              </w:rPr>
              <w:t>’</w:t>
            </w:r>
            <w:r w:rsidRPr="00F60CA5">
              <w:rPr>
                <w:sz w:val="20"/>
                <w:szCs w:val="20"/>
              </w:rPr>
              <w:t>s</w:t>
            </w:r>
            <w:r w:rsidRPr="00F60CA5">
              <w:rPr>
                <w:sz w:val="20"/>
                <w:szCs w:val="20"/>
                <w:lang w:val="ru-RU"/>
              </w:rPr>
              <w:t xml:space="preserve"> </w:t>
            </w:r>
            <w:r w:rsidRPr="00F60CA5">
              <w:rPr>
                <w:sz w:val="20"/>
                <w:szCs w:val="20"/>
              </w:rPr>
              <w:t>Investor</w:t>
            </w:r>
            <w:r w:rsidRPr="00F60CA5">
              <w:rPr>
                <w:sz w:val="20"/>
                <w:szCs w:val="20"/>
                <w:lang w:val="ru-RU"/>
              </w:rPr>
              <w:t xml:space="preserve"> </w:t>
            </w:r>
            <w:r w:rsidRPr="00F60CA5">
              <w:rPr>
                <w:sz w:val="20"/>
                <w:szCs w:val="20"/>
              </w:rPr>
              <w:t>Services</w:t>
            </w:r>
            <w:r w:rsidRPr="00F60CA5">
              <w:rPr>
                <w:sz w:val="20"/>
                <w:szCs w:val="20"/>
                <w:lang w:val="ru-RU"/>
              </w:rPr>
              <w:t xml:space="preserve">), а также в российском </w:t>
            </w:r>
            <w:proofErr w:type="spellStart"/>
            <w:r w:rsidRPr="00F60CA5">
              <w:rPr>
                <w:sz w:val="20"/>
                <w:szCs w:val="20"/>
                <w:lang w:val="ru-RU"/>
              </w:rPr>
              <w:t>кредиитно</w:t>
            </w:r>
            <w:proofErr w:type="spellEnd"/>
            <w:r w:rsidRPr="00F60CA5">
              <w:rPr>
                <w:sz w:val="20"/>
                <w:szCs w:val="20"/>
                <w:lang w:val="ru-RU"/>
              </w:rPr>
              <w:t>-аналитическом агентстве АКРА.</w:t>
            </w:r>
          </w:p>
          <w:p w:rsidR="00F60CA5" w:rsidRDefault="00F60CA5" w:rsidP="00F60CA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Профессиональными интересами Сергея являются: (1) в</w:t>
            </w:r>
            <w:r w:rsidRPr="00F60CA5">
              <w:rPr>
                <w:sz w:val="20"/>
                <w:szCs w:val="20"/>
                <w:lang w:val="ru-RU"/>
              </w:rPr>
              <w:t>недрение риск-ориен</w:t>
            </w:r>
            <w:r>
              <w:rPr>
                <w:sz w:val="20"/>
                <w:szCs w:val="20"/>
                <w:lang w:val="ru-RU"/>
              </w:rPr>
              <w:t>тированных подходов в процессы к</w:t>
            </w:r>
            <w:r w:rsidRPr="00F60CA5">
              <w:rPr>
                <w:sz w:val="20"/>
                <w:szCs w:val="20"/>
                <w:lang w:val="ru-RU"/>
              </w:rPr>
              <w:t>омпаний;</w:t>
            </w:r>
            <w:r>
              <w:rPr>
                <w:sz w:val="20"/>
                <w:szCs w:val="20"/>
                <w:lang w:val="ru-RU"/>
              </w:rPr>
              <w:t xml:space="preserve"> (2) с</w:t>
            </w:r>
            <w:r w:rsidRPr="00F60CA5">
              <w:rPr>
                <w:sz w:val="20"/>
                <w:szCs w:val="20"/>
                <w:lang w:val="ru-RU"/>
              </w:rPr>
              <w:t>овершенствование системы управления рисками и процеду</w:t>
            </w:r>
            <w:r>
              <w:rPr>
                <w:sz w:val="20"/>
                <w:szCs w:val="20"/>
                <w:lang w:val="ru-RU"/>
              </w:rPr>
              <w:t>р оценки достаточности капитала; (3) разработка количественных моделей оценки рисков компаний; (4) разработка и внедрение на предприятиях систем контроллинга и риск-контроллинга.</w:t>
            </w:r>
          </w:p>
          <w:p w:rsidR="00F60CA5" w:rsidRPr="00F60CA5" w:rsidRDefault="00F60CA5" w:rsidP="00F60CA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Сергей получил степень магистра экономики в Санкт-Петербургском государственном политехническом</w:t>
            </w:r>
            <w:r w:rsidRPr="00F60CA5">
              <w:rPr>
                <w:sz w:val="20"/>
                <w:szCs w:val="20"/>
                <w:lang w:val="ru-RU"/>
              </w:rPr>
              <w:t xml:space="preserve"> университет</w:t>
            </w:r>
            <w:r>
              <w:rPr>
                <w:sz w:val="20"/>
                <w:szCs w:val="20"/>
                <w:lang w:val="ru-RU"/>
              </w:rPr>
              <w:t>е</w:t>
            </w:r>
            <w:r w:rsidRPr="00F60CA5">
              <w:rPr>
                <w:sz w:val="20"/>
                <w:szCs w:val="20"/>
                <w:lang w:val="ru-RU"/>
              </w:rPr>
              <w:t xml:space="preserve"> имени Петра Великого</w:t>
            </w:r>
            <w:r>
              <w:rPr>
                <w:sz w:val="20"/>
                <w:szCs w:val="20"/>
                <w:lang w:val="ru-RU"/>
              </w:rPr>
              <w:t xml:space="preserve">, а также получил степень </w:t>
            </w:r>
            <w:r>
              <w:rPr>
                <w:sz w:val="20"/>
                <w:szCs w:val="20"/>
              </w:rPr>
              <w:t>MBA</w:t>
            </w:r>
            <w:r w:rsidRPr="00F60CA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в </w:t>
            </w:r>
            <w:r>
              <w:rPr>
                <w:sz w:val="20"/>
                <w:szCs w:val="20"/>
              </w:rPr>
              <w:t>Johnson</w:t>
            </w:r>
            <w:r w:rsidRPr="00F60CA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Management</w:t>
            </w:r>
            <w:r w:rsidRPr="00F60CA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School</w:t>
            </w:r>
            <w:r w:rsidRPr="00F60CA5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</w:rPr>
              <w:t>Cornell</w:t>
            </w:r>
            <w:r w:rsidRPr="00F60CA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University</w:t>
            </w:r>
            <w:r w:rsidRPr="00F60CA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(США). В настоящее время Сергей работает над подготовкой докторской диссертации по риск-</w:t>
            </w:r>
            <w:proofErr w:type="spellStart"/>
            <w:r>
              <w:rPr>
                <w:sz w:val="20"/>
                <w:szCs w:val="20"/>
                <w:lang w:val="ru-RU"/>
              </w:rPr>
              <w:t>контроллингу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</w:tr>
      <w:tr w:rsidR="00F60CA5" w:rsidRPr="00CC450F" w:rsidTr="00F60CA5">
        <w:tc>
          <w:tcPr>
            <w:tcW w:w="2547" w:type="dxa"/>
          </w:tcPr>
          <w:p w:rsidR="00F60CA5" w:rsidRDefault="00F60CA5">
            <w:pPr>
              <w:rPr>
                <w:lang w:val="ru-RU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ru-RU" w:eastAsia="ru-RU"/>
              </w:rPr>
              <w:drawing>
                <wp:inline distT="0" distB="0" distL="0" distR="0" wp14:anchorId="105FF0DC" wp14:editId="438A619A">
                  <wp:extent cx="1714500" cy="1714500"/>
                  <wp:effectExtent l="0" t="0" r="0" b="0"/>
                  <wp:docPr id="3" name="imgPhoto" descr="http://peopledirectory/pd/image.aspx?PersonId=13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hoto" descr="http://peopledirectory/pd/image.aspx?PersonId=136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2" w:type="dxa"/>
          </w:tcPr>
          <w:p w:rsidR="00F60CA5" w:rsidRPr="00F60CA5" w:rsidRDefault="00F60CA5">
            <w:pPr>
              <w:rPr>
                <w:b/>
                <w:sz w:val="20"/>
                <w:szCs w:val="20"/>
                <w:lang w:val="ru-RU"/>
              </w:rPr>
            </w:pPr>
            <w:r w:rsidRPr="00F60CA5">
              <w:rPr>
                <w:b/>
                <w:sz w:val="20"/>
                <w:szCs w:val="20"/>
                <w:lang w:val="ru-RU"/>
              </w:rPr>
              <w:t>Егорова Александра, консультант «</w:t>
            </w:r>
            <w:proofErr w:type="spellStart"/>
            <w:r w:rsidRPr="00F60CA5">
              <w:rPr>
                <w:b/>
                <w:sz w:val="20"/>
                <w:szCs w:val="20"/>
                <w:lang w:val="ru-RU"/>
              </w:rPr>
              <w:t>Делойт</w:t>
            </w:r>
            <w:proofErr w:type="spellEnd"/>
            <w:r w:rsidRPr="00F60CA5">
              <w:rPr>
                <w:b/>
                <w:sz w:val="20"/>
                <w:szCs w:val="20"/>
                <w:lang w:val="ru-RU"/>
              </w:rPr>
              <w:t>»</w:t>
            </w:r>
          </w:p>
          <w:p w:rsidR="00F60CA5" w:rsidRDefault="00F60CA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Александра специализируется в «</w:t>
            </w:r>
            <w:proofErr w:type="spellStart"/>
            <w:r>
              <w:rPr>
                <w:sz w:val="20"/>
                <w:szCs w:val="20"/>
                <w:lang w:val="ru-RU"/>
              </w:rPr>
              <w:t>Делойт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» на разработке моделей риск-ориентированного бюджетирования и управления проектами для компаний нефинансового сектора. Также, Александра занимается проектами, связанными с внедрением в компаниях систем управления рисками и внутреннего контроля. </w:t>
            </w:r>
          </w:p>
          <w:p w:rsidR="00F60CA5" w:rsidRPr="00F60CA5" w:rsidRDefault="00F60CA5" w:rsidP="00F60CA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Александра закончила </w:t>
            </w:r>
            <w:r w:rsidRPr="00F60CA5">
              <w:rPr>
                <w:sz w:val="20"/>
                <w:szCs w:val="20"/>
                <w:lang w:val="ru-RU"/>
              </w:rPr>
              <w:t>Национальный Исследовательский Институт «Высшая Школа Экономики», факультет Экономических наук,</w:t>
            </w:r>
          </w:p>
        </w:tc>
      </w:tr>
    </w:tbl>
    <w:p w:rsidR="0043770A" w:rsidRDefault="0043770A">
      <w:pPr>
        <w:rPr>
          <w:lang w:val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96"/>
        <w:gridCol w:w="7483"/>
      </w:tblGrid>
      <w:tr w:rsidR="00A67C51" w:rsidRPr="00CC450F" w:rsidTr="000B2D93">
        <w:tc>
          <w:tcPr>
            <w:tcW w:w="2196" w:type="dxa"/>
          </w:tcPr>
          <w:p w:rsidR="00A67C51" w:rsidRDefault="00A67C51">
            <w:pPr>
              <w:rPr>
                <w:lang w:val="ru-RU"/>
              </w:rPr>
            </w:pPr>
            <w:r>
              <w:rPr>
                <w:lang w:val="ru-RU"/>
              </w:rPr>
              <w:t>Цель</w:t>
            </w:r>
          </w:p>
        </w:tc>
        <w:tc>
          <w:tcPr>
            <w:tcW w:w="7483" w:type="dxa"/>
          </w:tcPr>
          <w:p w:rsidR="00A67C51" w:rsidRDefault="00A67C51" w:rsidP="00BD289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Формирование у заинтересованных выпускников магистерской программы «Корпоративные финансы» базовых практических навыков в области построения и интерпретации моделей риск-ориентированного бюджетирования для компаний из нефинансового сектора</w:t>
            </w:r>
          </w:p>
        </w:tc>
      </w:tr>
      <w:tr w:rsidR="0043770A" w:rsidRPr="00CC450F" w:rsidTr="000B2D93">
        <w:tc>
          <w:tcPr>
            <w:tcW w:w="2196" w:type="dxa"/>
          </w:tcPr>
          <w:p w:rsidR="0043770A" w:rsidRDefault="0043770A">
            <w:pPr>
              <w:rPr>
                <w:lang w:val="ru-RU"/>
              </w:rPr>
            </w:pPr>
            <w:r>
              <w:rPr>
                <w:lang w:val="ru-RU"/>
              </w:rPr>
              <w:t>Мотивационный посыл для участников семинара</w:t>
            </w:r>
          </w:p>
        </w:tc>
        <w:tc>
          <w:tcPr>
            <w:tcW w:w="7483" w:type="dxa"/>
          </w:tcPr>
          <w:p w:rsidR="00612D3F" w:rsidRDefault="0043770A" w:rsidP="00BD289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 условиях турбулентного и быстро меняющегося внешнего окружения перед финансовыми менеджерами встает сложная задача интеграции управления рисками в процессы бюджетирования. </w:t>
            </w:r>
            <w:r w:rsidR="000B2D93">
              <w:rPr>
                <w:lang w:val="ru-RU"/>
              </w:rPr>
              <w:t xml:space="preserve">Встает целый ряд критических вопросов. </w:t>
            </w:r>
            <w:r w:rsidR="00612D3F">
              <w:rPr>
                <w:lang w:val="ru-RU"/>
              </w:rPr>
              <w:t>Как оценить, выполним бюджет или нет с учетом влияния рисков? Возможно ли оценить потенциальные отклонения от целей бюджетирования еще на этапе составления планов и операционных моделей? В каких бизнес-процессах необходимо усилить контроли? Какие мероприятия по управлению рисками нужно внедрять уже сейчас?</w:t>
            </w:r>
          </w:p>
          <w:p w:rsidR="0043770A" w:rsidRDefault="0043770A" w:rsidP="00BD289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«Традиционные» способы учета рисков в бюджетной </w:t>
            </w:r>
            <w:r w:rsidR="000B2D93">
              <w:rPr>
                <w:lang w:val="ru-RU"/>
              </w:rPr>
              <w:t>модели не</w:t>
            </w:r>
            <w:r w:rsidR="00612D3F">
              <w:rPr>
                <w:lang w:val="ru-RU"/>
              </w:rPr>
              <w:t xml:space="preserve"> подразумевают системного взгляда на управление рисками, а применяемые методы учета рисков (например, сценарный анализ) не позволяют оценить одновременного воздействия на компанию </w:t>
            </w:r>
            <w:r w:rsidR="00612D3F">
              <w:rPr>
                <w:lang w:val="ru-RU"/>
              </w:rPr>
              <w:lastRenderedPageBreak/>
              <w:t xml:space="preserve">большого количества рисков. </w:t>
            </w:r>
            <w:r w:rsidR="000B2D93">
              <w:rPr>
                <w:lang w:val="ru-RU"/>
              </w:rPr>
              <w:t>В итоге, в</w:t>
            </w:r>
            <w:r w:rsidR="000B2D93" w:rsidRPr="000B2D93">
              <w:rPr>
                <w:lang w:val="ru-RU"/>
              </w:rPr>
              <w:t xml:space="preserve"> бизнес-плане утверждаются целевые показатели, которые не обоснованы и сложно достижимы</w:t>
            </w:r>
            <w:r w:rsidR="000B2D93">
              <w:rPr>
                <w:lang w:val="ru-RU"/>
              </w:rPr>
              <w:t>, показатели оценки эффективности персонала установлены неверно, а реагирование на риски происходит только «</w:t>
            </w:r>
            <w:proofErr w:type="gramStart"/>
            <w:r w:rsidR="000B2D93">
              <w:rPr>
                <w:lang w:val="ru-RU"/>
              </w:rPr>
              <w:t>пост-</w:t>
            </w:r>
            <w:proofErr w:type="spellStart"/>
            <w:r w:rsidR="000B2D93">
              <w:rPr>
                <w:lang w:val="ru-RU"/>
              </w:rPr>
              <w:t>фактум</w:t>
            </w:r>
            <w:proofErr w:type="spellEnd"/>
            <w:proofErr w:type="gramEnd"/>
            <w:r w:rsidR="000B2D93">
              <w:rPr>
                <w:lang w:val="ru-RU"/>
              </w:rPr>
              <w:t>».</w:t>
            </w:r>
          </w:p>
          <w:p w:rsidR="000B2D93" w:rsidRDefault="000B2D93" w:rsidP="00BD289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 отличии от «традиционных» способов бюджетирования, «риск-ориентированный» подход, предполагает: </w:t>
            </w:r>
          </w:p>
          <w:p w:rsidR="000B2D93" w:rsidRPr="000B2D93" w:rsidRDefault="000B2D93" w:rsidP="000B2D93">
            <w:pPr>
              <w:pStyle w:val="ab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0B2D93">
              <w:rPr>
                <w:lang w:val="ru-RU"/>
              </w:rPr>
              <w:t xml:space="preserve">оценить неопределенность достижения целевых показателей (доходы, денежной поток, </w:t>
            </w:r>
            <w:proofErr w:type="spellStart"/>
            <w:r w:rsidRPr="000B2D93">
              <w:rPr>
                <w:lang w:val="ru-RU"/>
              </w:rPr>
              <w:t>ковенанты</w:t>
            </w:r>
            <w:proofErr w:type="spellEnd"/>
            <w:r w:rsidRPr="000B2D93">
              <w:rPr>
                <w:lang w:val="ru-RU"/>
              </w:rPr>
              <w:t xml:space="preserve"> и т.д.) и ключевые риски, формирующие данную неопределенность;</w:t>
            </w:r>
          </w:p>
          <w:p w:rsidR="000B2D93" w:rsidRPr="000B2D93" w:rsidRDefault="000B2D93" w:rsidP="000B2D93">
            <w:pPr>
              <w:pStyle w:val="ab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0B2D93">
              <w:rPr>
                <w:lang w:val="ru-RU"/>
              </w:rPr>
              <w:t>перейти от одномерного прогнозирования и анализа чувствительности к многофакторным моделям;</w:t>
            </w:r>
          </w:p>
          <w:p w:rsidR="000B2D93" w:rsidRPr="000B2D93" w:rsidRDefault="000B2D93" w:rsidP="000B2D93">
            <w:pPr>
              <w:pStyle w:val="ab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0B2D93">
              <w:rPr>
                <w:lang w:val="ru-RU"/>
              </w:rPr>
              <w:t>интегрировать количественную оценку распределений и агрегации отдельных параметров для оценки возможного интервала целевых показателей;</w:t>
            </w:r>
          </w:p>
          <w:p w:rsidR="0043770A" w:rsidRPr="000B2D93" w:rsidRDefault="000B2D93" w:rsidP="000B2D93">
            <w:pPr>
              <w:pStyle w:val="ab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0B2D93">
              <w:rPr>
                <w:lang w:val="ru-RU"/>
              </w:rPr>
              <w:t>проводить стресс-тестирование финансовых прогнозов с учетом факторов риска для получения распределения денежных потоков или доходов за каждый период.</w:t>
            </w:r>
          </w:p>
          <w:p w:rsidR="0043770A" w:rsidRPr="000B2D93" w:rsidRDefault="000B2D93" w:rsidP="000B2D93">
            <w:pPr>
              <w:pStyle w:val="ab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0B2D93">
              <w:rPr>
                <w:lang w:val="ru-RU"/>
              </w:rPr>
              <w:t>станавливать значения КПЭ с учетом рисков</w:t>
            </w:r>
          </w:p>
          <w:p w:rsidR="0043770A" w:rsidRDefault="000B2D93" w:rsidP="00BD289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Достоинствами внедрения риск-ориентированного бюджетирования являются:</w:t>
            </w:r>
          </w:p>
          <w:p w:rsidR="000B2D93" w:rsidRPr="000B2D93" w:rsidRDefault="000B2D93" w:rsidP="000B2D93">
            <w:pPr>
              <w:pStyle w:val="ab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 w:rsidRPr="000B2D93">
              <w:rPr>
                <w:lang w:val="ru-RU"/>
              </w:rPr>
              <w:t>Б</w:t>
            </w:r>
            <w:r>
              <w:rPr>
                <w:lang w:val="ru-RU"/>
              </w:rPr>
              <w:t>о</w:t>
            </w:r>
            <w:r w:rsidRPr="000B2D93">
              <w:rPr>
                <w:lang w:val="ru-RU"/>
              </w:rPr>
              <w:t>лее точное планирование финансовых результатов, повышение их предсказуемости</w:t>
            </w:r>
          </w:p>
          <w:p w:rsidR="0043770A" w:rsidRPr="000B2D93" w:rsidRDefault="000B2D93" w:rsidP="000B2D93">
            <w:pPr>
              <w:pStyle w:val="ab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0B2D93">
              <w:rPr>
                <w:lang w:val="ru-RU"/>
              </w:rPr>
              <w:t>лубокий анализ факторов, позволяющий объяснить потенциальное невыполнение бюджета уже на этапе его подготовки</w:t>
            </w:r>
          </w:p>
          <w:p w:rsidR="0043770A" w:rsidRPr="000B2D93" w:rsidRDefault="000B2D93" w:rsidP="000B2D93">
            <w:pPr>
              <w:pStyle w:val="ab"/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0B2D93">
              <w:rPr>
                <w:lang w:val="ru-RU"/>
              </w:rPr>
              <w:t>недрение эффективных контрольных процедур</w:t>
            </w:r>
          </w:p>
          <w:p w:rsidR="0043770A" w:rsidRDefault="000B2D93" w:rsidP="000B2D9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 итоге обеспечивается рост стоимости компании и уменьшение волатильности ее финансовых результатов, что всегда ценится инвесторами</w:t>
            </w:r>
          </w:p>
        </w:tc>
      </w:tr>
      <w:tr w:rsidR="00A67C51" w:rsidRPr="00CC450F" w:rsidTr="000B2D93">
        <w:tc>
          <w:tcPr>
            <w:tcW w:w="2196" w:type="dxa"/>
          </w:tcPr>
          <w:p w:rsidR="00A67C51" w:rsidRPr="00BD289C" w:rsidRDefault="00BD289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Заказчик</w:t>
            </w:r>
          </w:p>
        </w:tc>
        <w:tc>
          <w:tcPr>
            <w:tcW w:w="7483" w:type="dxa"/>
          </w:tcPr>
          <w:p w:rsidR="00A67C51" w:rsidRDefault="00BD289C" w:rsidP="00BD289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Заказчиком проекта выступает «</w:t>
            </w:r>
            <w:proofErr w:type="spellStart"/>
            <w:r>
              <w:rPr>
                <w:lang w:val="ru-RU"/>
              </w:rPr>
              <w:t>Делойт</w:t>
            </w:r>
            <w:proofErr w:type="spellEnd"/>
            <w:r>
              <w:rPr>
                <w:lang w:val="ru-RU"/>
              </w:rPr>
              <w:t xml:space="preserve">» - </w:t>
            </w:r>
            <w:r w:rsidRPr="00BD289C">
              <w:rPr>
                <w:lang w:val="ru-RU"/>
              </w:rPr>
              <w:t xml:space="preserve">международная сеть </w:t>
            </w:r>
            <w:r>
              <w:rPr>
                <w:lang w:val="ru-RU"/>
              </w:rPr>
              <w:t xml:space="preserve">консалтинговых </w:t>
            </w:r>
            <w:r w:rsidRPr="00BD289C">
              <w:rPr>
                <w:lang w:val="ru-RU"/>
              </w:rPr>
              <w:t>компаний, которая использует свои обширные отраслевые знания и многолетний опыт работы в различных сферах деятельности более чем в 150 странах мира. Около 245 400 специалистов «</w:t>
            </w:r>
            <w:proofErr w:type="spellStart"/>
            <w:r w:rsidRPr="00BD289C">
              <w:rPr>
                <w:lang w:val="ru-RU"/>
              </w:rPr>
              <w:t>Делойта</w:t>
            </w:r>
            <w:proofErr w:type="spellEnd"/>
            <w:r w:rsidRPr="00BD289C">
              <w:rPr>
                <w:lang w:val="ru-RU"/>
              </w:rPr>
              <w:t>» по всему миру привержены идеям достижения совершенства в предоставлении профессиональных услуг своим клиентам</w:t>
            </w:r>
            <w:r>
              <w:rPr>
                <w:lang w:val="ru-RU"/>
              </w:rPr>
              <w:t xml:space="preserve">. </w:t>
            </w:r>
            <w:r w:rsidRPr="00BD289C">
              <w:rPr>
                <w:lang w:val="ru-RU"/>
              </w:rPr>
              <w:t>«</w:t>
            </w:r>
            <w:proofErr w:type="spellStart"/>
            <w:r w:rsidRPr="00BD289C">
              <w:rPr>
                <w:lang w:val="ru-RU"/>
              </w:rPr>
              <w:t>Делойт</w:t>
            </w:r>
            <w:proofErr w:type="spellEnd"/>
            <w:r w:rsidRPr="00BD289C">
              <w:rPr>
                <w:lang w:val="ru-RU"/>
              </w:rPr>
              <w:t>» в России является частью компании «</w:t>
            </w:r>
            <w:proofErr w:type="spellStart"/>
            <w:r w:rsidRPr="00BD289C">
              <w:rPr>
                <w:lang w:val="ru-RU"/>
              </w:rPr>
              <w:t>Делойт</w:t>
            </w:r>
            <w:proofErr w:type="spellEnd"/>
            <w:r w:rsidRPr="00BD289C">
              <w:rPr>
                <w:lang w:val="ru-RU"/>
              </w:rPr>
              <w:t>» в Содружестве Независимых Государств (СНГ) и входит в «</w:t>
            </w:r>
            <w:proofErr w:type="spellStart"/>
            <w:r w:rsidRPr="00BD289C">
              <w:rPr>
                <w:lang w:val="ru-RU"/>
              </w:rPr>
              <w:t>Делойт</w:t>
            </w:r>
            <w:proofErr w:type="spellEnd"/>
            <w:r w:rsidRPr="00BD289C">
              <w:rPr>
                <w:lang w:val="ru-RU"/>
              </w:rPr>
              <w:t xml:space="preserve"> Туш </w:t>
            </w:r>
            <w:proofErr w:type="spellStart"/>
            <w:r w:rsidRPr="00BD289C">
              <w:rPr>
                <w:lang w:val="ru-RU"/>
              </w:rPr>
              <w:t>Томацу</w:t>
            </w:r>
            <w:proofErr w:type="spellEnd"/>
            <w:r w:rsidRPr="00BD289C">
              <w:rPr>
                <w:lang w:val="ru-RU"/>
              </w:rPr>
              <w:t xml:space="preserve"> Лимит</w:t>
            </w:r>
            <w:r>
              <w:rPr>
                <w:lang w:val="ru-RU"/>
              </w:rPr>
              <w:t>ед»</w:t>
            </w:r>
            <w:r w:rsidRPr="00BD289C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В России </w:t>
            </w:r>
            <w:r w:rsidRPr="00BD289C">
              <w:rPr>
                <w:lang w:val="ru-RU"/>
              </w:rPr>
              <w:t>«</w:t>
            </w:r>
            <w:proofErr w:type="spellStart"/>
            <w:r w:rsidRPr="00BD289C">
              <w:rPr>
                <w:lang w:val="ru-RU"/>
              </w:rPr>
              <w:t>Делойт</w:t>
            </w:r>
            <w:proofErr w:type="spellEnd"/>
            <w:r w:rsidRPr="00BD289C">
              <w:rPr>
                <w:lang w:val="ru-RU"/>
              </w:rPr>
              <w:t xml:space="preserve">» </w:t>
            </w:r>
            <w:r>
              <w:rPr>
                <w:lang w:val="ru-RU"/>
              </w:rPr>
              <w:t xml:space="preserve">уже 25 лет </w:t>
            </w:r>
            <w:r w:rsidRPr="00BD289C">
              <w:rPr>
                <w:lang w:val="ru-RU"/>
              </w:rPr>
              <w:t>предоставляет услуги в области аудита, налогообложения, консалтинга и корпоративных финансов государственным и частным компаниям, работающим в различных отраслях экономики.</w:t>
            </w:r>
          </w:p>
          <w:p w:rsidR="00BD289C" w:rsidRPr="00BD289C" w:rsidRDefault="00BD289C" w:rsidP="00BD289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Непосредственным куратором проекта является департамент управления рисками «</w:t>
            </w:r>
            <w:proofErr w:type="spellStart"/>
            <w:r>
              <w:rPr>
                <w:lang w:val="ru-RU"/>
              </w:rPr>
              <w:t>Делойт</w:t>
            </w:r>
            <w:proofErr w:type="spellEnd"/>
            <w:r>
              <w:rPr>
                <w:lang w:val="ru-RU"/>
              </w:rPr>
              <w:t xml:space="preserve">», оказывающий консультационные услуги компаниям по управлению большого спектра рисков: стратегических, регуляторных, финансовых, операционных, </w:t>
            </w:r>
            <w:proofErr w:type="spellStart"/>
            <w:r>
              <w:rPr>
                <w:lang w:val="ru-RU"/>
              </w:rPr>
              <w:t>кибер</w:t>
            </w:r>
            <w:proofErr w:type="spellEnd"/>
            <w:r>
              <w:rPr>
                <w:lang w:val="ru-RU"/>
              </w:rPr>
              <w:t xml:space="preserve">-рисков, экологических и т.п. </w:t>
            </w:r>
            <w:proofErr w:type="spellStart"/>
            <w:r>
              <w:rPr>
                <w:lang w:val="ru-RU"/>
              </w:rPr>
              <w:t>Делойт</w:t>
            </w:r>
            <w:proofErr w:type="spellEnd"/>
            <w:r>
              <w:rPr>
                <w:lang w:val="ru-RU"/>
              </w:rPr>
              <w:t xml:space="preserve"> является глобальным лидером в сфере управления рисками по версии </w:t>
            </w:r>
            <w:r>
              <w:t>IDC</w:t>
            </w:r>
            <w:r w:rsidRPr="00BD289C">
              <w:rPr>
                <w:lang w:val="ru-RU"/>
              </w:rPr>
              <w:t xml:space="preserve"> </w:t>
            </w:r>
            <w:r>
              <w:t>Market</w:t>
            </w:r>
            <w:r w:rsidRPr="00BD289C">
              <w:rPr>
                <w:lang w:val="ru-RU"/>
              </w:rPr>
              <w:t xml:space="preserve"> </w:t>
            </w:r>
            <w:r>
              <w:t>Share</w:t>
            </w:r>
            <w:r w:rsidRPr="00BD289C">
              <w:rPr>
                <w:lang w:val="ru-RU"/>
              </w:rPr>
              <w:t xml:space="preserve">. </w:t>
            </w:r>
          </w:p>
        </w:tc>
      </w:tr>
      <w:tr w:rsidR="00A67C51" w:rsidRPr="00CC450F" w:rsidTr="000B2D93">
        <w:tc>
          <w:tcPr>
            <w:tcW w:w="2196" w:type="dxa"/>
          </w:tcPr>
          <w:p w:rsidR="00A67C51" w:rsidRPr="00BD289C" w:rsidRDefault="00BD289C">
            <w:pPr>
              <w:rPr>
                <w:lang w:val="ru-RU"/>
              </w:rPr>
            </w:pPr>
            <w:r>
              <w:rPr>
                <w:lang w:val="ru-RU"/>
              </w:rPr>
              <w:t xml:space="preserve">Сроки реализации </w:t>
            </w:r>
            <w:r>
              <w:rPr>
                <w:lang w:val="ru-RU"/>
              </w:rPr>
              <w:lastRenderedPageBreak/>
              <w:t>проекта</w:t>
            </w:r>
          </w:p>
        </w:tc>
        <w:tc>
          <w:tcPr>
            <w:tcW w:w="7483" w:type="dxa"/>
          </w:tcPr>
          <w:p w:rsidR="00A67C51" w:rsidRPr="00BD289C" w:rsidRDefault="00BD289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Проект слушатели выполнят за 2 – 2,5 месяца. Промежуточные встречи будут проводиться два раза в месяц, всего предполагается 4 </w:t>
            </w:r>
            <w:r>
              <w:rPr>
                <w:lang w:val="ru-RU"/>
              </w:rPr>
              <w:lastRenderedPageBreak/>
              <w:t xml:space="preserve">встречи. Итогом проекта будет являться модель риск-ориентированного бюджета (в </w:t>
            </w:r>
            <w:r>
              <w:t>MS</w:t>
            </w:r>
            <w:r w:rsidRPr="00BD289C">
              <w:rPr>
                <w:lang w:val="ru-RU"/>
              </w:rPr>
              <w:t xml:space="preserve"> </w:t>
            </w:r>
            <w:r>
              <w:t>Excel</w:t>
            </w:r>
            <w:r w:rsidRPr="00BD289C">
              <w:rPr>
                <w:lang w:val="ru-RU"/>
              </w:rPr>
              <w:t xml:space="preserve">) </w:t>
            </w:r>
            <w:r>
              <w:rPr>
                <w:lang w:val="ru-RU"/>
              </w:rPr>
              <w:t>и презентация результатов проекта</w:t>
            </w:r>
          </w:p>
        </w:tc>
      </w:tr>
      <w:tr w:rsidR="00A67C51" w:rsidRPr="00CC450F" w:rsidTr="000B2D93">
        <w:tc>
          <w:tcPr>
            <w:tcW w:w="2196" w:type="dxa"/>
          </w:tcPr>
          <w:p w:rsidR="00A67C51" w:rsidRDefault="00BD289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Функциональные требования</w:t>
            </w:r>
          </w:p>
        </w:tc>
        <w:tc>
          <w:tcPr>
            <w:tcW w:w="7483" w:type="dxa"/>
          </w:tcPr>
          <w:p w:rsidR="00A67C51" w:rsidRDefault="00BD289C">
            <w:pPr>
              <w:rPr>
                <w:lang w:val="ru-RU"/>
              </w:rPr>
            </w:pPr>
            <w:r>
              <w:rPr>
                <w:lang w:val="ru-RU"/>
              </w:rPr>
              <w:t xml:space="preserve">Слушатели мастерской должны обладать базовыми навыками финансового моделирования в </w:t>
            </w:r>
            <w:r>
              <w:t>MS</w:t>
            </w:r>
            <w:r>
              <w:rPr>
                <w:lang w:val="ru-RU"/>
              </w:rPr>
              <w:t xml:space="preserve"> </w:t>
            </w:r>
            <w:r>
              <w:t>Excel</w:t>
            </w:r>
            <w:r w:rsidRPr="00BD289C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знаниями бухгалтерского учета и корпоративных финансов на уровне специализированного бакалавриата. Кроме того, слушатели должны обладать знаниями эконометрики и математической статистики на уровне бакалавриата. </w:t>
            </w:r>
          </w:p>
          <w:p w:rsidR="00BD289C" w:rsidRDefault="00BD289C">
            <w:pPr>
              <w:rPr>
                <w:lang w:val="ru-RU"/>
              </w:rPr>
            </w:pPr>
            <w:r>
              <w:rPr>
                <w:lang w:val="ru-RU"/>
              </w:rPr>
              <w:t xml:space="preserve">Проект будет реализован в </w:t>
            </w:r>
            <w:r>
              <w:t>MS</w:t>
            </w:r>
            <w:r w:rsidRPr="00BD289C">
              <w:rPr>
                <w:lang w:val="ru-RU"/>
              </w:rPr>
              <w:t xml:space="preserve"> </w:t>
            </w:r>
            <w:r>
              <w:t>Excel</w:t>
            </w:r>
            <w:r w:rsidRPr="00BD289C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У слушателей должен быть ноутбук. </w:t>
            </w:r>
          </w:p>
          <w:p w:rsidR="00BD289C" w:rsidRPr="00BD289C" w:rsidRDefault="00BD289C">
            <w:pPr>
              <w:rPr>
                <w:lang w:val="ru-RU"/>
              </w:rPr>
            </w:pPr>
            <w:r>
              <w:rPr>
                <w:lang w:val="ru-RU"/>
              </w:rPr>
              <w:t>Мы т</w:t>
            </w:r>
            <w:r w:rsidR="0043770A">
              <w:rPr>
                <w:lang w:val="ru-RU"/>
              </w:rPr>
              <w:t>акже будем оценивать способности работать в команде, а также умение организовать самостоятельную исследовательскую работу. Мы обязательно оценим способность организовывать данные и презентовать результаты работ заказчику</w:t>
            </w:r>
          </w:p>
        </w:tc>
      </w:tr>
      <w:tr w:rsidR="0043770A" w:rsidRPr="00CC450F" w:rsidTr="000B2D93">
        <w:tc>
          <w:tcPr>
            <w:tcW w:w="2196" w:type="dxa"/>
          </w:tcPr>
          <w:p w:rsidR="0043770A" w:rsidRDefault="0043770A">
            <w:pPr>
              <w:rPr>
                <w:lang w:val="ru-RU"/>
              </w:rPr>
            </w:pPr>
            <w:r>
              <w:rPr>
                <w:lang w:val="ru-RU"/>
              </w:rPr>
              <w:t>Предпочтительный формат работы</w:t>
            </w:r>
          </w:p>
        </w:tc>
        <w:tc>
          <w:tcPr>
            <w:tcW w:w="7483" w:type="dxa"/>
          </w:tcPr>
          <w:p w:rsidR="0043770A" w:rsidRDefault="0043770A" w:rsidP="0043770A">
            <w:pPr>
              <w:rPr>
                <w:lang w:val="ru-RU"/>
              </w:rPr>
            </w:pPr>
            <w:r>
              <w:rPr>
                <w:lang w:val="ru-RU"/>
              </w:rPr>
              <w:t>Мини-группа (не более 4 человек в группе)</w:t>
            </w:r>
          </w:p>
        </w:tc>
      </w:tr>
      <w:tr w:rsidR="00A67C51" w:rsidRPr="00CC450F" w:rsidTr="000B2D93">
        <w:tc>
          <w:tcPr>
            <w:tcW w:w="2196" w:type="dxa"/>
          </w:tcPr>
          <w:p w:rsidR="00A67C51" w:rsidRDefault="0043770A">
            <w:pPr>
              <w:rPr>
                <w:lang w:val="ru-RU"/>
              </w:rPr>
            </w:pPr>
            <w:r>
              <w:rPr>
                <w:lang w:val="ru-RU"/>
              </w:rPr>
              <w:t>Примерный график реализации проекта</w:t>
            </w:r>
          </w:p>
        </w:tc>
        <w:tc>
          <w:tcPr>
            <w:tcW w:w="7483" w:type="dxa"/>
          </w:tcPr>
          <w:p w:rsidR="00A67C51" w:rsidRDefault="0043770A" w:rsidP="0043770A">
            <w:pPr>
              <w:rPr>
                <w:lang w:val="ru-RU"/>
              </w:rPr>
            </w:pPr>
            <w:r>
              <w:rPr>
                <w:lang w:val="ru-RU"/>
              </w:rPr>
              <w:t>1 занятие: вводная теоретическая часть, обзор практики, постановка задачи и выдача проекта. Домашнее задание – построить финансовую модель компании без учета рисков</w:t>
            </w:r>
          </w:p>
          <w:p w:rsidR="0043770A" w:rsidRDefault="0043770A" w:rsidP="0043770A">
            <w:pPr>
              <w:rPr>
                <w:lang w:val="ru-RU"/>
              </w:rPr>
            </w:pPr>
            <w:r>
              <w:rPr>
                <w:lang w:val="ru-RU"/>
              </w:rPr>
              <w:t>2 занятие: Проверка финансовой модели и ответы на вопросы слушателей. Постановка исследовательской задачи на определение факторов модели, подверженных рискам, оценки рисков и определение способов интеграции рисков в финансовую модель</w:t>
            </w:r>
          </w:p>
          <w:p w:rsidR="0043770A" w:rsidRPr="00860952" w:rsidRDefault="0043770A" w:rsidP="0043770A">
            <w:pPr>
              <w:rPr>
                <w:lang w:val="ru-RU"/>
              </w:rPr>
            </w:pPr>
            <w:r>
              <w:rPr>
                <w:lang w:val="ru-RU"/>
              </w:rPr>
              <w:t xml:space="preserve">3 занятие: Проверка исследовательской задачи на определение факторов модели, подверженных рисков. Постановка исследовательской задачи на интеграцию рисков в финансовую модель с помощью специального приложения к </w:t>
            </w:r>
            <w:r>
              <w:t>Excel</w:t>
            </w:r>
            <w:r>
              <w:rPr>
                <w:lang w:val="ru-RU"/>
              </w:rPr>
              <w:t xml:space="preserve"> – </w:t>
            </w:r>
            <w:r w:rsidRPr="0043770A">
              <w:rPr>
                <w:lang w:val="ru-RU"/>
              </w:rPr>
              <w:t>@</w:t>
            </w:r>
            <w:r>
              <w:t>Risk</w:t>
            </w:r>
          </w:p>
          <w:p w:rsidR="0043770A" w:rsidRDefault="0043770A" w:rsidP="0043770A">
            <w:pPr>
              <w:rPr>
                <w:lang w:val="ru-RU"/>
              </w:rPr>
            </w:pPr>
            <w:r w:rsidRPr="0043770A">
              <w:rPr>
                <w:lang w:val="ru-RU"/>
              </w:rPr>
              <w:t>4 зан</w:t>
            </w:r>
            <w:r>
              <w:rPr>
                <w:lang w:val="ru-RU"/>
              </w:rPr>
              <w:t>ятие. Проверка получившейся риск-ориентированной модели бюджетирования и внесение в нее корректировок. Постановка задачи на интерпретацию результатов и подготовки финальной презентации</w:t>
            </w:r>
          </w:p>
          <w:p w:rsidR="0043770A" w:rsidRPr="0043770A" w:rsidRDefault="0043770A" w:rsidP="0043770A">
            <w:pPr>
              <w:rPr>
                <w:lang w:val="ru-RU"/>
              </w:rPr>
            </w:pPr>
            <w:r>
              <w:rPr>
                <w:lang w:val="ru-RU"/>
              </w:rPr>
              <w:t>5 занятие: Мини-группа презентует результаты работы по проекту Заказчику</w:t>
            </w:r>
          </w:p>
        </w:tc>
      </w:tr>
      <w:tr w:rsidR="00A67C51" w:rsidRPr="00CC450F" w:rsidTr="000B2D93">
        <w:tc>
          <w:tcPr>
            <w:tcW w:w="2196" w:type="dxa"/>
          </w:tcPr>
          <w:p w:rsidR="00A67C51" w:rsidRDefault="0043770A">
            <w:pPr>
              <w:rPr>
                <w:lang w:val="ru-RU"/>
              </w:rPr>
            </w:pPr>
            <w:r>
              <w:rPr>
                <w:lang w:val="ru-RU"/>
              </w:rPr>
              <w:t>Критерии качества реализации проекта</w:t>
            </w:r>
          </w:p>
        </w:tc>
        <w:tc>
          <w:tcPr>
            <w:tcW w:w="7483" w:type="dxa"/>
          </w:tcPr>
          <w:p w:rsidR="00A67C51" w:rsidRDefault="0043770A">
            <w:pPr>
              <w:rPr>
                <w:lang w:val="ru-RU"/>
              </w:rPr>
            </w:pPr>
            <w:r>
              <w:rPr>
                <w:lang w:val="ru-RU"/>
              </w:rPr>
              <w:t>Полнота охвата проблематики работы (2 балла)</w:t>
            </w:r>
          </w:p>
          <w:p w:rsidR="0043770A" w:rsidRDefault="0043770A">
            <w:pPr>
              <w:rPr>
                <w:lang w:val="ru-RU"/>
              </w:rPr>
            </w:pPr>
            <w:r>
              <w:rPr>
                <w:lang w:val="ru-RU"/>
              </w:rPr>
              <w:t>Участие всех членов группы в работе над проектом, эффективное разделение труда (1 балл)</w:t>
            </w:r>
          </w:p>
          <w:p w:rsidR="0043770A" w:rsidRDefault="0043770A">
            <w:pPr>
              <w:rPr>
                <w:lang w:val="ru-RU"/>
              </w:rPr>
            </w:pPr>
            <w:r>
              <w:rPr>
                <w:lang w:val="ru-RU"/>
              </w:rPr>
              <w:t>Адекватность применяемых технических знаний и инструментария (3 балла)</w:t>
            </w:r>
          </w:p>
          <w:p w:rsidR="0043770A" w:rsidRDefault="0043770A">
            <w:pPr>
              <w:rPr>
                <w:lang w:val="ru-RU"/>
              </w:rPr>
            </w:pPr>
            <w:r>
              <w:rPr>
                <w:lang w:val="ru-RU"/>
              </w:rPr>
              <w:t>Структурированность и понятность презентационных материалов (2 балла)</w:t>
            </w:r>
          </w:p>
          <w:p w:rsidR="0043770A" w:rsidRDefault="0043770A">
            <w:pPr>
              <w:rPr>
                <w:lang w:val="ru-RU"/>
              </w:rPr>
            </w:pPr>
            <w:r>
              <w:rPr>
                <w:lang w:val="ru-RU"/>
              </w:rPr>
              <w:t>Качество и структурированность финансовой модели (2 балла)</w:t>
            </w:r>
          </w:p>
          <w:p w:rsidR="0043770A" w:rsidRDefault="0043770A">
            <w:pPr>
              <w:rPr>
                <w:lang w:val="ru-RU"/>
              </w:rPr>
            </w:pPr>
            <w:r>
              <w:rPr>
                <w:lang w:val="ru-RU"/>
              </w:rPr>
              <w:t>Дополнительные баллы получит группа, которая внесет финансовую модель дополнительный функционал (например, расширит ее применимость для мониторинга финансовых ковенант)</w:t>
            </w:r>
          </w:p>
        </w:tc>
      </w:tr>
      <w:tr w:rsidR="00A67C51" w:rsidRPr="00CC450F" w:rsidTr="000B2D93">
        <w:tc>
          <w:tcPr>
            <w:tcW w:w="2196" w:type="dxa"/>
          </w:tcPr>
          <w:p w:rsidR="00A67C51" w:rsidRDefault="0043770A">
            <w:pPr>
              <w:rPr>
                <w:lang w:val="ru-RU"/>
              </w:rPr>
            </w:pPr>
            <w:r>
              <w:rPr>
                <w:lang w:val="ru-RU"/>
              </w:rPr>
              <w:t>Форма отчетности</w:t>
            </w:r>
          </w:p>
        </w:tc>
        <w:tc>
          <w:tcPr>
            <w:tcW w:w="7483" w:type="dxa"/>
          </w:tcPr>
          <w:p w:rsidR="00A67C51" w:rsidRPr="0043770A" w:rsidRDefault="0043770A">
            <w:pPr>
              <w:rPr>
                <w:lang w:val="ru-RU"/>
              </w:rPr>
            </w:pPr>
            <w:r>
              <w:rPr>
                <w:lang w:val="ru-RU"/>
              </w:rPr>
              <w:t>Финансовая модель (</w:t>
            </w:r>
            <w:r>
              <w:t>MS</w:t>
            </w:r>
            <w:r w:rsidRPr="0043770A">
              <w:rPr>
                <w:lang w:val="ru-RU"/>
              </w:rPr>
              <w:t xml:space="preserve"> </w:t>
            </w:r>
            <w:r>
              <w:t>Excel</w:t>
            </w:r>
            <w:r w:rsidRPr="0043770A">
              <w:rPr>
                <w:lang w:val="ru-RU"/>
              </w:rPr>
              <w:t>)</w:t>
            </w:r>
          </w:p>
          <w:p w:rsidR="0043770A" w:rsidRPr="0043770A" w:rsidRDefault="0043770A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Презентация результатов</w:t>
            </w:r>
          </w:p>
        </w:tc>
      </w:tr>
    </w:tbl>
    <w:p w:rsidR="00A67C51" w:rsidRPr="00A67C51" w:rsidRDefault="00A67C51">
      <w:pPr>
        <w:rPr>
          <w:lang w:val="ru-RU"/>
        </w:rPr>
      </w:pPr>
    </w:p>
    <w:sectPr w:rsidR="00A67C51" w:rsidRPr="00A67C5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A182B"/>
    <w:multiLevelType w:val="hybridMultilevel"/>
    <w:tmpl w:val="D32C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A7983"/>
    <w:multiLevelType w:val="hybridMultilevel"/>
    <w:tmpl w:val="B384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51"/>
    <w:rsid w:val="000B2D93"/>
    <w:rsid w:val="002857DC"/>
    <w:rsid w:val="0043770A"/>
    <w:rsid w:val="00612D3F"/>
    <w:rsid w:val="00860952"/>
    <w:rsid w:val="00A67C51"/>
    <w:rsid w:val="00BD289C"/>
    <w:rsid w:val="00CC450F"/>
    <w:rsid w:val="00F60CA5"/>
    <w:rsid w:val="00F8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DC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2857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002776" w:themeColor="accent1"/>
      <w:sz w:val="4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57DC"/>
    <w:pPr>
      <w:keepNext/>
      <w:keepLines/>
      <w:spacing w:before="240"/>
      <w:outlineLvl w:val="1"/>
    </w:pPr>
    <w:rPr>
      <w:rFonts w:eastAsiaTheme="majorEastAsia" w:cstheme="majorBidi"/>
      <w:b/>
      <w:bCs/>
      <w:color w:val="002776" w:themeColor="accent1"/>
      <w:sz w:val="28"/>
      <w:szCs w:val="26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2857DC"/>
    <w:pPr>
      <w:outlineLvl w:val="2"/>
    </w:pPr>
    <w:rPr>
      <w:color w:val="92D400" w:themeColor="accent2"/>
    </w:rPr>
  </w:style>
  <w:style w:type="paragraph" w:styleId="4">
    <w:name w:val="heading 4"/>
    <w:basedOn w:val="2"/>
    <w:next w:val="a"/>
    <w:link w:val="40"/>
    <w:uiPriority w:val="9"/>
    <w:semiHidden/>
    <w:unhideWhenUsed/>
    <w:qFormat/>
    <w:rsid w:val="002857DC"/>
    <w:pPr>
      <w:outlineLvl w:val="3"/>
    </w:pPr>
    <w:rPr>
      <w:color w:val="00A1DE" w:themeColor="accent3"/>
    </w:rPr>
  </w:style>
  <w:style w:type="paragraph" w:styleId="5">
    <w:name w:val="heading 5"/>
    <w:basedOn w:val="2"/>
    <w:next w:val="a"/>
    <w:link w:val="50"/>
    <w:uiPriority w:val="9"/>
    <w:semiHidden/>
    <w:unhideWhenUsed/>
    <w:qFormat/>
    <w:rsid w:val="002857DC"/>
    <w:pPr>
      <w:outlineLvl w:val="4"/>
    </w:pPr>
    <w:rPr>
      <w:b w:val="0"/>
      <w:color w:val="3C8A2E" w:themeColor="accent4"/>
    </w:rPr>
  </w:style>
  <w:style w:type="paragraph" w:styleId="6">
    <w:name w:val="heading 6"/>
    <w:basedOn w:val="2"/>
    <w:next w:val="a"/>
    <w:link w:val="60"/>
    <w:uiPriority w:val="9"/>
    <w:semiHidden/>
    <w:unhideWhenUsed/>
    <w:qFormat/>
    <w:rsid w:val="002857DC"/>
    <w:pPr>
      <w:outlineLvl w:val="5"/>
    </w:pPr>
    <w:rPr>
      <w:b w:val="0"/>
      <w:color w:val="72C7E7" w:themeColor="accent5"/>
    </w:rPr>
  </w:style>
  <w:style w:type="paragraph" w:styleId="7">
    <w:name w:val="heading 7"/>
    <w:basedOn w:val="2"/>
    <w:next w:val="a"/>
    <w:link w:val="70"/>
    <w:uiPriority w:val="9"/>
    <w:semiHidden/>
    <w:unhideWhenUsed/>
    <w:qFormat/>
    <w:rsid w:val="002857DC"/>
    <w:pPr>
      <w:outlineLvl w:val="6"/>
    </w:pPr>
    <w:rPr>
      <w:b w:val="0"/>
      <w:color w:val="C9DD03" w:themeColor="accent6"/>
    </w:rPr>
  </w:style>
  <w:style w:type="paragraph" w:styleId="8">
    <w:name w:val="heading 8"/>
    <w:basedOn w:val="2"/>
    <w:next w:val="a"/>
    <w:link w:val="80"/>
    <w:uiPriority w:val="9"/>
    <w:semiHidden/>
    <w:unhideWhenUsed/>
    <w:qFormat/>
    <w:rsid w:val="002857DC"/>
    <w:pPr>
      <w:outlineLvl w:val="7"/>
    </w:pPr>
    <w:rPr>
      <w:sz w:val="24"/>
    </w:rPr>
  </w:style>
  <w:style w:type="paragraph" w:styleId="9">
    <w:name w:val="heading 9"/>
    <w:basedOn w:val="2"/>
    <w:next w:val="a"/>
    <w:link w:val="90"/>
    <w:uiPriority w:val="9"/>
    <w:semiHidden/>
    <w:unhideWhenUsed/>
    <w:qFormat/>
    <w:rsid w:val="002857DC"/>
    <w:pPr>
      <w:outlineLvl w:val="8"/>
    </w:pPr>
    <w:rPr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7DC"/>
    <w:rPr>
      <w:rFonts w:asciiTheme="majorHAnsi" w:eastAsiaTheme="majorEastAsia" w:hAnsiTheme="majorHAnsi" w:cstheme="majorBidi"/>
      <w:bCs/>
      <w:color w:val="002776" w:themeColor="accent1"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57DC"/>
    <w:rPr>
      <w:rFonts w:eastAsiaTheme="majorEastAsia" w:cstheme="majorBidi"/>
      <w:b/>
      <w:bCs/>
      <w:color w:val="002776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57DC"/>
    <w:rPr>
      <w:rFonts w:eastAsiaTheme="majorEastAsia" w:cstheme="majorBidi"/>
      <w:b/>
      <w:bCs/>
      <w:color w:val="92D400" w:themeColor="accent2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857DC"/>
    <w:rPr>
      <w:rFonts w:eastAsiaTheme="majorEastAsia" w:cstheme="majorBidi"/>
      <w:b/>
      <w:bCs/>
      <w:color w:val="00A1DE" w:themeColor="accent3"/>
      <w:sz w:val="28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857DC"/>
    <w:rPr>
      <w:rFonts w:eastAsiaTheme="majorEastAsia" w:cstheme="majorBidi"/>
      <w:bCs/>
      <w:color w:val="3C8A2E" w:themeColor="accent4"/>
      <w:sz w:val="28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857DC"/>
    <w:rPr>
      <w:rFonts w:eastAsiaTheme="majorEastAsia" w:cstheme="majorBidi"/>
      <w:bCs/>
      <w:color w:val="72C7E7" w:themeColor="accent5"/>
      <w:sz w:val="28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2857DC"/>
    <w:rPr>
      <w:rFonts w:eastAsiaTheme="majorEastAsia" w:cstheme="majorBidi"/>
      <w:bCs/>
      <w:color w:val="C9DD03" w:themeColor="accent6"/>
      <w:sz w:val="28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2857DC"/>
    <w:rPr>
      <w:rFonts w:eastAsiaTheme="majorEastAsia" w:cstheme="majorBidi"/>
      <w:b/>
      <w:bCs/>
      <w:color w:val="002776" w:themeColor="accent1"/>
      <w:sz w:val="24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2857DC"/>
    <w:rPr>
      <w:rFonts w:eastAsiaTheme="majorEastAsia" w:cstheme="majorBidi"/>
      <w:b/>
      <w:bCs/>
      <w:szCs w:val="26"/>
    </w:rPr>
  </w:style>
  <w:style w:type="paragraph" w:styleId="a3">
    <w:name w:val="caption"/>
    <w:basedOn w:val="a"/>
    <w:next w:val="a"/>
    <w:uiPriority w:val="35"/>
    <w:semiHidden/>
    <w:unhideWhenUsed/>
    <w:qFormat/>
    <w:rsid w:val="002857DC"/>
    <w:pPr>
      <w:spacing w:after="200"/>
    </w:pPr>
    <w:rPr>
      <w:b/>
      <w:bCs/>
      <w:color w:val="002776" w:themeColor="accent1"/>
      <w:sz w:val="18"/>
      <w:szCs w:val="18"/>
    </w:rPr>
  </w:style>
  <w:style w:type="paragraph" w:styleId="a4">
    <w:name w:val="Title"/>
    <w:basedOn w:val="1"/>
    <w:next w:val="a"/>
    <w:link w:val="a5"/>
    <w:uiPriority w:val="10"/>
    <w:qFormat/>
    <w:rsid w:val="002857DC"/>
    <w:pPr>
      <w:spacing w:before="600"/>
    </w:pPr>
    <w:rPr>
      <w:sz w:val="56"/>
    </w:rPr>
  </w:style>
  <w:style w:type="character" w:customStyle="1" w:styleId="a5">
    <w:name w:val="Название Знак"/>
    <w:basedOn w:val="a0"/>
    <w:link w:val="a4"/>
    <w:uiPriority w:val="10"/>
    <w:rsid w:val="002857DC"/>
    <w:rPr>
      <w:rFonts w:asciiTheme="majorHAnsi" w:eastAsiaTheme="majorEastAsia" w:hAnsiTheme="majorHAnsi" w:cstheme="majorBidi"/>
      <w:bCs/>
      <w:color w:val="002776" w:themeColor="accent1"/>
      <w:sz w:val="56"/>
      <w:szCs w:val="28"/>
    </w:rPr>
  </w:style>
  <w:style w:type="paragraph" w:styleId="a6">
    <w:name w:val="Subtitle"/>
    <w:basedOn w:val="a4"/>
    <w:next w:val="a"/>
    <w:link w:val="a7"/>
    <w:uiPriority w:val="11"/>
    <w:qFormat/>
    <w:rsid w:val="002857DC"/>
    <w:pPr>
      <w:spacing w:before="0" w:after="600"/>
    </w:pPr>
    <w:rPr>
      <w:color w:val="92D400" w:themeColor="accent2"/>
    </w:rPr>
  </w:style>
  <w:style w:type="character" w:customStyle="1" w:styleId="a7">
    <w:name w:val="Подзаголовок Знак"/>
    <w:basedOn w:val="a0"/>
    <w:link w:val="a6"/>
    <w:uiPriority w:val="11"/>
    <w:rsid w:val="002857DC"/>
    <w:rPr>
      <w:rFonts w:asciiTheme="majorHAnsi" w:eastAsiaTheme="majorEastAsia" w:hAnsiTheme="majorHAnsi" w:cstheme="majorBidi"/>
      <w:bCs/>
      <w:color w:val="92D400" w:themeColor="accent2"/>
      <w:sz w:val="56"/>
      <w:szCs w:val="28"/>
    </w:rPr>
  </w:style>
  <w:style w:type="character" w:styleId="a8">
    <w:name w:val="Strong"/>
    <w:uiPriority w:val="22"/>
    <w:qFormat/>
    <w:rsid w:val="002857DC"/>
    <w:rPr>
      <w:b/>
    </w:rPr>
  </w:style>
  <w:style w:type="character" w:styleId="a9">
    <w:name w:val="Emphasis"/>
    <w:basedOn w:val="a0"/>
    <w:uiPriority w:val="20"/>
    <w:qFormat/>
    <w:rsid w:val="002857DC"/>
    <w:rPr>
      <w:i/>
      <w:iCs/>
    </w:rPr>
  </w:style>
  <w:style w:type="paragraph" w:styleId="aa">
    <w:name w:val="No Spacing"/>
    <w:basedOn w:val="a"/>
    <w:uiPriority w:val="1"/>
    <w:qFormat/>
    <w:rsid w:val="002857DC"/>
    <w:pPr>
      <w:spacing w:after="0"/>
    </w:pPr>
  </w:style>
  <w:style w:type="paragraph" w:styleId="ab">
    <w:name w:val="List Paragraph"/>
    <w:basedOn w:val="a"/>
    <w:uiPriority w:val="34"/>
    <w:qFormat/>
    <w:rsid w:val="002857DC"/>
    <w:pPr>
      <w:ind w:left="567"/>
      <w:contextualSpacing/>
    </w:pPr>
  </w:style>
  <w:style w:type="paragraph" w:styleId="21">
    <w:name w:val="Quote"/>
    <w:basedOn w:val="1"/>
    <w:link w:val="22"/>
    <w:uiPriority w:val="29"/>
    <w:qFormat/>
    <w:rsid w:val="002857DC"/>
    <w:pPr>
      <w:spacing w:before="360" w:after="360"/>
      <w:contextualSpacing/>
    </w:pPr>
    <w:rPr>
      <w:sz w:val="32"/>
    </w:rPr>
  </w:style>
  <w:style w:type="character" w:customStyle="1" w:styleId="22">
    <w:name w:val="Цитата 2 Знак"/>
    <w:basedOn w:val="a0"/>
    <w:link w:val="21"/>
    <w:uiPriority w:val="29"/>
    <w:rsid w:val="002857DC"/>
    <w:rPr>
      <w:rFonts w:asciiTheme="majorHAnsi" w:eastAsiaTheme="majorEastAsia" w:hAnsiTheme="majorHAnsi" w:cstheme="majorBidi"/>
      <w:bCs/>
      <w:color w:val="002776" w:themeColor="accent1"/>
      <w:sz w:val="32"/>
      <w:szCs w:val="28"/>
    </w:rPr>
  </w:style>
  <w:style w:type="paragraph" w:styleId="ac">
    <w:name w:val="Intense Quote"/>
    <w:basedOn w:val="21"/>
    <w:link w:val="ad"/>
    <w:uiPriority w:val="30"/>
    <w:qFormat/>
    <w:rsid w:val="002857DC"/>
    <w:rPr>
      <w:color w:val="92D400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857DC"/>
    <w:rPr>
      <w:rFonts w:asciiTheme="majorHAnsi" w:eastAsiaTheme="majorEastAsia" w:hAnsiTheme="majorHAnsi" w:cstheme="majorBidi"/>
      <w:bCs/>
      <w:color w:val="92D400" w:themeColor="accent2"/>
      <w:sz w:val="32"/>
      <w:szCs w:val="28"/>
    </w:rPr>
  </w:style>
  <w:style w:type="character" w:styleId="ae">
    <w:name w:val="Subtle Emphasis"/>
    <w:basedOn w:val="a0"/>
    <w:uiPriority w:val="19"/>
    <w:qFormat/>
    <w:rsid w:val="002857D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857DC"/>
    <w:rPr>
      <w:b/>
      <w:bCs/>
      <w:i/>
      <w:iCs/>
      <w:color w:val="002776" w:themeColor="accent1"/>
    </w:rPr>
  </w:style>
  <w:style w:type="character" w:styleId="af0">
    <w:name w:val="Subtle Reference"/>
    <w:basedOn w:val="a0"/>
    <w:uiPriority w:val="31"/>
    <w:qFormat/>
    <w:rsid w:val="002857DC"/>
    <w:rPr>
      <w:color w:val="92D400" w:themeColor="accent2"/>
      <w:u w:val="single"/>
    </w:rPr>
  </w:style>
  <w:style w:type="character" w:styleId="af1">
    <w:name w:val="Intense Reference"/>
    <w:basedOn w:val="a0"/>
    <w:uiPriority w:val="32"/>
    <w:qFormat/>
    <w:rsid w:val="002857DC"/>
    <w:rPr>
      <w:b/>
      <w:bCs/>
      <w:color w:val="92D400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857DC"/>
    <w:rPr>
      <w:b/>
      <w:b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857DC"/>
    <w:pPr>
      <w:spacing w:after="0"/>
      <w:outlineLvl w:val="9"/>
    </w:pPr>
    <w:rPr>
      <w:b/>
      <w:color w:val="001D58" w:themeColor="accent1" w:themeShade="BF"/>
      <w:sz w:val="28"/>
    </w:rPr>
  </w:style>
  <w:style w:type="table" w:styleId="af4">
    <w:name w:val="Table Grid"/>
    <w:basedOn w:val="a1"/>
    <w:uiPriority w:val="39"/>
    <w:rsid w:val="00A6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860952"/>
    <w:pPr>
      <w:spacing w:after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60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DC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2857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002776" w:themeColor="accent1"/>
      <w:sz w:val="4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57DC"/>
    <w:pPr>
      <w:keepNext/>
      <w:keepLines/>
      <w:spacing w:before="240"/>
      <w:outlineLvl w:val="1"/>
    </w:pPr>
    <w:rPr>
      <w:rFonts w:eastAsiaTheme="majorEastAsia" w:cstheme="majorBidi"/>
      <w:b/>
      <w:bCs/>
      <w:color w:val="002776" w:themeColor="accent1"/>
      <w:sz w:val="28"/>
      <w:szCs w:val="26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2857DC"/>
    <w:pPr>
      <w:outlineLvl w:val="2"/>
    </w:pPr>
    <w:rPr>
      <w:color w:val="92D400" w:themeColor="accent2"/>
    </w:rPr>
  </w:style>
  <w:style w:type="paragraph" w:styleId="4">
    <w:name w:val="heading 4"/>
    <w:basedOn w:val="2"/>
    <w:next w:val="a"/>
    <w:link w:val="40"/>
    <w:uiPriority w:val="9"/>
    <w:semiHidden/>
    <w:unhideWhenUsed/>
    <w:qFormat/>
    <w:rsid w:val="002857DC"/>
    <w:pPr>
      <w:outlineLvl w:val="3"/>
    </w:pPr>
    <w:rPr>
      <w:color w:val="00A1DE" w:themeColor="accent3"/>
    </w:rPr>
  </w:style>
  <w:style w:type="paragraph" w:styleId="5">
    <w:name w:val="heading 5"/>
    <w:basedOn w:val="2"/>
    <w:next w:val="a"/>
    <w:link w:val="50"/>
    <w:uiPriority w:val="9"/>
    <w:semiHidden/>
    <w:unhideWhenUsed/>
    <w:qFormat/>
    <w:rsid w:val="002857DC"/>
    <w:pPr>
      <w:outlineLvl w:val="4"/>
    </w:pPr>
    <w:rPr>
      <w:b w:val="0"/>
      <w:color w:val="3C8A2E" w:themeColor="accent4"/>
    </w:rPr>
  </w:style>
  <w:style w:type="paragraph" w:styleId="6">
    <w:name w:val="heading 6"/>
    <w:basedOn w:val="2"/>
    <w:next w:val="a"/>
    <w:link w:val="60"/>
    <w:uiPriority w:val="9"/>
    <w:semiHidden/>
    <w:unhideWhenUsed/>
    <w:qFormat/>
    <w:rsid w:val="002857DC"/>
    <w:pPr>
      <w:outlineLvl w:val="5"/>
    </w:pPr>
    <w:rPr>
      <w:b w:val="0"/>
      <w:color w:val="72C7E7" w:themeColor="accent5"/>
    </w:rPr>
  </w:style>
  <w:style w:type="paragraph" w:styleId="7">
    <w:name w:val="heading 7"/>
    <w:basedOn w:val="2"/>
    <w:next w:val="a"/>
    <w:link w:val="70"/>
    <w:uiPriority w:val="9"/>
    <w:semiHidden/>
    <w:unhideWhenUsed/>
    <w:qFormat/>
    <w:rsid w:val="002857DC"/>
    <w:pPr>
      <w:outlineLvl w:val="6"/>
    </w:pPr>
    <w:rPr>
      <w:b w:val="0"/>
      <w:color w:val="C9DD03" w:themeColor="accent6"/>
    </w:rPr>
  </w:style>
  <w:style w:type="paragraph" w:styleId="8">
    <w:name w:val="heading 8"/>
    <w:basedOn w:val="2"/>
    <w:next w:val="a"/>
    <w:link w:val="80"/>
    <w:uiPriority w:val="9"/>
    <w:semiHidden/>
    <w:unhideWhenUsed/>
    <w:qFormat/>
    <w:rsid w:val="002857DC"/>
    <w:pPr>
      <w:outlineLvl w:val="7"/>
    </w:pPr>
    <w:rPr>
      <w:sz w:val="24"/>
    </w:rPr>
  </w:style>
  <w:style w:type="paragraph" w:styleId="9">
    <w:name w:val="heading 9"/>
    <w:basedOn w:val="2"/>
    <w:next w:val="a"/>
    <w:link w:val="90"/>
    <w:uiPriority w:val="9"/>
    <w:semiHidden/>
    <w:unhideWhenUsed/>
    <w:qFormat/>
    <w:rsid w:val="002857DC"/>
    <w:pPr>
      <w:outlineLvl w:val="8"/>
    </w:pPr>
    <w:rPr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7DC"/>
    <w:rPr>
      <w:rFonts w:asciiTheme="majorHAnsi" w:eastAsiaTheme="majorEastAsia" w:hAnsiTheme="majorHAnsi" w:cstheme="majorBidi"/>
      <w:bCs/>
      <w:color w:val="002776" w:themeColor="accent1"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57DC"/>
    <w:rPr>
      <w:rFonts w:eastAsiaTheme="majorEastAsia" w:cstheme="majorBidi"/>
      <w:b/>
      <w:bCs/>
      <w:color w:val="002776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57DC"/>
    <w:rPr>
      <w:rFonts w:eastAsiaTheme="majorEastAsia" w:cstheme="majorBidi"/>
      <w:b/>
      <w:bCs/>
      <w:color w:val="92D400" w:themeColor="accent2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857DC"/>
    <w:rPr>
      <w:rFonts w:eastAsiaTheme="majorEastAsia" w:cstheme="majorBidi"/>
      <w:b/>
      <w:bCs/>
      <w:color w:val="00A1DE" w:themeColor="accent3"/>
      <w:sz w:val="28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857DC"/>
    <w:rPr>
      <w:rFonts w:eastAsiaTheme="majorEastAsia" w:cstheme="majorBidi"/>
      <w:bCs/>
      <w:color w:val="3C8A2E" w:themeColor="accent4"/>
      <w:sz w:val="28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857DC"/>
    <w:rPr>
      <w:rFonts w:eastAsiaTheme="majorEastAsia" w:cstheme="majorBidi"/>
      <w:bCs/>
      <w:color w:val="72C7E7" w:themeColor="accent5"/>
      <w:sz w:val="28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2857DC"/>
    <w:rPr>
      <w:rFonts w:eastAsiaTheme="majorEastAsia" w:cstheme="majorBidi"/>
      <w:bCs/>
      <w:color w:val="C9DD03" w:themeColor="accent6"/>
      <w:sz w:val="28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2857DC"/>
    <w:rPr>
      <w:rFonts w:eastAsiaTheme="majorEastAsia" w:cstheme="majorBidi"/>
      <w:b/>
      <w:bCs/>
      <w:color w:val="002776" w:themeColor="accent1"/>
      <w:sz w:val="24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2857DC"/>
    <w:rPr>
      <w:rFonts w:eastAsiaTheme="majorEastAsia" w:cstheme="majorBidi"/>
      <w:b/>
      <w:bCs/>
      <w:szCs w:val="26"/>
    </w:rPr>
  </w:style>
  <w:style w:type="paragraph" w:styleId="a3">
    <w:name w:val="caption"/>
    <w:basedOn w:val="a"/>
    <w:next w:val="a"/>
    <w:uiPriority w:val="35"/>
    <w:semiHidden/>
    <w:unhideWhenUsed/>
    <w:qFormat/>
    <w:rsid w:val="002857DC"/>
    <w:pPr>
      <w:spacing w:after="200"/>
    </w:pPr>
    <w:rPr>
      <w:b/>
      <w:bCs/>
      <w:color w:val="002776" w:themeColor="accent1"/>
      <w:sz w:val="18"/>
      <w:szCs w:val="18"/>
    </w:rPr>
  </w:style>
  <w:style w:type="paragraph" w:styleId="a4">
    <w:name w:val="Title"/>
    <w:basedOn w:val="1"/>
    <w:next w:val="a"/>
    <w:link w:val="a5"/>
    <w:uiPriority w:val="10"/>
    <w:qFormat/>
    <w:rsid w:val="002857DC"/>
    <w:pPr>
      <w:spacing w:before="600"/>
    </w:pPr>
    <w:rPr>
      <w:sz w:val="56"/>
    </w:rPr>
  </w:style>
  <w:style w:type="character" w:customStyle="1" w:styleId="a5">
    <w:name w:val="Название Знак"/>
    <w:basedOn w:val="a0"/>
    <w:link w:val="a4"/>
    <w:uiPriority w:val="10"/>
    <w:rsid w:val="002857DC"/>
    <w:rPr>
      <w:rFonts w:asciiTheme="majorHAnsi" w:eastAsiaTheme="majorEastAsia" w:hAnsiTheme="majorHAnsi" w:cstheme="majorBidi"/>
      <w:bCs/>
      <w:color w:val="002776" w:themeColor="accent1"/>
      <w:sz w:val="56"/>
      <w:szCs w:val="28"/>
    </w:rPr>
  </w:style>
  <w:style w:type="paragraph" w:styleId="a6">
    <w:name w:val="Subtitle"/>
    <w:basedOn w:val="a4"/>
    <w:next w:val="a"/>
    <w:link w:val="a7"/>
    <w:uiPriority w:val="11"/>
    <w:qFormat/>
    <w:rsid w:val="002857DC"/>
    <w:pPr>
      <w:spacing w:before="0" w:after="600"/>
    </w:pPr>
    <w:rPr>
      <w:color w:val="92D400" w:themeColor="accent2"/>
    </w:rPr>
  </w:style>
  <w:style w:type="character" w:customStyle="1" w:styleId="a7">
    <w:name w:val="Подзаголовок Знак"/>
    <w:basedOn w:val="a0"/>
    <w:link w:val="a6"/>
    <w:uiPriority w:val="11"/>
    <w:rsid w:val="002857DC"/>
    <w:rPr>
      <w:rFonts w:asciiTheme="majorHAnsi" w:eastAsiaTheme="majorEastAsia" w:hAnsiTheme="majorHAnsi" w:cstheme="majorBidi"/>
      <w:bCs/>
      <w:color w:val="92D400" w:themeColor="accent2"/>
      <w:sz w:val="56"/>
      <w:szCs w:val="28"/>
    </w:rPr>
  </w:style>
  <w:style w:type="character" w:styleId="a8">
    <w:name w:val="Strong"/>
    <w:uiPriority w:val="22"/>
    <w:qFormat/>
    <w:rsid w:val="002857DC"/>
    <w:rPr>
      <w:b/>
    </w:rPr>
  </w:style>
  <w:style w:type="character" w:styleId="a9">
    <w:name w:val="Emphasis"/>
    <w:basedOn w:val="a0"/>
    <w:uiPriority w:val="20"/>
    <w:qFormat/>
    <w:rsid w:val="002857DC"/>
    <w:rPr>
      <w:i/>
      <w:iCs/>
    </w:rPr>
  </w:style>
  <w:style w:type="paragraph" w:styleId="aa">
    <w:name w:val="No Spacing"/>
    <w:basedOn w:val="a"/>
    <w:uiPriority w:val="1"/>
    <w:qFormat/>
    <w:rsid w:val="002857DC"/>
    <w:pPr>
      <w:spacing w:after="0"/>
    </w:pPr>
  </w:style>
  <w:style w:type="paragraph" w:styleId="ab">
    <w:name w:val="List Paragraph"/>
    <w:basedOn w:val="a"/>
    <w:uiPriority w:val="34"/>
    <w:qFormat/>
    <w:rsid w:val="002857DC"/>
    <w:pPr>
      <w:ind w:left="567"/>
      <w:contextualSpacing/>
    </w:pPr>
  </w:style>
  <w:style w:type="paragraph" w:styleId="21">
    <w:name w:val="Quote"/>
    <w:basedOn w:val="1"/>
    <w:link w:val="22"/>
    <w:uiPriority w:val="29"/>
    <w:qFormat/>
    <w:rsid w:val="002857DC"/>
    <w:pPr>
      <w:spacing w:before="360" w:after="360"/>
      <w:contextualSpacing/>
    </w:pPr>
    <w:rPr>
      <w:sz w:val="32"/>
    </w:rPr>
  </w:style>
  <w:style w:type="character" w:customStyle="1" w:styleId="22">
    <w:name w:val="Цитата 2 Знак"/>
    <w:basedOn w:val="a0"/>
    <w:link w:val="21"/>
    <w:uiPriority w:val="29"/>
    <w:rsid w:val="002857DC"/>
    <w:rPr>
      <w:rFonts w:asciiTheme="majorHAnsi" w:eastAsiaTheme="majorEastAsia" w:hAnsiTheme="majorHAnsi" w:cstheme="majorBidi"/>
      <w:bCs/>
      <w:color w:val="002776" w:themeColor="accent1"/>
      <w:sz w:val="32"/>
      <w:szCs w:val="28"/>
    </w:rPr>
  </w:style>
  <w:style w:type="paragraph" w:styleId="ac">
    <w:name w:val="Intense Quote"/>
    <w:basedOn w:val="21"/>
    <w:link w:val="ad"/>
    <w:uiPriority w:val="30"/>
    <w:qFormat/>
    <w:rsid w:val="002857DC"/>
    <w:rPr>
      <w:color w:val="92D400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857DC"/>
    <w:rPr>
      <w:rFonts w:asciiTheme="majorHAnsi" w:eastAsiaTheme="majorEastAsia" w:hAnsiTheme="majorHAnsi" w:cstheme="majorBidi"/>
      <w:bCs/>
      <w:color w:val="92D400" w:themeColor="accent2"/>
      <w:sz w:val="32"/>
      <w:szCs w:val="28"/>
    </w:rPr>
  </w:style>
  <w:style w:type="character" w:styleId="ae">
    <w:name w:val="Subtle Emphasis"/>
    <w:basedOn w:val="a0"/>
    <w:uiPriority w:val="19"/>
    <w:qFormat/>
    <w:rsid w:val="002857D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857DC"/>
    <w:rPr>
      <w:b/>
      <w:bCs/>
      <w:i/>
      <w:iCs/>
      <w:color w:val="002776" w:themeColor="accent1"/>
    </w:rPr>
  </w:style>
  <w:style w:type="character" w:styleId="af0">
    <w:name w:val="Subtle Reference"/>
    <w:basedOn w:val="a0"/>
    <w:uiPriority w:val="31"/>
    <w:qFormat/>
    <w:rsid w:val="002857DC"/>
    <w:rPr>
      <w:color w:val="92D400" w:themeColor="accent2"/>
      <w:u w:val="single"/>
    </w:rPr>
  </w:style>
  <w:style w:type="character" w:styleId="af1">
    <w:name w:val="Intense Reference"/>
    <w:basedOn w:val="a0"/>
    <w:uiPriority w:val="32"/>
    <w:qFormat/>
    <w:rsid w:val="002857DC"/>
    <w:rPr>
      <w:b/>
      <w:bCs/>
      <w:color w:val="92D400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857DC"/>
    <w:rPr>
      <w:b/>
      <w:b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857DC"/>
    <w:pPr>
      <w:spacing w:after="0"/>
      <w:outlineLvl w:val="9"/>
    </w:pPr>
    <w:rPr>
      <w:b/>
      <w:color w:val="001D58" w:themeColor="accent1" w:themeShade="BF"/>
      <w:sz w:val="28"/>
    </w:rPr>
  </w:style>
  <w:style w:type="table" w:styleId="af4">
    <w:name w:val="Table Grid"/>
    <w:basedOn w:val="a1"/>
    <w:uiPriority w:val="39"/>
    <w:rsid w:val="00A6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860952"/>
    <w:pPr>
      <w:spacing w:after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60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loitte">
  <a:themeElements>
    <a:clrScheme name="Deloitte">
      <a:dk1>
        <a:srgbClr val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3C8A2E"/>
      </a:accent4>
      <a:accent5>
        <a:srgbClr val="72C7E7"/>
      </a:accent5>
      <a:accent6>
        <a:srgbClr val="C9DD03"/>
      </a:accent6>
      <a:hlink>
        <a:srgbClr val="00A1DE"/>
      </a:hlink>
      <a:folHlink>
        <a:srgbClr val="72C7E7"/>
      </a:folHlink>
    </a:clrScheme>
    <a:fontScheme name="19_Blan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Grishunin</dc:creator>
  <cp:keywords/>
  <dc:description/>
  <cp:lastModifiedBy>Сгибнева Мария Викторовна</cp:lastModifiedBy>
  <cp:revision>5</cp:revision>
  <dcterms:created xsi:type="dcterms:W3CDTF">2018-09-06T14:48:00Z</dcterms:created>
  <dcterms:modified xsi:type="dcterms:W3CDTF">2018-09-10T08:27:00Z</dcterms:modified>
</cp:coreProperties>
</file>