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B" w:rsidRPr="00221438" w:rsidRDefault="00043D3B" w:rsidP="00043D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NRU HSE-20</w:t>
      </w:r>
      <w:r w:rsidR="00A77353" w:rsidRPr="00221438">
        <w:rPr>
          <w:b/>
          <w:sz w:val="22"/>
          <w:szCs w:val="22"/>
          <w:u w:val="single"/>
        </w:rPr>
        <w:t>20</w:t>
      </w:r>
      <w:r w:rsidRPr="00C7282A">
        <w:rPr>
          <w:b/>
          <w:sz w:val="22"/>
          <w:szCs w:val="22"/>
          <w:u w:val="single"/>
        </w:rPr>
        <w:t>, Microeconomics</w:t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E12D5F" w:rsidRPr="00E12D5F">
        <w:rPr>
          <w:b/>
          <w:sz w:val="22"/>
          <w:szCs w:val="22"/>
          <w:u w:val="single"/>
        </w:rPr>
        <w:tab/>
      </w:r>
      <w:r w:rsidR="00E12D5F" w:rsidRPr="002D72C8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>Class</w:t>
      </w:r>
      <w:r>
        <w:rPr>
          <w:b/>
          <w:sz w:val="22"/>
          <w:szCs w:val="22"/>
          <w:u w:val="single"/>
        </w:rPr>
        <w:t>-</w:t>
      </w:r>
      <w:r w:rsidR="00A77353" w:rsidRPr="00221438">
        <w:rPr>
          <w:b/>
          <w:sz w:val="22"/>
          <w:szCs w:val="22"/>
          <w:u w:val="single"/>
        </w:rPr>
        <w:t>11</w:t>
      </w:r>
    </w:p>
    <w:p w:rsidR="00043D3B" w:rsidRPr="00BC6B80" w:rsidRDefault="00043D3B" w:rsidP="00043D3B">
      <w:pPr>
        <w:jc w:val="both"/>
        <w:rPr>
          <w:u w:val="single"/>
        </w:rPr>
      </w:pPr>
    </w:p>
    <w:p w:rsidR="00043D3B" w:rsidRPr="00043D3B" w:rsidRDefault="004D265D" w:rsidP="00043D3B">
      <w:pPr>
        <w:pStyle w:val="1"/>
        <w:rPr>
          <w:sz w:val="22"/>
          <w:szCs w:val="22"/>
        </w:rPr>
      </w:pPr>
      <w:r>
        <w:rPr>
          <w:sz w:val="22"/>
          <w:szCs w:val="22"/>
        </w:rPr>
        <w:t>Game theory</w:t>
      </w:r>
      <w:r w:rsidR="00C61EBC">
        <w:rPr>
          <w:sz w:val="22"/>
          <w:szCs w:val="22"/>
        </w:rPr>
        <w:t xml:space="preserve"> and Strategic interactions</w:t>
      </w:r>
    </w:p>
    <w:p w:rsidR="00043D3B" w:rsidRDefault="00043D3B" w:rsidP="00043D3B">
      <w:pPr>
        <w:pStyle w:val="1"/>
        <w:jc w:val="left"/>
        <w:rPr>
          <w:sz w:val="22"/>
          <w:szCs w:val="22"/>
        </w:rPr>
      </w:pPr>
    </w:p>
    <w:p w:rsidR="004D265D" w:rsidRPr="0097280E" w:rsidRDefault="00B33CDB" w:rsidP="000A3351">
      <w:pPr>
        <w:autoSpaceDE w:val="0"/>
        <w:autoSpaceDN w:val="0"/>
        <w:adjustRightInd w:val="0"/>
        <w:jc w:val="both"/>
        <w:rPr>
          <w:rFonts w:asciiTheme="minorHAnsi" w:hAnsiTheme="minorHAnsi" w:cs="CMR10"/>
          <w:sz w:val="22"/>
          <w:szCs w:val="22"/>
          <w:lang w:eastAsia="ru-RU"/>
        </w:rPr>
      </w:pPr>
      <w:r w:rsidRPr="0097280E">
        <w:rPr>
          <w:rFonts w:asciiTheme="minorHAnsi" w:hAnsiTheme="minorHAnsi" w:cs="T11"/>
          <w:b/>
          <w:sz w:val="22"/>
          <w:szCs w:val="22"/>
          <w:lang w:eastAsia="ru-RU"/>
        </w:rPr>
        <w:t>1</w:t>
      </w:r>
      <w:r w:rsidR="00D15320" w:rsidRPr="0097280E">
        <w:rPr>
          <w:rFonts w:asciiTheme="minorHAnsi" w:hAnsiTheme="minorHAnsi" w:cs="T11"/>
          <w:b/>
          <w:sz w:val="22"/>
          <w:szCs w:val="22"/>
          <w:lang w:eastAsia="ru-RU"/>
        </w:rPr>
        <w:t>.</w:t>
      </w:r>
      <w:r w:rsidR="00D15320" w:rsidRPr="0097280E">
        <w:rPr>
          <w:rFonts w:asciiTheme="minorHAnsi" w:hAnsiTheme="minorHAnsi" w:cs="T11"/>
          <w:sz w:val="22"/>
          <w:szCs w:val="22"/>
          <w:lang w:eastAsia="ru-RU"/>
        </w:rPr>
        <w:t xml:space="preserve"> </w:t>
      </w:r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There are two risk-neutral workers and two jobs. One job offers wage </w:t>
      </w:r>
      <w:r w:rsidR="004D265D" w:rsidRPr="0097280E">
        <w:rPr>
          <w:rFonts w:asciiTheme="minorHAnsi" w:hAnsiTheme="minorHAnsi"/>
          <w:position w:val="-10"/>
          <w:sz w:val="22"/>
          <w:szCs w:val="22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25pt" o:ole="">
            <v:imagedata r:id="rId9" o:title=""/>
          </v:shape>
          <o:OLEObject Type="Embed" ProgID="Equation.3" ShapeID="_x0000_i1025" DrawAspect="Content" ObjectID="_1666818195" r:id="rId10"/>
        </w:object>
      </w:r>
      <w:r w:rsidR="00E27C1D" w:rsidRPr="0097280E">
        <w:rPr>
          <w:rFonts w:asciiTheme="minorHAnsi" w:hAnsiTheme="minorHAnsi"/>
          <w:sz w:val="22"/>
          <w:szCs w:val="22"/>
        </w:rPr>
        <w:t>=10</w:t>
      </w:r>
      <w:r w:rsidR="004D265D" w:rsidRPr="0097280E">
        <w:rPr>
          <w:rFonts w:asciiTheme="minorHAnsi" w:hAnsiTheme="minorHAnsi" w:cs="CMR8"/>
          <w:sz w:val="22"/>
          <w:szCs w:val="22"/>
          <w:lang w:eastAsia="ru-RU"/>
        </w:rPr>
        <w:t xml:space="preserve"> </w:t>
      </w:r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and the other offers wage </w:t>
      </w:r>
      <w:r w:rsidR="004D265D" w:rsidRPr="0097280E">
        <w:rPr>
          <w:rFonts w:asciiTheme="minorHAnsi" w:hAnsiTheme="minorHAnsi"/>
          <w:position w:val="-10"/>
          <w:sz w:val="22"/>
          <w:szCs w:val="22"/>
        </w:rPr>
        <w:object w:dxaOrig="360" w:dyaOrig="340">
          <v:shape id="_x0000_i1026" type="#_x0000_t75" style="width:18pt;height:17.25pt" o:ole="">
            <v:imagedata r:id="rId11" o:title=""/>
          </v:shape>
          <o:OLEObject Type="Embed" ProgID="Equation.3" ShapeID="_x0000_i1026" DrawAspect="Content" ObjectID="_1666818196" r:id="rId12"/>
        </w:object>
      </w:r>
      <w:r w:rsidR="00E27C1D" w:rsidRPr="0097280E">
        <w:rPr>
          <w:rFonts w:asciiTheme="minorHAnsi" w:hAnsiTheme="minorHAnsi"/>
          <w:sz w:val="22"/>
          <w:szCs w:val="22"/>
        </w:rPr>
        <w:t>=6.</w:t>
      </w:r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 Worker </w:t>
      </w:r>
      <w:proofErr w:type="gramStart"/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>A</w:t>
      </w:r>
      <w:proofErr w:type="gramEnd"/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 first decides which job to apply to. Then worker B observes worker A’s choice and makes h</w:t>
      </w:r>
      <w:r w:rsidR="00221438" w:rsidRPr="0097280E">
        <w:rPr>
          <w:rFonts w:asciiTheme="minorHAnsi" w:hAnsiTheme="minorHAnsi" w:cs="CMR10"/>
          <w:sz w:val="22"/>
          <w:szCs w:val="22"/>
          <w:lang w:eastAsia="ru-RU"/>
        </w:rPr>
        <w:t>er</w:t>
      </w:r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 decision. If there is one applicant for a job, </w:t>
      </w:r>
      <w:r w:rsidR="00221438" w:rsidRPr="0097280E">
        <w:rPr>
          <w:rFonts w:asciiTheme="minorHAnsi" w:hAnsiTheme="minorHAnsi" w:cs="CMR10"/>
          <w:sz w:val="22"/>
          <w:szCs w:val="22"/>
          <w:lang w:eastAsia="ru-RU"/>
        </w:rPr>
        <w:t>s</w:t>
      </w:r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he is employed and receives the associated wage. If both workers apply to same job, then the firm randomly chooses between the two applicants, and the other is unemployed at wage </w:t>
      </w:r>
      <w:r w:rsidR="00D74B4F" w:rsidRPr="0097280E">
        <w:rPr>
          <w:rFonts w:asciiTheme="minorHAnsi" w:hAnsiTheme="minorHAnsi" w:cs="CMR10"/>
          <w:sz w:val="22"/>
          <w:szCs w:val="22"/>
          <w:lang w:eastAsia="ru-RU"/>
        </w:rPr>
        <w:t>0</w:t>
      </w:r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>.</w:t>
      </w:r>
    </w:p>
    <w:p w:rsidR="004D265D" w:rsidRPr="0097280E" w:rsidRDefault="004D265D" w:rsidP="00E27C1D">
      <w:pPr>
        <w:autoSpaceDE w:val="0"/>
        <w:autoSpaceDN w:val="0"/>
        <w:adjustRightInd w:val="0"/>
        <w:ind w:left="284"/>
        <w:rPr>
          <w:rFonts w:asciiTheme="minorHAnsi" w:hAnsiTheme="minorHAnsi" w:cs="CMR10"/>
          <w:sz w:val="22"/>
          <w:szCs w:val="22"/>
          <w:lang w:eastAsia="ru-RU"/>
        </w:rPr>
      </w:pPr>
      <w:r w:rsidRPr="0097280E">
        <w:rPr>
          <w:rFonts w:asciiTheme="minorHAnsi" w:hAnsiTheme="minorHAnsi" w:cs="CMR10"/>
          <w:b/>
          <w:sz w:val="22"/>
          <w:szCs w:val="22"/>
          <w:lang w:eastAsia="ru-RU"/>
        </w:rPr>
        <w:t>(i)</w:t>
      </w:r>
      <w:r w:rsidRPr="0097280E">
        <w:rPr>
          <w:rFonts w:asciiTheme="minorHAnsi" w:hAnsiTheme="minorHAnsi" w:cs="CMR10"/>
          <w:sz w:val="22"/>
          <w:szCs w:val="22"/>
          <w:lang w:eastAsia="ru-RU"/>
        </w:rPr>
        <w:t xml:space="preserve"> Draw the extensive form of this game. </w:t>
      </w:r>
    </w:p>
    <w:p w:rsidR="00E27C1D" w:rsidRPr="0097280E" w:rsidRDefault="00E27C1D" w:rsidP="00E27C1D">
      <w:pPr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eastAsia="ru-RU"/>
        </w:rPr>
      </w:pPr>
      <w:r w:rsidRPr="0097280E">
        <w:rPr>
          <w:rFonts w:asciiTheme="minorHAnsi" w:hAnsiTheme="minorHAnsi"/>
          <w:b/>
          <w:sz w:val="22"/>
          <w:szCs w:val="22"/>
          <w:lang w:eastAsia="ru-RU"/>
        </w:rPr>
        <w:t>(ii)</w:t>
      </w:r>
      <w:r w:rsidRPr="0097280E">
        <w:rPr>
          <w:rFonts w:asciiTheme="minorHAnsi" w:hAnsiTheme="minorHAnsi"/>
          <w:sz w:val="22"/>
          <w:szCs w:val="22"/>
          <w:lang w:eastAsia="ru-RU"/>
        </w:rPr>
        <w:t xml:space="preserve"> </w:t>
      </w:r>
      <w:r w:rsidRPr="0097280E">
        <w:rPr>
          <w:rFonts w:asciiTheme="minorHAnsi" w:hAnsiTheme="minorHAnsi"/>
          <w:bCs/>
          <w:sz w:val="22"/>
          <w:szCs w:val="22"/>
          <w:lang w:eastAsia="ru-RU"/>
        </w:rPr>
        <w:t>Identify actions and strategies for each player.</w:t>
      </w:r>
    </w:p>
    <w:p w:rsidR="004D265D" w:rsidRPr="0097280E" w:rsidRDefault="004D265D" w:rsidP="00E27C1D">
      <w:pPr>
        <w:autoSpaceDE w:val="0"/>
        <w:autoSpaceDN w:val="0"/>
        <w:adjustRightInd w:val="0"/>
        <w:ind w:left="284"/>
        <w:rPr>
          <w:rFonts w:asciiTheme="minorHAnsi" w:hAnsiTheme="minorHAnsi" w:cs="CMR10"/>
          <w:sz w:val="22"/>
          <w:szCs w:val="22"/>
          <w:lang w:eastAsia="ru-RU"/>
        </w:rPr>
      </w:pPr>
      <w:r w:rsidRPr="0097280E">
        <w:rPr>
          <w:rFonts w:asciiTheme="minorHAnsi" w:hAnsiTheme="minorHAnsi" w:cs="CMR10"/>
          <w:b/>
          <w:sz w:val="22"/>
          <w:szCs w:val="22"/>
          <w:lang w:eastAsia="ru-RU"/>
        </w:rPr>
        <w:t>(i</w:t>
      </w:r>
      <w:r w:rsidR="00E27C1D" w:rsidRPr="0097280E">
        <w:rPr>
          <w:rFonts w:asciiTheme="minorHAnsi" w:hAnsiTheme="minorHAnsi" w:cs="CMR10"/>
          <w:b/>
          <w:sz w:val="22"/>
          <w:szCs w:val="22"/>
          <w:lang w:eastAsia="ru-RU"/>
        </w:rPr>
        <w:t>i</w:t>
      </w:r>
      <w:r w:rsidRPr="0097280E">
        <w:rPr>
          <w:rFonts w:asciiTheme="minorHAnsi" w:hAnsiTheme="minorHAnsi" w:cs="CMR10"/>
          <w:b/>
          <w:sz w:val="22"/>
          <w:szCs w:val="22"/>
          <w:lang w:eastAsia="ru-RU"/>
        </w:rPr>
        <w:t>i)</w:t>
      </w:r>
      <w:r w:rsidRPr="0097280E">
        <w:rPr>
          <w:rFonts w:asciiTheme="minorHAnsi" w:hAnsiTheme="minorHAnsi" w:cs="CMR10"/>
          <w:sz w:val="22"/>
          <w:szCs w:val="22"/>
          <w:lang w:eastAsia="ru-RU"/>
        </w:rPr>
        <w:t xml:space="preserve"> Write down the normal form for this game and find all pure strategy Nash-equilibria.</w:t>
      </w:r>
    </w:p>
    <w:p w:rsidR="004D265D" w:rsidRPr="0097280E" w:rsidRDefault="00E27C1D" w:rsidP="00E27C1D">
      <w:pPr>
        <w:autoSpaceDE w:val="0"/>
        <w:autoSpaceDN w:val="0"/>
        <w:adjustRightInd w:val="0"/>
        <w:ind w:left="284"/>
        <w:rPr>
          <w:rFonts w:asciiTheme="minorHAnsi" w:hAnsiTheme="minorHAnsi" w:cs="CMR10"/>
          <w:sz w:val="22"/>
          <w:szCs w:val="22"/>
          <w:lang w:eastAsia="ru-RU"/>
        </w:rPr>
      </w:pPr>
      <w:proofErr w:type="gramStart"/>
      <w:r w:rsidRPr="0097280E">
        <w:rPr>
          <w:rFonts w:asciiTheme="minorHAnsi" w:hAnsiTheme="minorHAnsi" w:cs="CMR10"/>
          <w:b/>
          <w:sz w:val="22"/>
          <w:szCs w:val="22"/>
          <w:lang w:eastAsia="ru-RU"/>
        </w:rPr>
        <w:t>(iv</w:t>
      </w:r>
      <w:r w:rsidR="004D265D" w:rsidRPr="0097280E">
        <w:rPr>
          <w:rFonts w:asciiTheme="minorHAnsi" w:hAnsiTheme="minorHAnsi" w:cs="CMR10"/>
          <w:b/>
          <w:sz w:val="22"/>
          <w:szCs w:val="22"/>
          <w:lang w:eastAsia="ru-RU"/>
        </w:rPr>
        <w:t>)</w:t>
      </w:r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 Now</w:t>
      </w:r>
      <w:proofErr w:type="gramEnd"/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 find the subgame perfect Nash equilibria. Explain carefully why some of the NE </w:t>
      </w:r>
      <w:proofErr w:type="gramStart"/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>are</w:t>
      </w:r>
      <w:proofErr w:type="gramEnd"/>
      <w:r w:rsidR="004D265D" w:rsidRPr="0097280E">
        <w:rPr>
          <w:rFonts w:asciiTheme="minorHAnsi" w:hAnsiTheme="minorHAnsi" w:cs="CMR10"/>
          <w:sz w:val="22"/>
          <w:szCs w:val="22"/>
          <w:lang w:eastAsia="ru-RU"/>
        </w:rPr>
        <w:t xml:space="preserve"> not subgame perfect.</w:t>
      </w:r>
    </w:p>
    <w:p w:rsidR="0081380F" w:rsidRPr="0097280E" w:rsidRDefault="0081380F" w:rsidP="0081380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ru-RU"/>
        </w:rPr>
      </w:pPr>
    </w:p>
    <w:p w:rsidR="0097280E" w:rsidRPr="0097280E" w:rsidRDefault="0097280E" w:rsidP="0097280E">
      <w:pPr>
        <w:autoSpaceDE w:val="0"/>
        <w:autoSpaceDN w:val="0"/>
        <w:adjustRightInd w:val="0"/>
        <w:spacing w:before="80"/>
        <w:rPr>
          <w:rFonts w:ascii="Calibri" w:hAnsi="Calibri" w:cs="URWPalladioL-Bold"/>
          <w:bCs/>
          <w:sz w:val="22"/>
          <w:szCs w:val="22"/>
        </w:rPr>
      </w:pPr>
      <w:r w:rsidRPr="0097280E">
        <w:rPr>
          <w:rFonts w:cs="URWPalladioL-Bold"/>
          <w:b/>
          <w:bCs/>
          <w:noProof/>
          <w:sz w:val="22"/>
          <w:szCs w:val="22"/>
          <w:lang w:val="ru-RU"/>
        </w:rPr>
        <w:pict>
          <v:group id="_x0000_s1050" editas="canvas" style="position:absolute;margin-left:9.45pt;margin-top:43.35pt;width:199.05pt;height:92.7pt;z-index:251659264" coordorigin="1260,11220" coordsize="4254,1981">
            <o:lock v:ext="edit" aspectratio="t"/>
            <v:shape id="_x0000_s1051" type="#_x0000_t75" style="position:absolute;left:1260;top:11220;width:4254;height:198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440;top:12736;width:1068;height:465" filled="f" stroked="f">
              <v:textbox style="mso-next-textbox:#_x0000_s1052" inset="2.38353mm,1.19175mm,2.38353mm,1.19175mm">
                <w:txbxContent>
                  <w:p w:rsidR="0097280E" w:rsidRPr="00FE293B" w:rsidRDefault="0097280E" w:rsidP="0097280E">
                    <w:pPr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(2+p, 2)</w:t>
                    </w:r>
                  </w:p>
                </w:txbxContent>
              </v:textbox>
            </v:shape>
            <v:shape id="_x0000_s1053" type="#_x0000_t202" style="position:absolute;left:1260;top:11978;width:534;height:458" filled="f" stroked="f">
              <v:textbox style="mso-next-textbox:#_x0000_s1053" inset="2.38353mm,1.19175mm,2.38353mm,1.19175mm">
                <w:txbxContent>
                  <w:p w:rsidR="0097280E" w:rsidRPr="00FE293B" w:rsidRDefault="0097280E" w:rsidP="0097280E">
                    <w:pPr>
                      <w:rPr>
                        <w:b/>
                        <w:sz w:val="18"/>
                      </w:rPr>
                    </w:pPr>
                    <w:r w:rsidRPr="00FE293B"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4" style="position:absolute;left:1554;top:11848;width:1515;height:360" coordsize="1515,255" path="m,255l375,,1515,e" filled="f" strokeweight="1.25pt">
              <v:stroke startarrow="oval" startarrowwidth="narrow" startarrowlength="short"/>
              <v:path arrowok="t"/>
            </v:shape>
            <v:shape id="_x0000_s1055" style="position:absolute;left:1554;top:12208;width:1515;height:487" coordsize="1515,270" path="m,l390,270r1125,e" filled="f" strokeweight="1.5pt">
              <v:path arrowok="t"/>
            </v:shape>
            <v:shape id="_x0000_s1056" type="#_x0000_t202" style="position:absolute;left:2118;top:11550;width:936;height:466" filled="f" stroked="f">
              <v:textbox style="mso-next-textbox:#_x0000_s1056" inset="2.38353mm,1.19175mm,2.38353mm,1.19175mm">
                <w:txbxContent>
                  <w:p w:rsidR="0097280E" w:rsidRPr="00FE293B" w:rsidRDefault="0097280E" w:rsidP="0097280E">
                    <w:pPr>
                      <w:jc w:val="center"/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L1</w:t>
                    </w:r>
                  </w:p>
                </w:txbxContent>
              </v:textbox>
            </v:shape>
            <v:shape id="_x0000_s1057" type="#_x0000_t202" style="position:absolute;left:2109;top:12391;width:936;height:408" filled="f" stroked="f">
              <v:textbox style="mso-next-textbox:#_x0000_s1057" inset="2.38353mm,1.19175mm,2.38353mm,1.19175mm">
                <w:txbxContent>
                  <w:p w:rsidR="0097280E" w:rsidRPr="00FE293B" w:rsidRDefault="0097280E" w:rsidP="0097280E">
                    <w:pPr>
                      <w:jc w:val="center"/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H1</w:t>
                    </w:r>
                  </w:p>
                </w:txbxContent>
              </v:textbox>
            </v:shape>
            <v:shape id="_x0000_s1058" style="position:absolute;left:3069;top:11580;width:1515;height:268" coordsize="1515,255" path="m,255l375,,1515,e" filled="f" strokeweight="1.25pt">
              <v:stroke startarrow="oval" startarrowwidth="narrow" startarrowlength="short"/>
              <v:path arrowok="t"/>
            </v:shape>
            <v:shape id="_x0000_s1059" style="position:absolute;left:3054;top:11827;width:1515;height:203" coordsize="1515,270" path="m,l390,270r1125,e" filled="f" strokeweight="1.5pt">
              <v:path arrowok="t"/>
            </v:shape>
            <v:shape id="_x0000_s1060" type="#_x0000_t202" style="position:absolute;left:2874;top:12376;width:426;height:328" filled="f" stroked="f">
              <v:textbox style="mso-next-textbox:#_x0000_s1060" inset="2.38353mm,1.19175mm,2.38353mm,1.19175mm">
                <w:txbxContent>
                  <w:p w:rsidR="0097280E" w:rsidRPr="00FE293B" w:rsidRDefault="0097280E" w:rsidP="0097280E">
                    <w:pPr>
                      <w:rPr>
                        <w:b/>
                        <w:sz w:val="18"/>
                      </w:rPr>
                    </w:pPr>
                    <w:r w:rsidRPr="00FE293B"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1" type="#_x0000_t202" style="position:absolute;left:3513;top:11220;width:921;height:360" filled="f" stroked="f">
              <v:textbox style="mso-next-textbox:#_x0000_s1061" inset="2.38353mm,1.19175mm,2.38353mm,1.19175mm">
                <w:txbxContent>
                  <w:p w:rsidR="0097280E" w:rsidRPr="00FE293B" w:rsidRDefault="0097280E" w:rsidP="0097280E">
                    <w:pPr>
                      <w:jc w:val="center"/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H2</w:t>
                    </w:r>
                  </w:p>
                </w:txbxContent>
              </v:textbox>
            </v:shape>
            <v:shape id="_x0000_s1062" type="#_x0000_t202" style="position:absolute;left:3279;top:11742;width:1290;height:382" filled="f" stroked="f">
              <v:textbox style="mso-next-textbox:#_x0000_s1062" inset="2.38353mm,1.19175mm,2.38353mm,1.19175mm">
                <w:txbxContent>
                  <w:p w:rsidR="0097280E" w:rsidRPr="00FE293B" w:rsidRDefault="0097280E" w:rsidP="0097280E">
                    <w:pPr>
                      <w:jc w:val="center"/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L2</w:t>
                    </w:r>
                  </w:p>
                </w:txbxContent>
              </v:textbox>
            </v:shape>
            <v:shape id="_x0000_s1063" type="#_x0000_t202" style="position:absolute;left:4434;top:11377;width:1080;height:365" filled="f" stroked="f">
              <v:textbox style="mso-next-textbox:#_x0000_s1063" inset="2.38353mm,1.19175mm,2.38353mm,1.19175mm">
                <w:txbxContent>
                  <w:p w:rsidR="0097280E" w:rsidRPr="00FE293B" w:rsidRDefault="0097280E" w:rsidP="0097280E">
                    <w:pPr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(3-2p, 4)</w:t>
                    </w:r>
                  </w:p>
                </w:txbxContent>
              </v:textbox>
            </v:shape>
            <v:shape id="_x0000_s1064" type="#_x0000_t202" style="position:absolute;left:4440;top:11827;width:1074;height:360" filled="f" stroked="f">
              <v:textbox style="mso-next-textbox:#_x0000_s1064" inset="2.38353mm,1.19175mm,2.38353mm,1.19175mm">
                <w:txbxContent>
                  <w:p w:rsidR="0097280E" w:rsidRPr="00FE293B" w:rsidRDefault="0097280E" w:rsidP="0097280E">
                    <w:pPr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(4-2p, 1)</w:t>
                    </w:r>
                  </w:p>
                </w:txbxContent>
              </v:textbox>
            </v:shape>
            <v:shape id="_x0000_s1065" style="position:absolute;left:3069;top:12695;width:1515;height:235" coordsize="1515,270" path="m,l390,270r1125,e" filled="f" strokeweight="1.5pt">
              <v:path arrowok="t"/>
            </v:shape>
            <v:shape id="_x0000_s1066" style="position:absolute;left:3069;top:12436;width:1515;height:259" coordsize="1515,255" path="m,255l375,,1515,e" filled="f" strokeweight="1.25pt">
              <v:stroke startarrow="oval" startarrowwidth="narrow" startarrowlength="short"/>
              <v:path arrowok="t"/>
            </v:shape>
            <v:shape id="_x0000_s1067" type="#_x0000_t202" style="position:absolute;left:2853;top:11535;width:426;height:328" filled="f" stroked="f">
              <v:textbox style="mso-next-textbox:#_x0000_s1067" inset="2.38353mm,1.19175mm,2.38353mm,1.19175mm">
                <w:txbxContent>
                  <w:p w:rsidR="0097280E" w:rsidRPr="00FE293B" w:rsidRDefault="0097280E" w:rsidP="0097280E">
                    <w:pPr>
                      <w:rPr>
                        <w:b/>
                        <w:sz w:val="18"/>
                      </w:rPr>
                    </w:pPr>
                    <w:r w:rsidRPr="00FE293B"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8" type="#_x0000_t202" style="position:absolute;left:3513;top:12148;width:921;height:360" filled="f" stroked="f">
              <v:textbox style="mso-next-textbox:#_x0000_s1068" inset="2.38353mm,1.19175mm,2.38353mm,1.19175mm">
                <w:txbxContent>
                  <w:p w:rsidR="0097280E" w:rsidRPr="00FE293B" w:rsidRDefault="0097280E" w:rsidP="0097280E">
                    <w:pPr>
                      <w:jc w:val="center"/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H2</w:t>
                    </w:r>
                  </w:p>
                </w:txbxContent>
              </v:textbox>
            </v:shape>
            <v:shape id="_x0000_s1069" type="#_x0000_t202" style="position:absolute;left:3513;top:12653;width:921;height:360" filled="f" stroked="f">
              <v:textbox style="mso-next-textbox:#_x0000_s1069" inset="2.38353mm,1.19175mm,2.38353mm,1.19175mm">
                <w:txbxContent>
                  <w:p w:rsidR="0097280E" w:rsidRPr="00FE293B" w:rsidRDefault="0097280E" w:rsidP="0097280E">
                    <w:pPr>
                      <w:jc w:val="center"/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L2</w:t>
                    </w:r>
                  </w:p>
                </w:txbxContent>
              </v:textbox>
            </v:shape>
            <v:shape id="_x0000_s1070" type="#_x0000_t202" style="position:absolute;left:4434;top:12293;width:1074;height:360" filled="f" stroked="f">
              <v:textbox style="mso-next-textbox:#_x0000_s1070" inset="2.38353mm,1.19175mm,2.38353mm,1.19175mm">
                <w:txbxContent>
                  <w:p w:rsidR="0097280E" w:rsidRPr="00FE293B" w:rsidRDefault="0097280E" w:rsidP="0097280E">
                    <w:pPr>
                      <w:rPr>
                        <w:sz w:val="18"/>
                      </w:rPr>
                    </w:pPr>
                    <w:r w:rsidRPr="00FE293B">
                      <w:rPr>
                        <w:sz w:val="18"/>
                      </w:rPr>
                      <w:t>(1+p, 1)</w:t>
                    </w:r>
                  </w:p>
                </w:txbxContent>
              </v:textbox>
            </v:shape>
            <w10:wrap type="square"/>
          </v:group>
        </w:pict>
      </w:r>
      <w:r w:rsidRPr="0097280E">
        <w:rPr>
          <w:rFonts w:ascii="Calibri" w:hAnsi="Calibri"/>
          <w:b/>
          <w:sz w:val="22"/>
          <w:szCs w:val="22"/>
        </w:rPr>
        <w:t>2.</w:t>
      </w:r>
      <w:r w:rsidRPr="0097280E">
        <w:rPr>
          <w:rFonts w:ascii="Calibri" w:hAnsi="Calibri"/>
          <w:b/>
          <w:sz w:val="22"/>
          <w:szCs w:val="22"/>
        </w:rPr>
        <w:t xml:space="preserve"> </w:t>
      </w:r>
      <w:r w:rsidRPr="0097280E">
        <w:rPr>
          <w:rFonts w:ascii="Calibri" w:hAnsi="Calibri" w:cs="URWPalladioL-Bold"/>
          <w:bCs/>
          <w:sz w:val="22"/>
          <w:szCs w:val="22"/>
        </w:rPr>
        <w:t xml:space="preserve">Consider the following extensive-form game with two players. Player 2 moves after player 1. Each player can produce a high output (H) or a low output (L). Player 1’s payoff is additionally influenced by an exogenous event which occurs with probability </w:t>
      </w:r>
      <w:proofErr w:type="gramStart"/>
      <w:r w:rsidRPr="0097280E">
        <w:rPr>
          <w:rFonts w:ascii="Calibri" w:hAnsi="Calibri" w:cs="URWPalladioL-Ital"/>
          <w:sz w:val="22"/>
          <w:szCs w:val="22"/>
        </w:rPr>
        <w:t>p</w:t>
      </w:r>
      <w:proofErr w:type="gramEnd"/>
      <w:r w:rsidRPr="0097280E">
        <w:rPr>
          <w:rFonts w:ascii="Calibri" w:hAnsi="Calibri" w:cs="URWPalladioL-Ital"/>
          <w:sz w:val="22"/>
          <w:szCs w:val="22"/>
        </w:rPr>
        <w:sym w:font="Symbol" w:char="F0CE"/>
      </w:r>
      <w:r w:rsidRPr="0097280E">
        <w:rPr>
          <w:rFonts w:ascii="Calibri" w:hAnsi="Calibri" w:cs="CMR10"/>
          <w:sz w:val="22"/>
          <w:szCs w:val="22"/>
        </w:rPr>
        <w:t>[</w:t>
      </w:r>
      <w:r w:rsidRPr="0097280E">
        <w:rPr>
          <w:rFonts w:ascii="Calibri" w:hAnsi="Calibri" w:cs="URWPalladioL-Roma"/>
          <w:sz w:val="22"/>
          <w:szCs w:val="22"/>
        </w:rPr>
        <w:t>0, 1</w:t>
      </w:r>
      <w:r w:rsidRPr="0097280E">
        <w:rPr>
          <w:rFonts w:ascii="Calibri" w:hAnsi="Calibri" w:cs="CMR10"/>
          <w:sz w:val="22"/>
          <w:szCs w:val="22"/>
        </w:rPr>
        <w:t>]</w:t>
      </w:r>
      <w:r w:rsidRPr="0097280E">
        <w:rPr>
          <w:rFonts w:ascii="Calibri" w:hAnsi="Calibri" w:cs="URWPalladioL-Bold"/>
          <w:bCs/>
          <w:sz w:val="22"/>
          <w:szCs w:val="22"/>
        </w:rPr>
        <w:t>. The payoffs are written as (Payoff to 1, Payoff to 2).</w:t>
      </w:r>
    </w:p>
    <w:p w:rsidR="0097280E" w:rsidRPr="0097280E" w:rsidRDefault="0097280E" w:rsidP="0097280E">
      <w:pPr>
        <w:autoSpaceDE w:val="0"/>
        <w:autoSpaceDN w:val="0"/>
        <w:adjustRightInd w:val="0"/>
        <w:ind w:left="2835"/>
        <w:rPr>
          <w:rFonts w:ascii="Calibri" w:hAnsi="Calibri" w:cs="URWPalladioL-Bold"/>
          <w:bCs/>
          <w:sz w:val="22"/>
          <w:szCs w:val="22"/>
        </w:rPr>
      </w:pPr>
    </w:p>
    <w:p w:rsidR="0097280E" w:rsidRPr="0097280E" w:rsidRDefault="0097280E" w:rsidP="0097280E">
      <w:pPr>
        <w:autoSpaceDE w:val="0"/>
        <w:autoSpaceDN w:val="0"/>
        <w:adjustRightInd w:val="0"/>
        <w:jc w:val="both"/>
        <w:rPr>
          <w:rFonts w:ascii="Calibri" w:hAnsi="Calibri" w:cs="URWPalladioL-Bold"/>
          <w:bCs/>
          <w:sz w:val="22"/>
          <w:szCs w:val="22"/>
        </w:rPr>
      </w:pPr>
      <w:r w:rsidRPr="0097280E">
        <w:rPr>
          <w:rFonts w:ascii="Calibri" w:hAnsi="Calibri" w:cs="URWPalladioL-Bold"/>
          <w:bCs/>
          <w:sz w:val="22"/>
          <w:szCs w:val="22"/>
        </w:rPr>
        <w:t>Suppose, before the start of the game, player 2 has the option of committing to produce a high output (</w:t>
      </w:r>
      <w:r w:rsidRPr="0097280E">
        <w:rPr>
          <w:rFonts w:ascii="Calibri" w:hAnsi="Calibri" w:cs="URWPalladioL-Ital"/>
          <w:sz w:val="22"/>
          <w:szCs w:val="22"/>
        </w:rPr>
        <w:t>H</w:t>
      </w:r>
      <w:r w:rsidRPr="0097280E">
        <w:rPr>
          <w:rFonts w:ascii="Calibri" w:hAnsi="Calibri" w:cs="URWPalladioL-Roma"/>
          <w:sz w:val="22"/>
          <w:szCs w:val="22"/>
        </w:rPr>
        <w:t>2</w:t>
      </w:r>
      <w:r w:rsidRPr="0097280E">
        <w:rPr>
          <w:rFonts w:ascii="Calibri" w:hAnsi="Calibri" w:cs="URWPalladioL-Bold"/>
          <w:bCs/>
          <w:sz w:val="22"/>
          <w:szCs w:val="22"/>
        </w:rPr>
        <w:t xml:space="preserve">). Making such a commitment requires player 2 to incur a cost of 1. Find the range of values of </w:t>
      </w:r>
      <w:r w:rsidRPr="0097280E">
        <w:rPr>
          <w:rFonts w:ascii="Calibri" w:hAnsi="Calibri" w:cs="URWPalladioL-Ital"/>
          <w:sz w:val="22"/>
          <w:szCs w:val="22"/>
        </w:rPr>
        <w:t xml:space="preserve">p </w:t>
      </w:r>
      <w:r w:rsidRPr="0097280E">
        <w:rPr>
          <w:rFonts w:ascii="Calibri" w:hAnsi="Calibri" w:cs="URWPalladioL-Bold"/>
          <w:bCs/>
          <w:sz w:val="22"/>
          <w:szCs w:val="22"/>
        </w:rPr>
        <w:t>for which it is optimal to make such a costly commitment.</w:t>
      </w:r>
    </w:p>
    <w:p w:rsidR="0097280E" w:rsidRPr="0097280E" w:rsidRDefault="0097280E" w:rsidP="0097280E">
      <w:pPr>
        <w:jc w:val="both"/>
        <w:rPr>
          <w:rFonts w:asciiTheme="minorHAnsi" w:hAnsiTheme="minorHAnsi"/>
          <w:sz w:val="22"/>
          <w:szCs w:val="22"/>
          <w:lang w:val="ru-RU"/>
        </w:rPr>
      </w:pPr>
      <w:bookmarkStart w:id="0" w:name="_GoBack"/>
      <w:bookmarkEnd w:id="0"/>
    </w:p>
    <w:p w:rsidR="0097280E" w:rsidRPr="0097280E" w:rsidRDefault="0097280E" w:rsidP="0097280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7280E">
        <w:rPr>
          <w:rFonts w:asciiTheme="minorHAnsi" w:hAnsiTheme="minorHAnsi"/>
          <w:b/>
          <w:sz w:val="22"/>
          <w:szCs w:val="22"/>
        </w:rPr>
        <w:t>3</w:t>
      </w:r>
      <w:r w:rsidRPr="0097280E">
        <w:rPr>
          <w:rFonts w:asciiTheme="minorHAnsi" w:hAnsiTheme="minorHAnsi"/>
          <w:b/>
          <w:sz w:val="22"/>
          <w:szCs w:val="22"/>
        </w:rPr>
        <w:t xml:space="preserve">. </w:t>
      </w:r>
      <w:r w:rsidRPr="0097280E">
        <w:rPr>
          <w:rFonts w:asciiTheme="minorHAnsi" w:hAnsiTheme="minorHAnsi" w:cs="T10"/>
          <w:sz w:val="22"/>
          <w:szCs w:val="22"/>
          <w:lang w:eastAsia="ru-RU"/>
        </w:rPr>
        <w:t xml:space="preserve">In the town M each of the </w:t>
      </w:r>
      <w:r w:rsidRPr="0097280E">
        <w:rPr>
          <w:rFonts w:asciiTheme="minorHAnsi" w:hAnsiTheme="minorHAnsi" w:cs="T9"/>
          <w:sz w:val="22"/>
          <w:szCs w:val="22"/>
          <w:lang w:eastAsia="ru-RU"/>
        </w:rPr>
        <w:t xml:space="preserve">N &gt; </w:t>
      </w:r>
      <w:r w:rsidRPr="0097280E">
        <w:rPr>
          <w:rFonts w:asciiTheme="minorHAnsi" w:hAnsiTheme="minorHAnsi" w:cs="T5"/>
          <w:sz w:val="22"/>
          <w:szCs w:val="22"/>
          <w:lang w:eastAsia="ru-RU"/>
        </w:rPr>
        <w:t xml:space="preserve">2 </w:t>
      </w:r>
      <w:r w:rsidRPr="0097280E">
        <w:rPr>
          <w:rFonts w:asciiTheme="minorHAnsi" w:hAnsiTheme="minorHAnsi" w:cs="T10"/>
          <w:sz w:val="22"/>
          <w:szCs w:val="22"/>
          <w:lang w:eastAsia="ru-RU"/>
        </w:rPr>
        <w:t xml:space="preserve">inhabitants has $100. They are told that they can all voluntarily contribute to a fund that will be evenly divided among all residents. If </w:t>
      </w:r>
      <w:r w:rsidRPr="0097280E">
        <w:rPr>
          <w:rFonts w:asciiTheme="minorHAnsi" w:hAnsiTheme="minorHAnsi" w:cs="T5"/>
          <w:sz w:val="22"/>
          <w:szCs w:val="22"/>
          <w:lang w:eastAsia="ru-RU"/>
        </w:rPr>
        <w:t>$</w:t>
      </w:r>
      <w:r w:rsidRPr="0097280E">
        <w:rPr>
          <w:rFonts w:asciiTheme="minorHAnsi" w:hAnsiTheme="minorHAnsi" w:cs="T9"/>
          <w:sz w:val="22"/>
          <w:szCs w:val="22"/>
          <w:lang w:eastAsia="ru-RU"/>
        </w:rPr>
        <w:t>F is</w:t>
      </w:r>
      <w:r w:rsidRPr="0097280E">
        <w:rPr>
          <w:rFonts w:asciiTheme="minorHAnsi" w:hAnsiTheme="minorHAnsi" w:cs="T10"/>
          <w:sz w:val="22"/>
          <w:szCs w:val="22"/>
          <w:lang w:eastAsia="ru-RU"/>
        </w:rPr>
        <w:t xml:space="preserve"> contributed to the fund, the local K-Mart will match the private contributions so that the total amount to be divided is </w:t>
      </w:r>
      <w:r w:rsidRPr="0097280E">
        <w:rPr>
          <w:rFonts w:asciiTheme="minorHAnsi" w:hAnsiTheme="minorHAnsi" w:cs="T5"/>
          <w:sz w:val="22"/>
          <w:szCs w:val="22"/>
          <w:lang w:eastAsia="ru-RU"/>
        </w:rPr>
        <w:t>$2</w:t>
      </w:r>
      <w:r w:rsidRPr="0097280E">
        <w:rPr>
          <w:rFonts w:asciiTheme="minorHAnsi" w:hAnsiTheme="minorHAnsi" w:cs="T9"/>
          <w:sz w:val="22"/>
          <w:szCs w:val="22"/>
          <w:lang w:eastAsia="ru-RU"/>
        </w:rPr>
        <w:t>F</w:t>
      </w:r>
      <w:r w:rsidRPr="0097280E">
        <w:rPr>
          <w:rFonts w:asciiTheme="minorHAnsi" w:hAnsiTheme="minorHAnsi" w:cs="T10"/>
          <w:sz w:val="22"/>
          <w:szCs w:val="22"/>
          <w:lang w:eastAsia="ru-RU"/>
        </w:rPr>
        <w:t xml:space="preserve">. That is, each resident will get back a payment of </w:t>
      </w:r>
      <w:r w:rsidRPr="0097280E">
        <w:rPr>
          <w:rFonts w:asciiTheme="minorHAnsi" w:hAnsiTheme="minorHAnsi" w:cs="T5"/>
          <w:sz w:val="22"/>
          <w:szCs w:val="22"/>
          <w:lang w:eastAsia="ru-RU"/>
        </w:rPr>
        <w:t>$2</w:t>
      </w:r>
      <w:r w:rsidRPr="0097280E">
        <w:rPr>
          <w:rFonts w:asciiTheme="minorHAnsi" w:hAnsiTheme="minorHAnsi" w:cs="T9"/>
          <w:sz w:val="22"/>
          <w:szCs w:val="22"/>
          <w:lang w:eastAsia="ru-RU"/>
        </w:rPr>
        <w:t xml:space="preserve">F/N </w:t>
      </w:r>
      <w:r w:rsidRPr="0097280E">
        <w:rPr>
          <w:rFonts w:asciiTheme="minorHAnsi" w:hAnsiTheme="minorHAnsi" w:cs="T10"/>
          <w:sz w:val="22"/>
          <w:szCs w:val="22"/>
          <w:lang w:eastAsia="ru-RU"/>
        </w:rPr>
        <w:t>when the fund is divided. If people in town care only about their own net incomes, and contributions are made independently, what is the Nash equilibrium?</w:t>
      </w:r>
    </w:p>
    <w:p w:rsidR="0097280E" w:rsidRPr="0097280E" w:rsidRDefault="0097280E" w:rsidP="0097280E">
      <w:pPr>
        <w:jc w:val="both"/>
        <w:rPr>
          <w:rFonts w:asciiTheme="minorHAnsi" w:hAnsiTheme="minorHAnsi"/>
          <w:sz w:val="22"/>
          <w:szCs w:val="22"/>
        </w:rPr>
      </w:pPr>
    </w:p>
    <w:sectPr w:rsidR="0097280E" w:rsidRPr="0097280E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8D" w:rsidRDefault="00A43F8D">
      <w:r>
        <w:separator/>
      </w:r>
    </w:p>
  </w:endnote>
  <w:endnote w:type="continuationSeparator" w:id="0">
    <w:p w:rsidR="00A43F8D" w:rsidRDefault="00A4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1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8D" w:rsidRDefault="00A43F8D">
      <w:r>
        <w:separator/>
      </w:r>
    </w:p>
  </w:footnote>
  <w:footnote w:type="continuationSeparator" w:id="0">
    <w:p w:rsidR="00A43F8D" w:rsidRDefault="00A4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007CB"/>
    <w:rsid w:val="000030C3"/>
    <w:rsid w:val="0004187E"/>
    <w:rsid w:val="00043D3B"/>
    <w:rsid w:val="00044A76"/>
    <w:rsid w:val="00066E4E"/>
    <w:rsid w:val="000709F5"/>
    <w:rsid w:val="00097C44"/>
    <w:rsid w:val="000A3351"/>
    <w:rsid w:val="000A39F0"/>
    <w:rsid w:val="000A458A"/>
    <w:rsid w:val="000B2E9A"/>
    <w:rsid w:val="000B6327"/>
    <w:rsid w:val="000B6896"/>
    <w:rsid w:val="000C2B7A"/>
    <w:rsid w:val="000E6B73"/>
    <w:rsid w:val="000E6C36"/>
    <w:rsid w:val="00101069"/>
    <w:rsid w:val="00125B23"/>
    <w:rsid w:val="00163484"/>
    <w:rsid w:val="00164A34"/>
    <w:rsid w:val="00180FB5"/>
    <w:rsid w:val="0019381F"/>
    <w:rsid w:val="001B5357"/>
    <w:rsid w:val="001B5BB4"/>
    <w:rsid w:val="001B725C"/>
    <w:rsid w:val="001C2C5F"/>
    <w:rsid w:val="001E7A6D"/>
    <w:rsid w:val="001F0645"/>
    <w:rsid w:val="002121F6"/>
    <w:rsid w:val="00221438"/>
    <w:rsid w:val="00245EB1"/>
    <w:rsid w:val="0025326E"/>
    <w:rsid w:val="00257A31"/>
    <w:rsid w:val="00262404"/>
    <w:rsid w:val="002712DF"/>
    <w:rsid w:val="0027438A"/>
    <w:rsid w:val="00284129"/>
    <w:rsid w:val="00291F71"/>
    <w:rsid w:val="00295FB2"/>
    <w:rsid w:val="002A2ED3"/>
    <w:rsid w:val="002A79C2"/>
    <w:rsid w:val="002B5AFD"/>
    <w:rsid w:val="002D556D"/>
    <w:rsid w:val="002D72C8"/>
    <w:rsid w:val="002F562B"/>
    <w:rsid w:val="00300823"/>
    <w:rsid w:val="003016E8"/>
    <w:rsid w:val="00325827"/>
    <w:rsid w:val="00370128"/>
    <w:rsid w:val="00370AF1"/>
    <w:rsid w:val="00372C41"/>
    <w:rsid w:val="003906AC"/>
    <w:rsid w:val="003B24C0"/>
    <w:rsid w:val="003D5D9D"/>
    <w:rsid w:val="003E41AD"/>
    <w:rsid w:val="003F5529"/>
    <w:rsid w:val="004121DD"/>
    <w:rsid w:val="00412A70"/>
    <w:rsid w:val="004229AF"/>
    <w:rsid w:val="00431B26"/>
    <w:rsid w:val="0044501D"/>
    <w:rsid w:val="00452C72"/>
    <w:rsid w:val="00480814"/>
    <w:rsid w:val="00486095"/>
    <w:rsid w:val="004A3C0A"/>
    <w:rsid w:val="004A50E8"/>
    <w:rsid w:val="004B1F1B"/>
    <w:rsid w:val="004B5DF5"/>
    <w:rsid w:val="004D265D"/>
    <w:rsid w:val="004D430F"/>
    <w:rsid w:val="004D56DC"/>
    <w:rsid w:val="004D7014"/>
    <w:rsid w:val="004E0AFE"/>
    <w:rsid w:val="004E1131"/>
    <w:rsid w:val="004E1D0B"/>
    <w:rsid w:val="005200AA"/>
    <w:rsid w:val="00522DC6"/>
    <w:rsid w:val="005241E3"/>
    <w:rsid w:val="00533C00"/>
    <w:rsid w:val="00534EA4"/>
    <w:rsid w:val="00546B67"/>
    <w:rsid w:val="00556306"/>
    <w:rsid w:val="00561C8A"/>
    <w:rsid w:val="005624FC"/>
    <w:rsid w:val="00572921"/>
    <w:rsid w:val="00572E3C"/>
    <w:rsid w:val="0059187A"/>
    <w:rsid w:val="00593D51"/>
    <w:rsid w:val="00594936"/>
    <w:rsid w:val="005B6881"/>
    <w:rsid w:val="005C705D"/>
    <w:rsid w:val="005D0D2E"/>
    <w:rsid w:val="005D271E"/>
    <w:rsid w:val="005E2FC3"/>
    <w:rsid w:val="005F4874"/>
    <w:rsid w:val="00620435"/>
    <w:rsid w:val="006237B2"/>
    <w:rsid w:val="00624F6A"/>
    <w:rsid w:val="00636D8E"/>
    <w:rsid w:val="006466B4"/>
    <w:rsid w:val="00650E14"/>
    <w:rsid w:val="00653073"/>
    <w:rsid w:val="00657E52"/>
    <w:rsid w:val="00662325"/>
    <w:rsid w:val="006673A5"/>
    <w:rsid w:val="006769CF"/>
    <w:rsid w:val="00690352"/>
    <w:rsid w:val="006937FF"/>
    <w:rsid w:val="006A0C72"/>
    <w:rsid w:val="006D14EF"/>
    <w:rsid w:val="006E2630"/>
    <w:rsid w:val="006E4481"/>
    <w:rsid w:val="006F5515"/>
    <w:rsid w:val="007040A3"/>
    <w:rsid w:val="00714F27"/>
    <w:rsid w:val="00744951"/>
    <w:rsid w:val="00775738"/>
    <w:rsid w:val="00775EA8"/>
    <w:rsid w:val="00791503"/>
    <w:rsid w:val="00792AD6"/>
    <w:rsid w:val="007941FC"/>
    <w:rsid w:val="007B1704"/>
    <w:rsid w:val="007B6296"/>
    <w:rsid w:val="007B7A67"/>
    <w:rsid w:val="007D23AA"/>
    <w:rsid w:val="007D4795"/>
    <w:rsid w:val="007E7F42"/>
    <w:rsid w:val="0081380F"/>
    <w:rsid w:val="008331A2"/>
    <w:rsid w:val="00833A20"/>
    <w:rsid w:val="00843BDD"/>
    <w:rsid w:val="00877267"/>
    <w:rsid w:val="00882319"/>
    <w:rsid w:val="0088274E"/>
    <w:rsid w:val="00887016"/>
    <w:rsid w:val="008B06C7"/>
    <w:rsid w:val="008B147F"/>
    <w:rsid w:val="008C4D60"/>
    <w:rsid w:val="008D117D"/>
    <w:rsid w:val="008D5028"/>
    <w:rsid w:val="008E0C20"/>
    <w:rsid w:val="008E20E1"/>
    <w:rsid w:val="008E24AB"/>
    <w:rsid w:val="008E47D6"/>
    <w:rsid w:val="008F753E"/>
    <w:rsid w:val="00900F0A"/>
    <w:rsid w:val="0090572C"/>
    <w:rsid w:val="00906124"/>
    <w:rsid w:val="00917153"/>
    <w:rsid w:val="00924853"/>
    <w:rsid w:val="00933D81"/>
    <w:rsid w:val="00941257"/>
    <w:rsid w:val="00962CE9"/>
    <w:rsid w:val="0097280E"/>
    <w:rsid w:val="009733A8"/>
    <w:rsid w:val="00985189"/>
    <w:rsid w:val="0099018F"/>
    <w:rsid w:val="00993E7B"/>
    <w:rsid w:val="009A2DB1"/>
    <w:rsid w:val="009B4551"/>
    <w:rsid w:val="009D04C8"/>
    <w:rsid w:val="009D1155"/>
    <w:rsid w:val="009D13BC"/>
    <w:rsid w:val="009E6B0B"/>
    <w:rsid w:val="009F06A3"/>
    <w:rsid w:val="009F62FE"/>
    <w:rsid w:val="00A00506"/>
    <w:rsid w:val="00A028AF"/>
    <w:rsid w:val="00A25ED3"/>
    <w:rsid w:val="00A32612"/>
    <w:rsid w:val="00A43F8D"/>
    <w:rsid w:val="00A71153"/>
    <w:rsid w:val="00A76A26"/>
    <w:rsid w:val="00A77353"/>
    <w:rsid w:val="00A814D0"/>
    <w:rsid w:val="00AA2404"/>
    <w:rsid w:val="00AA41AA"/>
    <w:rsid w:val="00AB1AD9"/>
    <w:rsid w:val="00AC2571"/>
    <w:rsid w:val="00AC6E2C"/>
    <w:rsid w:val="00AC789E"/>
    <w:rsid w:val="00AD182C"/>
    <w:rsid w:val="00AE1E64"/>
    <w:rsid w:val="00AE7072"/>
    <w:rsid w:val="00AF0683"/>
    <w:rsid w:val="00B017DA"/>
    <w:rsid w:val="00B01D03"/>
    <w:rsid w:val="00B327A7"/>
    <w:rsid w:val="00B33CDB"/>
    <w:rsid w:val="00B47F1F"/>
    <w:rsid w:val="00B503AF"/>
    <w:rsid w:val="00B51DC4"/>
    <w:rsid w:val="00B56CF2"/>
    <w:rsid w:val="00B71BB7"/>
    <w:rsid w:val="00B72374"/>
    <w:rsid w:val="00B731FF"/>
    <w:rsid w:val="00B8453E"/>
    <w:rsid w:val="00B9771E"/>
    <w:rsid w:val="00B97FE6"/>
    <w:rsid w:val="00BC6B80"/>
    <w:rsid w:val="00BF539F"/>
    <w:rsid w:val="00C05BD8"/>
    <w:rsid w:val="00C108FB"/>
    <w:rsid w:val="00C15CFA"/>
    <w:rsid w:val="00C20470"/>
    <w:rsid w:val="00C36A12"/>
    <w:rsid w:val="00C43739"/>
    <w:rsid w:val="00C44DDB"/>
    <w:rsid w:val="00C56475"/>
    <w:rsid w:val="00C61EBC"/>
    <w:rsid w:val="00C6633E"/>
    <w:rsid w:val="00C7282A"/>
    <w:rsid w:val="00C83B0A"/>
    <w:rsid w:val="00C8447D"/>
    <w:rsid w:val="00C92A2C"/>
    <w:rsid w:val="00C941B7"/>
    <w:rsid w:val="00CA029C"/>
    <w:rsid w:val="00CA7574"/>
    <w:rsid w:val="00CC2303"/>
    <w:rsid w:val="00CC6BF6"/>
    <w:rsid w:val="00CE0601"/>
    <w:rsid w:val="00CF0044"/>
    <w:rsid w:val="00D04E62"/>
    <w:rsid w:val="00D15320"/>
    <w:rsid w:val="00D22907"/>
    <w:rsid w:val="00D44CB0"/>
    <w:rsid w:val="00D45ACC"/>
    <w:rsid w:val="00D47CD5"/>
    <w:rsid w:val="00D56F44"/>
    <w:rsid w:val="00D63BBE"/>
    <w:rsid w:val="00D66057"/>
    <w:rsid w:val="00D741EE"/>
    <w:rsid w:val="00D74B4F"/>
    <w:rsid w:val="00D80369"/>
    <w:rsid w:val="00D92BF0"/>
    <w:rsid w:val="00D964FD"/>
    <w:rsid w:val="00D97565"/>
    <w:rsid w:val="00D97C48"/>
    <w:rsid w:val="00DA1BF6"/>
    <w:rsid w:val="00DB1EDD"/>
    <w:rsid w:val="00DC6682"/>
    <w:rsid w:val="00DD0303"/>
    <w:rsid w:val="00DD0E90"/>
    <w:rsid w:val="00DE0F19"/>
    <w:rsid w:val="00E05356"/>
    <w:rsid w:val="00E12D5F"/>
    <w:rsid w:val="00E17BA8"/>
    <w:rsid w:val="00E20DD0"/>
    <w:rsid w:val="00E22502"/>
    <w:rsid w:val="00E239E4"/>
    <w:rsid w:val="00E27C1D"/>
    <w:rsid w:val="00E32715"/>
    <w:rsid w:val="00E331BB"/>
    <w:rsid w:val="00E3374C"/>
    <w:rsid w:val="00E35FDE"/>
    <w:rsid w:val="00E36189"/>
    <w:rsid w:val="00E508C9"/>
    <w:rsid w:val="00E63321"/>
    <w:rsid w:val="00E766EA"/>
    <w:rsid w:val="00E80BF9"/>
    <w:rsid w:val="00E84DE8"/>
    <w:rsid w:val="00E90F21"/>
    <w:rsid w:val="00EA4DB3"/>
    <w:rsid w:val="00EB5405"/>
    <w:rsid w:val="00EB6B06"/>
    <w:rsid w:val="00EC3A8C"/>
    <w:rsid w:val="00ED35D9"/>
    <w:rsid w:val="00EF6765"/>
    <w:rsid w:val="00F07B5C"/>
    <w:rsid w:val="00F42156"/>
    <w:rsid w:val="00F45B55"/>
    <w:rsid w:val="00F46C53"/>
    <w:rsid w:val="00F5110F"/>
    <w:rsid w:val="00F7144D"/>
    <w:rsid w:val="00F743C2"/>
    <w:rsid w:val="00F92D78"/>
    <w:rsid w:val="00FB5AEA"/>
    <w:rsid w:val="00FB7424"/>
    <w:rsid w:val="00FC23D0"/>
    <w:rsid w:val="00FC480E"/>
    <w:rsid w:val="00FD7597"/>
    <w:rsid w:val="00FD7F82"/>
    <w:rsid w:val="00FE515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2E4B-DB75-4D8C-BA2A-80C85806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6</cp:revision>
  <cp:lastPrinted>2013-09-02T19:18:00Z</cp:lastPrinted>
  <dcterms:created xsi:type="dcterms:W3CDTF">2018-11-04T08:12:00Z</dcterms:created>
  <dcterms:modified xsi:type="dcterms:W3CDTF">2020-11-13T20:20:00Z</dcterms:modified>
</cp:coreProperties>
</file>