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D" w:rsidRDefault="009E2A97" w:rsidP="009E2A97">
      <w:pPr>
        <w:pStyle w:val="1"/>
      </w:pPr>
      <w:r>
        <w:t xml:space="preserve">Концепция магистерской программы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923BB" w:rsidTr="007923BB">
        <w:tc>
          <w:tcPr>
            <w:tcW w:w="2689" w:type="dxa"/>
          </w:tcPr>
          <w:p w:rsidR="007923BB" w:rsidRDefault="007923BB" w:rsidP="00A3615D">
            <w:r>
              <w:t>Название программы:</w:t>
            </w:r>
          </w:p>
        </w:tc>
        <w:tc>
          <w:tcPr>
            <w:tcW w:w="6656" w:type="dxa"/>
          </w:tcPr>
          <w:p w:rsidR="007923BB" w:rsidRDefault="007923BB" w:rsidP="00A3615D">
            <w:r>
              <w:t>«Управление проектами: проектный анализ, инвестиции, технологии реализации»</w:t>
            </w:r>
          </w:p>
        </w:tc>
      </w:tr>
      <w:tr w:rsidR="007923BB" w:rsidTr="007923BB">
        <w:tc>
          <w:tcPr>
            <w:tcW w:w="2689" w:type="dxa"/>
          </w:tcPr>
          <w:p w:rsidR="007923BB" w:rsidRDefault="007923BB" w:rsidP="00A3615D">
            <w:r>
              <w:t>Длительность:</w:t>
            </w:r>
          </w:p>
        </w:tc>
        <w:tc>
          <w:tcPr>
            <w:tcW w:w="6656" w:type="dxa"/>
          </w:tcPr>
          <w:p w:rsidR="007923BB" w:rsidRDefault="007923BB" w:rsidP="00A3615D">
            <w:r>
              <w:t>2 года</w:t>
            </w:r>
          </w:p>
        </w:tc>
      </w:tr>
      <w:tr w:rsidR="007923BB" w:rsidTr="007923BB">
        <w:tc>
          <w:tcPr>
            <w:tcW w:w="2689" w:type="dxa"/>
          </w:tcPr>
          <w:p w:rsidR="007923BB" w:rsidRDefault="007923BB" w:rsidP="00A3615D">
            <w:r>
              <w:t>Форма обучения:</w:t>
            </w:r>
          </w:p>
        </w:tc>
        <w:tc>
          <w:tcPr>
            <w:tcW w:w="6656" w:type="dxa"/>
          </w:tcPr>
          <w:p w:rsidR="007923BB" w:rsidRDefault="007923BB" w:rsidP="007923BB">
            <w:r>
              <w:t>дневная</w:t>
            </w:r>
          </w:p>
        </w:tc>
      </w:tr>
      <w:tr w:rsidR="007923BB" w:rsidTr="00A3615D">
        <w:tc>
          <w:tcPr>
            <w:tcW w:w="2689" w:type="dxa"/>
          </w:tcPr>
          <w:p w:rsidR="007923BB" w:rsidRDefault="007923BB" w:rsidP="00A3615D">
            <w:r>
              <w:t>Количество кредитов:</w:t>
            </w:r>
          </w:p>
        </w:tc>
        <w:tc>
          <w:tcPr>
            <w:tcW w:w="6656" w:type="dxa"/>
          </w:tcPr>
          <w:p w:rsidR="007923BB" w:rsidRDefault="007923BB" w:rsidP="00A3615D">
            <w:r>
              <w:t>120</w:t>
            </w:r>
          </w:p>
        </w:tc>
      </w:tr>
      <w:tr w:rsidR="007923BB" w:rsidTr="007923BB">
        <w:tc>
          <w:tcPr>
            <w:tcW w:w="2689" w:type="dxa"/>
          </w:tcPr>
          <w:p w:rsidR="007923BB" w:rsidRDefault="007923BB" w:rsidP="009E2A97">
            <w:r>
              <w:t>Руководитель:</w:t>
            </w:r>
          </w:p>
        </w:tc>
        <w:tc>
          <w:tcPr>
            <w:tcW w:w="6656" w:type="dxa"/>
          </w:tcPr>
          <w:p w:rsidR="007923BB" w:rsidRDefault="007923BB" w:rsidP="007923BB">
            <w:r>
              <w:t>д.э.н., проф. В.М. Аньшин</w:t>
            </w:r>
          </w:p>
        </w:tc>
      </w:tr>
    </w:tbl>
    <w:p w:rsidR="009E2A97" w:rsidRDefault="009E2A97" w:rsidP="009E2A97">
      <w:pPr>
        <w:pStyle w:val="2"/>
      </w:pPr>
      <w:r>
        <w:t>Основные положения</w:t>
      </w:r>
    </w:p>
    <w:p w:rsidR="002B46C8" w:rsidRDefault="002B46C8" w:rsidP="002B46C8">
      <w:r>
        <w:t xml:space="preserve">В условиях нарастающей глобализации, российские и </w:t>
      </w:r>
      <w:r w:rsidR="00C03DB9">
        <w:t>международные</w:t>
      </w:r>
      <w:r>
        <w:t xml:space="preserve"> компании нуждаются в значительном количестве </w:t>
      </w:r>
      <w:r w:rsidR="00A97AC8">
        <w:t>менеджеров высокого уровня</w:t>
      </w:r>
      <w:r>
        <w:t xml:space="preserve">, способных управлять </w:t>
      </w:r>
      <w:r w:rsidR="00A97AC8">
        <w:t xml:space="preserve">разными типами </w:t>
      </w:r>
      <w:r>
        <w:t>проект</w:t>
      </w:r>
      <w:r w:rsidR="00A97AC8">
        <w:t>ов</w:t>
      </w:r>
      <w:r>
        <w:t>, программами и портфелями проектов</w:t>
      </w:r>
      <w:r w:rsidR="00A97AC8">
        <w:t>, направленных на обеспечение ускоренного развития и повышающих конкурентоспособность компании, осуществлять внедрение конкретных инновационных проектов и поиск инвесторов, привлекать для их практического воплощения ресурсы инвестиционных рынков.</w:t>
      </w:r>
    </w:p>
    <w:p w:rsidR="009E2A97" w:rsidRDefault="00A3615D" w:rsidP="009E2A97">
      <w:r w:rsidRPr="00A3615D">
        <w:t xml:space="preserve">Управление проектами является важной составляющей приоритетного направления развития «Менеджмент» НИУ ВШЭ и одним из самых молодых и быстрорастущих направлений в мире. За короткий срок </w:t>
      </w:r>
      <w:proofErr w:type="gramStart"/>
      <w:r w:rsidRPr="00A3615D">
        <w:t>сформировались профессиональные сообщества и были</w:t>
      </w:r>
      <w:proofErr w:type="gramEnd"/>
      <w:r w:rsidRPr="00A3615D">
        <w:t xml:space="preserve"> разработаны регулярно обновляющиеся международные и национальные стандарты. Появляются новые научные и практические журналы. Формируются научные школы. Появляется большое количество новых интересных и перспективных методов и инструментов управления. Всё это направлено на повышение эффективности управления, выражающееся в увеличении доли успешных проектов и, как следствие, повышение конкурентоспособности компаний.</w:t>
      </w:r>
    </w:p>
    <w:p w:rsidR="009E2A97" w:rsidRDefault="009E2A97" w:rsidP="009E2A97">
      <w:pPr>
        <w:pStyle w:val="2"/>
      </w:pPr>
      <w:r>
        <w:t>Цели и приобретаемые компетенции</w:t>
      </w:r>
    </w:p>
    <w:p w:rsidR="00C03DB9" w:rsidRPr="00C03DB9" w:rsidRDefault="00C03DB9" w:rsidP="009E2A97">
      <w:r>
        <w:t xml:space="preserve">Наша миссия – развитие управленческих компетенций </w:t>
      </w:r>
      <w:proofErr w:type="gramStart"/>
      <w:r>
        <w:t>бизнес-сообщества</w:t>
      </w:r>
      <w:proofErr w:type="gramEnd"/>
      <w:r>
        <w:t xml:space="preserve"> через проектное мышление.</w:t>
      </w:r>
    </w:p>
    <w:p w:rsidR="009E2A97" w:rsidRDefault="00C03DB9" w:rsidP="009E2A97">
      <w:r>
        <w:t>Основная ц</w:t>
      </w:r>
      <w:r w:rsidRPr="00C03DB9">
        <w:t>ель программы – подготовка специалистов нового типа, способных осуществлять управление проектами на всех стадиях реализации, принимать эффективные решения по их ресурсному и организационному обеспечению, интегрировать инновационный и инвестиционный процессы, осуществлять комплексное планирование портфеля проектов компании с целью достижения устойчивого развития.</w:t>
      </w:r>
    </w:p>
    <w:p w:rsidR="00C03DB9" w:rsidRDefault="00C03DB9" w:rsidP="009E2A97">
      <w:r>
        <w:t>Основными задачами программы являются:</w:t>
      </w:r>
    </w:p>
    <w:p w:rsidR="00C03DB9" w:rsidRDefault="00C03DB9" w:rsidP="005904CF">
      <w:pPr>
        <w:pStyle w:val="ac"/>
        <w:numPr>
          <w:ilvl w:val="0"/>
          <w:numId w:val="1"/>
        </w:numPr>
        <w:ind w:left="714" w:hanging="357"/>
        <w:contextualSpacing w:val="0"/>
      </w:pPr>
      <w:r>
        <w:t xml:space="preserve">Подготовка профессионалов для российских компаний и международных, работающих в России, способных занимать позиции в проектно-ориентированных структурах, а также </w:t>
      </w:r>
      <w:r w:rsidR="005904CF">
        <w:t>для реализации предпринимательской карьеры</w:t>
      </w:r>
      <w:r>
        <w:t>.</w:t>
      </w:r>
    </w:p>
    <w:p w:rsidR="005904CF" w:rsidRDefault="005904CF" w:rsidP="005904CF">
      <w:pPr>
        <w:pStyle w:val="ac"/>
        <w:numPr>
          <w:ilvl w:val="0"/>
          <w:numId w:val="1"/>
        </w:numPr>
        <w:ind w:left="714" w:hanging="357"/>
        <w:contextualSpacing w:val="0"/>
      </w:pPr>
      <w:r>
        <w:t>Обеспечение выпускников навыками, необходимыми для проведения научных исследований в области управления проектами.</w:t>
      </w:r>
    </w:p>
    <w:p w:rsidR="005904CF" w:rsidRDefault="005904CF" w:rsidP="005904CF">
      <w:pPr>
        <w:pStyle w:val="ac"/>
        <w:numPr>
          <w:ilvl w:val="0"/>
          <w:numId w:val="1"/>
        </w:numPr>
        <w:ind w:left="714" w:hanging="357"/>
        <w:contextualSpacing w:val="0"/>
      </w:pPr>
      <w:r>
        <w:t xml:space="preserve">Формирование знаний и компетенций для реализации карьеры в </w:t>
      </w:r>
      <w:proofErr w:type="gramStart"/>
      <w:r>
        <w:t>консалтинге</w:t>
      </w:r>
      <w:proofErr w:type="gramEnd"/>
      <w:r>
        <w:t>.</w:t>
      </w:r>
    </w:p>
    <w:p w:rsidR="005904CF" w:rsidRDefault="005904CF" w:rsidP="00301A55">
      <w:pPr>
        <w:keepNext/>
      </w:pPr>
      <w:r>
        <w:lastRenderedPageBreak/>
        <w:t>Выпускники нашей программы должны обладать следующими компетенциями: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8057"/>
      </w:tblGrid>
      <w:tr w:rsidR="00FB5565" w:rsidRPr="00FB5565" w:rsidTr="00FB5565">
        <w:trPr>
          <w:trHeight w:val="864"/>
          <w:tblHeader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Код компе</w:t>
            </w: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тенции по порядку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Формулировка компетенции </w:t>
            </w: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br/>
              <w:t>(для программы "управление проектами")</w:t>
            </w:r>
          </w:p>
        </w:tc>
      </w:tr>
      <w:tr w:rsidR="00FB5565" w:rsidRPr="00FB5565" w:rsidTr="00A82338">
        <w:trPr>
          <w:trHeight w:val="405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/>
              </w:rPr>
              <w:t>Системные компетенции</w:t>
            </w:r>
          </w:p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рефлексировать (оценивать и перерабатывать) освоенные научные методы и способы деятельности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СК-2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предлагать концепции, модели, изобретать и использовать новые способы и инструменты профессиональной деятельности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СК-3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СК-4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повышать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СК-5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принимать управленческие решения, оценивать их возможные последствия и нести за них ответственность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СК-6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СК-7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Способен организовать многостороннюю (в том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числе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, межкультурную) коммуникацию и управлять ею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СК-8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вести профессиональную, в том числе, научно-исследовательскую деятельность в международной среде</w:t>
            </w:r>
            <w:proofErr w:type="gramEnd"/>
          </w:p>
        </w:tc>
      </w:tr>
      <w:tr w:rsidR="00FB5565" w:rsidRPr="00FB5565" w:rsidTr="00F35163">
        <w:trPr>
          <w:trHeight w:val="405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/>
              </w:rPr>
              <w:t>Профессиональные компетенции</w:t>
            </w:r>
          </w:p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D1778C">
        <w:trPr>
          <w:trHeight w:val="390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5.2.1. Социально-личностные компетенции</w:t>
            </w:r>
          </w:p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задавать, транслировать правовые и этические нормы в профессиональной и социальной деятельности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ПК-3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FB5565" w:rsidRPr="00FB5565" w:rsidTr="00FB5565">
        <w:trPr>
          <w:trHeight w:val="28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ПК-4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к осознанному выбору стратегий межличностного взаимодействия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ПК-5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транслировать нормы здорового образа жизни, увлекать своим примером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ПК-6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разрешать мировоззренческие, социально и личностно значимые проблемы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ПК-7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порождать принципиально новые идеи и продукты, обладает креативностью, инициативностью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ПК-9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</w:tr>
      <w:tr w:rsidR="00FB5565" w:rsidRPr="00FB5565" w:rsidTr="004A2922">
        <w:trPr>
          <w:trHeight w:val="435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5.2.2. Инструментальные компетенции </w:t>
            </w:r>
          </w:p>
        </w:tc>
      </w:tr>
      <w:tr w:rsidR="00FB5565" w:rsidRPr="00FB5565" w:rsidTr="00E034B3">
        <w:trPr>
          <w:trHeight w:val="288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lang w:eastAsia="ru-RU"/>
              </w:rPr>
              <w:t>научно-исследовательские и преподавательские:</w:t>
            </w: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lastRenderedPageBreak/>
              <w:t>ПК-10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Способность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идентифицировать и формулировать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задачи, возникающие в практике компаний, в области управления проектами, программами и портфелями проектов; критически анализировать и обобщать российские и международные работы в этой области</w:t>
            </w:r>
          </w:p>
        </w:tc>
      </w:tr>
      <w:tr w:rsidR="00FB5565" w:rsidRPr="00FB5565" w:rsidTr="00FB5565">
        <w:trPr>
          <w:trHeight w:val="259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выполнять исследования в области управления проектами и смежных областях, включая: 1) четко и лаконично ставить цели исследования, связанные с выявленными проблемами в теории или в приложении теории; 2) формировать реалистичные программы исследований, с учетом поставленных целей, заказчика исследования, доступных ресурсов и временных ограничений; 3) Определять данные, необходимые для выявления свойств исследуемого феномена;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4) Собирать,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анализировать и синтезировать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качественные и количественные данные из различных источников, включая полевые исследования и эксперименты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ПК-12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Способность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формулировать и проверять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научные гипотезы, выбирать и обосновывать инструментальные средства, критически оценивать и обосновывать полученные результаты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ПК-13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использовать методы количественного и качественного анализа и моделирования, теоретического и экспериментального исследования в управлении проектами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ПК-14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представить результаты исследований в виде научного доклада, научной статьи, пояснительной записки или устной презентации с использованием мультимедиа-средств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ПК-15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представить результаты исследований в материалах, которые можно использовать в обучении управлению проектами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ПК-16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развивать учебные программы и методологическую поддержку для обучения управлению проектами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ПК-17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преподавать управленческие дисциплины с использованием результатов научных исследований 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руководить научной работой студентов в сфере управления проектами</w:t>
            </w:r>
          </w:p>
        </w:tc>
      </w:tr>
      <w:tr w:rsidR="00FB5565" w:rsidRPr="00FB5565" w:rsidTr="004D09CF">
        <w:trPr>
          <w:trHeight w:val="288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lang w:eastAsia="ru-RU"/>
              </w:rPr>
              <w:t>управленческие и предпринимательские:</w:t>
            </w:r>
          </w:p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ПК-19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занять позицию проектного менеджера в малых и средних компаниях или позицию, связанную с управлением проектами, в крупных; готовность к продвижению на более высокие должности без существенного дополнительного обучения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выполнять работу в глобальном контексте, включая способности к работе в </w:t>
            </w:r>
            <w:proofErr w:type="spell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мультикультурных</w:t>
            </w:r>
            <w:proofErr w:type="spell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командах; старательно поддерживать высокие этические стандарты личного поведения и в команде</w:t>
            </w:r>
          </w:p>
        </w:tc>
      </w:tr>
      <w:tr w:rsidR="00FB5565" w:rsidRPr="00FB5565" w:rsidTr="00FB5565">
        <w:trPr>
          <w:trHeight w:val="144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lastRenderedPageBreak/>
              <w:t>ПК-21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управлять проектами в широком контексте, включая способности к управлению портфелем проектов для достижения стратегических целей компании, инициировать и планировать различные типы проектов, управлять проектными командами и эффективно взаимодействовать со всеми заинтересованными сторонами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ПК-22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Способен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развивать и внедрять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организационные структуры управления проектами на основе системного подхода, выбирать подходящий профессиональный стандарт или методологию в управлении проектами в соответствии с управленческой задачей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ПК-23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выявлять проблемы, с которыми компания может столкнуться в будущем, и выбирать инвестиционные проекты и решать задачи для преодоления этих проблем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ПК-24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производить финансовую оценку, планировать затраты и разрабатывать бюджет, моделировать денежные потоки, организовывать оптимальные программы финансирования проектов и программ</w:t>
            </w:r>
          </w:p>
        </w:tc>
      </w:tr>
      <w:tr w:rsidR="00FB5565" w:rsidRPr="00FB5565" w:rsidTr="00FB5565">
        <w:trPr>
          <w:trHeight w:val="86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ПК-25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Способен выбрать подходящий метод и математическую модель проекта, в </w:t>
            </w: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соответствии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с его целями, формировать расписание проекта и оптимизировать время его выполнения, в условиях ограниченных ресурсов</w:t>
            </w:r>
          </w:p>
        </w:tc>
      </w:tr>
      <w:tr w:rsidR="00FB5565" w:rsidRPr="00FB5565" w:rsidTr="00FB5565">
        <w:trPr>
          <w:trHeight w:val="97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ПК-26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отслеживать последние изменения в методах и инструментах управления проектами, овладевать выбранными методами; желание и способность участвовать в развитии новых проектных методов и инструментов</w:t>
            </w:r>
          </w:p>
        </w:tc>
      </w:tr>
      <w:tr w:rsidR="00FB5565" w:rsidRPr="00FB5565" w:rsidTr="004642E7">
        <w:trPr>
          <w:trHeight w:val="288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lang w:eastAsia="ru-RU"/>
              </w:rPr>
              <w:t>Консультационные:</w:t>
            </w:r>
          </w:p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FB5565" w:rsidRPr="00FB5565" w:rsidTr="00FB5565">
        <w:trPr>
          <w:trHeight w:val="11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ПК-27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      </w:r>
          </w:p>
        </w:tc>
      </w:tr>
      <w:tr w:rsidR="00FB5565" w:rsidRPr="00FB5565" w:rsidTr="00FB5565">
        <w:trPr>
          <w:trHeight w:val="5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 формировать проект консультационных работ в сфере управления проектами и управлять им</w:t>
            </w:r>
          </w:p>
        </w:tc>
      </w:tr>
      <w:tr w:rsidR="00FB5565" w:rsidRPr="00FB5565" w:rsidTr="00FB5565">
        <w:trPr>
          <w:trHeight w:val="876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ПК-29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565" w:rsidRPr="00FB5565" w:rsidRDefault="00FB5565" w:rsidP="00FB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</w:pPr>
            <w:proofErr w:type="gramStart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>Способен</w:t>
            </w:r>
            <w:proofErr w:type="gramEnd"/>
            <w:r w:rsidRPr="00FB5565">
              <w:rPr>
                <w:rFonts w:ascii="Calibri" w:eastAsia="Times New Roman" w:hAnsi="Calibri" w:cs="Times New Roman"/>
                <w:color w:val="000000"/>
                <w:kern w:val="0"/>
                <w:lang w:eastAsia="ru-RU"/>
              </w:rPr>
              <w:t xml:space="preserve"> представлять результаты проведенного исследования в виде отчета и презентации по консультационному проекту</w:t>
            </w:r>
          </w:p>
        </w:tc>
      </w:tr>
    </w:tbl>
    <w:p w:rsidR="00FB5565" w:rsidRDefault="00FB5565" w:rsidP="00301A55">
      <w:pPr>
        <w:keepNext/>
      </w:pPr>
    </w:p>
    <w:p w:rsidR="009E2A97" w:rsidRDefault="009E2A97" w:rsidP="009E2A97">
      <w:pPr>
        <w:pStyle w:val="2"/>
      </w:pPr>
      <w:r>
        <w:t>Особенности и конкурентные преимущества</w:t>
      </w:r>
    </w:p>
    <w:p w:rsidR="003B408B" w:rsidRDefault="003B408B" w:rsidP="00DA42C0">
      <w:pPr>
        <w:pStyle w:val="3"/>
      </w:pPr>
      <w:r>
        <w:t>а) Междисциплинарный подход</w:t>
      </w:r>
    </w:p>
    <w:p w:rsidR="003B408B" w:rsidRPr="003B408B" w:rsidRDefault="003B408B" w:rsidP="003B408B">
      <w:r>
        <w:t>Управление проектами предполагает тесные связи со стратегическим менеджментом (особенно при управлении программами и портфелями проектов), инвестициями, финансами, управлением персоналом и др.</w:t>
      </w:r>
      <w:r w:rsidR="00300E3A">
        <w:t xml:space="preserve"> Более того, управление подобными специальными проектами имеет ряд интересных особенностей.</w:t>
      </w:r>
      <w:r>
        <w:t xml:space="preserve"> Каждый студент может мягко специализироваться в этих областях с помощью выбора</w:t>
      </w:r>
      <w:r w:rsidR="00300E3A">
        <w:t xml:space="preserve"> определенных курсов и тем курсовой работы и магистерской диссертации.</w:t>
      </w:r>
    </w:p>
    <w:p w:rsidR="009E2A97" w:rsidRDefault="003B408B" w:rsidP="00DA42C0">
      <w:pPr>
        <w:pStyle w:val="3"/>
      </w:pPr>
      <w:r>
        <w:t>б</w:t>
      </w:r>
      <w:r w:rsidR="00DA42C0">
        <w:t xml:space="preserve">) </w:t>
      </w:r>
      <w:r w:rsidR="00E34774">
        <w:t>Экосистема НИУ ВШЭ</w:t>
      </w:r>
    </w:p>
    <w:p w:rsidR="006D4A00" w:rsidRDefault="00300E3A" w:rsidP="006D4A00">
      <w:r>
        <w:t>Студенты имеют возможность посещать бесплатные семинары</w:t>
      </w:r>
      <w:r w:rsidR="00392D15">
        <w:t xml:space="preserve"> и мастер-классы</w:t>
      </w:r>
      <w:r>
        <w:t xml:space="preserve"> Высшей школы управления проектами НИУ ВШЭ, на которых можно побеседовать с профессионалами-</w:t>
      </w:r>
      <w:r>
        <w:lastRenderedPageBreak/>
        <w:t>практиками в области управления проектами и познакомиться с их опытом.</w:t>
      </w:r>
      <w:r w:rsidR="00E34774">
        <w:t xml:space="preserve"> Кроме того, есть возможность посещать курсы других программ НИУ ВШЭ, а также</w:t>
      </w:r>
      <w:r w:rsidR="00236AB5">
        <w:t xml:space="preserve"> лекции приглашенных профессоров.</w:t>
      </w:r>
    </w:p>
    <w:p w:rsidR="00300E3A" w:rsidRDefault="00300E3A" w:rsidP="006D4A00">
      <w:r>
        <w:t>Выпускники нашей программы могут продолжить обучение в аспирантуре НИУ ВШЭ и защищать диссертацию в совете на факультете менеджмента НИУ ВШЭ. Аспиранты привлекаются к проведению различных практических занятий и научных семинаров, знакомя студентов с результатами своих исследований.</w:t>
      </w:r>
    </w:p>
    <w:p w:rsidR="00300E3A" w:rsidRDefault="00300E3A" w:rsidP="00300E3A">
      <w:pPr>
        <w:pStyle w:val="3"/>
      </w:pPr>
      <w:r>
        <w:t>в) Преподавательский состав</w:t>
      </w:r>
    </w:p>
    <w:p w:rsidR="00300E3A" w:rsidRPr="00300E3A" w:rsidRDefault="00300E3A" w:rsidP="00300E3A">
      <w:r>
        <w:t xml:space="preserve">Преподавателями кафедры являются известные специалисты исследователи и </w:t>
      </w:r>
      <w:r w:rsidR="00392D15">
        <w:t xml:space="preserve">известные </w:t>
      </w:r>
      <w:r>
        <w:t xml:space="preserve">практики в области управления проектами, которые кроме магистерской программы преподают также и в Высшей школе управления проектами НИУ ВШЭ (в </w:t>
      </w:r>
      <w:proofErr w:type="spellStart"/>
      <w:r>
        <w:t>т.ч</w:t>
      </w:r>
      <w:proofErr w:type="spellEnd"/>
      <w:r>
        <w:t xml:space="preserve">. в группах МВА), </w:t>
      </w:r>
      <w:proofErr w:type="gramStart"/>
      <w:r>
        <w:t>получая</w:t>
      </w:r>
      <w:proofErr w:type="gramEnd"/>
      <w:r>
        <w:t xml:space="preserve"> </w:t>
      </w:r>
      <w:r w:rsidR="00392D15">
        <w:t>таким образом новые данные об использовании инструментов и методов управления проектами в российских и международных компаниях, ведущих свою деятельность в России. Среди преподавателей есть выпускники магистерской программы, некоторые прошли защиту своих кандидатских и докторских диссертаций в НИУ ВШЭ.</w:t>
      </w:r>
    </w:p>
    <w:p w:rsidR="00DA42C0" w:rsidRDefault="00392D15" w:rsidP="00DA42C0">
      <w:pPr>
        <w:pStyle w:val="3"/>
      </w:pPr>
      <w:r>
        <w:t>г</w:t>
      </w:r>
      <w:r w:rsidR="00DA42C0">
        <w:t>) Вовлечение студентов в научную деятельность</w:t>
      </w:r>
    </w:p>
    <w:p w:rsidR="006D4A00" w:rsidRDefault="00392D15" w:rsidP="006D4A00">
      <w:r w:rsidRPr="00392D15">
        <w:t xml:space="preserve">Студенты с первого курса вовлекаются в научную деятельность, и лучшие работы представляются на международных научных </w:t>
      </w:r>
      <w:proofErr w:type="gramStart"/>
      <w:r w:rsidRPr="00392D15">
        <w:t>конференциях</w:t>
      </w:r>
      <w:proofErr w:type="gramEnd"/>
      <w:r w:rsidRPr="00392D15">
        <w:t xml:space="preserve"> по менеджменту и управлению проектами, которые проходят осенью и весной каждого года, на которых можно получить совет и неформально пообщаться с известными учеными и практиками в области проектного менеджмента. Наиболее интересные результаты публикуются в научном </w:t>
      </w:r>
      <w:proofErr w:type="gramStart"/>
      <w:r w:rsidRPr="00392D15">
        <w:t>журнале</w:t>
      </w:r>
      <w:proofErr w:type="gramEnd"/>
      <w:r w:rsidRPr="00392D15">
        <w:t xml:space="preserve"> «Российский журнал управления проектами», созданный по инициативе и при поддержке НИУ ВШЭ.</w:t>
      </w:r>
    </w:p>
    <w:p w:rsidR="00392D15" w:rsidRDefault="00392D15" w:rsidP="006D4A00">
      <w:r>
        <w:t xml:space="preserve">С первого курса программы начинается научный семинар, который позволяет получить компетенции, необходимые для проведения собственных исследований. Научный семинар </w:t>
      </w:r>
      <w:proofErr w:type="gramStart"/>
      <w:r>
        <w:t>длится два года и завершается</w:t>
      </w:r>
      <w:proofErr w:type="gramEnd"/>
      <w:r>
        <w:t xml:space="preserve"> предзащитой магистерских диссертаций.</w:t>
      </w:r>
    </w:p>
    <w:p w:rsidR="00392D15" w:rsidRPr="00273CF7" w:rsidRDefault="00392D15" w:rsidP="006D4A00">
      <w:r>
        <w:t xml:space="preserve">Преподаватели программы </w:t>
      </w:r>
      <w:proofErr w:type="gramStart"/>
      <w:r>
        <w:t>ведут собственные научные исследования и привлекают</w:t>
      </w:r>
      <w:proofErr w:type="gramEnd"/>
      <w:r>
        <w:t xml:space="preserve"> студентов к такой работе, вместе с аспирантами.</w:t>
      </w:r>
    </w:p>
    <w:p w:rsidR="00E34774" w:rsidRDefault="00E34774" w:rsidP="00E34774">
      <w:pPr>
        <w:pStyle w:val="3"/>
      </w:pPr>
      <w:r>
        <w:t>д) Международная интеграция</w:t>
      </w:r>
    </w:p>
    <w:p w:rsidR="00E34774" w:rsidRDefault="00E34774" w:rsidP="006D4A00">
      <w:r>
        <w:t>Программа удовлетворяет международным и национальным стандартам по управлению проектами, в частности: стандарт</w:t>
      </w:r>
      <w:r w:rsidR="009D7931">
        <w:t>ам</w:t>
      </w:r>
      <w:r>
        <w:t xml:space="preserve"> по управлению проектами, программами и портфелями </w:t>
      </w:r>
      <w:r w:rsidR="009D7931">
        <w:t xml:space="preserve">проектов </w:t>
      </w:r>
      <w:r>
        <w:t xml:space="preserve">американского института </w:t>
      </w:r>
      <w:r>
        <w:rPr>
          <w:lang w:val="en-US"/>
        </w:rPr>
        <w:t>PMI</w:t>
      </w:r>
      <w:r>
        <w:t xml:space="preserve">; требования к компетенциям </w:t>
      </w:r>
      <w:r>
        <w:rPr>
          <w:lang w:val="en-US"/>
        </w:rPr>
        <w:t>IMPA</w:t>
      </w:r>
      <w:r w:rsidRPr="00E34774">
        <w:t xml:space="preserve"> (</w:t>
      </w:r>
      <w:r w:rsidR="009D7931">
        <w:t>СОВНЕТ</w:t>
      </w:r>
      <w:r w:rsidRPr="00E34774">
        <w:t>)</w:t>
      </w:r>
      <w:r>
        <w:t xml:space="preserve">; </w:t>
      </w:r>
      <w:r>
        <w:rPr>
          <w:lang w:val="en-US"/>
        </w:rPr>
        <w:t>PRINCE</w:t>
      </w:r>
      <w:r w:rsidRPr="00E34774">
        <w:t xml:space="preserve">2; </w:t>
      </w:r>
      <w:r>
        <w:rPr>
          <w:lang w:val="en-US"/>
        </w:rPr>
        <w:t>P</w:t>
      </w:r>
      <w:r w:rsidRPr="00E34774">
        <w:t>2</w:t>
      </w:r>
      <w:r>
        <w:rPr>
          <w:lang w:val="en-US"/>
        </w:rPr>
        <w:t>M</w:t>
      </w:r>
      <w:r>
        <w:t xml:space="preserve"> и др.</w:t>
      </w:r>
    </w:p>
    <w:p w:rsidR="00E34774" w:rsidRDefault="00E34774" w:rsidP="006D4A00">
      <w:r>
        <w:t xml:space="preserve">Каждый студент должен набрать не менее 6 кредитов курсов, читаемых на </w:t>
      </w:r>
      <w:proofErr w:type="gramStart"/>
      <w:r>
        <w:t>английском</w:t>
      </w:r>
      <w:proofErr w:type="gramEnd"/>
      <w:r>
        <w:t xml:space="preserve"> языке, для успешного завершения обучения. В программе и на факультете есть постоянно расширяющийся список англоязычных курсов.</w:t>
      </w:r>
    </w:p>
    <w:p w:rsidR="00E34774" w:rsidRPr="00E34774" w:rsidRDefault="00E34774" w:rsidP="006D4A00">
      <w:r>
        <w:t xml:space="preserve">На втором году обучения у студентов есть возможность продолжить обучение за рубежом в </w:t>
      </w:r>
      <w:proofErr w:type="gramStart"/>
      <w:r>
        <w:t>бизнес-школах</w:t>
      </w:r>
      <w:proofErr w:type="gramEnd"/>
      <w:r>
        <w:t xml:space="preserve">: </w:t>
      </w:r>
      <w:proofErr w:type="gramStart"/>
      <w:r>
        <w:rPr>
          <w:lang w:val="en-US"/>
        </w:rPr>
        <w:t>ESCP</w:t>
      </w:r>
      <w:r w:rsidRPr="00E34774">
        <w:t xml:space="preserve">, </w:t>
      </w:r>
      <w:r>
        <w:rPr>
          <w:lang w:val="en-US"/>
        </w:rPr>
        <w:t>Lancaster</w:t>
      </w:r>
      <w:r w:rsidRPr="00E34774">
        <w:t xml:space="preserve"> </w:t>
      </w:r>
      <w:r>
        <w:t>и др.</w:t>
      </w:r>
      <w:proofErr w:type="gramEnd"/>
    </w:p>
    <w:p w:rsidR="00E34774" w:rsidRPr="00E34774" w:rsidRDefault="00E34774" w:rsidP="006D4A00">
      <w:r>
        <w:t>Во всех курсах используются современные научные статьи и другие материалы на английском языке.</w:t>
      </w:r>
    </w:p>
    <w:p w:rsidR="00DA42C0" w:rsidRDefault="00E34774" w:rsidP="00DA42C0">
      <w:pPr>
        <w:pStyle w:val="3"/>
      </w:pPr>
      <w:r>
        <w:t>е</w:t>
      </w:r>
      <w:r w:rsidR="00DA42C0">
        <w:t>) Инновационные методы обучения</w:t>
      </w:r>
    </w:p>
    <w:p w:rsidR="00C517DE" w:rsidRPr="009F05E1" w:rsidRDefault="00C517DE" w:rsidP="00C517DE">
      <w:r>
        <w:t>Большинство курсов программ</w:t>
      </w:r>
      <w:r w:rsidR="009D7931">
        <w:t>ы</w:t>
      </w:r>
      <w:r>
        <w:t xml:space="preserve"> являются авторскими и уникальными на российском </w:t>
      </w:r>
      <w:proofErr w:type="gramStart"/>
      <w:r>
        <w:t>пространстве</w:t>
      </w:r>
      <w:proofErr w:type="gramEnd"/>
      <w:r>
        <w:t xml:space="preserve">, что </w:t>
      </w:r>
      <w:r w:rsidR="009D7931">
        <w:t>связано с</w:t>
      </w:r>
      <w:r>
        <w:t xml:space="preserve"> внедрением в учебный процесс результатов последних исследований</w:t>
      </w:r>
      <w:r w:rsidR="009D7931">
        <w:t xml:space="preserve"> </w:t>
      </w:r>
      <w:r w:rsidR="009D7931">
        <w:lastRenderedPageBreak/>
        <w:t>в данной области</w:t>
      </w:r>
      <w:r>
        <w:t>, проводимых преподавателями-исследователями, а также уникального личного опыта преподавателей-практиков.</w:t>
      </w:r>
    </w:p>
    <w:p w:rsidR="006D4A00" w:rsidRPr="006D4A00" w:rsidRDefault="00236AB5" w:rsidP="006D4A00">
      <w:r>
        <w:t>При проведении курсов широко используются современные информационные технологии: проектор, компьютерные классы, электронная система поддержки обучения (</w:t>
      </w:r>
      <w:r>
        <w:rPr>
          <w:lang w:val="en-US"/>
        </w:rPr>
        <w:t>LMS</w:t>
      </w:r>
      <w:r>
        <w:t>). Большинство курсов предполагает работу в команде, разбор кейсов и др.</w:t>
      </w:r>
    </w:p>
    <w:p w:rsidR="00DA42C0" w:rsidRDefault="00E34774" w:rsidP="00DA42C0">
      <w:pPr>
        <w:pStyle w:val="3"/>
      </w:pPr>
      <w:r>
        <w:t>ж</w:t>
      </w:r>
      <w:r w:rsidR="00DA42C0">
        <w:t>) Связи с бизнесом</w:t>
      </w:r>
    </w:p>
    <w:p w:rsidR="006D4A00" w:rsidRPr="006D4A00" w:rsidRDefault="00B07A19" w:rsidP="006D4A00">
      <w:r>
        <w:t xml:space="preserve">Программа имеет прочные связи с российскими консалтинговыми компаниями, работающими в области управления проектами, представители которых регулярно участвуют в семинарах и конференциях, </w:t>
      </w:r>
      <w:proofErr w:type="gramStart"/>
      <w:r>
        <w:t>предоставляют студентам возможность пройти практику и после окончания магистратуры принимают</w:t>
      </w:r>
      <w:proofErr w:type="gramEnd"/>
      <w:r>
        <w:t xml:space="preserve"> на работу. Компания ПМ СОФТ </w:t>
      </w:r>
      <w:proofErr w:type="gramStart"/>
      <w:r>
        <w:t xml:space="preserve">поставляет последние версии системы автоматизации управления проектами </w:t>
      </w:r>
      <w:r>
        <w:rPr>
          <w:lang w:val="en-US"/>
        </w:rPr>
        <w:t>Oracle</w:t>
      </w:r>
      <w:r w:rsidRPr="004D2A4B">
        <w:t xml:space="preserve"> </w:t>
      </w:r>
      <w:r>
        <w:rPr>
          <w:lang w:val="en-US"/>
        </w:rPr>
        <w:t>Primavera</w:t>
      </w:r>
      <w:r>
        <w:t xml:space="preserve"> для проведения обучения и проводит</w:t>
      </w:r>
      <w:proofErr w:type="gramEnd"/>
      <w:r>
        <w:t xml:space="preserve"> сертификацию знаний студентов по этой системе. </w:t>
      </w:r>
      <w:r w:rsidR="0071289E">
        <w:t>Также есть связи с крупными компаниями.</w:t>
      </w:r>
    </w:p>
    <w:p w:rsidR="009E2A97" w:rsidRDefault="009E2A97" w:rsidP="009E2A97">
      <w:pPr>
        <w:pStyle w:val="2"/>
      </w:pPr>
      <w:r>
        <w:t>Структура и учебный план</w:t>
      </w:r>
    </w:p>
    <w:p w:rsidR="009E2A97" w:rsidRDefault="006A6556" w:rsidP="009E2A97">
      <w:r>
        <w:t xml:space="preserve">Структура программы предполагает серьезные знания базовых дисциплин по менеджменту на </w:t>
      </w:r>
      <w:proofErr w:type="gramStart"/>
      <w:r>
        <w:t>уровне</w:t>
      </w:r>
      <w:proofErr w:type="gramEnd"/>
      <w:r>
        <w:t xml:space="preserve"> бакалаврского стандарта, включая управление проектами. Поэтому программа содержит продвинутые курсы по управлению проектами, направленных на обеспечение студентов заявленными компетенциями. Ядро программы – это </w:t>
      </w:r>
      <w:r w:rsidR="0065765D">
        <w:t>шесть обязательных курсов и научный семинар (все остальные являются курсами по выбору студента):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 xml:space="preserve">Методология научных исследований в </w:t>
      </w:r>
      <w:proofErr w:type="gramStart"/>
      <w:r w:rsidRPr="0065765D">
        <w:t>менеджменте</w:t>
      </w:r>
      <w:proofErr w:type="gramEnd"/>
      <w:r w:rsidRPr="0065765D">
        <w:t>: История и методология управления проектами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 xml:space="preserve">Стратегии в менеджменте: </w:t>
      </w:r>
      <w:proofErr w:type="gramStart"/>
      <w:r w:rsidRPr="0065765D">
        <w:t>Стратегическое</w:t>
      </w:r>
      <w:proofErr w:type="gramEnd"/>
      <w:r w:rsidRPr="0065765D">
        <w:t xml:space="preserve"> управление портфелем проектов и программой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>Математические модели и методы научных исследований в управлении проектами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>Теория инвестиционного анализа и финансирования проектов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>Прогнозирование и моделирование рисков проекта</w:t>
      </w:r>
    </w:p>
    <w:p w:rsidR="0065765D" w:rsidRPr="0065765D" w:rsidRDefault="0065765D" w:rsidP="0065765D">
      <w:pPr>
        <w:pStyle w:val="ac"/>
        <w:numPr>
          <w:ilvl w:val="0"/>
          <w:numId w:val="5"/>
        </w:numPr>
      </w:pPr>
      <w:r w:rsidRPr="0065765D">
        <w:t>Системы, процессы и инструменты управления проектами</w:t>
      </w:r>
    </w:p>
    <w:p w:rsidR="006A6556" w:rsidRDefault="006A6556" w:rsidP="009E2A97">
      <w:r>
        <w:t>Другая часть программы</w:t>
      </w:r>
      <w:r w:rsidR="0065765D">
        <w:t xml:space="preserve"> (вариативная)</w:t>
      </w:r>
      <w:r>
        <w:t xml:space="preserve"> сконцентрирована на </w:t>
      </w:r>
      <w:proofErr w:type="gramStart"/>
      <w:r>
        <w:t>изучении</w:t>
      </w:r>
      <w:proofErr w:type="gramEnd"/>
      <w:r>
        <w:t xml:space="preserve"> </w:t>
      </w:r>
      <w:r w:rsidR="00667B73">
        <w:t xml:space="preserve">проблемных областей, в которых студент будет специализироваться. Тематические курсы раскрывают отдельные аспекты этих областей. Международные аспекты вводятся в </w:t>
      </w:r>
      <w:proofErr w:type="gramStart"/>
      <w:r w:rsidR="00667B73">
        <w:t>каждом</w:t>
      </w:r>
      <w:proofErr w:type="gramEnd"/>
      <w:r w:rsidR="00667B73">
        <w:t xml:space="preserve"> курсе и основательно изучаются в курсах: «Управление инновационным</w:t>
      </w:r>
      <w:r w:rsidR="009D7931">
        <w:t xml:space="preserve"> проектом</w:t>
      </w:r>
      <w:r w:rsidR="00667B73">
        <w:t xml:space="preserve">» и «Развитие компетенций в </w:t>
      </w:r>
      <w:proofErr w:type="gramStart"/>
      <w:r w:rsidR="00667B73">
        <w:t>управлении</w:t>
      </w:r>
      <w:proofErr w:type="gramEnd"/>
      <w:r w:rsidR="00667B73">
        <w:t xml:space="preserve"> проектами».</w:t>
      </w:r>
      <w:r w:rsidR="0065765D">
        <w:t xml:space="preserve"> Учебный план представлен в табл.1.</w:t>
      </w:r>
    </w:p>
    <w:p w:rsidR="00314AE7" w:rsidRDefault="00314AE7" w:rsidP="00314AE7">
      <w:pPr>
        <w:pStyle w:val="ad"/>
        <w:keepNext/>
      </w:pPr>
      <w:r>
        <w:t xml:space="preserve">Таблица </w:t>
      </w:r>
      <w:r w:rsidR="00AA0EB8">
        <w:fldChar w:fldCharType="begin"/>
      </w:r>
      <w:r w:rsidR="00AA0EB8">
        <w:instrText xml:space="preserve"> SEQ Таблица \* ARABIC </w:instrText>
      </w:r>
      <w:r w:rsidR="00AA0EB8">
        <w:fldChar w:fldCharType="separate"/>
      </w:r>
      <w:r w:rsidR="0065765D">
        <w:rPr>
          <w:noProof/>
        </w:rPr>
        <w:t>1</w:t>
      </w:r>
      <w:r w:rsidR="00AA0EB8">
        <w:rPr>
          <w:noProof/>
        </w:rPr>
        <w:fldChar w:fldCharType="end"/>
      </w:r>
      <w:r>
        <w:t xml:space="preserve">. </w:t>
      </w:r>
      <w:r w:rsidR="00CB3314">
        <w:t xml:space="preserve">Базовый учебный </w:t>
      </w:r>
      <w:r>
        <w:t>план</w:t>
      </w:r>
      <w:r w:rsidR="00CB3314">
        <w:t xml:space="preserve">. </w:t>
      </w:r>
      <w:r w:rsidR="00CB3314" w:rsidRPr="00CB3314">
        <w:t>Годы обучения: 2017/2018 учебный год - 2018/2019 учебный год</w:t>
      </w:r>
      <w:bookmarkStart w:id="0" w:name="_GoBack"/>
      <w:bookmarkEnd w:id="0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56"/>
        <w:gridCol w:w="5474"/>
        <w:gridCol w:w="1635"/>
        <w:gridCol w:w="1635"/>
      </w:tblGrid>
      <w:tr w:rsidR="00CB3314" w:rsidRPr="00CB3314" w:rsidTr="00CB3314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Код цикла, № </w:t>
            </w:r>
            <w:proofErr w:type="gramStart"/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Трудоемкость в </w:t>
            </w:r>
            <w:proofErr w:type="gramStart"/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часах</w:t>
            </w:r>
            <w:proofErr w:type="gramEnd"/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Трудоемкость в зачетных </w:t>
            </w:r>
            <w:proofErr w:type="gramStart"/>
            <w:r w:rsidRPr="00CB3314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единицах</w:t>
            </w:r>
            <w:proofErr w:type="gramEnd"/>
          </w:p>
        </w:tc>
      </w:tr>
      <w:tr w:rsidR="00CB3314" w:rsidRPr="00CB3314" w:rsidTr="00CB3314">
        <w:trPr>
          <w:trHeight w:val="55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B3314" w:rsidRPr="00CB3314" w:rsidTr="00CB3314">
        <w:trPr>
          <w:trHeight w:val="55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Вся образовательная программа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120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Адаптационные дисциплины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Эконометрика * 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проектами * 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Цикл общих дисциплин направления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B3314" w:rsidRPr="00CB3314" w:rsidTr="00CB331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Методология научных исследований в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менеджменте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: Математические модели и методы научных исследований в управлении проектами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Стратегии в менеджменте: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Стратегическое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управление портфелем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Цикл дисциплин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ИТ-проектами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История и методология управления проектами ****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Системы, процессы и инструменты управления проектами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трансформационными программами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Теория инвестиционного анализа и финансирования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Прогнозирование и моделирование рисков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23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Выбор дисциплин (общий пул дисциплин факультета) (3 из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Системная динамик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а(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Маркетинговые коммуникации в Интернете и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новых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медиа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Бренд-менеджмент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инновационным проекто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Развитие компетенций в управлении проектам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и(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командой проект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а(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потребительским опыто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Маркетинг в индустрии впечатлений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Теория и практика управленческого консультирования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Командообразование</w:t>
            </w:r>
            <w:proofErr w:type="spell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и методы групповой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Маркетинг</w:t>
            </w: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 xml:space="preserve"> business-to business (B2B)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Практика управления портфелем бизнесов компании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Кросс-культурный менеджмен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т(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Маркетинг и </w:t>
            </w:r>
            <w:proofErr w:type="spell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брендинг</w:t>
            </w:r>
            <w:proofErr w:type="spell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Межпрограммный пул 1 (1 из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Консалтинг в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управлении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проектами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Стратегический менеджмент знаний и инноваций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знаниями в организации 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Управление инжиниринговыми проектами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Межпрограммный пул 2 (1 из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Финансовый анализ проектов и программ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Лидерство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Международные стратегические альянс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ы(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преподается на английском языке)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Дисциплина по выбору из общеуниверситетского пула "МАГО-ЛЕГО"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Научно-исследовательская практика *****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Научно-исследовательский семинар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Научно-исследовательский семинар "Методология научного исследования"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Научно-исследовательский семинар "Научно-исследовательский проект"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Научно-исследовательский семинар (1 из 2) (1 из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Научно-исследовательский семинар "Проблемы теории и методологии управления проектами"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Научно-исследовательский семинар "Проблемы моделирования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инновационных</w:t>
            </w:r>
            <w:proofErr w:type="gramEnd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бизнес-проектов"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B3314" w:rsidRPr="00CB3314" w:rsidTr="00CB3314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Подготовка выпускной квалификационной работы (магистерской диссертации)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B3314" w:rsidRPr="00CB3314" w:rsidTr="00CB331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</w:tbl>
    <w:p w:rsidR="00CB3314" w:rsidRDefault="00CB3314" w:rsidP="009E2A97"/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790"/>
        <w:gridCol w:w="5852"/>
        <w:gridCol w:w="1539"/>
        <w:gridCol w:w="1540"/>
      </w:tblGrid>
      <w:tr w:rsidR="00CB3314" w:rsidRPr="00CB3314" w:rsidTr="00CB3314">
        <w:trPr>
          <w:trHeight w:val="2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Кредиты учитываются только в кумулятивном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рейтинге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CB3314" w:rsidRPr="00CB3314" w:rsidTr="00CB3314">
        <w:trPr>
          <w:trHeight w:val="2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CB3314" w:rsidRPr="00CB3314" w:rsidTr="00CB3314">
        <w:trPr>
          <w:trHeight w:val="2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4 часа лекций проводятся в онлайн </w:t>
            </w:r>
            <w:proofErr w:type="gramStart"/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формате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CB3314" w:rsidRPr="00CB3314" w:rsidTr="00CB3314">
        <w:trPr>
          <w:trHeight w:val="2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На первом году обучения 8 часов самостоятельной работы проводятся в онлайн формате</w:t>
            </w:r>
          </w:p>
        </w:tc>
      </w:tr>
      <w:tr w:rsidR="00CB3314" w:rsidRPr="00CB3314" w:rsidTr="00CB3314">
        <w:trPr>
          <w:trHeight w:val="2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B331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Практика проходит с 09 января 2019 г. по 10 марта 2019 г.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4" w:rsidRPr="00CB3314" w:rsidRDefault="00CB3314" w:rsidP="00CB33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B3314" w:rsidRDefault="00CB3314" w:rsidP="009E2A97"/>
    <w:p w:rsidR="009E2A97" w:rsidRDefault="009E2A97" w:rsidP="009E2A97">
      <w:pPr>
        <w:pStyle w:val="2"/>
      </w:pPr>
      <w:r>
        <w:t>Сфера профессиональной деятельности выпускников</w:t>
      </w:r>
    </w:p>
    <w:p w:rsidR="0071289E" w:rsidRDefault="0071289E" w:rsidP="0071289E">
      <w:r>
        <w:t xml:space="preserve">Можно утверждать, что выпускники программы будут обладать высокими конкурентными качествами на </w:t>
      </w:r>
      <w:proofErr w:type="gramStart"/>
      <w:r>
        <w:t>рынке</w:t>
      </w:r>
      <w:proofErr w:type="gramEnd"/>
      <w:r>
        <w:t xml:space="preserve"> труда и будут востребованы в различных секторах экономики. Это:</w:t>
      </w:r>
    </w:p>
    <w:p w:rsidR="0071289E" w:rsidRDefault="0071289E" w:rsidP="0071289E">
      <w:pPr>
        <w:pStyle w:val="ac"/>
        <w:numPr>
          <w:ilvl w:val="0"/>
          <w:numId w:val="8"/>
        </w:numPr>
        <w:spacing w:after="200" w:line="276" w:lineRule="auto"/>
      </w:pPr>
      <w:r>
        <w:t>Консалтинговые компании, занимающиеся внедрением проектной методологии управления в компаниях;</w:t>
      </w:r>
    </w:p>
    <w:p w:rsidR="0071289E" w:rsidRDefault="0071289E" w:rsidP="0071289E">
      <w:pPr>
        <w:pStyle w:val="ac"/>
        <w:numPr>
          <w:ilvl w:val="0"/>
          <w:numId w:val="8"/>
        </w:numPr>
        <w:spacing w:after="200" w:line="276" w:lineRule="auto"/>
      </w:pPr>
      <w:r>
        <w:t xml:space="preserve">крупные вертикально-интегрированные компании и холдинги в энергетическом, нефтегазовом, машиностроительном и высокотехнологичных секторах национальной экономики; </w:t>
      </w:r>
    </w:p>
    <w:p w:rsidR="0071289E" w:rsidRDefault="0071289E" w:rsidP="0071289E">
      <w:pPr>
        <w:pStyle w:val="ac"/>
        <w:numPr>
          <w:ilvl w:val="0"/>
          <w:numId w:val="8"/>
        </w:numPr>
        <w:spacing w:after="200" w:line="276" w:lineRule="auto"/>
      </w:pPr>
      <w:r>
        <w:t>средние и малые производственные предприятия других отраслей и торговли – компании этого типа вынуждены иметь специалистов комплексного профиля, способных одновременно решать задачи из разных областей.</w:t>
      </w:r>
    </w:p>
    <w:p w:rsidR="0071289E" w:rsidRDefault="0071289E" w:rsidP="0071289E">
      <w:r>
        <w:t xml:space="preserve">Более конкретно речь идет о подготовке менеджеров различных уровней широкого круга проектов: как по реализации отдельных проектных решений и комплексных проектов, объединяющих усилия многих участников, использующих ресурсы различных видов, так и проектов, представляющих </w:t>
      </w:r>
      <w:proofErr w:type="gramStart"/>
      <w:r>
        <w:t>бизнес-направления</w:t>
      </w:r>
      <w:proofErr w:type="gramEnd"/>
      <w:r>
        <w:t xml:space="preserve"> вертикально-интегрированных компаний</w:t>
      </w:r>
    </w:p>
    <w:p w:rsidR="0071289E" w:rsidRDefault="0071289E" w:rsidP="0071289E">
      <w:pPr>
        <w:pStyle w:val="ac"/>
        <w:numPr>
          <w:ilvl w:val="0"/>
          <w:numId w:val="7"/>
        </w:numPr>
        <w:spacing w:after="200" w:line="276" w:lineRule="auto"/>
      </w:pPr>
      <w:r>
        <w:t>венчурные фонды и фонды прямых инвестиций</w:t>
      </w:r>
    </w:p>
    <w:p w:rsidR="0071289E" w:rsidRDefault="0071289E" w:rsidP="0071289E">
      <w:r>
        <w:lastRenderedPageBreak/>
        <w:t>Для названных фондов выпускники программы интересны умением оценивать риски и бизнес-планы, определять секторы, регионы и параметры инвестирования, схемы венчурного инвестирования и выхода из проектов.</w:t>
      </w:r>
    </w:p>
    <w:p w:rsidR="0071289E" w:rsidRDefault="0071289E" w:rsidP="0071289E">
      <w:pPr>
        <w:pStyle w:val="ac"/>
        <w:numPr>
          <w:ilvl w:val="0"/>
          <w:numId w:val="6"/>
        </w:numPr>
        <w:spacing w:after="200" w:line="276" w:lineRule="auto"/>
      </w:pPr>
      <w:r>
        <w:t xml:space="preserve">инновационные предприятия, в том числе в составе технопарков, региональных внедренческих научно-технических зон и </w:t>
      </w:r>
      <w:proofErr w:type="spellStart"/>
      <w:r>
        <w:t>наукоградов</w:t>
      </w:r>
      <w:proofErr w:type="spellEnd"/>
      <w:r>
        <w:t xml:space="preserve">. </w:t>
      </w:r>
    </w:p>
    <w:p w:rsidR="0071289E" w:rsidRDefault="0071289E" w:rsidP="0071289E">
      <w:proofErr w:type="gramStart"/>
      <w:r>
        <w:t>Очевидна потребность в выпускниках программы создающихся и функционирующих научно-технических и внедренческих зон, где они могут выполнять различные функции и занимать различные должности, в том числе руководителей организаций, директоров департаментов и менеджеров по коммерциализации изобретений, оценке проектов и бизнес-планированию, связям с инвесторами.</w:t>
      </w:r>
      <w:proofErr w:type="gramEnd"/>
    </w:p>
    <w:p w:rsidR="00314AE7" w:rsidRDefault="00314AE7" w:rsidP="009E2A97">
      <w:pPr>
        <w:sectPr w:rsidR="00314AE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AE7" w:rsidRDefault="00314AE7" w:rsidP="00314AE7">
      <w:pPr>
        <w:pStyle w:val="ad"/>
        <w:keepNext/>
      </w:pPr>
      <w:r>
        <w:lastRenderedPageBreak/>
        <w:t xml:space="preserve">Таблица </w:t>
      </w:r>
      <w:r w:rsidR="00AA0EB8">
        <w:fldChar w:fldCharType="begin"/>
      </w:r>
      <w:r w:rsidR="00AA0EB8">
        <w:instrText xml:space="preserve"> SEQ Таблица \* ARABIC </w:instrText>
      </w:r>
      <w:r w:rsidR="00AA0EB8">
        <w:fldChar w:fldCharType="separate"/>
      </w:r>
      <w:r w:rsidR="0065765D">
        <w:rPr>
          <w:noProof/>
        </w:rPr>
        <w:t>2</w:t>
      </w:r>
      <w:r w:rsidR="00AA0EB8">
        <w:rPr>
          <w:noProof/>
        </w:rPr>
        <w:fldChar w:fldCharType="end"/>
      </w:r>
      <w:r>
        <w:t xml:space="preserve">. </w:t>
      </w:r>
      <w:r w:rsidR="0060687E">
        <w:t>Соответствие</w:t>
      </w:r>
      <w:r>
        <w:t xml:space="preserve"> компетенций курсам программы</w:t>
      </w:r>
    </w:p>
    <w:tbl>
      <w:tblPr>
        <w:tblW w:w="4892" w:type="pct"/>
        <w:tblLook w:val="04A0" w:firstRow="1" w:lastRow="0" w:firstColumn="1" w:lastColumn="0" w:noHBand="0" w:noVBand="1"/>
      </w:tblPr>
      <w:tblGrid>
        <w:gridCol w:w="1541"/>
        <w:gridCol w:w="380"/>
        <w:gridCol w:w="380"/>
        <w:gridCol w:w="380"/>
        <w:gridCol w:w="380"/>
        <w:gridCol w:w="380"/>
        <w:gridCol w:w="380"/>
        <w:gridCol w:w="380"/>
        <w:gridCol w:w="38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31F0B" w:rsidRPr="0094195E" w:rsidTr="00531F0B">
        <w:trPr>
          <w:cantSplit/>
          <w:trHeight w:val="450"/>
          <w:tblHeader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4"/>
                <w:szCs w:val="26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b/>
                <w:bCs/>
                <w:color w:val="1F497D"/>
                <w:sz w:val="14"/>
                <w:szCs w:val="26"/>
                <w:lang w:eastAsia="ru-RU"/>
              </w:rPr>
              <w:t>Структура ООП</w:t>
            </w:r>
          </w:p>
        </w:tc>
        <w:tc>
          <w:tcPr>
            <w:tcW w:w="28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Системные компетенции</w:t>
            </w:r>
          </w:p>
        </w:tc>
        <w:tc>
          <w:tcPr>
            <w:tcW w:w="10961" w:type="dxa"/>
            <w:gridSpan w:val="2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Профессиональные компетенции</w:t>
            </w:r>
          </w:p>
        </w:tc>
      </w:tr>
      <w:tr w:rsidR="00531F0B" w:rsidRPr="0094195E" w:rsidTr="00531F0B">
        <w:trPr>
          <w:cantSplit/>
          <w:trHeight w:val="450"/>
          <w:tblHeader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14"/>
                <w:szCs w:val="26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СК-8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ПК-3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ПК-4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ПК-6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ПК-7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ПК-19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</w:pPr>
            <w:r w:rsidRPr="0094195E">
              <w:rPr>
                <w:rFonts w:ascii="Calibri" w:eastAsia="Times New Roman" w:hAnsi="Calibri" w:cs="Times New Roman"/>
                <w:color w:val="000000"/>
                <w:sz w:val="12"/>
                <w:lang w:eastAsia="ru-RU"/>
              </w:rPr>
              <w:t>ПК-29</w:t>
            </w:r>
          </w:p>
        </w:tc>
      </w:tr>
      <w:tr w:rsidR="00CB3314" w:rsidRPr="0094195E" w:rsidTr="00531F0B">
        <w:trPr>
          <w:cantSplit/>
          <w:trHeight w:val="40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  <w:t>Цикл общих дисциплин направления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1. История и методология управления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816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 Математические модели и методы научных исследований в управлении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3. 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Стратегическое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управление портфелем проектов и программой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31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  <w:t>Цикл дисциплин программы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276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1.</w:t>
            </w:r>
            <w:r w:rsidRPr="00941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  <w:t>        Базовая часть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1.1. Теория инвестиционного анализа и финансирования проектов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1.2.  Системы, процессы и инструменты управления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78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1.3.  Прогнозирование и моделирование рисков проекта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276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  <w:t>2. Вариативная часть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26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2.1. Выбор дисциплин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70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2.1.1. Методы поиска нестандартных проектных решений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2.1.2. Управление трансформационными программами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lastRenderedPageBreak/>
              <w:t>2.2.3. Управление венчурными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43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2.2.4. Управление IT-проектами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6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Управление проектами в культуре (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изучена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английском языке)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26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2.2. Выбор дисциплин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2.3.1. Консалтинг в 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управлении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4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2.3.2. 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Гибкое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управление проектами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47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2.3.3. Финансовый анализ проектов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2.4. Выбор дисциплин (общий пул факультета)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75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Управление инвестиционным проектом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88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Управление инновационным проектом (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изучена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английском языке)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91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Развитие компетенций в управлении проектами (</w:t>
            </w:r>
            <w:proofErr w:type="gramStart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изучена</w:t>
            </w:r>
            <w:proofErr w:type="gramEnd"/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английском языке)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6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Управление проектами в индустрии гостеприимства и туризме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ru-RU"/>
              </w:rPr>
              <w:lastRenderedPageBreak/>
              <w:t>Практика, научно-исследовательская работа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72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3. Курсовая работа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</w:tr>
      <w:tr w:rsidR="00531F0B" w:rsidRPr="0094195E" w:rsidTr="00531F0B">
        <w:trPr>
          <w:cantSplit/>
          <w:trHeight w:val="26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4. Практики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76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4.1. Научно-исследовательская практика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 Научно-исследовательский семинар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6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5.1. Научный семинар "Методология научного исследования"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27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5.2. Выбор: 1 из 2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109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5.2.1. Научный семинар "Проблемы стратегического управления портфелями проектов и программами"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8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5.2.2. Научный семинар "Проблемы теории и методологии управления проектами"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5.3. Научный семинар "Методология научного исследования"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56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5.4. Научный семинар "Научно-исследовательский проект"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CB3314" w:rsidRPr="0094195E" w:rsidTr="00531F0B">
        <w:trPr>
          <w:cantSplit/>
          <w:trHeight w:val="112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ru-RU"/>
              </w:rPr>
              <w:t>Итоговая государственная аттестация, в том числе подготовка и защита выпускной квалификационной работы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</w:tr>
      <w:tr w:rsidR="00531F0B" w:rsidRPr="0094195E" w:rsidTr="00531F0B">
        <w:trPr>
          <w:cantSplit/>
          <w:trHeight w:val="91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lastRenderedPageBreak/>
              <w:t>Подготовка и защита выпускной квалификационной работы (магистерской диссертации)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0B" w:rsidRPr="0094195E" w:rsidRDefault="00531F0B" w:rsidP="0053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X</w:t>
            </w:r>
          </w:p>
        </w:tc>
      </w:tr>
    </w:tbl>
    <w:p w:rsidR="009E2A97" w:rsidRPr="009E2A97" w:rsidRDefault="009E2A97" w:rsidP="0018735A"/>
    <w:sectPr w:rsidR="009E2A97" w:rsidRPr="009E2A97" w:rsidSect="0018735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B8" w:rsidRDefault="00AA0EB8" w:rsidP="00A3615D">
      <w:pPr>
        <w:spacing w:after="0" w:line="240" w:lineRule="auto"/>
      </w:pPr>
      <w:r>
        <w:separator/>
      </w:r>
    </w:p>
  </w:endnote>
  <w:endnote w:type="continuationSeparator" w:id="0">
    <w:p w:rsidR="00AA0EB8" w:rsidRDefault="00AA0EB8" w:rsidP="00A3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0B" w:rsidRDefault="00D179EF">
        <w:pPr>
          <w:pStyle w:val="a7"/>
          <w:jc w:val="right"/>
        </w:pPr>
        <w:r>
          <w:fldChar w:fldCharType="begin"/>
        </w:r>
        <w:r w:rsidR="00531F0B">
          <w:instrText xml:space="preserve"> PAGE   \* MERGEFORMAT </w:instrText>
        </w:r>
        <w:r>
          <w:fldChar w:fldCharType="separate"/>
        </w:r>
        <w:r w:rsidR="00CB3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F0B" w:rsidRDefault="00531F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B8" w:rsidRDefault="00AA0EB8" w:rsidP="00A3615D">
      <w:pPr>
        <w:spacing w:after="0" w:line="240" w:lineRule="auto"/>
      </w:pPr>
      <w:r>
        <w:separator/>
      </w:r>
    </w:p>
  </w:footnote>
  <w:footnote w:type="continuationSeparator" w:id="0">
    <w:p w:rsidR="00AA0EB8" w:rsidRDefault="00AA0EB8" w:rsidP="00A3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0B" w:rsidRDefault="00531F0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-210185</wp:posOffset>
          </wp:positionV>
          <wp:extent cx="5940425" cy="704215"/>
          <wp:effectExtent l="0" t="0" r="3175" b="63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s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6E"/>
    <w:multiLevelType w:val="multilevel"/>
    <w:tmpl w:val="EE7CD0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9B762CC"/>
    <w:multiLevelType w:val="hybridMultilevel"/>
    <w:tmpl w:val="F362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C56"/>
    <w:multiLevelType w:val="hybridMultilevel"/>
    <w:tmpl w:val="49F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47D"/>
    <w:multiLevelType w:val="hybridMultilevel"/>
    <w:tmpl w:val="1F4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B2E"/>
    <w:multiLevelType w:val="hybridMultilevel"/>
    <w:tmpl w:val="35F0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EB8"/>
    <w:multiLevelType w:val="hybridMultilevel"/>
    <w:tmpl w:val="4A9A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F5D5A"/>
    <w:multiLevelType w:val="hybridMultilevel"/>
    <w:tmpl w:val="38A0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6CB4"/>
    <w:multiLevelType w:val="hybridMultilevel"/>
    <w:tmpl w:val="F08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2B4957"/>
    <w:multiLevelType w:val="hybridMultilevel"/>
    <w:tmpl w:val="B886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57C81"/>
    <w:multiLevelType w:val="hybridMultilevel"/>
    <w:tmpl w:val="811C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64A45"/>
    <w:multiLevelType w:val="multilevel"/>
    <w:tmpl w:val="F7CCE6B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7076D16"/>
    <w:multiLevelType w:val="hybridMultilevel"/>
    <w:tmpl w:val="8BD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483D"/>
    <w:multiLevelType w:val="hybridMultilevel"/>
    <w:tmpl w:val="3ED83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76290"/>
    <w:multiLevelType w:val="hybridMultilevel"/>
    <w:tmpl w:val="003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03"/>
    <w:multiLevelType w:val="hybridMultilevel"/>
    <w:tmpl w:val="2D8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03472"/>
    <w:multiLevelType w:val="hybridMultilevel"/>
    <w:tmpl w:val="53E6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72FBD"/>
    <w:multiLevelType w:val="hybridMultilevel"/>
    <w:tmpl w:val="FA6C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86B27"/>
    <w:multiLevelType w:val="hybridMultilevel"/>
    <w:tmpl w:val="0AE8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5E8E"/>
    <w:multiLevelType w:val="hybridMultilevel"/>
    <w:tmpl w:val="7A1C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F44C1"/>
    <w:multiLevelType w:val="hybridMultilevel"/>
    <w:tmpl w:val="C53C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222"/>
    <w:multiLevelType w:val="hybridMultilevel"/>
    <w:tmpl w:val="2E58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6648E"/>
    <w:multiLevelType w:val="hybridMultilevel"/>
    <w:tmpl w:val="E86C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F683A"/>
    <w:multiLevelType w:val="hybridMultilevel"/>
    <w:tmpl w:val="77B8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E2645"/>
    <w:multiLevelType w:val="hybridMultilevel"/>
    <w:tmpl w:val="A43C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7769"/>
    <w:multiLevelType w:val="hybridMultilevel"/>
    <w:tmpl w:val="B490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D3033"/>
    <w:multiLevelType w:val="multilevel"/>
    <w:tmpl w:val="B5BEC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CD13DA8"/>
    <w:multiLevelType w:val="hybridMultilevel"/>
    <w:tmpl w:val="4408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74F3"/>
    <w:multiLevelType w:val="hybridMultilevel"/>
    <w:tmpl w:val="B3EA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111DF"/>
    <w:multiLevelType w:val="hybridMultilevel"/>
    <w:tmpl w:val="8C1C9DD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9">
    <w:nsid w:val="522D4E4B"/>
    <w:multiLevelType w:val="hybridMultilevel"/>
    <w:tmpl w:val="B34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4186A"/>
    <w:multiLevelType w:val="hybridMultilevel"/>
    <w:tmpl w:val="139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9018E"/>
    <w:multiLevelType w:val="hybridMultilevel"/>
    <w:tmpl w:val="826A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22CD0"/>
    <w:multiLevelType w:val="multilevel"/>
    <w:tmpl w:val="C12C2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4">
    <w:nsid w:val="60BF39C4"/>
    <w:multiLevelType w:val="hybridMultilevel"/>
    <w:tmpl w:val="A9767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775CA4"/>
    <w:multiLevelType w:val="hybridMultilevel"/>
    <w:tmpl w:val="6C2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3395A"/>
    <w:multiLevelType w:val="hybridMultilevel"/>
    <w:tmpl w:val="E83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C75BF"/>
    <w:multiLevelType w:val="hybridMultilevel"/>
    <w:tmpl w:val="D09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15ED3"/>
    <w:multiLevelType w:val="hybridMultilevel"/>
    <w:tmpl w:val="281A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508AB"/>
    <w:multiLevelType w:val="hybridMultilevel"/>
    <w:tmpl w:val="777A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B4ED7"/>
    <w:multiLevelType w:val="hybridMultilevel"/>
    <w:tmpl w:val="CD40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A5D45"/>
    <w:multiLevelType w:val="hybridMultilevel"/>
    <w:tmpl w:val="822E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608FA"/>
    <w:multiLevelType w:val="multilevel"/>
    <w:tmpl w:val="405EBBE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>
    <w:nsid w:val="6E521A83"/>
    <w:multiLevelType w:val="hybridMultilevel"/>
    <w:tmpl w:val="D238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767C60"/>
    <w:multiLevelType w:val="hybridMultilevel"/>
    <w:tmpl w:val="785E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924AD"/>
    <w:multiLevelType w:val="multilevel"/>
    <w:tmpl w:val="D31698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955F17"/>
    <w:multiLevelType w:val="hybridMultilevel"/>
    <w:tmpl w:val="7C66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37"/>
  </w:num>
  <w:num w:numId="4">
    <w:abstractNumId w:val="26"/>
  </w:num>
  <w:num w:numId="5">
    <w:abstractNumId w:val="30"/>
  </w:num>
  <w:num w:numId="6">
    <w:abstractNumId w:val="46"/>
  </w:num>
  <w:num w:numId="7">
    <w:abstractNumId w:val="36"/>
  </w:num>
  <w:num w:numId="8">
    <w:abstractNumId w:val="41"/>
  </w:num>
  <w:num w:numId="9">
    <w:abstractNumId w:val="35"/>
  </w:num>
  <w:num w:numId="10">
    <w:abstractNumId w:val="43"/>
  </w:num>
  <w:num w:numId="11">
    <w:abstractNumId w:val="34"/>
  </w:num>
  <w:num w:numId="12">
    <w:abstractNumId w:val="7"/>
  </w:num>
  <w:num w:numId="13">
    <w:abstractNumId w:val="32"/>
  </w:num>
  <w:num w:numId="14">
    <w:abstractNumId w:val="28"/>
  </w:num>
  <w:num w:numId="15">
    <w:abstractNumId w:val="12"/>
  </w:num>
  <w:num w:numId="16">
    <w:abstractNumId w:val="11"/>
  </w:num>
  <w:num w:numId="17">
    <w:abstractNumId w:val="45"/>
  </w:num>
  <w:num w:numId="18">
    <w:abstractNumId w:val="10"/>
  </w:num>
  <w:num w:numId="19">
    <w:abstractNumId w:val="42"/>
  </w:num>
  <w:num w:numId="20">
    <w:abstractNumId w:val="33"/>
  </w:num>
  <w:num w:numId="21">
    <w:abstractNumId w:val="0"/>
  </w:num>
  <w:num w:numId="22">
    <w:abstractNumId w:val="25"/>
  </w:num>
  <w:num w:numId="23">
    <w:abstractNumId w:val="38"/>
  </w:num>
  <w:num w:numId="24">
    <w:abstractNumId w:val="27"/>
  </w:num>
  <w:num w:numId="25">
    <w:abstractNumId w:val="13"/>
  </w:num>
  <w:num w:numId="26">
    <w:abstractNumId w:val="39"/>
  </w:num>
  <w:num w:numId="27">
    <w:abstractNumId w:val="2"/>
  </w:num>
  <w:num w:numId="28">
    <w:abstractNumId w:val="29"/>
  </w:num>
  <w:num w:numId="29">
    <w:abstractNumId w:val="18"/>
  </w:num>
  <w:num w:numId="30">
    <w:abstractNumId w:val="23"/>
  </w:num>
  <w:num w:numId="31">
    <w:abstractNumId w:val="24"/>
  </w:num>
  <w:num w:numId="32">
    <w:abstractNumId w:val="6"/>
  </w:num>
  <w:num w:numId="33">
    <w:abstractNumId w:val="40"/>
  </w:num>
  <w:num w:numId="34">
    <w:abstractNumId w:val="5"/>
  </w:num>
  <w:num w:numId="35">
    <w:abstractNumId w:val="14"/>
  </w:num>
  <w:num w:numId="36">
    <w:abstractNumId w:val="21"/>
  </w:num>
  <w:num w:numId="37">
    <w:abstractNumId w:val="9"/>
  </w:num>
  <w:num w:numId="38">
    <w:abstractNumId w:val="1"/>
  </w:num>
  <w:num w:numId="39">
    <w:abstractNumId w:val="3"/>
  </w:num>
  <w:num w:numId="40">
    <w:abstractNumId w:val="4"/>
  </w:num>
  <w:num w:numId="41">
    <w:abstractNumId w:val="19"/>
  </w:num>
  <w:num w:numId="42">
    <w:abstractNumId w:val="17"/>
  </w:num>
  <w:num w:numId="43">
    <w:abstractNumId w:val="15"/>
  </w:num>
  <w:num w:numId="44">
    <w:abstractNumId w:val="31"/>
  </w:num>
  <w:num w:numId="45">
    <w:abstractNumId w:val="8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97"/>
    <w:rsid w:val="0018735A"/>
    <w:rsid w:val="00236AB5"/>
    <w:rsid w:val="00273CF7"/>
    <w:rsid w:val="00285214"/>
    <w:rsid w:val="002B46C8"/>
    <w:rsid w:val="002E7072"/>
    <w:rsid w:val="00300E3A"/>
    <w:rsid w:val="00301A55"/>
    <w:rsid w:val="00314AE7"/>
    <w:rsid w:val="00352AD5"/>
    <w:rsid w:val="00392D15"/>
    <w:rsid w:val="00395BDB"/>
    <w:rsid w:val="003B408B"/>
    <w:rsid w:val="003F6535"/>
    <w:rsid w:val="00403172"/>
    <w:rsid w:val="00531F0B"/>
    <w:rsid w:val="00586DC0"/>
    <w:rsid w:val="005904CF"/>
    <w:rsid w:val="0060687E"/>
    <w:rsid w:val="0065765D"/>
    <w:rsid w:val="00667B73"/>
    <w:rsid w:val="006A6556"/>
    <w:rsid w:val="006D4A00"/>
    <w:rsid w:val="006E454F"/>
    <w:rsid w:val="0071289E"/>
    <w:rsid w:val="00715896"/>
    <w:rsid w:val="00780388"/>
    <w:rsid w:val="007923BB"/>
    <w:rsid w:val="00796BEB"/>
    <w:rsid w:val="008D11C1"/>
    <w:rsid w:val="008D66BB"/>
    <w:rsid w:val="009346A2"/>
    <w:rsid w:val="009A79E7"/>
    <w:rsid w:val="009C28DA"/>
    <w:rsid w:val="009D7931"/>
    <w:rsid w:val="009E2A97"/>
    <w:rsid w:val="00A3615D"/>
    <w:rsid w:val="00A87107"/>
    <w:rsid w:val="00A96378"/>
    <w:rsid w:val="00A97AC8"/>
    <w:rsid w:val="00AA0EB8"/>
    <w:rsid w:val="00AB3E41"/>
    <w:rsid w:val="00B07A19"/>
    <w:rsid w:val="00BB59CA"/>
    <w:rsid w:val="00BF075F"/>
    <w:rsid w:val="00C03DB9"/>
    <w:rsid w:val="00C517DE"/>
    <w:rsid w:val="00CB3314"/>
    <w:rsid w:val="00D179EF"/>
    <w:rsid w:val="00D30EA1"/>
    <w:rsid w:val="00D90158"/>
    <w:rsid w:val="00DA42C0"/>
    <w:rsid w:val="00E34774"/>
    <w:rsid w:val="00E912F5"/>
    <w:rsid w:val="00F05F7B"/>
    <w:rsid w:val="00F7567D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9EF"/>
  </w:style>
  <w:style w:type="paragraph" w:styleId="1">
    <w:name w:val="heading 1"/>
    <w:basedOn w:val="a0"/>
    <w:next w:val="a0"/>
    <w:link w:val="10"/>
    <w:qFormat/>
    <w:rsid w:val="009E2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E2A9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A42C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0"/>
    <w:link w:val="40"/>
    <w:qFormat/>
    <w:rsid w:val="00531F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31F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2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E2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A42C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sid w:val="00531F0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31F0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table" w:styleId="a4">
    <w:name w:val="Table Grid"/>
    <w:basedOn w:val="a2"/>
    <w:uiPriority w:val="39"/>
    <w:rsid w:val="0079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A3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3615D"/>
  </w:style>
  <w:style w:type="paragraph" w:styleId="a7">
    <w:name w:val="footer"/>
    <w:basedOn w:val="a0"/>
    <w:link w:val="a8"/>
    <w:uiPriority w:val="99"/>
    <w:unhideWhenUsed/>
    <w:rsid w:val="00A3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3615D"/>
  </w:style>
  <w:style w:type="paragraph" w:styleId="a9">
    <w:name w:val="footnote text"/>
    <w:basedOn w:val="a0"/>
    <w:link w:val="aa"/>
    <w:semiHidden/>
    <w:unhideWhenUsed/>
    <w:rsid w:val="00A963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A96378"/>
    <w:rPr>
      <w:sz w:val="20"/>
      <w:szCs w:val="20"/>
    </w:rPr>
  </w:style>
  <w:style w:type="character" w:styleId="ab">
    <w:name w:val="footnote reference"/>
    <w:basedOn w:val="a1"/>
    <w:semiHidden/>
    <w:unhideWhenUsed/>
    <w:rsid w:val="00A96378"/>
    <w:rPr>
      <w:vertAlign w:val="superscript"/>
    </w:rPr>
  </w:style>
  <w:style w:type="paragraph" w:styleId="ac">
    <w:name w:val="List Paragraph"/>
    <w:basedOn w:val="a0"/>
    <w:uiPriority w:val="34"/>
    <w:qFormat/>
    <w:rsid w:val="00C03DB9"/>
    <w:pPr>
      <w:ind w:left="720"/>
      <w:contextualSpacing/>
    </w:pPr>
  </w:style>
  <w:style w:type="paragraph" w:styleId="ad">
    <w:name w:val="caption"/>
    <w:basedOn w:val="a0"/>
    <w:next w:val="a0"/>
    <w:uiPriority w:val="35"/>
    <w:unhideWhenUsed/>
    <w:qFormat/>
    <w:rsid w:val="00395B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OC Heading"/>
    <w:basedOn w:val="1"/>
    <w:next w:val="a0"/>
    <w:uiPriority w:val="39"/>
    <w:unhideWhenUsed/>
    <w:qFormat/>
    <w:rsid w:val="00531F0B"/>
    <w:pPr>
      <w:outlineLvl w:val="9"/>
    </w:pPr>
    <w:rPr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531F0B"/>
    <w:pPr>
      <w:spacing w:after="100"/>
      <w:ind w:left="220"/>
    </w:pPr>
    <w:rPr>
      <w:kern w:val="0"/>
    </w:rPr>
  </w:style>
  <w:style w:type="character" w:styleId="af">
    <w:name w:val="Hyperlink"/>
    <w:basedOn w:val="a1"/>
    <w:uiPriority w:val="99"/>
    <w:unhideWhenUsed/>
    <w:rsid w:val="00531F0B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31F0B"/>
    <w:pPr>
      <w:spacing w:after="100"/>
    </w:pPr>
    <w:rPr>
      <w:rFonts w:eastAsiaTheme="minorEastAsia" w:cs="Times New Roman"/>
      <w:kern w:val="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531F0B"/>
    <w:pPr>
      <w:spacing w:after="100"/>
      <w:ind w:left="440"/>
    </w:pPr>
    <w:rPr>
      <w:rFonts w:eastAsiaTheme="minorEastAsia" w:cs="Times New Roman"/>
      <w:kern w:val="0"/>
      <w:lang w:eastAsia="ru-RU"/>
    </w:rPr>
  </w:style>
  <w:style w:type="paragraph" w:customStyle="1" w:styleId="a">
    <w:name w:val="Маркированный."/>
    <w:basedOn w:val="a0"/>
    <w:rsid w:val="00531F0B"/>
    <w:pPr>
      <w:numPr>
        <w:numId w:val="13"/>
      </w:numPr>
      <w:spacing w:after="0" w:line="240" w:lineRule="auto"/>
      <w:ind w:left="1066" w:hanging="357"/>
    </w:pPr>
    <w:rPr>
      <w:rFonts w:ascii="Times New Roman" w:eastAsia="Calibri" w:hAnsi="Times New Roman" w:cs="Times New Roman"/>
      <w:kern w:val="0"/>
      <w:sz w:val="24"/>
    </w:rPr>
  </w:style>
  <w:style w:type="paragraph" w:customStyle="1" w:styleId="text">
    <w:name w:val="text"/>
    <w:basedOn w:val="a0"/>
    <w:rsid w:val="00531F0B"/>
    <w:pPr>
      <w:spacing w:before="52" w:after="52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Normal (Web)"/>
    <w:basedOn w:val="a0"/>
    <w:uiPriority w:val="99"/>
    <w:rsid w:val="0053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1">
    <w:name w:val="Body Text Indent"/>
    <w:basedOn w:val="a0"/>
    <w:link w:val="af2"/>
    <w:rsid w:val="00531F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31F0B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2">
    <w:name w:val="Body Text 2"/>
    <w:basedOn w:val="a0"/>
    <w:link w:val="23"/>
    <w:rsid w:val="00531F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ru-RU"/>
    </w:rPr>
  </w:style>
  <w:style w:type="character" w:customStyle="1" w:styleId="23">
    <w:name w:val="Основной текст 2 Знак"/>
    <w:basedOn w:val="a1"/>
    <w:link w:val="22"/>
    <w:rsid w:val="00531F0B"/>
    <w:rPr>
      <w:rFonts w:ascii="Times New Roman" w:eastAsia="Times New Roman" w:hAnsi="Times New Roman" w:cs="Times New Roman"/>
      <w:kern w:val="0"/>
      <w:sz w:val="23"/>
      <w:szCs w:val="23"/>
      <w:lang w:eastAsia="ru-RU"/>
    </w:rPr>
  </w:style>
  <w:style w:type="paragraph" w:styleId="24">
    <w:name w:val="Body Text Indent 2"/>
    <w:basedOn w:val="a0"/>
    <w:link w:val="25"/>
    <w:rsid w:val="00531F0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3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31F0B"/>
    <w:rPr>
      <w:rFonts w:ascii="Times New Roman" w:eastAsia="Times New Roman" w:hAnsi="Times New Roman" w:cs="Times New Roman"/>
      <w:kern w:val="0"/>
      <w:sz w:val="24"/>
      <w:szCs w:val="23"/>
      <w:lang w:eastAsia="ru-RU"/>
    </w:rPr>
  </w:style>
  <w:style w:type="paragraph" w:styleId="af3">
    <w:name w:val="Body Text"/>
    <w:basedOn w:val="a0"/>
    <w:link w:val="af4"/>
    <w:rsid w:val="00531F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531F0B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5">
    <w:name w:val="page number"/>
    <w:basedOn w:val="a1"/>
    <w:rsid w:val="00531F0B"/>
  </w:style>
  <w:style w:type="character" w:customStyle="1" w:styleId="af6">
    <w:name w:val="Текст выноски Знак"/>
    <w:basedOn w:val="a1"/>
    <w:link w:val="af7"/>
    <w:semiHidden/>
    <w:rsid w:val="00531F0B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f7">
    <w:name w:val="Balloon Text"/>
    <w:basedOn w:val="a0"/>
    <w:link w:val="af6"/>
    <w:semiHidden/>
    <w:rsid w:val="00531F0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8">
    <w:name w:val="Текст примечания Знак"/>
    <w:basedOn w:val="a1"/>
    <w:link w:val="af9"/>
    <w:semiHidden/>
    <w:rsid w:val="00531F0B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9">
    <w:name w:val="annotation text"/>
    <w:basedOn w:val="a0"/>
    <w:link w:val="af8"/>
    <w:semiHidden/>
    <w:rsid w:val="00531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531F0B"/>
    <w:pPr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531F0B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fc">
    <w:name w:val="Тема примечания Знак"/>
    <w:basedOn w:val="af8"/>
    <w:link w:val="afd"/>
    <w:semiHidden/>
    <w:rsid w:val="00531F0B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fd">
    <w:name w:val="annotation subject"/>
    <w:basedOn w:val="af9"/>
    <w:next w:val="af9"/>
    <w:link w:val="afc"/>
    <w:semiHidden/>
    <w:rsid w:val="00531F0B"/>
    <w:rPr>
      <w:b/>
      <w:bCs/>
    </w:rPr>
  </w:style>
  <w:style w:type="character" w:customStyle="1" w:styleId="yiv1193671277msocommentreference">
    <w:name w:val="yiv1193671277msocommentreference"/>
    <w:rsid w:val="00531F0B"/>
    <w:rPr>
      <w:rFonts w:cs="Times New Roman"/>
    </w:rPr>
  </w:style>
  <w:style w:type="paragraph" w:customStyle="1" w:styleId="yiv1193671277msonormal">
    <w:name w:val="yiv1193671277msonormal"/>
    <w:basedOn w:val="a0"/>
    <w:rsid w:val="00531F0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yiv1193671277msobodytextindent">
    <w:name w:val="yiv1193671277msobodytextindent"/>
    <w:basedOn w:val="a0"/>
    <w:rsid w:val="00531F0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yiv1193671277msobodytext">
    <w:name w:val="yiv1193671277msobodytext"/>
    <w:basedOn w:val="a0"/>
    <w:rsid w:val="00531F0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fe">
    <w:name w:val="Схема документа Знак"/>
    <w:basedOn w:val="a1"/>
    <w:link w:val="aff"/>
    <w:semiHidden/>
    <w:rsid w:val="00531F0B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semiHidden/>
    <w:rsid w:val="00531F0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character" w:customStyle="1" w:styleId="defaultlabelstyle1">
    <w:name w:val="defaultlabelstyle1"/>
    <w:rsid w:val="00531F0B"/>
    <w:rPr>
      <w:b w:val="0"/>
      <w:bCs w:val="0"/>
      <w:color w:val="0060A9"/>
    </w:rPr>
  </w:style>
  <w:style w:type="paragraph" w:customStyle="1" w:styleId="-11">
    <w:name w:val="Цветной список - Акцент 11"/>
    <w:basedOn w:val="a0"/>
    <w:uiPriority w:val="34"/>
    <w:qFormat/>
    <w:rsid w:val="00531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msolistparagraph">
    <w:name w:val="x_msolistparagraph"/>
    <w:basedOn w:val="a0"/>
    <w:rsid w:val="0053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2">
    <w:name w:val="Body Text Indent 3"/>
    <w:basedOn w:val="a0"/>
    <w:link w:val="33"/>
    <w:rsid w:val="00531F0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31F0B"/>
    <w:rPr>
      <w:rFonts w:ascii="Times New Roman" w:eastAsia="Times New Roman" w:hAnsi="Times New Roman" w:cs="Times New Roman"/>
      <w:kern w:val="0"/>
      <w:sz w:val="16"/>
      <w:szCs w:val="16"/>
    </w:rPr>
  </w:style>
  <w:style w:type="character" w:styleId="aff0">
    <w:name w:val="Strong"/>
    <w:qFormat/>
    <w:rsid w:val="00531F0B"/>
    <w:rPr>
      <w:b/>
      <w:bCs/>
    </w:rPr>
  </w:style>
  <w:style w:type="paragraph" w:customStyle="1" w:styleId="12">
    <w:name w:val="Абзац списка1"/>
    <w:basedOn w:val="a0"/>
    <w:rsid w:val="00531F0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B346-84BC-4850-B804-68CDE1F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3690</Words>
  <Characters>21038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Tsarkov</dc:creator>
  <cp:lastModifiedBy>Камынина</cp:lastModifiedBy>
  <cp:revision>3</cp:revision>
  <dcterms:created xsi:type="dcterms:W3CDTF">2015-05-27T13:09:00Z</dcterms:created>
  <dcterms:modified xsi:type="dcterms:W3CDTF">2018-03-30T09:05:00Z</dcterms:modified>
</cp:coreProperties>
</file>