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8B" w:rsidRPr="00F12A8B" w:rsidRDefault="00F12A8B" w:rsidP="00F12A8B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71"/>
          <w:szCs w:val="71"/>
          <w:lang w:eastAsia="ru-RU"/>
        </w:rPr>
      </w:pPr>
      <w:r w:rsidRPr="00F12A8B">
        <w:rPr>
          <w:rFonts w:ascii="Arial" w:eastAsia="Times New Roman" w:hAnsi="Arial" w:cs="Arial"/>
          <w:color w:val="000000"/>
          <w:kern w:val="36"/>
          <w:sz w:val="71"/>
          <w:szCs w:val="71"/>
          <w:lang w:eastAsia="ru-RU"/>
        </w:rPr>
        <w:t>Концепция магистерской программы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О программе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Магистерская программа «</w:t>
      </w:r>
      <w:r w:rsidR="004D5396" w:rsidRPr="004D5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Стратегии развития бизнеса:</w:t>
      </w:r>
      <w:bookmarkStart w:id="0" w:name="_GoBack"/>
      <w:bookmarkEnd w:id="0"/>
      <w:r w:rsidR="004D5396" w:rsidRPr="004D53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управление и консалтинг</w:t>
      </w: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gram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разработана в сотрудничестве с Институтом Всемирного Банка в рамках программы Global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Classroom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школой бизнеса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Шулиха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Йоркского университета в рамках Канадско-Российской программы по корпоративному управлению и реализуется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НИУ ВШЭ с 1999 года. С момента запуска Программы было подготовлено более 400 профессиональных менеджеров.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предназначена для подготовки высококвалифицированных менеджеров, аналитиков и исследователей для работы в организациях крупного и малого бизнеса в различных отраслях экономики: на промышленных предприятиях, в сфере услуг, в государственных структурах, в банках, страховых и консалтинговых компаниях.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формирует современное представление о процессах решения стратегических задач как на различных уровнях аппарата управления компаний, так и на уровне совета директоров. Развитая тематика корпоративного направления в учебном плане программы – это ее уникальная особенность на российском образовательном рынке. Она расширяет спектр приложения знаний выпускников, который включает работу в отделах корпоративного развития, отделах стратегии и планирования и консалтинговых компаниях. Многие выпускники программы занимаются также предпринимательской деятельностью.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Программы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В программе преподают ведущие российские эксперты в области менеджмента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Базовая кафедра программы - кафедра Общего и стратегического менеджмента – это центр производства, а не трансляции знаний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Большинство курсов Программы являются оригинальными авторскими разработками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·       В Программе преподают консультанты-практики, ведущие методисты </w:t>
      </w:r>
      <w:proofErr w:type="gram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бизнес-образования</w:t>
      </w:r>
      <w:proofErr w:type="gramEnd"/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·       Программа интегрирована в международное образовательное пространство. Студенты магистерских программ факультета менеджмента имеют возможность участвовать в программах зарубежных стажировок и в международных магистерских программах двойных дипломов.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Учебные курсы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составе Программы можно выделить следующие основные блоки дисциплин: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Блок теоретических оснований </w:t>
      </w:r>
      <w:proofErr w:type="spellStart"/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менеджмента</w:t>
      </w:r>
      <w:proofErr w:type="gramStart"/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</w:t>
      </w: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редставленный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дисциплинами: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«Экономика стратегии и финансовый менеджмент»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«Эволюция теории стратегического менеджмента»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Блок широких продвинутых курсов предметной </w:t>
      </w:r>
      <w:proofErr w:type="gramStart"/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области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представленный дисциплинами: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«Модели бизнеса и методы стратегического менеджмента»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«Корпоративное управление и устойчивое развитие»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Блок тематических курсов, сфокусированных на отдельных </w:t>
      </w:r>
      <w:proofErr w:type="gramStart"/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проблемах</w:t>
      </w:r>
      <w:proofErr w:type="gramEnd"/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стратегического менеджмента и корпоративного управления</w:t>
      </w:r>
      <w:r w:rsidRPr="00F12A8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представленный дисциплинами: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«Стратегический менеджмент знаний и инноваций»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«Стратегическое управление экономической безопасностью»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«Слияния и поглощения»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Инструментальный </w:t>
      </w:r>
      <w:proofErr w:type="spellStart"/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блок</w:t>
      </w:r>
      <w:proofErr w:type="gramStart"/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</w:t>
      </w: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ключающий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следующие дисциплины, как: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«Системный и процессный подходы в менеджменте»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«Стратегический организационный дизайн»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«Методы научных исследований в менеджменте и бизнесе»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«Модели стратегических изменений»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«Системная динамика»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Международный блок,</w:t>
      </w:r>
      <w:r w:rsidRPr="00F12A8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представленный такими курсами, как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</w:t>
      </w:r>
      <w:proofErr w:type="gram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Кросс-культурный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менеджмент»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·       «Международные стратегические альянсы»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Помимо освоения указанных дисциплин, студенты в течение всего периода обучения работают в научно-исследовательском семинаре программы, где выполняют как индивидуально, так и работая в командах под руководством преподавателей, исследовательские и прикладные/консалтинговые проекты. Логическим завершением этого становится подготовка и защита магистерской диссертации, которая, в соответствии с разработанным в НИУ ВШЭ стандартом может быть как исследовательского, так и проектного типа. Таким образом, свою траекторию развития могут найти как те, кто связывает свое будущее с академической сферой, продолжением обучения в аспирантуре, так и те, кто хотел бы строить карьеру в бизнесе.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программе два языка преподавания: русский и английский. Это значит, что некоторые курсы читаются только по-русски, а некоторые только по-английски. Таким образом, для успешного освоения программы необходимо владение обоими языками.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Преподаватели программы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осуществляется силами ведущих преподавателей кафедры общего и стратегического менеджмента в сотрудничестве с Центром корпоративного управления, Высшей школой менеджмента и смежными кафедрами НИУ ВШЭ. Дисциплины программы читают: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   Константинов Г.Н., д.ф.-м.н., ординарный профессор, заслуженный работник высшей школы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   Гурков И.Б., д.э.н., ординарный профессор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   Титова Н.Л., к.э.н., ординарный профессор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   Стерлигова А.Н., д.э.н., ординарный профессор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   Филинов Н.Б., к.э.н., профессор, заслуженный работник высшей школы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   Соловьев М.М., д.т.н., профессор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   Волкова И.О., д.э.н., профессор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   Подсыпанина Т.Д., к.э.н., доцент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   Бек Н.Н., к.э.н., доцент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                  Среди преподавателей Программы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PhD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доцент Слепцов А.М., и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PhD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доцент,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Бечингер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М.-Э., принятая на работу в НИУ ВШЭ в результате процедуры </w:t>
      </w:r>
      <w:proofErr w:type="gram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международного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рекрутинга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Профессорско-преподавательский состав Программы ведет научную работу, включая руководство научной работой студентов и аспирантов </w:t>
      </w: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 подготовке диссертаций, выступление на международных конференциях, работа над научными трудами и учебными изданиями, консалтинговую деятельность и принимает участие в реализации послевузовского управленческого образования.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Студенты Программы регулярно принимают участие в мастер – </w:t>
      </w:r>
      <w:proofErr w:type="gram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классах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партнеров Программы из бизнес-сообщества, проходят практику в российских и зарубежных консалтинговых компаниях: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Deloitte&amp;Touche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PWC,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Стретеджи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Партнерс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Групп, </w:t>
      </w:r>
      <w:proofErr w:type="gram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банках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Внешэкономбанк, Сбербанк, Альфа-Банк, производственных </w:t>
      </w:r>
      <w:proofErr w:type="gram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компаниях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ТНК – BP,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Роснано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ОЭК,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Michelen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General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Electric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телекоммуникационных и </w:t>
      </w:r>
      <w:proofErr w:type="gram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интернет-компаниях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Вымпелком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Яндекс и другие.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Трудоустройство выпускников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Выпускники программы работают в ведущих российских и зарубежных компаниях и организациях, а также в органах государственного управления.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банки и инвестиционные компании, такие как: Внешторгбанк, Внешэкономбанк, Сбербанк, Альфа-Банк, Ситибанк, «Сосьете Женераль», Газпромбанк, «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Никойл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«Тройка Диалог»; страховые компании, включая РОСНО, «РЕСО-Гарантия», «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Энергогарант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ведущие консалтинговые компании: BCG, KPMG,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Deloitte&amp;Touche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McKinsey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IBM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Business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Consalting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ampofrio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«РОЭЛ Консалтинг», «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Юникон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промышленные и торговые компании, среди которых «ЛУКОЙЛ», «Норильский никель», «Газпром», ОАО «Российские железные дороги», «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ЕвроЦемент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-групп», «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Вимм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-Билл-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», «Базовый элемент», ПРОТЕК,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Росагроэкспорт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Unilever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Michelen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L’Oreal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Procter&amp;Gamble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DuPont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Gillette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Ассоциация маркетинговых исследований;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Министерство по антимонопольной политике РФ, Министерство экономического развития РФ.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Продолжительность обучения – </w:t>
      </w: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года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Выдаваемый диплом – </w:t>
      </w: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магистр менеджмента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 поступления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Предполагаемые вступительные испытания: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      Менеджмент (письменно);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left="1287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      Английский язык (квалификационный экзамен: тестирование + </w:t>
      </w:r>
      <w:proofErr w:type="spellStart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аудирование</w:t>
      </w:r>
      <w:proofErr w:type="spellEnd"/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Набор осуществляется как на бюджетные места, так и на места с оплатой стоимости обучения на договорной основе.</w:t>
      </w:r>
    </w:p>
    <w:p w:rsidR="00F12A8B" w:rsidRPr="00F12A8B" w:rsidRDefault="00F12A8B" w:rsidP="00F12A8B">
      <w:pPr>
        <w:shd w:val="clear" w:color="auto" w:fill="FFFFFF"/>
        <w:spacing w:before="192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2A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Предполагает наличие у поступающих уровня знаний в области менеджмента, соответствующего бакалаврской подготовке.</w:t>
      </w:r>
    </w:p>
    <w:p w:rsidR="00D3431C" w:rsidRDefault="00D3431C"/>
    <w:sectPr w:rsidR="00D3431C" w:rsidSect="00D3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A8B"/>
    <w:rsid w:val="004D5396"/>
    <w:rsid w:val="00D3431C"/>
    <w:rsid w:val="00F1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1C"/>
  </w:style>
  <w:style w:type="paragraph" w:styleId="1">
    <w:name w:val="heading 1"/>
    <w:basedOn w:val="a"/>
    <w:link w:val="10"/>
    <w:uiPriority w:val="9"/>
    <w:qFormat/>
    <w:rsid w:val="00F12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F1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1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6242</Characters>
  <Application>Microsoft Office Word</Application>
  <DocSecurity>0</DocSecurity>
  <Lines>52</Lines>
  <Paragraphs>14</Paragraphs>
  <ScaleCrop>false</ScaleCrop>
  <Company>ГУ-ВШЭ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Камынина</cp:lastModifiedBy>
  <cp:revision>3</cp:revision>
  <dcterms:created xsi:type="dcterms:W3CDTF">2015-05-27T13:08:00Z</dcterms:created>
  <dcterms:modified xsi:type="dcterms:W3CDTF">2018-03-30T09:11:00Z</dcterms:modified>
</cp:coreProperties>
</file>