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75" w:rsidRPr="002540DD" w:rsidRDefault="00D82F75" w:rsidP="00D82F75">
      <w:pPr>
        <w:pStyle w:val="a5"/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540DD">
        <w:rPr>
          <w:rFonts w:ascii="Times New Roman" w:hAnsi="Times New Roman" w:cs="Times New Roman"/>
          <w:b/>
          <w:i/>
          <w:sz w:val="24"/>
          <w:szCs w:val="24"/>
        </w:rPr>
        <w:t>Крючкова С.Е.,</w:t>
      </w:r>
    </w:p>
    <w:p w:rsidR="00D82F75" w:rsidRPr="002540DD" w:rsidRDefault="00D82F75" w:rsidP="00D82F75">
      <w:pPr>
        <w:pStyle w:val="a5"/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540DD">
        <w:rPr>
          <w:rFonts w:ascii="Times New Roman" w:hAnsi="Times New Roman" w:cs="Times New Roman"/>
          <w:b/>
          <w:i/>
          <w:sz w:val="24"/>
          <w:szCs w:val="24"/>
        </w:rPr>
        <w:t>д.ф.н., проф. НИУ ВШЭ</w:t>
      </w:r>
    </w:p>
    <w:p w:rsidR="00D82F75" w:rsidRDefault="00D82F75" w:rsidP="00D82F75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F75" w:rsidRPr="00D82F75" w:rsidRDefault="00D82F75" w:rsidP="00D82F75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F75">
        <w:rPr>
          <w:rFonts w:ascii="Times New Roman" w:hAnsi="Times New Roman" w:cs="Times New Roman"/>
          <w:b/>
          <w:sz w:val="28"/>
          <w:szCs w:val="28"/>
        </w:rPr>
        <w:t>Искусство аргументации и теория диспута в буддизме</w:t>
      </w:r>
    </w:p>
    <w:p w:rsidR="00D82F75" w:rsidRDefault="00D82F75" w:rsidP="00D82F75">
      <w:pPr>
        <w:spacing w:after="0"/>
        <w:ind w:right="5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D005E" w:rsidRPr="00DC31CE" w:rsidRDefault="003D005E" w:rsidP="003D005E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CE">
        <w:rPr>
          <w:rFonts w:ascii="Times New Roman" w:hAnsi="Times New Roman" w:cs="Times New Roman"/>
          <w:sz w:val="28"/>
          <w:szCs w:val="28"/>
        </w:rPr>
        <w:t>Феномен аргументации был постоянным предметом рефлексии на протяжении веков. Истоки аргументационных идей можно найти в истории человече</w:t>
      </w:r>
      <w:r>
        <w:rPr>
          <w:rFonts w:ascii="Times New Roman" w:hAnsi="Times New Roman" w:cs="Times New Roman"/>
          <w:sz w:val="28"/>
          <w:szCs w:val="28"/>
        </w:rPr>
        <w:t>ской мысли   еще в древнем мире</w:t>
      </w:r>
      <w:r w:rsidRPr="00DC31CE">
        <w:rPr>
          <w:rFonts w:ascii="Times New Roman" w:hAnsi="Times New Roman" w:cs="Times New Roman"/>
          <w:sz w:val="28"/>
          <w:szCs w:val="28"/>
        </w:rPr>
        <w:t xml:space="preserve">  почти одновременно на Востоке и на Западе. Разработка идей аргументации в Древнем мире  была тесно связ</w:t>
      </w:r>
      <w:r w:rsidRPr="00DC31CE">
        <w:rPr>
          <w:rFonts w:ascii="Times New Roman" w:hAnsi="Times New Roman" w:cs="Times New Roman"/>
          <w:sz w:val="28"/>
          <w:szCs w:val="28"/>
        </w:rPr>
        <w:t>а</w:t>
      </w:r>
      <w:r w:rsidRPr="00DC31CE">
        <w:rPr>
          <w:rFonts w:ascii="Times New Roman" w:hAnsi="Times New Roman" w:cs="Times New Roman"/>
          <w:sz w:val="28"/>
          <w:szCs w:val="28"/>
        </w:rPr>
        <w:t>на с формированием логики, как науки о мышлении, а также развитием ор</w:t>
      </w:r>
      <w:r w:rsidRPr="00DC31CE">
        <w:rPr>
          <w:rFonts w:ascii="Times New Roman" w:hAnsi="Times New Roman" w:cs="Times New Roman"/>
          <w:sz w:val="28"/>
          <w:szCs w:val="28"/>
        </w:rPr>
        <w:t>а</w:t>
      </w:r>
      <w:r w:rsidRPr="00DC31CE">
        <w:rPr>
          <w:rFonts w:ascii="Times New Roman" w:hAnsi="Times New Roman" w:cs="Times New Roman"/>
          <w:sz w:val="28"/>
          <w:szCs w:val="28"/>
        </w:rPr>
        <w:t>торского искусства. Наличие постоянной риторической практики, в ходе к</w:t>
      </w:r>
      <w:r w:rsidRPr="00DC31CE">
        <w:rPr>
          <w:rFonts w:ascii="Times New Roman" w:hAnsi="Times New Roman" w:cs="Times New Roman"/>
          <w:sz w:val="28"/>
          <w:szCs w:val="28"/>
        </w:rPr>
        <w:t>о</w:t>
      </w:r>
      <w:r w:rsidRPr="00DC31CE">
        <w:rPr>
          <w:rFonts w:ascii="Times New Roman" w:hAnsi="Times New Roman" w:cs="Times New Roman"/>
          <w:sz w:val="28"/>
          <w:szCs w:val="28"/>
        </w:rPr>
        <w:t>торой вырабатывались наиболее эффективные приемы убеждающего речев</w:t>
      </w:r>
      <w:r w:rsidRPr="00DC31CE">
        <w:rPr>
          <w:rFonts w:ascii="Times New Roman" w:hAnsi="Times New Roman" w:cs="Times New Roman"/>
          <w:sz w:val="28"/>
          <w:szCs w:val="28"/>
        </w:rPr>
        <w:t>о</w:t>
      </w:r>
      <w:r w:rsidRPr="00DC31CE">
        <w:rPr>
          <w:rFonts w:ascii="Times New Roman" w:hAnsi="Times New Roman" w:cs="Times New Roman"/>
          <w:sz w:val="28"/>
          <w:szCs w:val="28"/>
        </w:rPr>
        <w:t>го воздействия, стимулировало развитие  сходных идей аргументации, н</w:t>
      </w:r>
      <w:r w:rsidRPr="00DC31CE">
        <w:rPr>
          <w:rFonts w:ascii="Times New Roman" w:hAnsi="Times New Roman" w:cs="Times New Roman"/>
          <w:sz w:val="28"/>
          <w:szCs w:val="28"/>
        </w:rPr>
        <w:t>е</w:t>
      </w:r>
      <w:r w:rsidRPr="00DC31CE">
        <w:rPr>
          <w:rFonts w:ascii="Times New Roman" w:hAnsi="Times New Roman" w:cs="Times New Roman"/>
          <w:sz w:val="28"/>
          <w:szCs w:val="28"/>
        </w:rPr>
        <w:t xml:space="preserve">смотря на различное понимание антропологических перспектив в античной и восточной философских традициях. Сегодня учения о споре, публичной речи и доказательстве, созданные в древности, расцениваются исследователями как зачатки теории   аргументации. </w:t>
      </w:r>
    </w:p>
    <w:p w:rsidR="00C603FB" w:rsidRDefault="00C603FB" w:rsidP="00C603FB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Специфические формы логико-аргументативной практики в виде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ститута диспута возникли уже в древнеиндийской цивилизации. Развитие идей аргументации в Древней Индии, несмотря на значительность данного явления и наличие ряда интересных работ, появившихся в последние десят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летия,  остается на сегодня еще недостаточно изученной областью</w:t>
      </w:r>
      <w:r w:rsidR="00E6699F">
        <w:rPr>
          <w:rFonts w:ascii="Times New Roman" w:hAnsi="Times New Roman" w:cs="Times New Roman"/>
          <w:sz w:val="28"/>
          <w:szCs w:val="28"/>
        </w:rPr>
        <w:t>. Э</w:t>
      </w:r>
      <w:r>
        <w:rPr>
          <w:rFonts w:ascii="Times New Roman" w:hAnsi="Times New Roman" w:cs="Times New Roman"/>
          <w:sz w:val="28"/>
          <w:szCs w:val="28"/>
        </w:rPr>
        <w:t>то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словлено, во-первых, источниковедческими трудностями (малым количес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 письменных источников, на базе которых можно провести научную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конструкцию древнеиндийской «науки о спорах»), а также устной традицией диспутальной практики, часто сопряженной с мистической ориентацией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стников, во-вторых,  языковым барьером и «трудностями перевода»  - нео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ходимостью сопоставления категорий индийской религиозно-философской традиции и категориального аппарата европейской философии,  что сделать весьма трудно, т.к. логико-смысловая структура мира  индийских мыслит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 и их способ мышления и рассуждений, а также тезаурус проблем и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мы их постановки</w:t>
      </w:r>
      <w:r w:rsidR="00E66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существенно отличаются. В-третьих, выполнение задачи затруднено сложностью  вычленения  аргументативных идей из общих до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матических построений, а также доктрин  «прамана-вады» - важнейшей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ставляющей индийской философии, «науки о правильном познании», явля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шейся синкретическим единством  эпистемологии и логики, функционир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вавшим и развивавшимся в таком виде  на протяжении веков в тесной связи с риторикой.  Свидетельством трудностей понимания духовного наследия древнеиндийской культуры, исторических корней философских проблем и </w:t>
      </w:r>
      <w:r>
        <w:rPr>
          <w:rFonts w:ascii="Times New Roman" w:hAnsi="Times New Roman" w:cs="Times New Roman"/>
          <w:sz w:val="28"/>
          <w:szCs w:val="28"/>
        </w:rPr>
        <w:lastRenderedPageBreak/>
        <w:t>категориального аппарата,   являются постоянные дискуссии исследователей по тем или иным вопросам. Примером  могут  служить давно ведущиеся дискуссии относительно не только того, кого считать пионером в разработке теории силлогистической аргументации и логики,  давших начало эпистем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логии  и теории философских диспутов,  как ее части (ранних последоват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 мимансы или ньяи), но и спор западных и отечественных востоковедов по вопросу об отсутствии/наличии в философских учениях  Древней Индии рациональной составляющей.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3FB" w:rsidRDefault="00C603FB" w:rsidP="00C603FB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риторическому наследию индусов проявился уже в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ние века, Так, например, арабский автор 9 века аль Джахиз писал: «У инди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цев … развитое ораторское искусство, медицина, философия, этика…От них пошла наука мыслить»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 Однако предметом комплексного научного изуч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для исследователей разных стран древнеин</w:t>
      </w:r>
      <w:r w:rsidRPr="00406381">
        <w:rPr>
          <w:rFonts w:ascii="Times New Roman" w:hAnsi="Times New Roman" w:cs="Times New Roman"/>
          <w:sz w:val="28"/>
          <w:szCs w:val="28"/>
        </w:rPr>
        <w:t>дийский, в частности, бу</w:t>
      </w:r>
      <w:r w:rsidRPr="00406381">
        <w:rPr>
          <w:rFonts w:ascii="Times New Roman" w:hAnsi="Times New Roman" w:cs="Times New Roman"/>
          <w:sz w:val="28"/>
          <w:szCs w:val="28"/>
        </w:rPr>
        <w:t>д</w:t>
      </w:r>
      <w:r w:rsidRPr="00406381">
        <w:rPr>
          <w:rFonts w:ascii="Times New Roman" w:hAnsi="Times New Roman" w:cs="Times New Roman"/>
          <w:sz w:val="28"/>
          <w:szCs w:val="28"/>
        </w:rPr>
        <w:t>дийский  философский  спор  становится  лишь в 20 веке. Итогом новых и</w:t>
      </w:r>
      <w:r w:rsidRPr="00406381">
        <w:rPr>
          <w:rFonts w:ascii="Times New Roman" w:hAnsi="Times New Roman" w:cs="Times New Roman"/>
          <w:sz w:val="28"/>
          <w:szCs w:val="28"/>
        </w:rPr>
        <w:t>с</w:t>
      </w:r>
      <w:r w:rsidRPr="00406381">
        <w:rPr>
          <w:rFonts w:ascii="Times New Roman" w:hAnsi="Times New Roman" w:cs="Times New Roman"/>
          <w:sz w:val="28"/>
          <w:szCs w:val="28"/>
        </w:rPr>
        <w:t>следовани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06381">
        <w:rPr>
          <w:rFonts w:ascii="Times New Roman" w:hAnsi="Times New Roman" w:cs="Times New Roman"/>
          <w:sz w:val="28"/>
          <w:szCs w:val="28"/>
        </w:rPr>
        <w:t xml:space="preserve"> стало преодоление в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индологии и буддологии </w:t>
      </w:r>
      <w:r w:rsidRPr="00406381">
        <w:rPr>
          <w:rFonts w:ascii="Times New Roman" w:hAnsi="Times New Roman" w:cs="Times New Roman"/>
          <w:sz w:val="28"/>
          <w:szCs w:val="28"/>
        </w:rPr>
        <w:t xml:space="preserve"> ряда </w:t>
      </w:r>
      <w:r>
        <w:rPr>
          <w:rFonts w:ascii="Times New Roman" w:hAnsi="Times New Roman" w:cs="Times New Roman"/>
          <w:sz w:val="28"/>
          <w:szCs w:val="28"/>
        </w:rPr>
        <w:t xml:space="preserve">европоцентристских </w:t>
      </w:r>
      <w:r w:rsidRPr="00406381">
        <w:rPr>
          <w:rFonts w:ascii="Times New Roman" w:hAnsi="Times New Roman" w:cs="Times New Roman"/>
          <w:sz w:val="28"/>
          <w:szCs w:val="28"/>
        </w:rPr>
        <w:t>стереотипов</w:t>
      </w:r>
      <w:r>
        <w:rPr>
          <w:rFonts w:ascii="Times New Roman" w:hAnsi="Times New Roman" w:cs="Times New Roman"/>
          <w:sz w:val="28"/>
          <w:szCs w:val="28"/>
        </w:rPr>
        <w:t>, например, об ином типе рациональности. Сегодня не вызывает сомнения, что</w:t>
      </w:r>
      <w:r w:rsidRPr="00406381">
        <w:rPr>
          <w:rFonts w:ascii="Times New Roman" w:hAnsi="Times New Roman" w:cs="Times New Roman"/>
          <w:sz w:val="28"/>
          <w:szCs w:val="28"/>
        </w:rPr>
        <w:t xml:space="preserve"> когда мы сравниваем индийскую трад</w:t>
      </w:r>
      <w:r w:rsidRPr="00406381">
        <w:rPr>
          <w:rFonts w:ascii="Times New Roman" w:hAnsi="Times New Roman" w:cs="Times New Roman"/>
          <w:sz w:val="28"/>
          <w:szCs w:val="28"/>
        </w:rPr>
        <w:t>и</w:t>
      </w:r>
      <w:r w:rsidRPr="00406381">
        <w:rPr>
          <w:rFonts w:ascii="Times New Roman" w:hAnsi="Times New Roman" w:cs="Times New Roman"/>
          <w:sz w:val="28"/>
          <w:szCs w:val="28"/>
        </w:rPr>
        <w:t>цию с западной, «мы сравниваем разные культурные и цивилизационные рамки, разные типы проблем и их решений, но не разные «рациональности», не радикально разные дискурсы».</w:t>
      </w:r>
      <w:r w:rsidRPr="00406381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406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F75" w:rsidRDefault="00E6699F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2F75">
        <w:rPr>
          <w:rFonts w:ascii="Times New Roman" w:hAnsi="Times New Roman" w:cs="Times New Roman"/>
          <w:sz w:val="28"/>
          <w:szCs w:val="28"/>
        </w:rPr>
        <w:t>ажная роль в развитии аргументационной проблематики</w:t>
      </w:r>
      <w:r>
        <w:rPr>
          <w:rFonts w:ascii="Times New Roman" w:hAnsi="Times New Roman" w:cs="Times New Roman"/>
          <w:sz w:val="28"/>
          <w:szCs w:val="28"/>
        </w:rPr>
        <w:t xml:space="preserve"> в инди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духовной культуре принадлежит буддизму. Важно отметить, что эта роль</w:t>
      </w:r>
      <w:r w:rsidR="00571BAD">
        <w:rPr>
          <w:rFonts w:ascii="Times New Roman" w:hAnsi="Times New Roman" w:cs="Times New Roman"/>
          <w:sz w:val="28"/>
          <w:szCs w:val="28"/>
        </w:rPr>
        <w:t xml:space="preserve"> </w:t>
      </w:r>
      <w:r w:rsidR="00D82F75">
        <w:rPr>
          <w:rFonts w:ascii="Times New Roman" w:hAnsi="Times New Roman" w:cs="Times New Roman"/>
          <w:sz w:val="28"/>
          <w:szCs w:val="28"/>
        </w:rPr>
        <w:t>менялась со временем, т</w:t>
      </w:r>
      <w:r w:rsidR="00B741CC">
        <w:rPr>
          <w:rFonts w:ascii="Times New Roman" w:hAnsi="Times New Roman" w:cs="Times New Roman"/>
          <w:sz w:val="28"/>
          <w:szCs w:val="28"/>
        </w:rPr>
        <w:t xml:space="preserve">ак как </w:t>
      </w:r>
      <w:r w:rsidR="00D82F75">
        <w:rPr>
          <w:rFonts w:ascii="Times New Roman" w:hAnsi="Times New Roman" w:cs="Times New Roman"/>
          <w:sz w:val="28"/>
          <w:szCs w:val="28"/>
        </w:rPr>
        <w:t>сам буддизм на протяжении веков сущ</w:t>
      </w:r>
      <w:r w:rsidR="00D82F75">
        <w:rPr>
          <w:rFonts w:ascii="Times New Roman" w:hAnsi="Times New Roman" w:cs="Times New Roman"/>
          <w:sz w:val="28"/>
          <w:szCs w:val="28"/>
        </w:rPr>
        <w:t>е</w:t>
      </w:r>
      <w:r w:rsidR="00D82F75">
        <w:rPr>
          <w:rFonts w:ascii="Times New Roman" w:hAnsi="Times New Roman" w:cs="Times New Roman"/>
          <w:sz w:val="28"/>
          <w:szCs w:val="28"/>
        </w:rPr>
        <w:t>ствовал как постоянно изменяющееся учение, часто содержавшее</w:t>
      </w:r>
      <w:r w:rsidR="00571BAD">
        <w:rPr>
          <w:rFonts w:ascii="Times New Roman" w:hAnsi="Times New Roman" w:cs="Times New Roman"/>
          <w:sz w:val="28"/>
          <w:szCs w:val="28"/>
        </w:rPr>
        <w:t>, как пок</w:t>
      </w:r>
      <w:r w:rsidR="00571BAD">
        <w:rPr>
          <w:rFonts w:ascii="Times New Roman" w:hAnsi="Times New Roman" w:cs="Times New Roman"/>
          <w:sz w:val="28"/>
          <w:szCs w:val="28"/>
        </w:rPr>
        <w:t>а</w:t>
      </w:r>
      <w:r w:rsidR="00571BAD">
        <w:rPr>
          <w:rFonts w:ascii="Times New Roman" w:hAnsi="Times New Roman" w:cs="Times New Roman"/>
          <w:sz w:val="28"/>
          <w:szCs w:val="28"/>
        </w:rPr>
        <w:t>зал</w:t>
      </w:r>
      <w:r>
        <w:rPr>
          <w:rFonts w:ascii="Times New Roman" w:hAnsi="Times New Roman" w:cs="Times New Roman"/>
          <w:sz w:val="28"/>
          <w:szCs w:val="28"/>
        </w:rPr>
        <w:t xml:space="preserve">и исследования известного отечественного буддолога  </w:t>
      </w:r>
      <w:r w:rsidR="00571BAD">
        <w:rPr>
          <w:rFonts w:ascii="Times New Roman" w:hAnsi="Times New Roman" w:cs="Times New Roman"/>
          <w:sz w:val="28"/>
          <w:szCs w:val="28"/>
        </w:rPr>
        <w:t xml:space="preserve"> Ф.И.Щербатско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71BAD">
        <w:rPr>
          <w:rFonts w:ascii="Times New Roman" w:hAnsi="Times New Roman" w:cs="Times New Roman"/>
          <w:sz w:val="28"/>
          <w:szCs w:val="28"/>
        </w:rPr>
        <w:t xml:space="preserve">, </w:t>
      </w:r>
      <w:r w:rsidR="00D82F75">
        <w:rPr>
          <w:rFonts w:ascii="Times New Roman" w:hAnsi="Times New Roman" w:cs="Times New Roman"/>
          <w:sz w:val="28"/>
          <w:szCs w:val="28"/>
        </w:rPr>
        <w:t>в рамках единой системы  противоположные категории. Если западный  стиль мышления сделал  мир «бессмысленно логичным», когда «ничто уже не может быть разом А и не-А»,</w:t>
      </w:r>
      <w:r w:rsidR="00D82F75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D82F75">
        <w:rPr>
          <w:rFonts w:ascii="Times New Roman" w:hAnsi="Times New Roman" w:cs="Times New Roman"/>
          <w:sz w:val="28"/>
          <w:szCs w:val="28"/>
        </w:rPr>
        <w:t xml:space="preserve"> то буддистское  мировоззрение</w:t>
      </w:r>
      <w:r w:rsidR="00B741CC">
        <w:rPr>
          <w:rFonts w:ascii="Times New Roman" w:hAnsi="Times New Roman" w:cs="Times New Roman"/>
          <w:sz w:val="28"/>
          <w:szCs w:val="28"/>
        </w:rPr>
        <w:t xml:space="preserve"> имеет др</w:t>
      </w:r>
      <w:r w:rsidR="00B741CC">
        <w:rPr>
          <w:rFonts w:ascii="Times New Roman" w:hAnsi="Times New Roman" w:cs="Times New Roman"/>
          <w:sz w:val="28"/>
          <w:szCs w:val="28"/>
        </w:rPr>
        <w:t>у</w:t>
      </w:r>
      <w:r w:rsidR="00B741CC">
        <w:rPr>
          <w:rFonts w:ascii="Times New Roman" w:hAnsi="Times New Roman" w:cs="Times New Roman"/>
          <w:sz w:val="28"/>
          <w:szCs w:val="28"/>
        </w:rPr>
        <w:t>гие ант</w:t>
      </w:r>
      <w:r w:rsidR="00F1596B">
        <w:rPr>
          <w:rFonts w:ascii="Times New Roman" w:hAnsi="Times New Roman" w:cs="Times New Roman"/>
          <w:sz w:val="28"/>
          <w:szCs w:val="28"/>
        </w:rPr>
        <w:t>е</w:t>
      </w:r>
      <w:r w:rsidR="00B741CC">
        <w:rPr>
          <w:rFonts w:ascii="Times New Roman" w:hAnsi="Times New Roman" w:cs="Times New Roman"/>
          <w:sz w:val="28"/>
          <w:szCs w:val="28"/>
        </w:rPr>
        <w:t xml:space="preserve">цеденты. Оно </w:t>
      </w:r>
      <w:r w:rsidR="00D82F75">
        <w:rPr>
          <w:rFonts w:ascii="Times New Roman" w:hAnsi="Times New Roman" w:cs="Times New Roman"/>
          <w:sz w:val="28"/>
          <w:szCs w:val="28"/>
        </w:rPr>
        <w:t xml:space="preserve">исходит из идеи Единого, из </w:t>
      </w:r>
      <w:r w:rsidR="00462CC8">
        <w:rPr>
          <w:rFonts w:ascii="Times New Roman" w:hAnsi="Times New Roman" w:cs="Times New Roman"/>
          <w:sz w:val="28"/>
          <w:szCs w:val="28"/>
        </w:rPr>
        <w:t xml:space="preserve">представлений о </w:t>
      </w:r>
      <w:r w:rsidR="00D82F75">
        <w:rPr>
          <w:rFonts w:ascii="Times New Roman" w:hAnsi="Times New Roman" w:cs="Times New Roman"/>
          <w:sz w:val="28"/>
          <w:szCs w:val="28"/>
        </w:rPr>
        <w:t>недел</w:t>
      </w:r>
      <w:r w:rsidR="00D82F75">
        <w:rPr>
          <w:rFonts w:ascii="Times New Roman" w:hAnsi="Times New Roman" w:cs="Times New Roman"/>
          <w:sz w:val="28"/>
          <w:szCs w:val="28"/>
        </w:rPr>
        <w:t>и</w:t>
      </w:r>
      <w:r w:rsidR="00D82F75">
        <w:rPr>
          <w:rFonts w:ascii="Times New Roman" w:hAnsi="Times New Roman" w:cs="Times New Roman"/>
          <w:sz w:val="28"/>
          <w:szCs w:val="28"/>
        </w:rPr>
        <w:t>мости, непротиворечивости сущего, воплощенной в логике Срединного п</w:t>
      </w:r>
      <w:r w:rsidR="00D82F75">
        <w:rPr>
          <w:rFonts w:ascii="Times New Roman" w:hAnsi="Times New Roman" w:cs="Times New Roman"/>
          <w:sz w:val="28"/>
          <w:szCs w:val="28"/>
        </w:rPr>
        <w:t>у</w:t>
      </w:r>
      <w:r w:rsidR="00D82F75">
        <w:rPr>
          <w:rFonts w:ascii="Times New Roman" w:hAnsi="Times New Roman" w:cs="Times New Roman"/>
          <w:sz w:val="28"/>
          <w:szCs w:val="28"/>
        </w:rPr>
        <w:lastRenderedPageBreak/>
        <w:t>ти.  В его основе  лежит особый «способ мышления: открытый, подвижный ум, способность к интуитивному, спонтанному видению».</w:t>
      </w:r>
      <w:r w:rsidR="00D82F75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:rsidR="00D82F75" w:rsidRDefault="00D82F75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теоретического обоснования  своих положений буддизм выр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ботал недуальную</w:t>
      </w:r>
      <w:r w:rsidR="00462CC8">
        <w:rPr>
          <w:rFonts w:ascii="Times New Roman" w:hAnsi="Times New Roman" w:cs="Times New Roman"/>
          <w:sz w:val="28"/>
          <w:szCs w:val="28"/>
        </w:rPr>
        <w:t xml:space="preserve"> (не субъект-объектную)</w:t>
      </w:r>
      <w:r>
        <w:rPr>
          <w:rFonts w:ascii="Times New Roman" w:hAnsi="Times New Roman" w:cs="Times New Roman"/>
          <w:sz w:val="28"/>
          <w:szCs w:val="28"/>
        </w:rPr>
        <w:t xml:space="preserve"> модель мира и особую теорию познания, в которой познающий и познаваемое нераздельны. Исходным ее пунктом  является положение о непознаваемости истинно сущего, являющ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гося выражением одного чистого бытия, без всяких форм и признаков.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Главнейшие черты этой теории  «дают ей  право называться критической: она объявляет всякое  метафизическое познание невозможным, ограничивает область познаваемого исключительно сферою возможного опыта и задачу философии полагает не в исследовании сущности и начала всех вещей, а в исследовании достоверности нашего познания».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Эта теория познания вкл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чала в себя в качестве </w:t>
      </w:r>
      <w:r w:rsidR="00462CC8">
        <w:rPr>
          <w:rFonts w:ascii="Times New Roman" w:hAnsi="Times New Roman" w:cs="Times New Roman"/>
          <w:sz w:val="28"/>
          <w:szCs w:val="28"/>
        </w:rPr>
        <w:t>составной части логику и идеи</w:t>
      </w:r>
      <w:r>
        <w:rPr>
          <w:rFonts w:ascii="Times New Roman" w:hAnsi="Times New Roman" w:cs="Times New Roman"/>
          <w:sz w:val="28"/>
          <w:szCs w:val="28"/>
        </w:rPr>
        <w:t xml:space="preserve"> аргументации. </w:t>
      </w:r>
      <w:r w:rsidR="00780BFA" w:rsidRPr="001324D4">
        <w:rPr>
          <w:rFonts w:ascii="Times New Roman" w:hAnsi="Times New Roman" w:cs="Times New Roman"/>
          <w:sz w:val="28"/>
          <w:szCs w:val="28"/>
        </w:rPr>
        <w:t>Иску</w:t>
      </w:r>
      <w:r w:rsidR="00780BFA" w:rsidRPr="001324D4">
        <w:rPr>
          <w:rFonts w:ascii="Times New Roman" w:hAnsi="Times New Roman" w:cs="Times New Roman"/>
          <w:sz w:val="28"/>
          <w:szCs w:val="28"/>
        </w:rPr>
        <w:t>с</w:t>
      </w:r>
      <w:r w:rsidR="00780BFA" w:rsidRPr="001324D4">
        <w:rPr>
          <w:rFonts w:ascii="Times New Roman" w:hAnsi="Times New Roman" w:cs="Times New Roman"/>
          <w:sz w:val="28"/>
          <w:szCs w:val="28"/>
        </w:rPr>
        <w:t>ство ведения публичных диспутов, наряду с теорией чувственного воспр</w:t>
      </w:r>
      <w:r w:rsidR="00780BFA" w:rsidRPr="001324D4">
        <w:rPr>
          <w:rFonts w:ascii="Times New Roman" w:hAnsi="Times New Roman" w:cs="Times New Roman"/>
          <w:sz w:val="28"/>
          <w:szCs w:val="28"/>
        </w:rPr>
        <w:t>и</w:t>
      </w:r>
      <w:r w:rsidR="00780BFA" w:rsidRPr="001324D4">
        <w:rPr>
          <w:rFonts w:ascii="Times New Roman" w:hAnsi="Times New Roman" w:cs="Times New Roman"/>
          <w:sz w:val="28"/>
          <w:szCs w:val="28"/>
        </w:rPr>
        <w:t>ятия, теорией достоверности знания, а также теорией суждения и силлоги</w:t>
      </w:r>
      <w:r w:rsidR="00780BFA" w:rsidRPr="001324D4">
        <w:rPr>
          <w:rFonts w:ascii="Times New Roman" w:hAnsi="Times New Roman" w:cs="Times New Roman"/>
          <w:sz w:val="28"/>
          <w:szCs w:val="28"/>
        </w:rPr>
        <w:t>з</w:t>
      </w:r>
      <w:r w:rsidR="00780BFA" w:rsidRPr="001324D4">
        <w:rPr>
          <w:rFonts w:ascii="Times New Roman" w:hAnsi="Times New Roman" w:cs="Times New Roman"/>
          <w:sz w:val="28"/>
          <w:szCs w:val="28"/>
        </w:rPr>
        <w:t>ма, входит органической частью в эпистемическую логику буддистов, со</w:t>
      </w:r>
      <w:r w:rsidR="00780BFA" w:rsidRPr="001324D4">
        <w:rPr>
          <w:rFonts w:ascii="Times New Roman" w:hAnsi="Times New Roman" w:cs="Times New Roman"/>
          <w:sz w:val="28"/>
          <w:szCs w:val="28"/>
        </w:rPr>
        <w:t>з</w:t>
      </w:r>
      <w:r w:rsidR="00780BFA" w:rsidRPr="001324D4">
        <w:rPr>
          <w:rFonts w:ascii="Times New Roman" w:hAnsi="Times New Roman" w:cs="Times New Roman"/>
          <w:sz w:val="28"/>
          <w:szCs w:val="28"/>
        </w:rPr>
        <w:t xml:space="preserve">данную в </w:t>
      </w:r>
      <w:r w:rsidR="00780BFA" w:rsidRPr="001324D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80BFA" w:rsidRPr="001324D4">
        <w:rPr>
          <w:rFonts w:ascii="Times New Roman" w:hAnsi="Times New Roman" w:cs="Times New Roman"/>
          <w:sz w:val="28"/>
          <w:szCs w:val="28"/>
        </w:rPr>
        <w:t>-</w:t>
      </w:r>
      <w:r w:rsidR="00780BFA" w:rsidRPr="001324D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80BFA" w:rsidRPr="001324D4">
        <w:rPr>
          <w:rFonts w:ascii="Times New Roman" w:hAnsi="Times New Roman" w:cs="Times New Roman"/>
          <w:sz w:val="28"/>
          <w:szCs w:val="28"/>
        </w:rPr>
        <w:t xml:space="preserve">  вв. н.э. трудами Дигнаги и Дхармакирти.</w:t>
      </w:r>
      <w:r w:rsidR="00780BFA" w:rsidRPr="001324D4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="00780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F75" w:rsidRDefault="00D82F75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эволюции аргументационных представлений в буддийской трад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ции известно  сравнительно мало, но большинство исследователей признают, что философия в буддизме развивалась внутри диспутальной практики и достаточно серьезно зависела от теории спора.  Это нашло отражение в  </w:t>
      </w:r>
      <w:r w:rsidRPr="00462CC8">
        <w:rPr>
          <w:rFonts w:ascii="Times New Roman" w:hAnsi="Times New Roman" w:cs="Times New Roman"/>
          <w:sz w:val="28"/>
          <w:szCs w:val="28"/>
        </w:rPr>
        <w:t>бу</w:t>
      </w:r>
      <w:r w:rsidRPr="00462CC8">
        <w:rPr>
          <w:rFonts w:ascii="Times New Roman" w:hAnsi="Times New Roman" w:cs="Times New Roman"/>
          <w:sz w:val="28"/>
          <w:szCs w:val="28"/>
        </w:rPr>
        <w:t>д</w:t>
      </w:r>
      <w:r w:rsidRPr="00462CC8">
        <w:rPr>
          <w:rFonts w:ascii="Times New Roman" w:hAnsi="Times New Roman" w:cs="Times New Roman"/>
          <w:sz w:val="28"/>
          <w:szCs w:val="28"/>
        </w:rPr>
        <w:t>дийских систематических текст</w:t>
      </w:r>
      <w:r w:rsidR="00462CC8" w:rsidRPr="00462CC8">
        <w:rPr>
          <w:rFonts w:ascii="Times New Roman" w:hAnsi="Times New Roman" w:cs="Times New Roman"/>
          <w:sz w:val="28"/>
          <w:szCs w:val="28"/>
        </w:rPr>
        <w:t>ах</w:t>
      </w:r>
      <w:r w:rsidR="00462CC8">
        <w:rPr>
          <w:rFonts w:ascii="Times New Roman" w:hAnsi="Times New Roman" w:cs="Times New Roman"/>
          <w:sz w:val="28"/>
          <w:szCs w:val="28"/>
        </w:rPr>
        <w:t>, д</w:t>
      </w:r>
      <w:r w:rsidR="00462CC8" w:rsidRPr="00462CC8">
        <w:rPr>
          <w:rFonts w:ascii="Times New Roman" w:hAnsi="Times New Roman" w:cs="Times New Roman"/>
          <w:sz w:val="28"/>
          <w:szCs w:val="28"/>
        </w:rPr>
        <w:t>ревнейшими из которых считаются тра</w:t>
      </w:r>
      <w:r w:rsidR="00462CC8" w:rsidRPr="00462CC8">
        <w:rPr>
          <w:rFonts w:ascii="Times New Roman" w:hAnsi="Times New Roman" w:cs="Times New Roman"/>
          <w:sz w:val="28"/>
          <w:szCs w:val="28"/>
        </w:rPr>
        <w:t>к</w:t>
      </w:r>
      <w:r w:rsidR="00462CC8" w:rsidRPr="00462CC8">
        <w:rPr>
          <w:rFonts w:ascii="Times New Roman" w:hAnsi="Times New Roman" w:cs="Times New Roman"/>
          <w:sz w:val="28"/>
          <w:szCs w:val="28"/>
        </w:rPr>
        <w:t>таты Нагарджуны  «Опровержение в споре» и «Диалектическое расщепл</w:t>
      </w:r>
      <w:r w:rsidR="00462CC8" w:rsidRPr="00462CC8">
        <w:rPr>
          <w:rFonts w:ascii="Times New Roman" w:hAnsi="Times New Roman" w:cs="Times New Roman"/>
          <w:sz w:val="28"/>
          <w:szCs w:val="28"/>
        </w:rPr>
        <w:t>е</w:t>
      </w:r>
      <w:r w:rsidR="00462CC8" w:rsidRPr="00462CC8">
        <w:rPr>
          <w:rFonts w:ascii="Times New Roman" w:hAnsi="Times New Roman" w:cs="Times New Roman"/>
          <w:sz w:val="28"/>
          <w:szCs w:val="28"/>
        </w:rPr>
        <w:t xml:space="preserve">ние». </w:t>
      </w:r>
      <w:r w:rsidR="00462CC8">
        <w:rPr>
          <w:rFonts w:ascii="Times New Roman" w:hAnsi="Times New Roman" w:cs="Times New Roman"/>
          <w:sz w:val="28"/>
          <w:szCs w:val="28"/>
        </w:rPr>
        <w:t>В об</w:t>
      </w:r>
      <w:r w:rsidR="00EA7312">
        <w:rPr>
          <w:rFonts w:ascii="Times New Roman" w:hAnsi="Times New Roman" w:cs="Times New Roman"/>
          <w:sz w:val="28"/>
          <w:szCs w:val="28"/>
        </w:rPr>
        <w:t>е</w:t>
      </w:r>
      <w:r w:rsidR="00462CC8">
        <w:rPr>
          <w:rFonts w:ascii="Times New Roman" w:hAnsi="Times New Roman" w:cs="Times New Roman"/>
          <w:sz w:val="28"/>
          <w:szCs w:val="28"/>
        </w:rPr>
        <w:t>их работах содержится «изложение и обоснование  единственн</w:t>
      </w:r>
      <w:r w:rsidR="00462CC8">
        <w:rPr>
          <w:rFonts w:ascii="Times New Roman" w:hAnsi="Times New Roman" w:cs="Times New Roman"/>
          <w:sz w:val="28"/>
          <w:szCs w:val="28"/>
        </w:rPr>
        <w:t>о</w:t>
      </w:r>
      <w:r w:rsidR="00462CC8">
        <w:rPr>
          <w:rFonts w:ascii="Times New Roman" w:hAnsi="Times New Roman" w:cs="Times New Roman"/>
          <w:sz w:val="28"/>
          <w:szCs w:val="28"/>
        </w:rPr>
        <w:t>го в своем роде метода ведения диспута, который состоит не в доказательс</w:t>
      </w:r>
      <w:r w:rsidR="00462CC8">
        <w:rPr>
          <w:rFonts w:ascii="Times New Roman" w:hAnsi="Times New Roman" w:cs="Times New Roman"/>
          <w:sz w:val="28"/>
          <w:szCs w:val="28"/>
        </w:rPr>
        <w:t>т</w:t>
      </w:r>
      <w:r w:rsidR="00462CC8">
        <w:rPr>
          <w:rFonts w:ascii="Times New Roman" w:hAnsi="Times New Roman" w:cs="Times New Roman"/>
          <w:sz w:val="28"/>
          <w:szCs w:val="28"/>
        </w:rPr>
        <w:t>ве чего-то позитивного</w:t>
      </w:r>
      <w:r w:rsidR="00EA7312">
        <w:rPr>
          <w:rFonts w:ascii="Times New Roman" w:hAnsi="Times New Roman" w:cs="Times New Roman"/>
          <w:sz w:val="28"/>
          <w:szCs w:val="28"/>
        </w:rPr>
        <w:t>, а в применении критерия относительности к любому положительному тезису противника и, таким образом, в диалектическом о</w:t>
      </w:r>
      <w:r w:rsidR="00EA7312">
        <w:rPr>
          <w:rFonts w:ascii="Times New Roman" w:hAnsi="Times New Roman" w:cs="Times New Roman"/>
          <w:sz w:val="28"/>
          <w:szCs w:val="28"/>
        </w:rPr>
        <w:t>п</w:t>
      </w:r>
      <w:r w:rsidR="00EA7312">
        <w:rPr>
          <w:rFonts w:ascii="Times New Roman" w:hAnsi="Times New Roman" w:cs="Times New Roman"/>
          <w:sz w:val="28"/>
          <w:szCs w:val="28"/>
        </w:rPr>
        <w:t>ровержении его».</w:t>
      </w:r>
      <w:r w:rsidRPr="00462CC8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462CC8">
        <w:rPr>
          <w:rFonts w:ascii="Times New Roman" w:hAnsi="Times New Roman" w:cs="Times New Roman"/>
          <w:sz w:val="28"/>
          <w:szCs w:val="28"/>
        </w:rPr>
        <w:t xml:space="preserve"> </w:t>
      </w:r>
      <w:r w:rsidR="00EA7312" w:rsidRPr="00462CC8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7312">
        <w:rPr>
          <w:rFonts w:ascii="Times New Roman" w:hAnsi="Times New Roman" w:cs="Times New Roman"/>
          <w:sz w:val="28"/>
          <w:szCs w:val="28"/>
        </w:rPr>
        <w:t>трактатов Нагарджуны</w:t>
      </w:r>
      <w:r w:rsidR="00EA7312" w:rsidRPr="00462CC8">
        <w:rPr>
          <w:rFonts w:ascii="Times New Roman" w:hAnsi="Times New Roman" w:cs="Times New Roman"/>
          <w:sz w:val="28"/>
          <w:szCs w:val="28"/>
        </w:rPr>
        <w:t xml:space="preserve"> </w:t>
      </w:r>
      <w:r w:rsidR="00EA7312">
        <w:rPr>
          <w:rFonts w:ascii="Times New Roman" w:hAnsi="Times New Roman" w:cs="Times New Roman"/>
          <w:sz w:val="28"/>
          <w:szCs w:val="28"/>
        </w:rPr>
        <w:t>каждый сколько-нибудь и</w:t>
      </w:r>
      <w:r w:rsidR="00EA7312">
        <w:rPr>
          <w:rFonts w:ascii="Times New Roman" w:hAnsi="Times New Roman" w:cs="Times New Roman"/>
          <w:sz w:val="28"/>
          <w:szCs w:val="28"/>
        </w:rPr>
        <w:t>з</w:t>
      </w:r>
      <w:r w:rsidR="00EA7312">
        <w:rPr>
          <w:rFonts w:ascii="Times New Roman" w:hAnsi="Times New Roman" w:cs="Times New Roman"/>
          <w:sz w:val="28"/>
          <w:szCs w:val="28"/>
        </w:rPr>
        <w:t xml:space="preserve">вестный автор составляет свое собственное </w:t>
      </w:r>
      <w:r w:rsidR="00EA7312" w:rsidRPr="00462CC8">
        <w:rPr>
          <w:rFonts w:ascii="Times New Roman" w:hAnsi="Times New Roman" w:cs="Times New Roman"/>
          <w:sz w:val="28"/>
          <w:szCs w:val="28"/>
        </w:rPr>
        <w:t>руко</w:t>
      </w:r>
      <w:r w:rsidR="00EA7312">
        <w:rPr>
          <w:rFonts w:ascii="Times New Roman" w:hAnsi="Times New Roman" w:cs="Times New Roman"/>
          <w:sz w:val="28"/>
          <w:szCs w:val="28"/>
        </w:rPr>
        <w:t>водство</w:t>
      </w:r>
      <w:r w:rsidR="00EA7312" w:rsidRPr="00462CC8">
        <w:rPr>
          <w:rFonts w:ascii="Times New Roman" w:hAnsi="Times New Roman" w:cs="Times New Roman"/>
          <w:sz w:val="28"/>
          <w:szCs w:val="28"/>
        </w:rPr>
        <w:t xml:space="preserve"> по диалектике</w:t>
      </w:r>
      <w:r w:rsidR="00EA7312">
        <w:rPr>
          <w:rFonts w:ascii="Times New Roman" w:hAnsi="Times New Roman" w:cs="Times New Roman"/>
          <w:sz w:val="28"/>
          <w:szCs w:val="28"/>
        </w:rPr>
        <w:t>, к</w:t>
      </w:r>
      <w:r w:rsidR="00EA7312">
        <w:rPr>
          <w:rFonts w:ascii="Times New Roman" w:hAnsi="Times New Roman" w:cs="Times New Roman"/>
          <w:sz w:val="28"/>
          <w:szCs w:val="28"/>
        </w:rPr>
        <w:t>о</w:t>
      </w:r>
      <w:r w:rsidR="00EA7312">
        <w:rPr>
          <w:rFonts w:ascii="Times New Roman" w:hAnsi="Times New Roman" w:cs="Times New Roman"/>
          <w:sz w:val="28"/>
          <w:szCs w:val="28"/>
        </w:rPr>
        <w:t xml:space="preserve">торое в обязательном порядке </w:t>
      </w:r>
      <w:r w:rsidR="00EA7312" w:rsidRPr="00462CC8">
        <w:rPr>
          <w:rFonts w:ascii="Times New Roman" w:hAnsi="Times New Roman" w:cs="Times New Roman"/>
          <w:sz w:val="28"/>
          <w:szCs w:val="28"/>
        </w:rPr>
        <w:t xml:space="preserve"> вк</w:t>
      </w:r>
      <w:r w:rsidR="00EA7312">
        <w:rPr>
          <w:rFonts w:ascii="Times New Roman" w:hAnsi="Times New Roman" w:cs="Times New Roman"/>
          <w:sz w:val="28"/>
          <w:szCs w:val="28"/>
        </w:rPr>
        <w:t>л</w:t>
      </w:r>
      <w:r w:rsidR="00EA7312" w:rsidRPr="00462CC8">
        <w:rPr>
          <w:rFonts w:ascii="Times New Roman" w:hAnsi="Times New Roman" w:cs="Times New Roman"/>
          <w:sz w:val="28"/>
          <w:szCs w:val="28"/>
        </w:rPr>
        <w:t>юча</w:t>
      </w:r>
      <w:r w:rsidR="00EA7312">
        <w:rPr>
          <w:rFonts w:ascii="Times New Roman" w:hAnsi="Times New Roman" w:cs="Times New Roman"/>
          <w:sz w:val="28"/>
          <w:szCs w:val="28"/>
        </w:rPr>
        <w:t>ло</w:t>
      </w:r>
      <w:r w:rsidR="00EA7312" w:rsidRPr="00462CC8">
        <w:rPr>
          <w:rFonts w:ascii="Times New Roman" w:hAnsi="Times New Roman" w:cs="Times New Roman"/>
          <w:sz w:val="28"/>
          <w:szCs w:val="28"/>
        </w:rPr>
        <w:t xml:space="preserve"> раздел, посвященный правилам в</w:t>
      </w:r>
      <w:r w:rsidR="00EA7312" w:rsidRPr="00462CC8">
        <w:rPr>
          <w:rFonts w:ascii="Times New Roman" w:hAnsi="Times New Roman" w:cs="Times New Roman"/>
          <w:sz w:val="28"/>
          <w:szCs w:val="28"/>
        </w:rPr>
        <w:t>е</w:t>
      </w:r>
      <w:r w:rsidR="00EA7312" w:rsidRPr="00462CC8">
        <w:rPr>
          <w:rFonts w:ascii="Times New Roman" w:hAnsi="Times New Roman" w:cs="Times New Roman"/>
          <w:sz w:val="28"/>
          <w:szCs w:val="28"/>
        </w:rPr>
        <w:t>дения диспутов</w:t>
      </w:r>
      <w:r w:rsidR="00EA7312">
        <w:rPr>
          <w:rFonts w:ascii="Times New Roman" w:hAnsi="Times New Roman" w:cs="Times New Roman"/>
          <w:sz w:val="28"/>
          <w:szCs w:val="28"/>
        </w:rPr>
        <w:t xml:space="preserve">. Надо заметить, что авторы последующих работ </w:t>
      </w:r>
      <w:r>
        <w:rPr>
          <w:rFonts w:ascii="Times New Roman" w:hAnsi="Times New Roman" w:cs="Times New Roman"/>
          <w:sz w:val="28"/>
          <w:szCs w:val="28"/>
        </w:rPr>
        <w:t>часто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производят </w:t>
      </w:r>
      <w:r w:rsidR="00F8093E">
        <w:rPr>
          <w:rFonts w:ascii="Times New Roman" w:hAnsi="Times New Roman" w:cs="Times New Roman"/>
          <w:sz w:val="28"/>
          <w:szCs w:val="28"/>
        </w:rPr>
        <w:t>идеи  Нагарджуны и рассматривают т</w:t>
      </w:r>
      <w:r>
        <w:rPr>
          <w:rFonts w:ascii="Times New Roman" w:hAnsi="Times New Roman" w:cs="Times New Roman"/>
          <w:sz w:val="28"/>
          <w:szCs w:val="28"/>
        </w:rPr>
        <w:t xml:space="preserve">акие элементы спора, как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обязательное опровержение  альтернативных мнений, осуществляемое  в 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 доказательства своей доктрины, примеры из дебатов, а также  требовани</w:t>
      </w:r>
      <w:r w:rsidR="00F809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корректного определения предмета, содержащ</w:t>
      </w:r>
      <w:r w:rsidR="00F8093E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строго ограниченное  число признаков. В итоге со временем у буддистов выкристаллизуются логически замкнутые системы дискурсивного рассмотрения, практически не подда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щиеся фальсификации извне.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реконструировать буддис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скую теорию аргументации невозможно вне диспутальной культуры, а также без учета основных положений   прамана-вады.</w:t>
      </w:r>
    </w:p>
    <w:p w:rsidR="00D82F75" w:rsidRDefault="00D82F75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наблюдается повышенный интерес индологов к «прамане-ваде», выступавшей логико-эпистемологической основой  аргументации многих религиозно-философских школ, в центре которой находится  «теория истинных источников знания», впервые выделенная Ф. И. Щербатским,  а также к концепциям вывода, который исследуется  с помощью метода фил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софской компаративистики - путем сравнительного анализа с силлогистикой Аристотеля. Особое внимание уделяется изучению наследия  буддизма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риода его расцвета, вершиной которого является творчество  основополо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ника буддийской и средневековой индийской логики Дигнаги, разработа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шего оригинальную теорию диспутов. Однако еще до появления работ «п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бедителя вселенной» (этого звания искусный полемист Дигнага был удост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ен за свои победы в спорах), в буддизме более раннего периода разрабатыв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лось учение о речи, своего рода теория ораторского искусства, в котором были переплетены и логические, и психологические и риторические приемы. Его можно рассматривать как одну из ранних форм теории аргументации, ядром которой является  учение о</w:t>
      </w:r>
      <w:r w:rsidR="00BE585C">
        <w:rPr>
          <w:rFonts w:ascii="Times New Roman" w:hAnsi="Times New Roman" w:cs="Times New Roman"/>
          <w:sz w:val="28"/>
          <w:szCs w:val="28"/>
        </w:rPr>
        <w:t>б украшении и</w:t>
      </w:r>
      <w:r>
        <w:rPr>
          <w:rFonts w:ascii="Times New Roman" w:hAnsi="Times New Roman" w:cs="Times New Roman"/>
          <w:sz w:val="28"/>
          <w:szCs w:val="28"/>
        </w:rPr>
        <w:t xml:space="preserve">  недостатках речи.</w:t>
      </w:r>
    </w:p>
    <w:p w:rsidR="00D82F75" w:rsidRDefault="00D82F75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Учение об украшении и недостатках речи </w:t>
      </w:r>
      <w:r>
        <w:rPr>
          <w:rFonts w:ascii="Times New Roman" w:hAnsi="Times New Roman" w:cs="Times New Roman"/>
          <w:sz w:val="28"/>
          <w:szCs w:val="28"/>
        </w:rPr>
        <w:t xml:space="preserve"> имеет достаточно развет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ленную структуру, включающую несколько ведущихся по разным основан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ям классификаций, и содержит множество рубрик, которые, в свою очередь, включают ряд </w:t>
      </w:r>
      <w:r w:rsidR="00BE585C">
        <w:rPr>
          <w:rFonts w:ascii="Times New Roman" w:hAnsi="Times New Roman" w:cs="Times New Roman"/>
          <w:sz w:val="28"/>
          <w:szCs w:val="28"/>
        </w:rPr>
        <w:t>весьма разнородных подрубрик</w:t>
      </w:r>
      <w:r>
        <w:rPr>
          <w:rFonts w:ascii="Times New Roman" w:hAnsi="Times New Roman" w:cs="Times New Roman"/>
          <w:sz w:val="28"/>
          <w:szCs w:val="28"/>
        </w:rPr>
        <w:t>,  свидетельствующих об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сутствии  системности и эмпирическом характере </w:t>
      </w:r>
      <w:r w:rsidR="00BE585C">
        <w:rPr>
          <w:rFonts w:ascii="Times New Roman" w:hAnsi="Times New Roman" w:cs="Times New Roman"/>
          <w:sz w:val="28"/>
          <w:szCs w:val="28"/>
        </w:rPr>
        <w:t xml:space="preserve">приводимых </w:t>
      </w:r>
      <w:r>
        <w:rPr>
          <w:rFonts w:ascii="Times New Roman" w:hAnsi="Times New Roman" w:cs="Times New Roman"/>
          <w:sz w:val="28"/>
          <w:szCs w:val="28"/>
        </w:rPr>
        <w:t>обобщений.</w:t>
      </w:r>
    </w:p>
    <w:p w:rsidR="00D82F75" w:rsidRDefault="00D82F75" w:rsidP="00D82F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Произнесению  речи обязательно должен предшествовать определе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подготовительный этап. Чтобы правильно опровергнуть тезисы, выдв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гаемые представителями другой (небуддийской) школы, уже на предвар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тельной стадии  было необходимо определить, к какой традиции принадл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жит предполагаемый соперник,  имеет ли она достаточно разработанную доктринальную базу и логико-эпистемологический аппарат. Если школа 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ла недавно созданной, не имевшей длительной истории  развития, она кла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сифицировалась «как неразумная», а ее создатели, не опиравшиеся на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lastRenderedPageBreak/>
        <w:t>линные источники, считались «невежественными», имевшими в качестве 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 не истину, а корыстный интерес. Впоследствии буддистами даже будет  составлен реестр таких школ, с представителями которых вести спор счит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лось крайне нежелательным.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</w:p>
    <w:p w:rsidR="00D82F75" w:rsidRDefault="00D82F75" w:rsidP="00D82F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религиозно-философская школа обладала полнотой традиции и признавалась «достойной опровержения»,  то предварительный  этап обретал иное содержание, которое найдет отражение в названии. Он будет обозначен термином «польза от дебата» и приобретет статус классического процеду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ного правила</w:t>
      </w:r>
      <w:r w:rsidR="00BE585C">
        <w:rPr>
          <w:rFonts w:ascii="Times New Roman" w:hAnsi="Times New Roman" w:cs="Times New Roman"/>
          <w:sz w:val="28"/>
          <w:szCs w:val="28"/>
        </w:rPr>
        <w:t xml:space="preserve">. На данном этапе </w:t>
      </w:r>
      <w:r>
        <w:rPr>
          <w:rFonts w:ascii="Times New Roman" w:hAnsi="Times New Roman" w:cs="Times New Roman"/>
          <w:sz w:val="28"/>
          <w:szCs w:val="28"/>
        </w:rPr>
        <w:t>необходимо определиться, к каким результ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там речь должна, в конечном счете, при</w:t>
      </w:r>
      <w:r w:rsidR="006A1E18">
        <w:rPr>
          <w:rFonts w:ascii="Times New Roman" w:hAnsi="Times New Roman" w:cs="Times New Roman"/>
          <w:sz w:val="28"/>
          <w:szCs w:val="28"/>
        </w:rPr>
        <w:t>вести, т.е. какова будет польза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ковы будут потери в результате победы или поражения. С этой целью задав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лись особые наводящие вопросы, позволяющие понять мотивацию проти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ника. Если уже до начала  дискуссии, на которой будет произнесена речь, возникают сомнения в ее продуктивности, то от такой речи, которая не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ведет к хорошему результату, необходимо сразу же уклониться. Также надо поступить, если возникают сомнения в наличии у противника определенных качеств, среди которых, в первую очередь,  владение определенными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ниями и наличие способности вести дискуссию, а также ряд моральных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честв, таких как, например, честность и  беспристрастность. Этот предвар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тельный этап очень важен, он помогает избежать бессмысленных споров. Он также </w:t>
      </w:r>
      <w:r w:rsidR="00BE585C">
        <w:rPr>
          <w:rFonts w:ascii="Times New Roman" w:hAnsi="Times New Roman" w:cs="Times New Roman"/>
          <w:sz w:val="28"/>
          <w:szCs w:val="28"/>
        </w:rPr>
        <w:t xml:space="preserve">включает </w:t>
      </w:r>
      <w:r>
        <w:rPr>
          <w:rFonts w:ascii="Times New Roman" w:hAnsi="Times New Roman" w:cs="Times New Roman"/>
          <w:sz w:val="28"/>
          <w:szCs w:val="28"/>
        </w:rPr>
        <w:t>некоторое предварительное исследование предполагаемой аудитории. Подчеркивается важность учета характера  аудитории, перед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торой оратор будет держать свою речь, будет ли она состоять из професси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налов, знающих учение,  или из людей невежественных, но любящих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шать истинное учение, а также будет </w:t>
      </w:r>
      <w:r w:rsidR="006A1E18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это большо</w:t>
      </w:r>
      <w:r w:rsidR="006A1E18">
        <w:rPr>
          <w:rFonts w:ascii="Times New Roman" w:hAnsi="Times New Roman" w:cs="Times New Roman"/>
          <w:sz w:val="28"/>
          <w:szCs w:val="28"/>
        </w:rPr>
        <w:t>е собрание или малый круг людей.</w:t>
      </w:r>
      <w:r>
        <w:rPr>
          <w:rFonts w:ascii="Times New Roman" w:hAnsi="Times New Roman" w:cs="Times New Roman"/>
          <w:sz w:val="28"/>
          <w:szCs w:val="28"/>
        </w:rPr>
        <w:t xml:space="preserve">  Важным считается и то, будет ли она произносит</w:t>
      </w:r>
      <w:r w:rsidR="00F1596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 перед ц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рем,  правящими или же брахманами.  Эти положения раннебуддийского учения о речи, которые во многом перекликались с теорией аргументации представителей школы ньяя, с которой буддисты постоянно полемизировали, актуальны для работки теории аргументации и сегодня. Так, например, 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2B3A">
        <w:rPr>
          <w:rFonts w:ascii="Times New Roman" w:hAnsi="Times New Roman" w:cs="Times New Roman"/>
          <w:sz w:val="28"/>
          <w:szCs w:val="28"/>
        </w:rPr>
        <w:t>ложение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учета аудитории, определения того, является ли он</w:t>
      </w:r>
      <w:r w:rsidR="00BE58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специализированной или универсальной, входит в круг проблем, которые освещаются в современной научной литературе  по теории аргументации.</w:t>
      </w:r>
    </w:p>
    <w:p w:rsidR="00D82F75" w:rsidRDefault="00D82F75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же вообще бывают речи, что их украшает, чего надо избегать,  какими качествами должен обладать хороший аргументатор? В буддистской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логике до Дигнаги все эти вопросы затрагивались неоднократно. Так было принято выделять  6 видов речей.  На первом месте стояла так называемая «речь в себе», а на втором – «красивая речь», т.е.  та, которая доставляет </w:t>
      </w:r>
      <w:r w:rsidR="00BE585C">
        <w:rPr>
          <w:rFonts w:ascii="Times New Roman" w:hAnsi="Times New Roman" w:cs="Times New Roman"/>
          <w:sz w:val="28"/>
          <w:szCs w:val="28"/>
        </w:rPr>
        <w:t>э</w:t>
      </w:r>
      <w:r w:rsidR="00BE585C">
        <w:rPr>
          <w:rFonts w:ascii="Times New Roman" w:hAnsi="Times New Roman" w:cs="Times New Roman"/>
          <w:sz w:val="28"/>
          <w:szCs w:val="28"/>
        </w:rPr>
        <w:t>с</w:t>
      </w:r>
      <w:r w:rsidR="00BE585C">
        <w:rPr>
          <w:rFonts w:ascii="Times New Roman" w:hAnsi="Times New Roman" w:cs="Times New Roman"/>
          <w:sz w:val="28"/>
          <w:szCs w:val="28"/>
        </w:rPr>
        <w:t xml:space="preserve">тетическое </w:t>
      </w:r>
      <w:r>
        <w:rPr>
          <w:rFonts w:ascii="Times New Roman" w:hAnsi="Times New Roman" w:cs="Times New Roman"/>
          <w:sz w:val="28"/>
          <w:szCs w:val="28"/>
        </w:rPr>
        <w:t>удовольствие</w:t>
      </w:r>
      <w:r w:rsidR="00BE585C">
        <w:rPr>
          <w:rFonts w:ascii="Times New Roman" w:hAnsi="Times New Roman" w:cs="Times New Roman"/>
          <w:sz w:val="28"/>
          <w:szCs w:val="28"/>
        </w:rPr>
        <w:t xml:space="preserve">. Под ней, скорее всего, имелось в виду </w:t>
      </w:r>
      <w:r>
        <w:rPr>
          <w:rFonts w:ascii="Times New Roman" w:hAnsi="Times New Roman" w:cs="Times New Roman"/>
          <w:sz w:val="28"/>
          <w:szCs w:val="28"/>
        </w:rPr>
        <w:t>художес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венное слово.  Обе речи – первая и вторая - могут быть как «хорошими», так и «дурными», и эти два подвида следует различать. Третьей идет  «речь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путов»</w:t>
      </w:r>
      <w:r w:rsidR="00BE585C">
        <w:rPr>
          <w:rFonts w:ascii="Times New Roman" w:hAnsi="Times New Roman" w:cs="Times New Roman"/>
          <w:sz w:val="28"/>
          <w:szCs w:val="28"/>
        </w:rPr>
        <w:t xml:space="preserve">. Она встречается в тех случаях, когда </w:t>
      </w:r>
      <w:r>
        <w:rPr>
          <w:rFonts w:ascii="Times New Roman" w:hAnsi="Times New Roman" w:cs="Times New Roman"/>
          <w:sz w:val="28"/>
          <w:szCs w:val="28"/>
        </w:rPr>
        <w:t>два собеседника вовлечены в дискуссию, в ходе которой каждый высказывает различное мнение по пов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 предмета спора. Четвертое место занимает так называемая «дурная речь», в ней излагаются основы ложного учения. Третий и четвертый вид речей следует всегда избегать, они должны быть сразу отброшены,  поскольку вс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гда являются «дурными».  А вот пятый и шестой вид, к которым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 относятся  «дхарма» (согласующаяся с учением «правильная речь», цель которой дать слушателям истинное учение)</w:t>
      </w:r>
      <w:r w:rsidR="00CE2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речь, излагающая само истинное учение, наоборот, всячески приветствуются, т.к. они являются вс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гда «хорошими» и их должно применять.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</w:p>
    <w:p w:rsidR="00BE585C" w:rsidRDefault="00D82F75" w:rsidP="00D82F75">
      <w:pPr>
        <w:spacing w:after="0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Украшениями речи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BE585C">
        <w:rPr>
          <w:rFonts w:ascii="Times New Roman" w:hAnsi="Times New Roman" w:cs="Times New Roman"/>
          <w:sz w:val="28"/>
          <w:szCs w:val="28"/>
        </w:rPr>
        <w:t xml:space="preserve">такие </w:t>
      </w:r>
      <w:r>
        <w:rPr>
          <w:rFonts w:ascii="Times New Roman" w:hAnsi="Times New Roman" w:cs="Times New Roman"/>
          <w:sz w:val="28"/>
          <w:szCs w:val="28"/>
        </w:rPr>
        <w:t>качества: совершенное знание  (как своей системы, так и критикуемых учений); совершенство внешней формы речи (заключающееся в ясности, связности, простоте и естественности,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личии в ней интересного содержания и отсутствии грубых,  корявых и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грамотных выражений), выразительность речи. Украшают речь и субъекти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ные  характеристики ар</w:t>
      </w:r>
      <w:r w:rsidR="00BE585C">
        <w:rPr>
          <w:rFonts w:ascii="Times New Roman" w:hAnsi="Times New Roman" w:cs="Times New Roman"/>
          <w:sz w:val="28"/>
          <w:szCs w:val="28"/>
        </w:rPr>
        <w:t>гументатора, произносящего речь.  Весьма позити</w:t>
      </w:r>
      <w:r w:rsidR="00BE585C">
        <w:rPr>
          <w:rFonts w:ascii="Times New Roman" w:hAnsi="Times New Roman" w:cs="Times New Roman"/>
          <w:sz w:val="28"/>
          <w:szCs w:val="28"/>
        </w:rPr>
        <w:t>в</w:t>
      </w:r>
      <w:r w:rsidR="00BE585C">
        <w:rPr>
          <w:rFonts w:ascii="Times New Roman" w:hAnsi="Times New Roman" w:cs="Times New Roman"/>
          <w:sz w:val="28"/>
          <w:szCs w:val="28"/>
        </w:rPr>
        <w:t xml:space="preserve">ны в этом плане такие личностные особенности, как: </w:t>
      </w:r>
      <w:r>
        <w:rPr>
          <w:rFonts w:ascii="Times New Roman" w:hAnsi="Times New Roman" w:cs="Times New Roman"/>
          <w:sz w:val="28"/>
          <w:szCs w:val="28"/>
        </w:rPr>
        <w:t xml:space="preserve"> память, ум, сообраз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тельность, хорошая дикция. </w:t>
      </w:r>
    </w:p>
    <w:p w:rsidR="00D82F75" w:rsidRDefault="00D82F75" w:rsidP="00D82F75">
      <w:pPr>
        <w:spacing w:after="0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ранние буддисты обращали внимание на следующее,  важное для аргументации</w:t>
      </w:r>
      <w:r w:rsidR="00CE2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средства убеждения слушателей, обстоятельство. Для того чтобы речь оказала наиболее эффективное воздействие на слушателей, она должна быть произнесена человеком авторитетным, вызывающим у слуш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телей доверие, а, следовательно, и готовность принять то, что он предлагает.  Такой оратор, безусловно, должен быть человеком не только обладающим быстротой ума, хорошей интеллектуальной реакцией, позволяющей ему 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стро схватывать то, что говорит  противник и находить ответы на его вопр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сы, но и смелым, не ведающим страха в словесном поединке. Он также до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жен обладать хорошей выдержкой, уметь сохранять спокойствие в пылу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лемики, не допускать грубых выпадов по отношению к противнику, а самое главное, хорошо знать как свою собственную систему, так и учение опп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нента, а также его ошибки.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 На этот момент, кстати, будут обращать особое </w:t>
      </w:r>
      <w:r>
        <w:rPr>
          <w:rFonts w:ascii="Times New Roman" w:hAnsi="Times New Roman" w:cs="Times New Roman"/>
          <w:sz w:val="28"/>
          <w:szCs w:val="28"/>
        </w:rPr>
        <w:lastRenderedPageBreak/>
        <w:t>внимание и античные мыслители. Так, например, Платон  утверждал, что те, кто не знает истины,  не могут держать хорошую речь, так  как у них само искусство красноречия (в силу незнания) будет «нелепым и грубым».</w:t>
      </w:r>
    </w:p>
    <w:p w:rsidR="00D82F75" w:rsidRDefault="00D82F75" w:rsidP="00D82F75">
      <w:pPr>
        <w:spacing w:after="0"/>
        <w:ind w:right="5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подробно в раннем буддизме рассматривались и недо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татки речи. </w:t>
      </w:r>
      <w:r w:rsidR="00BE58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 были связаны  как с субъективными характеристиками 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рящих, так и способами их  поведения во время полемики. Однако централ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ное место занимали те, которые были связаны  с самими речами, их соде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жанием и формой.  </w:t>
      </w:r>
      <w:r w:rsidR="00396114">
        <w:rPr>
          <w:rFonts w:ascii="Times New Roman" w:hAnsi="Times New Roman" w:cs="Times New Roman"/>
          <w:sz w:val="28"/>
          <w:szCs w:val="28"/>
        </w:rPr>
        <w:t xml:space="preserve">Недостатки речи </w:t>
      </w:r>
      <w:r w:rsidR="00BE585C">
        <w:rPr>
          <w:rFonts w:ascii="Times New Roman" w:hAnsi="Times New Roman" w:cs="Times New Roman"/>
          <w:sz w:val="28"/>
          <w:szCs w:val="28"/>
        </w:rPr>
        <w:t>описыва</w:t>
      </w:r>
      <w:r w:rsidR="00396114">
        <w:rPr>
          <w:rFonts w:ascii="Times New Roman" w:hAnsi="Times New Roman" w:cs="Times New Roman"/>
          <w:sz w:val="28"/>
          <w:szCs w:val="28"/>
        </w:rPr>
        <w:t>ю</w:t>
      </w:r>
      <w:r w:rsidR="00BE585C">
        <w:rPr>
          <w:rFonts w:ascii="Times New Roman" w:hAnsi="Times New Roman" w:cs="Times New Roman"/>
          <w:sz w:val="28"/>
          <w:szCs w:val="28"/>
        </w:rPr>
        <w:t xml:space="preserve">тся достаточно подробно. При этом </w:t>
      </w:r>
      <w:r w:rsidR="00396114">
        <w:rPr>
          <w:rFonts w:ascii="Times New Roman" w:hAnsi="Times New Roman" w:cs="Times New Roman"/>
          <w:sz w:val="28"/>
          <w:szCs w:val="28"/>
        </w:rPr>
        <w:t xml:space="preserve"> также используется принцип деления на категории. </w:t>
      </w:r>
      <w:r>
        <w:rPr>
          <w:rFonts w:ascii="Times New Roman" w:hAnsi="Times New Roman" w:cs="Times New Roman"/>
          <w:sz w:val="28"/>
          <w:szCs w:val="28"/>
        </w:rPr>
        <w:t>Первая категория в качестве серьезнейшего недостатка называет  сделанное аргументатором во время речи признание собственной ошибки или же равноценное по негати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ной значимости для речи признание правильности тезиса противника, что означает поражение в публичном споре.   Такой же эффект имеет и  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щий недостаток – уклонение от продолжения уже начатой  дискуссии в том случае, если речь выступающего в результате атаки оппонента опровергае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ся, или он сам осознает несостоятельность своих аргументов и замолкает. Это и любое из следующих действий, которое он может совершить, напр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мер, просто прервать спор и уйти, сославшись на неотложное дело, отказ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ворить в ситуации, когда нечего возразить противнику, и даже выдвижение новых аргументов, но не относящихся к данному тезису,  – все это  ведет к поражению.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D82F75" w:rsidRDefault="00D82F75" w:rsidP="00D82F75">
      <w:pPr>
        <w:autoSpaceDE w:val="0"/>
        <w:autoSpaceDN w:val="0"/>
        <w:adjustRightInd w:val="0"/>
        <w:spacing w:after="0"/>
        <w:ind w:right="5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категория посвящена рассмотрению девяти разновидностей пл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хих  речи, к ним относят: речь, высказанную наобум, наугад; неистовую речь, внушенную гневом;  «темную», т.е. непонятную ни для аудитории, ни для оппонента речь; речь несоразмерную, т.е.  слишком короткую или сли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ком затянутую; бессмысленную речь,  представленную десятью разновидн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стями; беспорядочную речь; а так</w:t>
      </w:r>
      <w:r w:rsidR="00396114">
        <w:rPr>
          <w:rFonts w:ascii="Times New Roman" w:hAnsi="Times New Roman" w:cs="Times New Roman"/>
          <w:sz w:val="28"/>
          <w:szCs w:val="28"/>
        </w:rPr>
        <w:t xml:space="preserve">же неясную речь и недостаточно </w:t>
      </w:r>
      <w:r>
        <w:rPr>
          <w:rFonts w:ascii="Times New Roman" w:hAnsi="Times New Roman" w:cs="Times New Roman"/>
          <w:sz w:val="28"/>
          <w:szCs w:val="28"/>
        </w:rPr>
        <w:t>связную речь, и наконец, речь,  при которой некто опровергает аргумент,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им самим в качестве своего собственного тезиса.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</w:p>
    <w:p w:rsidR="00D82F75" w:rsidRDefault="00D82F75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важность для эффективной речи знания того, как ее 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расить, и при этом избежать известных недостатков, основная аргумент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рующая сила речи заключена в ее  содержании. Не случайно в центре вним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раннебуддийского учения о речи  находится ее </w:t>
      </w:r>
      <w:r w:rsidR="00F1596B">
        <w:rPr>
          <w:rFonts w:ascii="Times New Roman" w:hAnsi="Times New Roman" w:cs="Times New Roman"/>
          <w:i/>
          <w:sz w:val="28"/>
          <w:szCs w:val="28"/>
        </w:rPr>
        <w:t>логический аспект,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торый  рассматривается и оценивается  как «базис». Последний  выступает в качестве  опоры речи, он есть не что иное, как ее логическое содержание. Это содержание описывается как структура, состоящая из  двух элементов. </w:t>
      </w:r>
      <w:r>
        <w:rPr>
          <w:rFonts w:ascii="Times New Roman" w:hAnsi="Times New Roman" w:cs="Times New Roman"/>
          <w:i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 элемент  включает в себя то, что должно быть доказано. Это может быть как  сущность (когда  намечается утверждение или отрицание сущес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lastRenderedPageBreak/>
        <w:t>вование чего-либо), так и атрибут или качество  (т.е. утверждение / отриц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ние, что данное свойство принадлежит или не принадлежит субъекту).  </w:t>
      </w:r>
      <w:r>
        <w:rPr>
          <w:rFonts w:ascii="Times New Roman" w:hAnsi="Times New Roman" w:cs="Times New Roman"/>
          <w:i/>
          <w:sz w:val="28"/>
          <w:szCs w:val="28"/>
        </w:rPr>
        <w:t>Вт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рой</w:t>
      </w:r>
      <w:r>
        <w:rPr>
          <w:rFonts w:ascii="Times New Roman" w:hAnsi="Times New Roman" w:cs="Times New Roman"/>
          <w:sz w:val="28"/>
          <w:szCs w:val="28"/>
        </w:rPr>
        <w:t xml:space="preserve"> – это само доказательство. Вопрос о его природе и особенно структуре не является однозначным и по-разному трактуется в различных источниках.</w:t>
      </w:r>
    </w:p>
    <w:p w:rsidR="00D82F75" w:rsidRDefault="00D82F75" w:rsidP="00D82F75">
      <w:pPr>
        <w:spacing w:after="0"/>
        <w:ind w:right="5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распространенной является </w:t>
      </w:r>
      <w:r>
        <w:rPr>
          <w:rFonts w:ascii="Times New Roman" w:hAnsi="Times New Roman" w:cs="Times New Roman"/>
          <w:i/>
          <w:sz w:val="28"/>
          <w:szCs w:val="28"/>
        </w:rPr>
        <w:t>инвариантная модель доказ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тель</w:t>
      </w:r>
      <w:r>
        <w:rPr>
          <w:rFonts w:ascii="Times New Roman" w:hAnsi="Times New Roman" w:cs="Times New Roman"/>
          <w:i/>
          <w:sz w:val="28"/>
          <w:szCs w:val="28"/>
        </w:rPr>
        <w:softHyphen/>
        <w:t>ства,</w:t>
      </w:r>
      <w:r>
        <w:rPr>
          <w:rFonts w:ascii="Times New Roman" w:hAnsi="Times New Roman" w:cs="Times New Roman"/>
          <w:sz w:val="28"/>
          <w:szCs w:val="28"/>
        </w:rPr>
        <w:t xml:space="preserve"> включающая 8 элементов: 1) </w:t>
      </w:r>
      <w:r>
        <w:rPr>
          <w:rFonts w:ascii="Times New Roman" w:hAnsi="Times New Roman" w:cs="Times New Roman"/>
          <w:i/>
          <w:sz w:val="28"/>
          <w:szCs w:val="28"/>
        </w:rPr>
        <w:t>тезис</w:t>
      </w:r>
      <w:r>
        <w:rPr>
          <w:rFonts w:ascii="Times New Roman" w:hAnsi="Times New Roman" w:cs="Times New Roman"/>
          <w:sz w:val="28"/>
          <w:szCs w:val="28"/>
        </w:rPr>
        <w:t xml:space="preserve"> (то предложение, в котором выражена определенная точка зрения, которая и будет предметом доказ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2) </w:t>
      </w:r>
      <w:r>
        <w:rPr>
          <w:rFonts w:ascii="Times New Roman" w:hAnsi="Times New Roman" w:cs="Times New Roman"/>
          <w:i/>
          <w:sz w:val="28"/>
          <w:szCs w:val="28"/>
        </w:rPr>
        <w:t>основание</w:t>
      </w:r>
      <w:r>
        <w:rPr>
          <w:rFonts w:ascii="Times New Roman" w:hAnsi="Times New Roman" w:cs="Times New Roman"/>
          <w:sz w:val="28"/>
          <w:szCs w:val="28"/>
        </w:rPr>
        <w:t xml:space="preserve"> (имеется ввиду логическое основание); 3) </w:t>
      </w:r>
      <w:r>
        <w:rPr>
          <w:rFonts w:ascii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 (выражающий отношение между тем, что усмотрено, и тем, что еще не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мотрено);  4) </w:t>
      </w:r>
      <w:r>
        <w:rPr>
          <w:rFonts w:ascii="Times New Roman" w:hAnsi="Times New Roman" w:cs="Times New Roman"/>
          <w:i/>
          <w:sz w:val="28"/>
          <w:szCs w:val="28"/>
        </w:rPr>
        <w:t>однородность</w:t>
      </w:r>
      <w:r>
        <w:rPr>
          <w:rFonts w:ascii="Times New Roman" w:hAnsi="Times New Roman" w:cs="Times New Roman"/>
          <w:sz w:val="28"/>
          <w:szCs w:val="28"/>
        </w:rPr>
        <w:t xml:space="preserve"> (сходство, приведение других фактов этого же класса или рода): 5) </w:t>
      </w:r>
      <w:r>
        <w:rPr>
          <w:rFonts w:ascii="Times New Roman" w:hAnsi="Times New Roman" w:cs="Times New Roman"/>
          <w:i/>
          <w:sz w:val="28"/>
          <w:szCs w:val="28"/>
        </w:rPr>
        <w:t>разнородность</w:t>
      </w:r>
      <w:r>
        <w:rPr>
          <w:rFonts w:ascii="Times New Roman" w:hAnsi="Times New Roman" w:cs="Times New Roman"/>
          <w:sz w:val="28"/>
          <w:szCs w:val="28"/>
        </w:rPr>
        <w:t xml:space="preserve"> (взаимное различие); 6) прямая перце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ция (в силу своей непосредственности она очевидна, свободна от воображ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и ряда ошибок, наиболее распространенные виды которых обычно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числяются);  7) заключение (умозаключение, когда имеет место вывод);  8) авторитет (он представлен либо положениями священных книг, либо усл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шанным мнением мудреца).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  Анализ раннебуддийского учения о речи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зывает, что здесь идеи аргументации вплетены в общие догматические до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трины и представлены в неразрывной связи с начатками логики.  Процедура обоснования тезиса практически сводится к доказательству, которое включ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ет в себя ряд элементов внелогического характера.  </w:t>
      </w:r>
    </w:p>
    <w:p w:rsidR="00D90BCC" w:rsidRDefault="00D82F75" w:rsidP="00D90BCC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596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есмотря на  критическ</w:t>
      </w:r>
      <w:r w:rsidR="00F1596B">
        <w:rPr>
          <w:rFonts w:ascii="Times New Roman" w:hAnsi="Times New Roman" w:cs="Times New Roman"/>
          <w:sz w:val="28"/>
          <w:szCs w:val="28"/>
        </w:rPr>
        <w:t xml:space="preserve">ую оценку буддистами </w:t>
      </w:r>
      <w:r>
        <w:rPr>
          <w:rFonts w:ascii="Times New Roman" w:hAnsi="Times New Roman" w:cs="Times New Roman"/>
          <w:sz w:val="28"/>
          <w:szCs w:val="28"/>
        </w:rPr>
        <w:t xml:space="preserve"> логическо</w:t>
      </w:r>
      <w:r w:rsidR="00F1596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F1596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брахманистской ньяи,  с которой они полемизировали, многие идеи 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витой реалистической логики н</w:t>
      </w:r>
      <w:r w:rsidR="00F1596B">
        <w:rPr>
          <w:rFonts w:ascii="Times New Roman" w:hAnsi="Times New Roman" w:cs="Times New Roman"/>
          <w:sz w:val="28"/>
          <w:szCs w:val="28"/>
        </w:rPr>
        <w:t>ья</w:t>
      </w:r>
      <w:r>
        <w:rPr>
          <w:rFonts w:ascii="Times New Roman" w:hAnsi="Times New Roman" w:cs="Times New Roman"/>
          <w:sz w:val="28"/>
          <w:szCs w:val="28"/>
        </w:rPr>
        <w:t>иков, проинтерпретированные в духе бу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дийской онтологии, нашли в их доктринах дальнейшее развитие. Так,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пример, Асанга</w:t>
      </w:r>
      <w:r w:rsidR="00CE2B3A">
        <w:rPr>
          <w:rFonts w:ascii="Times New Roman" w:hAnsi="Times New Roman" w:cs="Times New Roman"/>
          <w:sz w:val="28"/>
          <w:szCs w:val="28"/>
        </w:rPr>
        <w:t>,</w:t>
      </w:r>
      <w:r w:rsidR="00D90BCC">
        <w:rPr>
          <w:rFonts w:ascii="Times New Roman" w:hAnsi="Times New Roman" w:cs="Times New Roman"/>
          <w:sz w:val="28"/>
          <w:szCs w:val="28"/>
        </w:rPr>
        <w:t xml:space="preserve"> установивший свод правил относительно искусства диспута,  в своей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CC">
        <w:rPr>
          <w:rFonts w:ascii="Times New Roman" w:hAnsi="Times New Roman" w:cs="Times New Roman"/>
          <w:sz w:val="28"/>
          <w:szCs w:val="28"/>
        </w:rPr>
        <w:t xml:space="preserve">«Искусство ведения диспута» </w:t>
      </w:r>
      <w:r>
        <w:rPr>
          <w:rFonts w:ascii="Times New Roman" w:hAnsi="Times New Roman" w:cs="Times New Roman"/>
          <w:sz w:val="28"/>
          <w:szCs w:val="28"/>
        </w:rPr>
        <w:t xml:space="preserve">использовал брахманистские логико-эпистемологические  категории для создания своей теории спора и ввел  двухсоставный силлогизм, включавший только тезис и основание, в практику буддийских философских дискуссий.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 Однако в дальнейшем с созданием собственной оригинальной теории (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82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н.э.)  по всем основным проблемам теории диспута буддисты будут противостоять ньяе.</w:t>
      </w:r>
      <w:r w:rsidR="00D90BCC">
        <w:rPr>
          <w:rFonts w:ascii="Times New Roman" w:hAnsi="Times New Roman" w:cs="Times New Roman"/>
          <w:sz w:val="28"/>
          <w:szCs w:val="28"/>
        </w:rPr>
        <w:t xml:space="preserve"> Они будут критиковать все 16 категорий диспутального  канона ньяи, в который вход</w:t>
      </w:r>
      <w:r w:rsidR="00D90BCC">
        <w:rPr>
          <w:rFonts w:ascii="Times New Roman" w:hAnsi="Times New Roman" w:cs="Times New Roman"/>
          <w:sz w:val="28"/>
          <w:szCs w:val="28"/>
        </w:rPr>
        <w:t>и</w:t>
      </w:r>
      <w:r w:rsidR="00D90BCC">
        <w:rPr>
          <w:rFonts w:ascii="Times New Roman" w:hAnsi="Times New Roman" w:cs="Times New Roman"/>
          <w:sz w:val="28"/>
          <w:szCs w:val="28"/>
        </w:rPr>
        <w:t xml:space="preserve">ли: 1) источники достоверного знания 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(прамана); </w:t>
      </w:r>
      <w:r w:rsidR="00D90BCC">
        <w:rPr>
          <w:rFonts w:ascii="Times New Roman" w:hAnsi="Times New Roman" w:cs="Times New Roman"/>
          <w:sz w:val="28"/>
          <w:szCs w:val="28"/>
        </w:rPr>
        <w:t>2) предметы достоверного знания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(прамейя); </w:t>
      </w:r>
      <w:r w:rsidR="00D90BCC">
        <w:rPr>
          <w:rFonts w:ascii="Times New Roman" w:hAnsi="Times New Roman" w:cs="Times New Roman"/>
          <w:sz w:val="28"/>
          <w:szCs w:val="28"/>
        </w:rPr>
        <w:t>3) сомнение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(саншая)</w:t>
      </w:r>
      <w:r w:rsidR="00D90BCC">
        <w:rPr>
          <w:rFonts w:ascii="Times New Roman" w:hAnsi="Times New Roman" w:cs="Times New Roman"/>
          <w:sz w:val="28"/>
          <w:szCs w:val="28"/>
        </w:rPr>
        <w:t>; 4) цель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(прайоджана); </w:t>
      </w:r>
      <w:r w:rsidR="00D90BCC">
        <w:rPr>
          <w:rFonts w:ascii="Times New Roman" w:hAnsi="Times New Roman" w:cs="Times New Roman"/>
          <w:sz w:val="28"/>
          <w:szCs w:val="28"/>
        </w:rPr>
        <w:t>5) пример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(дриштанта); </w:t>
      </w:r>
      <w:r w:rsidR="00D90BCC">
        <w:rPr>
          <w:rFonts w:ascii="Times New Roman" w:hAnsi="Times New Roman" w:cs="Times New Roman"/>
          <w:sz w:val="28"/>
          <w:szCs w:val="28"/>
        </w:rPr>
        <w:t>6) доктрины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(сиддханта); </w:t>
      </w:r>
      <w:r w:rsidR="00D90BCC">
        <w:rPr>
          <w:rFonts w:ascii="Times New Roman" w:hAnsi="Times New Roman" w:cs="Times New Roman"/>
          <w:sz w:val="28"/>
          <w:szCs w:val="28"/>
        </w:rPr>
        <w:t>7) члены силлогизма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(аваява</w:t>
      </w:r>
      <w:r w:rsidR="00D90BCC">
        <w:rPr>
          <w:rFonts w:ascii="Times New Roman" w:hAnsi="Times New Roman" w:cs="Times New Roman"/>
          <w:sz w:val="28"/>
          <w:szCs w:val="28"/>
        </w:rPr>
        <w:t>); 8) рефлексия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(тарка); </w:t>
      </w:r>
      <w:r w:rsidR="00D90BCC">
        <w:rPr>
          <w:rFonts w:ascii="Times New Roman" w:hAnsi="Times New Roman" w:cs="Times New Roman"/>
          <w:sz w:val="28"/>
          <w:szCs w:val="28"/>
        </w:rPr>
        <w:t xml:space="preserve">9) удостоверение в истинности 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(нирная); </w:t>
      </w:r>
      <w:r w:rsidR="00D90BCC">
        <w:rPr>
          <w:rFonts w:ascii="Times New Roman" w:hAnsi="Times New Roman" w:cs="Times New Roman"/>
          <w:sz w:val="28"/>
          <w:szCs w:val="28"/>
        </w:rPr>
        <w:t>10) дискуссия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(вада);  </w:t>
      </w:r>
      <w:r w:rsidR="00D90BCC">
        <w:rPr>
          <w:rFonts w:ascii="Times New Roman" w:hAnsi="Times New Roman" w:cs="Times New Roman"/>
          <w:sz w:val="28"/>
          <w:szCs w:val="28"/>
        </w:rPr>
        <w:t>11) софистика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(джалпа); </w:t>
      </w:r>
      <w:r w:rsidR="00D90BCC">
        <w:rPr>
          <w:rFonts w:ascii="Times New Roman" w:hAnsi="Times New Roman" w:cs="Times New Roman"/>
          <w:sz w:val="28"/>
          <w:szCs w:val="28"/>
        </w:rPr>
        <w:t>12) эристика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(витанда); </w:t>
      </w:r>
      <w:r w:rsidR="00D90BCC">
        <w:rPr>
          <w:rFonts w:ascii="Times New Roman" w:hAnsi="Times New Roman" w:cs="Times New Roman"/>
          <w:sz w:val="28"/>
          <w:szCs w:val="28"/>
        </w:rPr>
        <w:t>13) псевдоарг</w:t>
      </w:r>
      <w:r w:rsidR="00D90BCC">
        <w:rPr>
          <w:rFonts w:ascii="Times New Roman" w:hAnsi="Times New Roman" w:cs="Times New Roman"/>
          <w:sz w:val="28"/>
          <w:szCs w:val="28"/>
        </w:rPr>
        <w:t>у</w:t>
      </w:r>
      <w:r w:rsidR="00D90BCC">
        <w:rPr>
          <w:rFonts w:ascii="Times New Roman" w:hAnsi="Times New Roman" w:cs="Times New Roman"/>
          <w:sz w:val="28"/>
          <w:szCs w:val="28"/>
        </w:rPr>
        <w:lastRenderedPageBreak/>
        <w:t>менты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(хетвабхаса); </w:t>
      </w:r>
      <w:r w:rsidR="00D90BCC">
        <w:rPr>
          <w:rFonts w:ascii="Times New Roman" w:hAnsi="Times New Roman" w:cs="Times New Roman"/>
          <w:sz w:val="28"/>
          <w:szCs w:val="28"/>
        </w:rPr>
        <w:t>14) словесные ухищрения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(чхала)</w:t>
      </w:r>
      <w:r w:rsidR="00D90BCC">
        <w:rPr>
          <w:rFonts w:ascii="Times New Roman" w:hAnsi="Times New Roman" w:cs="Times New Roman"/>
          <w:sz w:val="28"/>
          <w:szCs w:val="28"/>
        </w:rPr>
        <w:t>; 15) псевдоответы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(джати); </w:t>
      </w:r>
      <w:r w:rsidR="00D90BCC">
        <w:rPr>
          <w:rFonts w:ascii="Times New Roman" w:hAnsi="Times New Roman" w:cs="Times New Roman"/>
          <w:sz w:val="28"/>
          <w:szCs w:val="28"/>
        </w:rPr>
        <w:t>16) причины поражения в споре</w:t>
      </w:r>
      <w:r w:rsidR="00D90BCC">
        <w:rPr>
          <w:rFonts w:ascii="Times New Roman" w:hAnsi="Times New Roman" w:cs="Times New Roman"/>
          <w:i/>
          <w:sz w:val="28"/>
          <w:szCs w:val="28"/>
        </w:rPr>
        <w:t xml:space="preserve"> (ниграхастхана</w:t>
      </w:r>
      <w:r w:rsidR="00D90BCC">
        <w:rPr>
          <w:rFonts w:ascii="Times New Roman" w:hAnsi="Times New Roman" w:cs="Times New Roman"/>
          <w:sz w:val="28"/>
          <w:szCs w:val="28"/>
        </w:rPr>
        <w:t xml:space="preserve"> ). Буддийская  критика данного канона осуществлялась  путем демонстрации того, что все </w:t>
      </w:r>
      <w:r w:rsidR="00CE2B3A">
        <w:rPr>
          <w:rFonts w:ascii="Times New Roman" w:hAnsi="Times New Roman" w:cs="Times New Roman"/>
          <w:sz w:val="28"/>
          <w:szCs w:val="28"/>
        </w:rPr>
        <w:t>эти категории</w:t>
      </w:r>
      <w:r w:rsidR="00D90BCC">
        <w:rPr>
          <w:rFonts w:ascii="Times New Roman" w:hAnsi="Times New Roman" w:cs="Times New Roman"/>
          <w:sz w:val="28"/>
          <w:szCs w:val="28"/>
        </w:rPr>
        <w:t xml:space="preserve"> относительны, и потому</w:t>
      </w:r>
      <w:r w:rsidR="006A1E18">
        <w:rPr>
          <w:rFonts w:ascii="Times New Roman" w:hAnsi="Times New Roman" w:cs="Times New Roman"/>
          <w:sz w:val="28"/>
          <w:szCs w:val="28"/>
        </w:rPr>
        <w:t xml:space="preserve">, </w:t>
      </w:r>
      <w:r w:rsidR="00D90BCC">
        <w:rPr>
          <w:rFonts w:ascii="Times New Roman" w:hAnsi="Times New Roman" w:cs="Times New Roman"/>
          <w:sz w:val="28"/>
          <w:szCs w:val="28"/>
        </w:rPr>
        <w:t xml:space="preserve"> в конечном счете</w:t>
      </w:r>
      <w:r w:rsidR="006A1E18">
        <w:rPr>
          <w:rFonts w:ascii="Times New Roman" w:hAnsi="Times New Roman" w:cs="Times New Roman"/>
          <w:sz w:val="28"/>
          <w:szCs w:val="28"/>
        </w:rPr>
        <w:t xml:space="preserve">, </w:t>
      </w:r>
      <w:r w:rsidR="00D90BCC">
        <w:rPr>
          <w:rFonts w:ascii="Times New Roman" w:hAnsi="Times New Roman" w:cs="Times New Roman"/>
          <w:sz w:val="28"/>
          <w:szCs w:val="28"/>
        </w:rPr>
        <w:t xml:space="preserve"> нереальны.</w:t>
      </w:r>
    </w:p>
    <w:p w:rsidR="00D82F75" w:rsidRDefault="00D82F75" w:rsidP="00D90BCC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диспута, разработанная  в средневековый период,  который Ф.И.Щербатской назовет «блистательным    буддийским интермеццо в ист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рии индийской логики», наиболее полно представлена (начиная с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в.) в творчестве Дигнаги, который первым начнет систематически применять те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рию логического вывода для обоснования буддийской доктрины.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 xml:space="preserve"> Дигнага</w:t>
      </w:r>
      <w:r w:rsidR="004F4E0F">
        <w:rPr>
          <w:rFonts w:ascii="Times New Roman" w:hAnsi="Times New Roman" w:cs="Times New Roman"/>
          <w:sz w:val="28"/>
          <w:szCs w:val="28"/>
        </w:rPr>
        <w:t xml:space="preserve"> был не только прекрасным систематизатором, но и </w:t>
      </w:r>
      <w:r>
        <w:rPr>
          <w:rFonts w:ascii="Times New Roman" w:hAnsi="Times New Roman" w:cs="Times New Roman"/>
          <w:sz w:val="28"/>
          <w:szCs w:val="28"/>
        </w:rPr>
        <w:t>автор</w:t>
      </w:r>
      <w:r w:rsidR="004F4E0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оригинальной теории аргументации, в которую помимо учения о силлогизме и его видах, в частности, таком из них как «речь для  других», войдет  теория  логических ошибок и свод правил поведения в споре, изложенных  в трактате «Анализ источников истинного знания».  </w:t>
      </w:r>
    </w:p>
    <w:p w:rsidR="004F4E0F" w:rsidRDefault="00D82F75" w:rsidP="00D82F75">
      <w:pPr>
        <w:spacing w:after="0"/>
        <w:ind w:right="5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Обратившись  к анализу природы силлогизма, </w:t>
      </w:r>
      <w:r w:rsidR="004F4E0F">
        <w:rPr>
          <w:rFonts w:ascii="Times New Roman" w:hAnsi="Times New Roman" w:cs="Times New Roman"/>
          <w:sz w:val="28"/>
          <w:szCs w:val="28"/>
        </w:rPr>
        <w:t>«индийский Арист</w:t>
      </w:r>
      <w:r w:rsidR="004F4E0F">
        <w:rPr>
          <w:rFonts w:ascii="Times New Roman" w:hAnsi="Times New Roman" w:cs="Times New Roman"/>
          <w:sz w:val="28"/>
          <w:szCs w:val="28"/>
        </w:rPr>
        <w:t>о</w:t>
      </w:r>
      <w:r w:rsidR="004F4E0F">
        <w:rPr>
          <w:rFonts w:ascii="Times New Roman" w:hAnsi="Times New Roman" w:cs="Times New Roman"/>
          <w:sz w:val="28"/>
          <w:szCs w:val="28"/>
        </w:rPr>
        <w:t xml:space="preserve">тель», как называют </w:t>
      </w:r>
      <w:r>
        <w:rPr>
          <w:rFonts w:ascii="Times New Roman" w:hAnsi="Times New Roman" w:cs="Times New Roman"/>
          <w:sz w:val="28"/>
          <w:szCs w:val="28"/>
        </w:rPr>
        <w:t>Дигна</w:t>
      </w:r>
      <w:r w:rsidR="004F4E0F">
        <w:rPr>
          <w:rFonts w:ascii="Times New Roman" w:hAnsi="Times New Roman" w:cs="Times New Roman"/>
          <w:sz w:val="28"/>
          <w:szCs w:val="28"/>
        </w:rPr>
        <w:t>гу исследователи,</w:t>
      </w:r>
      <w:r>
        <w:rPr>
          <w:rFonts w:ascii="Times New Roman" w:hAnsi="Times New Roman" w:cs="Times New Roman"/>
          <w:sz w:val="28"/>
          <w:szCs w:val="28"/>
        </w:rPr>
        <w:t xml:space="preserve"> дал  новую интерпретацию  правила трехаспектности среднего термина и построил таблицу девяти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можных отношен</w:t>
      </w:r>
      <w:r w:rsidR="00B07DA8">
        <w:rPr>
          <w:rFonts w:ascii="Times New Roman" w:hAnsi="Times New Roman" w:cs="Times New Roman"/>
          <w:sz w:val="28"/>
          <w:szCs w:val="28"/>
        </w:rPr>
        <w:t>ий большого и среднего терминов, а</w:t>
      </w:r>
      <w:r>
        <w:rPr>
          <w:rFonts w:ascii="Times New Roman" w:hAnsi="Times New Roman" w:cs="Times New Roman"/>
          <w:sz w:val="28"/>
          <w:szCs w:val="28"/>
        </w:rPr>
        <w:t xml:space="preserve"> также разработал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цепцию значения имен.  Для интересов нашей работы  необходимо остан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виться  на  важном методологическое различии, которое  сделал Дигнага,  разрабатывая теорию вывода. Он разделил умозаключения на два вида: 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вый – это  «речь для себя», посредством которой размышляющий сам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ет нечто. </w:t>
      </w:r>
      <w:r w:rsidR="004F4E0F">
        <w:rPr>
          <w:rFonts w:ascii="Times New Roman" w:hAnsi="Times New Roman" w:cs="Times New Roman"/>
          <w:sz w:val="28"/>
          <w:szCs w:val="28"/>
        </w:rPr>
        <w:t xml:space="preserve">Лежащий в ее основе </w:t>
      </w:r>
      <w:r>
        <w:rPr>
          <w:rFonts w:ascii="Times New Roman" w:hAnsi="Times New Roman" w:cs="Times New Roman"/>
          <w:sz w:val="28"/>
          <w:szCs w:val="28"/>
        </w:rPr>
        <w:t xml:space="preserve"> силлогизм «для себя»  часто отождествляют с  энтимемой,  т.к. это умозаключение с пропущенной посылкой. Однако, как показали современные индологи,  это </w:t>
      </w:r>
      <w:r w:rsidR="004F4E0F">
        <w:rPr>
          <w:rFonts w:ascii="Times New Roman" w:hAnsi="Times New Roman" w:cs="Times New Roman"/>
          <w:sz w:val="28"/>
          <w:szCs w:val="28"/>
        </w:rPr>
        <w:t>распространенное мнение неправ</w:t>
      </w:r>
      <w:r w:rsidR="004F4E0F">
        <w:rPr>
          <w:rFonts w:ascii="Times New Roman" w:hAnsi="Times New Roman" w:cs="Times New Roman"/>
          <w:sz w:val="28"/>
          <w:szCs w:val="28"/>
        </w:rPr>
        <w:t>о</w:t>
      </w:r>
      <w:r w:rsidR="004F4E0F">
        <w:rPr>
          <w:rFonts w:ascii="Times New Roman" w:hAnsi="Times New Roman" w:cs="Times New Roman"/>
          <w:sz w:val="28"/>
          <w:szCs w:val="28"/>
        </w:rPr>
        <w:t>мерно</w:t>
      </w:r>
      <w:r>
        <w:rPr>
          <w:rFonts w:ascii="Times New Roman" w:hAnsi="Times New Roman" w:cs="Times New Roman"/>
          <w:sz w:val="28"/>
          <w:szCs w:val="28"/>
        </w:rPr>
        <w:t>, т.к. данный силлогизм «отличается от аристотелевской энтимемы тем, что его пропущенная составная часть являет собой не «топ», т.е. схему, а конкретное универсальное высказывание, несущее информацию о наличии определенного рода связи либо между двумя феноменами, либо между дв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мя понятиями».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 xml:space="preserve">  Второй вид вывода, выступающий как разъяснение «выв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 для себя»,  более напоминает  классический силлогизм, который носит дедуктивный характер. Это </w:t>
      </w:r>
      <w:r>
        <w:rPr>
          <w:rFonts w:ascii="Times New Roman" w:hAnsi="Times New Roman" w:cs="Times New Roman"/>
          <w:i/>
          <w:sz w:val="28"/>
          <w:szCs w:val="28"/>
        </w:rPr>
        <w:t>«речь для других</w:t>
      </w:r>
      <w:r>
        <w:rPr>
          <w:rFonts w:ascii="Times New Roman" w:hAnsi="Times New Roman" w:cs="Times New Roman"/>
          <w:sz w:val="28"/>
          <w:szCs w:val="28"/>
        </w:rPr>
        <w:t xml:space="preserve">», т.е. речь, рассчитанная на публику,  </w:t>
      </w:r>
      <w:r w:rsidR="004F4E0F">
        <w:rPr>
          <w:rFonts w:ascii="Times New Roman" w:hAnsi="Times New Roman" w:cs="Times New Roman"/>
          <w:sz w:val="28"/>
          <w:szCs w:val="28"/>
        </w:rPr>
        <w:t xml:space="preserve">она произносится перед аудиторией и </w:t>
      </w:r>
      <w:r>
        <w:rPr>
          <w:rFonts w:ascii="Times New Roman" w:hAnsi="Times New Roman" w:cs="Times New Roman"/>
          <w:sz w:val="28"/>
          <w:szCs w:val="28"/>
        </w:rPr>
        <w:t xml:space="preserve"> имеет вид полного умоза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лючения, состоящего из двух посылок.  В силлогизме «для других»  общее суждение должно было быть сформулировано явно и  желательно в начале,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«чтобы использовать его для обоснования тезисов, которые будут высказаны вслед за ним».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</w:p>
    <w:p w:rsidR="00D82F75" w:rsidRDefault="00D82F75" w:rsidP="00D82F75">
      <w:pPr>
        <w:spacing w:after="0"/>
        <w:ind w:right="5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отводится первое место и роль большой посылк</w:t>
      </w:r>
      <w:r w:rsidR="00B07D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напоминая аристотелевский общеутвердительный силлогизм по первой фигуре. Однако практика рассуждений заставляла упрощать громоздкую  трехчленную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струкцию, поэтому «использовались только два ее элемента: обязательный и примеры одного вида, «по сходству» или «по несходству». Таким образом, формулировались два «усеченных» модуса: «силлогизмы сходства» («Там, где дым, там есть огонь, как в очаге, здесь есть дым, следовательно, должен быть и огонь») и  силлогизм различия («Где нет огня, нет и дыма. В данном месте дым есть, следовательно, есть огонь»).  Форма их посылок несколько отличалась от формы посылок «выводов для себя».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F75" w:rsidRDefault="00D82F75" w:rsidP="00D82F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Силлогизм «для других» рассматривали также последователи Диган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ги – Дхармакирти и Дхармоттара.  Так, например, у Дхармакирти</w:t>
      </w:r>
      <w:r w:rsidR="004F4E0F">
        <w:rPr>
          <w:rFonts w:ascii="Times New Roman" w:hAnsi="Times New Roman" w:cs="Times New Roman"/>
          <w:sz w:val="28"/>
          <w:szCs w:val="28"/>
        </w:rPr>
        <w:t xml:space="preserve"> (ученика Дигнаги, чьи комментарии на труды учителя в восприятии последующих п</w:t>
      </w:r>
      <w:r w:rsidR="004F4E0F">
        <w:rPr>
          <w:rFonts w:ascii="Times New Roman" w:hAnsi="Times New Roman" w:cs="Times New Roman"/>
          <w:sz w:val="28"/>
          <w:szCs w:val="28"/>
        </w:rPr>
        <w:t>о</w:t>
      </w:r>
      <w:r w:rsidR="004F4E0F">
        <w:rPr>
          <w:rFonts w:ascii="Times New Roman" w:hAnsi="Times New Roman" w:cs="Times New Roman"/>
          <w:sz w:val="28"/>
          <w:szCs w:val="28"/>
        </w:rPr>
        <w:t>колений затмили славу «индийского Аристотеля»)</w:t>
      </w:r>
      <w:r>
        <w:rPr>
          <w:rFonts w:ascii="Times New Roman" w:hAnsi="Times New Roman" w:cs="Times New Roman"/>
          <w:sz w:val="28"/>
          <w:szCs w:val="28"/>
        </w:rPr>
        <w:t xml:space="preserve"> силлогизм становится двухчленным,  т.к. в силу того что заключение уже выражено в посылках,  никакой необходимости  выражать в словесной форме не имеется. Однако анализ, проведенный специалистами,  показывает, что у Дхармакирти каждое суждение уже само есть умозаключение.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  Помимо доказательства,   Дха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макирти исследовал также и процедуру опровержения, которое он трактовал  как недостаточность доказательства (трактат «Капля логики»).  При этом у  него, как и  у его учителя Дигнаги, анализ  велся не с помощью формального аппарата,  позволяющего абстрагироваться  от содержания выска</w:t>
      </w:r>
      <w:r w:rsidRPr="00D90BCC">
        <w:rPr>
          <w:rFonts w:ascii="Times New Roman" w:hAnsi="Times New Roman" w:cs="Times New Roman"/>
          <w:sz w:val="28"/>
          <w:szCs w:val="28"/>
        </w:rPr>
        <w:t xml:space="preserve">зываний,  как в западной традиции, а скорее наоборот, т.е. в тесной связи с анализом практики содержательных рассуждений, что имело более важное значение  как раз для развития теории аргументации, чем для логики.  </w:t>
      </w:r>
    </w:p>
    <w:p w:rsidR="00D82F75" w:rsidRDefault="00D82F75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Логическая часть буддийской  эпистемологии включала теорию арг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ментации и полемики, важным компонентом которой была проведенная  «тремя Д»</w:t>
      </w:r>
      <w:r w:rsidR="00B07DA8">
        <w:rPr>
          <w:rFonts w:ascii="Times New Roman" w:hAnsi="Times New Roman" w:cs="Times New Roman"/>
          <w:sz w:val="28"/>
          <w:szCs w:val="28"/>
        </w:rPr>
        <w:t xml:space="preserve"> (Дигнага, Дхармакирти и Дхармоттара)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классификация логич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ошибок, которые могут быть сделаны в выводе, а также систематизир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ванный реестр полемических приемов и уловок. В этом вопросе существов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 давняя традиция. Представители разных школ составляли обширные 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ски таких ошибок, так «Ньяя-сутра» включала в себя список из 22 разноро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ных ошибок, включающий как ошибки тезиса и демонстрации, так и пол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мические ошибки.  Дигнага не только систематизировал имевшийся до 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перечень ошибок, но и включил в него новые. Составленный список из 34 ошибок он разделил на 4 группы: ошибки тезиса, ошибки основания, ошибки примеров и ошибки опровержения. Дхармакирти в своем учебнике логики уточнил целый ряд ошибок (тезиса), исключив некоторые из списка Дигнаги,  сохранив при этом его деление на 4 вида. Интересно, что первый вид, вкл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чающий такие ошибки, как, нереальность или неопределенность тезиса,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согласованность с собственным выводом, с конвенцией о словоупотребл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 собственными словами, имел в качестве примыкающего дополнения особую группу ошибок тезиса</w:t>
      </w:r>
      <w:r w:rsidR="00103F20">
        <w:rPr>
          <w:rFonts w:ascii="Times New Roman" w:hAnsi="Times New Roman" w:cs="Times New Roman"/>
          <w:sz w:val="28"/>
          <w:szCs w:val="28"/>
        </w:rPr>
        <w:t xml:space="preserve">.  Компаративистский анализ показывает, что речь идет об ошибках </w:t>
      </w:r>
      <w:r>
        <w:rPr>
          <w:rFonts w:ascii="Times New Roman" w:hAnsi="Times New Roman" w:cs="Times New Roman"/>
          <w:sz w:val="28"/>
          <w:szCs w:val="28"/>
        </w:rPr>
        <w:t>«в западной традиции проходящих «по ведомству» теории аргументации»</w:t>
      </w:r>
      <w:r w:rsidR="00103F20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F20">
        <w:rPr>
          <w:rFonts w:ascii="Times New Roman" w:hAnsi="Times New Roman" w:cs="Times New Roman"/>
          <w:sz w:val="28"/>
          <w:szCs w:val="28"/>
        </w:rPr>
        <w:t>Так, например, утверждается, что</w:t>
      </w:r>
      <w:r>
        <w:rPr>
          <w:rFonts w:ascii="Times New Roman" w:hAnsi="Times New Roman" w:cs="Times New Roman"/>
          <w:sz w:val="28"/>
          <w:szCs w:val="28"/>
        </w:rPr>
        <w:t xml:space="preserve"> тезисом не может быть: 1) уже доказанный факт; 2) факт, хотя и не доказанный, но приведе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в качестве основания, а не в качестве заключения; 3) факт, который сам диспутант не собирается доказывать; 4) неявно утверждаемый факт; 5)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возможный (самопротиворечивый) факт.</w:t>
      </w:r>
      <w:r w:rsidR="00EA7312"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F20">
        <w:rPr>
          <w:rFonts w:ascii="Times New Roman" w:hAnsi="Times New Roman" w:cs="Times New Roman"/>
          <w:sz w:val="28"/>
          <w:szCs w:val="28"/>
        </w:rPr>
        <w:t xml:space="preserve">Ко второму виду относят </w:t>
      </w:r>
      <w:r>
        <w:rPr>
          <w:rFonts w:ascii="Times New Roman" w:hAnsi="Times New Roman" w:cs="Times New Roman"/>
          <w:sz w:val="28"/>
          <w:szCs w:val="28"/>
        </w:rPr>
        <w:t xml:space="preserve"> непр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вильные логические ошибки основания,  представленные ошибками большей и  меньшей посылок, </w:t>
      </w:r>
      <w:r w:rsidR="00103F20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>порождаются нарушением правила треха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пектности.  Наиболее распространенные из них</w:t>
      </w:r>
      <w:r w:rsidR="00103F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«ложное основание», «н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определенное основание» и «обратное основание». Трет</w:t>
      </w:r>
      <w:r w:rsidR="00103F20">
        <w:rPr>
          <w:rFonts w:ascii="Times New Roman" w:hAnsi="Times New Roman" w:cs="Times New Roman"/>
          <w:sz w:val="28"/>
          <w:szCs w:val="28"/>
        </w:rPr>
        <w:t>ий вид -</w:t>
      </w:r>
      <w:r>
        <w:rPr>
          <w:rFonts w:ascii="Times New Roman" w:hAnsi="Times New Roman" w:cs="Times New Roman"/>
          <w:sz w:val="28"/>
          <w:szCs w:val="28"/>
        </w:rPr>
        <w:t xml:space="preserve"> ошибки в примерах «по сходству» и в примерах «по несходству»</w:t>
      </w:r>
      <w:r w:rsidR="00103F2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достаточно разветвленную классификацию, где каждый из названных двух видов, делиться на 9 подвидов. </w:t>
      </w:r>
    </w:p>
    <w:p w:rsidR="00D82F75" w:rsidRDefault="00D82F75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аргументации или полемики, разработанная в буддизме, наз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валась </w:t>
      </w:r>
      <w:r>
        <w:rPr>
          <w:rFonts w:ascii="Times New Roman" w:hAnsi="Times New Roman" w:cs="Times New Roman"/>
          <w:i/>
          <w:sz w:val="28"/>
          <w:szCs w:val="28"/>
        </w:rPr>
        <w:t>тарка-вада</w:t>
      </w:r>
      <w:r>
        <w:rPr>
          <w:rFonts w:ascii="Times New Roman" w:hAnsi="Times New Roman" w:cs="Times New Roman"/>
          <w:sz w:val="28"/>
          <w:szCs w:val="28"/>
        </w:rPr>
        <w:t xml:space="preserve"> – «учение о ведении публичных диспутов». Ее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было достаточно разнородным, она включала как описание разных видов аргументации, так и  регламентирующие правила. Помимо силлогистической теории доказательства,  составляющей  формально-логический аспект, те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рия  аргументации включала также  ряд проблем психологического и мет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физического характера. Она, как и логика, не вычленялась еще в достато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ной  степени из прамана-вады, что вело к отсутствию общей концептосферы у  представителей  различных школ, имеющих отличающиеся онтологич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ские позиции, в силу которых многие диспуты были в итоге нерезультати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ными.  Серьезное место в тарка-ваде занимали примеры и перечни аргуме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тационных ошибок, выделяемых наряду с логическими. Также в ней знач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тельное место занимали внелогические компоненты дискурса, касающиеся выбора темы спора и методов его ведения. Почти все мыслители достаточно активно занимались вопросами</w:t>
      </w:r>
      <w:r w:rsidR="006A1E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относящимися к процедурной стороны 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lastRenderedPageBreak/>
        <w:t>гументации, касающиеся, например, поведения диспутантов, их личных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рактеристик, а также  характеристик оппонентов. Так</w:t>
      </w:r>
      <w:r w:rsidR="00103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считалось, что наиб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лее желательными противниками являются люди не только знающие, но и обладающие ораторскими способностями, и при этом еще терпеливые и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держанные. </w:t>
      </w:r>
      <w:r w:rsidR="006A1E18">
        <w:rPr>
          <w:rFonts w:ascii="Times New Roman" w:hAnsi="Times New Roman" w:cs="Times New Roman"/>
          <w:sz w:val="28"/>
          <w:szCs w:val="28"/>
        </w:rPr>
        <w:t>Полагали,</w:t>
      </w:r>
      <w:r w:rsidR="00103F20">
        <w:rPr>
          <w:rFonts w:ascii="Times New Roman" w:hAnsi="Times New Roman" w:cs="Times New Roman"/>
          <w:sz w:val="28"/>
          <w:szCs w:val="28"/>
        </w:rPr>
        <w:t xml:space="preserve"> что  для успешности спора важна </w:t>
      </w:r>
      <w:r>
        <w:rPr>
          <w:rFonts w:ascii="Times New Roman" w:hAnsi="Times New Roman" w:cs="Times New Roman"/>
          <w:sz w:val="28"/>
          <w:szCs w:val="28"/>
        </w:rPr>
        <w:t>не только тема,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торая, как правило, относилась к религиозно-философской  сфере,  но и ко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ректность методов, используемых в ходе его ведения, а также правильный выбор места и слушателей.</w:t>
      </w:r>
    </w:p>
    <w:p w:rsidR="00530BEE" w:rsidRDefault="00F8093E" w:rsidP="00C603FB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многие специалисты справедливо указывают на н</w:t>
      </w:r>
      <w:r w:rsidR="00C603FB">
        <w:rPr>
          <w:rFonts w:ascii="Times New Roman" w:hAnsi="Times New Roman" w:cs="Times New Roman"/>
          <w:sz w:val="28"/>
          <w:szCs w:val="28"/>
        </w:rPr>
        <w:t>едостато</w:t>
      </w:r>
      <w:r w:rsidR="00C603FB">
        <w:rPr>
          <w:rFonts w:ascii="Times New Roman" w:hAnsi="Times New Roman" w:cs="Times New Roman"/>
          <w:sz w:val="28"/>
          <w:szCs w:val="28"/>
        </w:rPr>
        <w:t>ч</w:t>
      </w:r>
      <w:r w:rsidR="00C603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603FB">
        <w:rPr>
          <w:rFonts w:ascii="Times New Roman" w:hAnsi="Times New Roman" w:cs="Times New Roman"/>
          <w:sz w:val="28"/>
          <w:szCs w:val="28"/>
        </w:rPr>
        <w:t xml:space="preserve"> изученность искусства аргументации буддистов</w:t>
      </w:r>
      <w:r>
        <w:rPr>
          <w:rFonts w:ascii="Times New Roman" w:hAnsi="Times New Roman" w:cs="Times New Roman"/>
          <w:sz w:val="28"/>
          <w:szCs w:val="28"/>
        </w:rPr>
        <w:t>. Данная ситуация,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мимо причин, названных в начале статьи, </w:t>
      </w:r>
      <w:r w:rsidR="00C603FB">
        <w:rPr>
          <w:rFonts w:ascii="Times New Roman" w:hAnsi="Times New Roman" w:cs="Times New Roman"/>
          <w:sz w:val="28"/>
          <w:szCs w:val="28"/>
        </w:rPr>
        <w:t xml:space="preserve">  обусловлена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20E27">
        <w:rPr>
          <w:rFonts w:ascii="Times New Roman" w:hAnsi="Times New Roman" w:cs="Times New Roman"/>
          <w:sz w:val="28"/>
          <w:szCs w:val="28"/>
        </w:rPr>
        <w:t>«непроясне</w:t>
      </w:r>
      <w:r w:rsidR="00820E27">
        <w:rPr>
          <w:rFonts w:ascii="Times New Roman" w:hAnsi="Times New Roman" w:cs="Times New Roman"/>
          <w:sz w:val="28"/>
          <w:szCs w:val="28"/>
        </w:rPr>
        <w:t>н</w:t>
      </w:r>
      <w:r w:rsidR="00820E27">
        <w:rPr>
          <w:rFonts w:ascii="Times New Roman" w:hAnsi="Times New Roman" w:cs="Times New Roman"/>
          <w:sz w:val="28"/>
          <w:szCs w:val="28"/>
        </w:rPr>
        <w:t xml:space="preserve">ностью» целого ряда более общих проблем, связанных с существованием </w:t>
      </w:r>
      <w:r w:rsidR="00C603FB">
        <w:rPr>
          <w:rFonts w:ascii="Times New Roman" w:hAnsi="Times New Roman" w:cs="Times New Roman"/>
          <w:sz w:val="28"/>
          <w:szCs w:val="28"/>
        </w:rPr>
        <w:t>форм философского дискурса в целом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C603FB">
        <w:rPr>
          <w:rFonts w:ascii="Times New Roman" w:hAnsi="Times New Roman" w:cs="Times New Roman"/>
          <w:sz w:val="28"/>
          <w:szCs w:val="28"/>
        </w:rPr>
        <w:t xml:space="preserve">ак до сих пор идут споры о степени автономности философского дискурса  </w:t>
      </w:r>
      <w:r w:rsidR="00530BEE">
        <w:rPr>
          <w:rFonts w:ascii="Times New Roman" w:hAnsi="Times New Roman" w:cs="Times New Roman"/>
          <w:sz w:val="28"/>
          <w:szCs w:val="28"/>
        </w:rPr>
        <w:t xml:space="preserve">в Древней Индии </w:t>
      </w:r>
      <w:r w:rsidR="00C603FB">
        <w:rPr>
          <w:rFonts w:ascii="Times New Roman" w:hAnsi="Times New Roman" w:cs="Times New Roman"/>
          <w:sz w:val="28"/>
          <w:szCs w:val="28"/>
        </w:rPr>
        <w:t>от его религиозной доктрины, необходимость обоснования которой  постоянно стимулировала развитие практики теоретических споров</w:t>
      </w:r>
      <w:r w:rsidR="00820E27">
        <w:rPr>
          <w:rFonts w:ascii="Times New Roman" w:hAnsi="Times New Roman" w:cs="Times New Roman"/>
          <w:sz w:val="28"/>
          <w:szCs w:val="28"/>
        </w:rPr>
        <w:t xml:space="preserve">. </w:t>
      </w:r>
      <w:r w:rsidR="00C603FB">
        <w:rPr>
          <w:rFonts w:ascii="Times New Roman" w:hAnsi="Times New Roman" w:cs="Times New Roman"/>
          <w:sz w:val="28"/>
          <w:szCs w:val="28"/>
        </w:rPr>
        <w:t xml:space="preserve"> Спор в Древней Индии</w:t>
      </w:r>
      <w:r w:rsidR="00820E27">
        <w:rPr>
          <w:rFonts w:ascii="Times New Roman" w:hAnsi="Times New Roman" w:cs="Times New Roman"/>
          <w:sz w:val="28"/>
          <w:szCs w:val="28"/>
        </w:rPr>
        <w:t xml:space="preserve">  </w:t>
      </w:r>
      <w:r w:rsidR="00C603FB">
        <w:rPr>
          <w:rFonts w:ascii="Times New Roman" w:hAnsi="Times New Roman" w:cs="Times New Roman"/>
          <w:sz w:val="28"/>
          <w:szCs w:val="28"/>
        </w:rPr>
        <w:t xml:space="preserve"> позволял в публичном диалоге представителям различных </w:t>
      </w:r>
      <w:r w:rsidR="00820E27">
        <w:rPr>
          <w:rFonts w:ascii="Times New Roman" w:hAnsi="Times New Roman" w:cs="Times New Roman"/>
          <w:sz w:val="28"/>
          <w:szCs w:val="28"/>
        </w:rPr>
        <w:t xml:space="preserve">религиозных </w:t>
      </w:r>
      <w:r w:rsidR="00C603FB">
        <w:rPr>
          <w:rFonts w:ascii="Times New Roman" w:hAnsi="Times New Roman" w:cs="Times New Roman"/>
          <w:sz w:val="28"/>
          <w:szCs w:val="28"/>
        </w:rPr>
        <w:t>школ отста</w:t>
      </w:r>
      <w:r w:rsidR="00C603FB">
        <w:rPr>
          <w:rFonts w:ascii="Times New Roman" w:hAnsi="Times New Roman" w:cs="Times New Roman"/>
          <w:sz w:val="28"/>
          <w:szCs w:val="28"/>
        </w:rPr>
        <w:t>и</w:t>
      </w:r>
      <w:r w:rsidR="00C603FB">
        <w:rPr>
          <w:rFonts w:ascii="Times New Roman" w:hAnsi="Times New Roman" w:cs="Times New Roman"/>
          <w:sz w:val="28"/>
          <w:szCs w:val="28"/>
        </w:rPr>
        <w:t>вать собственные комментарии к священным текстам, что превращало пре</w:t>
      </w:r>
      <w:r w:rsidR="00C603FB">
        <w:rPr>
          <w:rFonts w:ascii="Times New Roman" w:hAnsi="Times New Roman" w:cs="Times New Roman"/>
          <w:sz w:val="28"/>
          <w:szCs w:val="28"/>
        </w:rPr>
        <w:t>д</w:t>
      </w:r>
      <w:r w:rsidR="00C603FB">
        <w:rPr>
          <w:rFonts w:ascii="Times New Roman" w:hAnsi="Times New Roman" w:cs="Times New Roman"/>
          <w:sz w:val="28"/>
          <w:szCs w:val="28"/>
        </w:rPr>
        <w:t>мет спора в философский. Актуальная практика таких споров порождала не только специфический диалогический стиль буддийского философствов</w:t>
      </w:r>
      <w:r w:rsidR="00C603FB">
        <w:rPr>
          <w:rFonts w:ascii="Times New Roman" w:hAnsi="Times New Roman" w:cs="Times New Roman"/>
          <w:sz w:val="28"/>
          <w:szCs w:val="28"/>
        </w:rPr>
        <w:t>а</w:t>
      </w:r>
      <w:r w:rsidR="00C603FB">
        <w:rPr>
          <w:rFonts w:ascii="Times New Roman" w:hAnsi="Times New Roman" w:cs="Times New Roman"/>
          <w:sz w:val="28"/>
          <w:szCs w:val="28"/>
        </w:rPr>
        <w:t>ния, явивш</w:t>
      </w:r>
      <w:r w:rsidR="00820E27">
        <w:rPr>
          <w:rFonts w:ascii="Times New Roman" w:hAnsi="Times New Roman" w:cs="Times New Roman"/>
          <w:sz w:val="28"/>
          <w:szCs w:val="28"/>
        </w:rPr>
        <w:t xml:space="preserve">ийся </w:t>
      </w:r>
      <w:r w:rsidR="00C603FB">
        <w:rPr>
          <w:rFonts w:ascii="Times New Roman" w:hAnsi="Times New Roman" w:cs="Times New Roman"/>
          <w:sz w:val="28"/>
          <w:szCs w:val="28"/>
        </w:rPr>
        <w:t>впоследствии основой социального взаимодействия в Дре</w:t>
      </w:r>
      <w:r w:rsidR="00C603FB">
        <w:rPr>
          <w:rFonts w:ascii="Times New Roman" w:hAnsi="Times New Roman" w:cs="Times New Roman"/>
          <w:sz w:val="28"/>
          <w:szCs w:val="28"/>
        </w:rPr>
        <w:t>в</w:t>
      </w:r>
      <w:r w:rsidR="00C603FB">
        <w:rPr>
          <w:rFonts w:ascii="Times New Roman" w:hAnsi="Times New Roman" w:cs="Times New Roman"/>
          <w:sz w:val="28"/>
          <w:szCs w:val="28"/>
        </w:rPr>
        <w:t>ней Индии, но и выступала  инструментом  образования</w:t>
      </w:r>
      <w:r w:rsidR="00820E27">
        <w:rPr>
          <w:rFonts w:ascii="Times New Roman" w:hAnsi="Times New Roman" w:cs="Times New Roman"/>
          <w:sz w:val="28"/>
          <w:szCs w:val="28"/>
        </w:rPr>
        <w:t xml:space="preserve"> и воспитания.</w:t>
      </w:r>
      <w:r w:rsidR="00530BEE" w:rsidRPr="00530BEE">
        <w:rPr>
          <w:rFonts w:ascii="Times New Roman" w:hAnsi="Times New Roman" w:cs="Times New Roman"/>
          <w:sz w:val="28"/>
          <w:szCs w:val="28"/>
        </w:rPr>
        <w:t xml:space="preserve"> </w:t>
      </w:r>
      <w:r w:rsidR="00530BEE">
        <w:rPr>
          <w:rFonts w:ascii="Times New Roman" w:hAnsi="Times New Roman" w:cs="Times New Roman"/>
          <w:sz w:val="28"/>
          <w:szCs w:val="28"/>
        </w:rPr>
        <w:t>Ос</w:t>
      </w:r>
      <w:r w:rsidR="00530BEE">
        <w:rPr>
          <w:rFonts w:ascii="Times New Roman" w:hAnsi="Times New Roman" w:cs="Times New Roman"/>
          <w:sz w:val="28"/>
          <w:szCs w:val="28"/>
        </w:rPr>
        <w:t>о</w:t>
      </w:r>
      <w:r w:rsidR="00530BEE">
        <w:rPr>
          <w:rFonts w:ascii="Times New Roman" w:hAnsi="Times New Roman" w:cs="Times New Roman"/>
          <w:sz w:val="28"/>
          <w:szCs w:val="28"/>
        </w:rPr>
        <w:t xml:space="preserve">бенно ярко это проявилось в институте буддийского диспута в тибетском буддизме, где помимо ученых споров широкое распространение  получили учебные диспуты в тибетских монастырях - университетах. </w:t>
      </w:r>
      <w:r w:rsidR="00133D2A">
        <w:rPr>
          <w:rFonts w:ascii="Times New Roman" w:hAnsi="Times New Roman" w:cs="Times New Roman"/>
          <w:sz w:val="28"/>
          <w:szCs w:val="28"/>
        </w:rPr>
        <w:t xml:space="preserve"> Буддийский ф</w:t>
      </w:r>
      <w:r w:rsidR="00133D2A">
        <w:rPr>
          <w:rFonts w:ascii="Times New Roman" w:hAnsi="Times New Roman" w:cs="Times New Roman"/>
          <w:sz w:val="28"/>
          <w:szCs w:val="28"/>
        </w:rPr>
        <w:t>и</w:t>
      </w:r>
      <w:r w:rsidR="00133D2A">
        <w:rPr>
          <w:rFonts w:ascii="Times New Roman" w:hAnsi="Times New Roman" w:cs="Times New Roman"/>
          <w:sz w:val="28"/>
          <w:szCs w:val="28"/>
        </w:rPr>
        <w:t>лософский диспут</w:t>
      </w:r>
      <w:r w:rsidR="00F07B77">
        <w:rPr>
          <w:rFonts w:ascii="Times New Roman" w:hAnsi="Times New Roman" w:cs="Times New Roman"/>
          <w:sz w:val="28"/>
          <w:szCs w:val="28"/>
        </w:rPr>
        <w:t xml:space="preserve">, как показал А.А.Базаров, </w:t>
      </w:r>
      <w:r w:rsidR="00133D2A">
        <w:rPr>
          <w:rFonts w:ascii="Times New Roman" w:hAnsi="Times New Roman" w:cs="Times New Roman"/>
          <w:sz w:val="28"/>
          <w:szCs w:val="28"/>
        </w:rPr>
        <w:t xml:space="preserve"> выступил базовым культурным феноменом для создания монастырского университета, который будучи</w:t>
      </w:r>
      <w:r w:rsidR="007E5862">
        <w:rPr>
          <w:rFonts w:ascii="Times New Roman" w:hAnsi="Times New Roman" w:cs="Times New Roman"/>
          <w:sz w:val="28"/>
          <w:szCs w:val="28"/>
        </w:rPr>
        <w:t xml:space="preserve"> вп</w:t>
      </w:r>
      <w:r w:rsidR="007E5862">
        <w:rPr>
          <w:rFonts w:ascii="Times New Roman" w:hAnsi="Times New Roman" w:cs="Times New Roman"/>
          <w:sz w:val="28"/>
          <w:szCs w:val="28"/>
        </w:rPr>
        <w:t>о</w:t>
      </w:r>
      <w:r w:rsidR="007E5862">
        <w:rPr>
          <w:rFonts w:ascii="Times New Roman" w:hAnsi="Times New Roman" w:cs="Times New Roman"/>
          <w:sz w:val="28"/>
          <w:szCs w:val="28"/>
        </w:rPr>
        <w:t xml:space="preserve">следствии </w:t>
      </w:r>
      <w:r w:rsidR="00F07B77">
        <w:rPr>
          <w:rFonts w:ascii="Times New Roman" w:hAnsi="Times New Roman" w:cs="Times New Roman"/>
          <w:sz w:val="28"/>
          <w:szCs w:val="28"/>
        </w:rPr>
        <w:t>«</w:t>
      </w:r>
      <w:r w:rsidR="007E5862">
        <w:rPr>
          <w:rFonts w:ascii="Times New Roman" w:hAnsi="Times New Roman" w:cs="Times New Roman"/>
          <w:sz w:val="28"/>
          <w:szCs w:val="28"/>
        </w:rPr>
        <w:t>объединенным</w:t>
      </w:r>
      <w:r w:rsidR="00F07B77">
        <w:rPr>
          <w:rFonts w:ascii="Times New Roman" w:hAnsi="Times New Roman" w:cs="Times New Roman"/>
          <w:sz w:val="28"/>
          <w:szCs w:val="28"/>
        </w:rPr>
        <w:t>»</w:t>
      </w:r>
      <w:r w:rsidR="007E5862">
        <w:rPr>
          <w:rFonts w:ascii="Times New Roman" w:hAnsi="Times New Roman" w:cs="Times New Roman"/>
          <w:sz w:val="28"/>
          <w:szCs w:val="28"/>
        </w:rPr>
        <w:t xml:space="preserve"> с государственными структурами, привел к «специфической универсализации тибетобуддийского пространства</w:t>
      </w:r>
      <w:r w:rsidR="0006653A">
        <w:rPr>
          <w:rFonts w:ascii="Times New Roman" w:hAnsi="Times New Roman" w:cs="Times New Roman"/>
          <w:sz w:val="28"/>
          <w:szCs w:val="28"/>
        </w:rPr>
        <w:t>».</w:t>
      </w:r>
      <w:r w:rsidR="007E5862">
        <w:rPr>
          <w:rStyle w:val="a6"/>
          <w:rFonts w:ascii="Times New Roman" w:hAnsi="Times New Roman" w:cs="Times New Roman"/>
          <w:sz w:val="28"/>
          <w:szCs w:val="28"/>
        </w:rPr>
        <w:footnoteReference w:id="25"/>
      </w:r>
      <w:r w:rsidR="007E5862">
        <w:rPr>
          <w:rFonts w:ascii="Times New Roman" w:hAnsi="Times New Roman" w:cs="Times New Roman"/>
          <w:sz w:val="28"/>
          <w:szCs w:val="28"/>
        </w:rPr>
        <w:t xml:space="preserve">  </w:t>
      </w:r>
      <w:r w:rsidR="00F7035D">
        <w:rPr>
          <w:rFonts w:ascii="Times New Roman" w:hAnsi="Times New Roman" w:cs="Times New Roman"/>
          <w:sz w:val="28"/>
          <w:szCs w:val="28"/>
        </w:rPr>
        <w:t>Судьбы буддийского диспута в Тибете – предмет особого исследования, эта работа уже начата отечественными буддологами</w:t>
      </w:r>
      <w:r w:rsidR="0006653A">
        <w:rPr>
          <w:rFonts w:ascii="Times New Roman" w:hAnsi="Times New Roman" w:cs="Times New Roman"/>
          <w:sz w:val="28"/>
          <w:szCs w:val="28"/>
        </w:rPr>
        <w:t xml:space="preserve">, она </w:t>
      </w:r>
      <w:r w:rsidR="00F7035D">
        <w:rPr>
          <w:rFonts w:ascii="Times New Roman" w:hAnsi="Times New Roman" w:cs="Times New Roman"/>
          <w:sz w:val="28"/>
          <w:szCs w:val="28"/>
        </w:rPr>
        <w:t>обещает интересные результаты,  способные серьезно изменить наши представления о развитии теории аргументации на Востоке.</w:t>
      </w:r>
    </w:p>
    <w:p w:rsidR="00F7035D" w:rsidRDefault="00F7035D" w:rsidP="00C603FB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35D" w:rsidRDefault="00F7035D" w:rsidP="00C603FB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35D" w:rsidRDefault="00F7035D" w:rsidP="00C603FB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35D" w:rsidRDefault="00F7035D" w:rsidP="00C603FB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35D" w:rsidRDefault="00F7035D" w:rsidP="00C603FB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35D" w:rsidRDefault="00F7035D" w:rsidP="00C603FB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093E" w:rsidRDefault="00F8093E" w:rsidP="00F8093E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093E" w:rsidRDefault="00F8093E" w:rsidP="00F8093E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093E" w:rsidRDefault="00F8093E" w:rsidP="00F8093E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03FB" w:rsidRDefault="00C603FB" w:rsidP="00D82F75">
      <w:pPr>
        <w:spacing w:after="0"/>
        <w:ind w:right="5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603FB" w:rsidSect="0003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6D6" w:rsidRDefault="001D36D6" w:rsidP="00D82F75">
      <w:pPr>
        <w:spacing w:after="0" w:line="240" w:lineRule="auto"/>
      </w:pPr>
      <w:r>
        <w:separator/>
      </w:r>
    </w:p>
  </w:endnote>
  <w:endnote w:type="continuationSeparator" w:id="1">
    <w:p w:rsidR="001D36D6" w:rsidRDefault="001D36D6" w:rsidP="00D8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6D6" w:rsidRDefault="001D36D6" w:rsidP="00D82F75">
      <w:pPr>
        <w:spacing w:after="0" w:line="240" w:lineRule="auto"/>
      </w:pPr>
      <w:r>
        <w:separator/>
      </w:r>
    </w:p>
  </w:footnote>
  <w:footnote w:type="continuationSeparator" w:id="1">
    <w:p w:rsidR="001D36D6" w:rsidRDefault="001D36D6" w:rsidP="00D82F75">
      <w:pPr>
        <w:spacing w:after="0" w:line="240" w:lineRule="auto"/>
      </w:pPr>
      <w:r>
        <w:continuationSeparator/>
      </w:r>
    </w:p>
  </w:footnote>
  <w:footnote w:id="2">
    <w:p w:rsidR="004F4E0F" w:rsidRPr="006F0E70" w:rsidRDefault="004F4E0F" w:rsidP="00C603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E7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F0E70">
        <w:rPr>
          <w:rFonts w:ascii="Times New Roman" w:hAnsi="Times New Roman" w:cs="Times New Roman"/>
          <w:sz w:val="24"/>
          <w:szCs w:val="24"/>
        </w:rPr>
        <w:t xml:space="preserve"> В работах наших соотечественников  (Ф.И.Щербатского, О.О.Розенберга, В.П.Василье</w:t>
      </w:r>
      <w:r>
        <w:rPr>
          <w:rFonts w:ascii="Times New Roman" w:hAnsi="Times New Roman" w:cs="Times New Roman"/>
          <w:sz w:val="24"/>
          <w:szCs w:val="24"/>
        </w:rPr>
        <w:t>ва и др.</w:t>
      </w:r>
      <w:r w:rsidRPr="006F0E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в отличие от  западных авторов, </w:t>
      </w:r>
      <w:r w:rsidRPr="006F0E70">
        <w:rPr>
          <w:rFonts w:ascii="Times New Roman" w:hAnsi="Times New Roman" w:cs="Times New Roman"/>
          <w:sz w:val="24"/>
          <w:szCs w:val="24"/>
        </w:rPr>
        <w:t xml:space="preserve"> выявля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r w:rsidRPr="006F0E70">
        <w:rPr>
          <w:rFonts w:ascii="Times New Roman" w:hAnsi="Times New Roman" w:cs="Times New Roman"/>
          <w:sz w:val="24"/>
          <w:szCs w:val="24"/>
        </w:rPr>
        <w:t>и обосновы</w:t>
      </w:r>
      <w:r>
        <w:rPr>
          <w:rFonts w:ascii="Times New Roman" w:hAnsi="Times New Roman" w:cs="Times New Roman"/>
          <w:sz w:val="24"/>
          <w:szCs w:val="24"/>
        </w:rPr>
        <w:t xml:space="preserve">вается </w:t>
      </w:r>
      <w:r w:rsidRPr="006F0E70">
        <w:rPr>
          <w:rFonts w:ascii="Times New Roman" w:hAnsi="Times New Roman" w:cs="Times New Roman"/>
          <w:sz w:val="24"/>
          <w:szCs w:val="24"/>
        </w:rPr>
        <w:t xml:space="preserve">  важная роль р</w:t>
      </w:r>
      <w:r w:rsidRPr="006F0E70">
        <w:rPr>
          <w:rFonts w:ascii="Times New Roman" w:hAnsi="Times New Roman" w:cs="Times New Roman"/>
          <w:sz w:val="24"/>
          <w:szCs w:val="24"/>
        </w:rPr>
        <w:t>а</w:t>
      </w:r>
      <w:r w:rsidRPr="006F0E70">
        <w:rPr>
          <w:rFonts w:ascii="Times New Roman" w:hAnsi="Times New Roman" w:cs="Times New Roman"/>
          <w:sz w:val="24"/>
          <w:szCs w:val="24"/>
        </w:rPr>
        <w:t xml:space="preserve">циональности в учениях индийских мыслителей. </w:t>
      </w:r>
    </w:p>
  </w:footnote>
  <w:footnote w:id="3">
    <w:p w:rsidR="004F4E0F" w:rsidRPr="009C6230" w:rsidRDefault="004F4E0F" w:rsidP="00C603FB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23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C6230">
        <w:rPr>
          <w:rFonts w:ascii="Times New Roman" w:hAnsi="Times New Roman" w:cs="Times New Roman"/>
          <w:sz w:val="24"/>
          <w:szCs w:val="24"/>
        </w:rPr>
        <w:t xml:space="preserve"> Цит. по: Бонгард-Левин Г.М., Герасимов А.В. Мудрецы и философы Древней Индии. М., 1975. С.272.</w:t>
      </w:r>
    </w:p>
  </w:footnote>
  <w:footnote w:id="4">
    <w:p w:rsidR="004F4E0F" w:rsidRPr="00406381" w:rsidRDefault="004F4E0F" w:rsidP="00C603FB">
      <w:pPr>
        <w:spacing w:after="0" w:line="240" w:lineRule="atLeast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406381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06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Лысенко В.Г</w:t>
      </w:r>
      <w:r w:rsidRPr="00180584">
        <w:rPr>
          <w:rFonts w:ascii="Times New Roman" w:hAnsi="Times New Roman" w:cs="Times New Roman"/>
          <w:sz w:val="24"/>
          <w:szCs w:val="24"/>
        </w:rPr>
        <w:t>. Как я понимаю индийскую философию //</w:t>
      </w:r>
      <w:r w:rsidR="00571BAD">
        <w:rPr>
          <w:rFonts w:ascii="Times New Roman" w:hAnsi="Times New Roman" w:cs="Times New Roman"/>
          <w:sz w:val="24"/>
          <w:szCs w:val="24"/>
        </w:rPr>
        <w:t xml:space="preserve"> </w:t>
      </w:r>
      <w:r w:rsidRPr="00180584">
        <w:rPr>
          <w:rFonts w:ascii="Times New Roman" w:hAnsi="Times New Roman" w:cs="Times New Roman"/>
          <w:sz w:val="24"/>
          <w:szCs w:val="24"/>
        </w:rPr>
        <w:t>Философский журнал, 2010. №1. С.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80584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Бердяев Н.А. Философия свободы. М., 1989. С.30.</w:t>
      </w:r>
    </w:p>
  </w:footnote>
  <w:footnote w:id="6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Григорьева Т.П. Логика Срединного пути // Вопросы философии, 2004. №12. С.20.</w:t>
      </w:r>
    </w:p>
  </w:footnote>
  <w:footnote w:id="7">
    <w:p w:rsidR="004F4E0F" w:rsidRDefault="004F4E0F" w:rsidP="00D82F75">
      <w:pPr>
        <w:pStyle w:val="a3"/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См.: Щербатской Ф.И.  Теория познания и логика по учению позднейших буддистов. Ч.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 С.-Петербург, 1909. С.213.</w:t>
      </w:r>
    </w:p>
  </w:footnote>
  <w:footnote w:id="8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Щербатской Ф.И.  Теория познания и логика по учению позднейших буддистов. Ч.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 С.-Петербург, 1903. С.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(Введение).</w:t>
      </w:r>
    </w:p>
  </w:footnote>
  <w:footnote w:id="9">
    <w:p w:rsidR="004F4E0F" w:rsidRPr="00B741CC" w:rsidRDefault="004F4E0F" w:rsidP="00780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41C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741CC">
        <w:rPr>
          <w:rFonts w:ascii="Times New Roman" w:hAnsi="Times New Roman" w:cs="Times New Roman"/>
          <w:sz w:val="24"/>
          <w:szCs w:val="24"/>
        </w:rPr>
        <w:t xml:space="preserve"> Щербатской Ф.И. Буддийская логика. Введение //</w:t>
      </w:r>
      <w:r>
        <w:rPr>
          <w:rFonts w:ascii="Times New Roman" w:hAnsi="Times New Roman" w:cs="Times New Roman"/>
          <w:sz w:val="24"/>
          <w:szCs w:val="24"/>
        </w:rPr>
        <w:t xml:space="preserve"> Избранные труды по буддизму. М.: Наука, 1988. С.54-55.</w:t>
      </w:r>
    </w:p>
  </w:footnote>
  <w:footnote w:id="10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1CC">
        <w:rPr>
          <w:rFonts w:ascii="Times New Roman" w:hAnsi="Times New Roman" w:cs="Times New Roman"/>
          <w:sz w:val="24"/>
          <w:szCs w:val="24"/>
        </w:rPr>
        <w:t xml:space="preserve"> Щербатской Ф.И. </w:t>
      </w:r>
      <w:r w:rsidR="00571BAD">
        <w:rPr>
          <w:rFonts w:ascii="Times New Roman" w:hAnsi="Times New Roman" w:cs="Times New Roman"/>
          <w:sz w:val="24"/>
          <w:szCs w:val="24"/>
        </w:rPr>
        <w:t xml:space="preserve">Там же. </w:t>
      </w:r>
      <w:r>
        <w:rPr>
          <w:rFonts w:ascii="Times New Roman" w:hAnsi="Times New Roman" w:cs="Times New Roman"/>
          <w:sz w:val="24"/>
          <w:szCs w:val="24"/>
        </w:rPr>
        <w:t xml:space="preserve"> С.81.</w:t>
      </w:r>
    </w:p>
  </w:footnote>
  <w:footnote w:id="11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Базаров А.А. Институт философского диспута в тибетском буддизме. СПб, 1998. С.16-17.</w:t>
      </w:r>
    </w:p>
  </w:footnote>
  <w:footnote w:id="12">
    <w:p w:rsidR="004F4E0F" w:rsidRDefault="004F4E0F" w:rsidP="00D82F7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Базаров А.А. Тибетский религиозный спор: логико-эпистемологические основания в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лигиозной аргументации // Восток. Афро-азиатские общества: история и современность, 1997.  №5. С. 100.</w:t>
      </w:r>
    </w:p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См.:  Маковельский А.О. </w:t>
      </w:r>
      <w:r w:rsidR="00571BAD">
        <w:rPr>
          <w:rFonts w:ascii="Times New Roman" w:hAnsi="Times New Roman" w:cs="Times New Roman"/>
          <w:sz w:val="24"/>
          <w:szCs w:val="24"/>
        </w:rPr>
        <w:t xml:space="preserve"> История логики. М.: Кучково поле, 2004. </w:t>
      </w:r>
      <w:r>
        <w:rPr>
          <w:rFonts w:ascii="Times New Roman" w:hAnsi="Times New Roman" w:cs="Times New Roman"/>
          <w:sz w:val="24"/>
          <w:szCs w:val="24"/>
        </w:rPr>
        <w:t xml:space="preserve"> С.19.</w:t>
      </w:r>
    </w:p>
  </w:footnote>
  <w:footnote w:id="14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См.: Маковельский А.О. Указ.соч. С.20.</w:t>
      </w:r>
    </w:p>
  </w:footnote>
  <w:footnote w:id="15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См.: Маковельский А.О. Указ.соч.</w:t>
      </w:r>
      <w:r w:rsidR="006A1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С.20-21.</w:t>
      </w:r>
    </w:p>
  </w:footnote>
  <w:footnote w:id="16">
    <w:p w:rsidR="004F4E0F" w:rsidRDefault="004F4E0F" w:rsidP="00D82F75">
      <w:pPr>
        <w:pStyle w:val="a3"/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См.: Маковельский А.О. Указ.</w:t>
      </w:r>
      <w:r w:rsidR="006A1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соч. С.21-23.</w:t>
      </w:r>
    </w:p>
  </w:footnote>
  <w:footnote w:id="17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Базаров А.А. Указ. соч. С.31.</w:t>
      </w:r>
    </w:p>
  </w:footnote>
  <w:footnote w:id="18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В школах буддизма разрабатывалось множество продуктивных эпистемологических идей, например, Нагарджуной, </w:t>
      </w:r>
      <w:r w:rsidR="00F70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Асангой, </w:t>
      </w:r>
      <w:r w:rsidR="00F70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Васубандху, однако они не были в должной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 систематизированы.</w:t>
      </w:r>
    </w:p>
  </w:footnote>
  <w:footnote w:id="19">
    <w:p w:rsidR="004F4E0F" w:rsidRDefault="004F4E0F" w:rsidP="00D82F75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Заболотных Э.Л.  Логико-эпистемологические воззрения Дигнаги. М., 2002. С.275.</w:t>
      </w:r>
    </w:p>
  </w:footnote>
  <w:footnote w:id="20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Заболотных Э.Л.  Указ. соч.  С.231.</w:t>
      </w:r>
    </w:p>
  </w:footnote>
  <w:footnote w:id="21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Канаева Н.А.  </w:t>
      </w:r>
      <w:r w:rsidR="00B07DA8">
        <w:rPr>
          <w:rFonts w:ascii="Times New Roman" w:hAnsi="Times New Roman" w:cs="Times New Roman"/>
          <w:sz w:val="24"/>
          <w:szCs w:val="24"/>
        </w:rPr>
        <w:t xml:space="preserve">Указ. соч. </w:t>
      </w:r>
      <w:r w:rsidR="006A1E18">
        <w:rPr>
          <w:rFonts w:ascii="Times New Roman" w:hAnsi="Times New Roman" w:cs="Times New Roman"/>
          <w:sz w:val="24"/>
          <w:szCs w:val="24"/>
        </w:rPr>
        <w:t xml:space="preserve">  С</w:t>
      </w:r>
      <w:r>
        <w:rPr>
          <w:rFonts w:ascii="Times New Roman" w:hAnsi="Times New Roman" w:cs="Times New Roman"/>
          <w:sz w:val="24"/>
          <w:szCs w:val="24"/>
        </w:rPr>
        <w:t>.54.</w:t>
      </w:r>
    </w:p>
  </w:footnote>
  <w:footnote w:id="22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Маковельский А.О. Указ. соч. С.18.</w:t>
      </w:r>
    </w:p>
  </w:footnote>
  <w:footnote w:id="23">
    <w:p w:rsidR="004F4E0F" w:rsidRDefault="004F4E0F" w:rsidP="00D82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Канаева Н.А. </w:t>
      </w:r>
      <w:r w:rsidR="006A1E18">
        <w:rPr>
          <w:rFonts w:ascii="Times New Roman" w:hAnsi="Times New Roman" w:cs="Times New Roman"/>
          <w:sz w:val="24"/>
          <w:szCs w:val="24"/>
        </w:rPr>
        <w:t>Указ. соч.  С</w:t>
      </w:r>
      <w:r>
        <w:rPr>
          <w:rFonts w:ascii="Times New Roman" w:hAnsi="Times New Roman" w:cs="Times New Roman"/>
          <w:sz w:val="24"/>
          <w:szCs w:val="24"/>
        </w:rPr>
        <w:t>.62.</w:t>
      </w:r>
    </w:p>
  </w:footnote>
  <w:footnote w:id="24">
    <w:p w:rsidR="004F4E0F" w:rsidRPr="00EA7312" w:rsidRDefault="004F4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31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A7312">
        <w:rPr>
          <w:rFonts w:ascii="Times New Roman" w:hAnsi="Times New Roman" w:cs="Times New Roman"/>
          <w:sz w:val="24"/>
          <w:szCs w:val="24"/>
        </w:rPr>
        <w:t xml:space="preserve"> Там же. С. 62.</w:t>
      </w:r>
    </w:p>
  </w:footnote>
  <w:footnote w:id="25">
    <w:p w:rsidR="004F4E0F" w:rsidRPr="007E5862" w:rsidRDefault="004F4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7E5862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Базаров А.А. Указ. С</w:t>
      </w:r>
      <w:r w:rsidRPr="007E5862"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5862">
        <w:rPr>
          <w:rFonts w:ascii="Times New Roman" w:hAnsi="Times New Roman" w:cs="Times New Roman"/>
          <w:sz w:val="24"/>
          <w:szCs w:val="24"/>
        </w:rPr>
        <w:t xml:space="preserve"> С.45.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F75"/>
    <w:rsid w:val="00007F96"/>
    <w:rsid w:val="000350F4"/>
    <w:rsid w:val="0006653A"/>
    <w:rsid w:val="00103F20"/>
    <w:rsid w:val="001324D4"/>
    <w:rsid w:val="00133D2A"/>
    <w:rsid w:val="001D36D6"/>
    <w:rsid w:val="00212220"/>
    <w:rsid w:val="0022576E"/>
    <w:rsid w:val="00245D03"/>
    <w:rsid w:val="002540DD"/>
    <w:rsid w:val="002B4389"/>
    <w:rsid w:val="002F2977"/>
    <w:rsid w:val="00396114"/>
    <w:rsid w:val="003D005E"/>
    <w:rsid w:val="00447E2D"/>
    <w:rsid w:val="00462CC8"/>
    <w:rsid w:val="004844CB"/>
    <w:rsid w:val="004F4E0F"/>
    <w:rsid w:val="00530BEE"/>
    <w:rsid w:val="00571BAD"/>
    <w:rsid w:val="00596F94"/>
    <w:rsid w:val="006A1E18"/>
    <w:rsid w:val="006A4FE7"/>
    <w:rsid w:val="006B061C"/>
    <w:rsid w:val="00780BFA"/>
    <w:rsid w:val="00782681"/>
    <w:rsid w:val="007A3B7B"/>
    <w:rsid w:val="007E5862"/>
    <w:rsid w:val="00820E27"/>
    <w:rsid w:val="0099500E"/>
    <w:rsid w:val="00A47053"/>
    <w:rsid w:val="00A77BF0"/>
    <w:rsid w:val="00B07DA8"/>
    <w:rsid w:val="00B26A6E"/>
    <w:rsid w:val="00B741CC"/>
    <w:rsid w:val="00BE585C"/>
    <w:rsid w:val="00C603FB"/>
    <w:rsid w:val="00C74209"/>
    <w:rsid w:val="00CE2B3A"/>
    <w:rsid w:val="00CF6F84"/>
    <w:rsid w:val="00D25CCD"/>
    <w:rsid w:val="00D82F75"/>
    <w:rsid w:val="00D90BCC"/>
    <w:rsid w:val="00E6699F"/>
    <w:rsid w:val="00EA7312"/>
    <w:rsid w:val="00F07B77"/>
    <w:rsid w:val="00F1596B"/>
    <w:rsid w:val="00F271E6"/>
    <w:rsid w:val="00F7035D"/>
    <w:rsid w:val="00F8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2F7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82F75"/>
    <w:rPr>
      <w:sz w:val="20"/>
      <w:szCs w:val="20"/>
    </w:rPr>
  </w:style>
  <w:style w:type="paragraph" w:styleId="a5">
    <w:name w:val="List Paragraph"/>
    <w:basedOn w:val="a"/>
    <w:uiPriority w:val="34"/>
    <w:qFormat/>
    <w:rsid w:val="00D82F75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D82F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8ADB-6D2E-4F65-A82A-DDA30351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3675</Words>
  <Characters>25287</Characters>
  <Application>Microsoft Office Word</Application>
  <DocSecurity>0</DocSecurity>
  <Lines>443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14</cp:revision>
  <cp:lastPrinted>2013-03-01T15:30:00Z</cp:lastPrinted>
  <dcterms:created xsi:type="dcterms:W3CDTF">2013-01-21T16:16:00Z</dcterms:created>
  <dcterms:modified xsi:type="dcterms:W3CDTF">2013-11-03T15:16:00Z</dcterms:modified>
</cp:coreProperties>
</file>